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val="0"/>
        <w:overflowPunct w:val="0"/>
        <w:autoSpaceDE w:val="0"/>
        <w:autoSpaceDN w:val="0"/>
        <w:adjustRightInd w:val="0"/>
        <w:ind w:left="0"/>
        <w:jc w:val="center"/>
        <w:rPr>
          <w:rFonts w:hint="eastAsia" w:ascii="宋体" w:hAnsi="宋体" w:eastAsia="宋体" w:cs="Times New Roman"/>
          <w:b/>
          <w:spacing w:val="2"/>
          <w:sz w:val="44"/>
          <w:szCs w:val="44"/>
          <w:lang w:val="en-US" w:eastAsia="zh-CN" w:bidi="ar-SA"/>
          <w14:shadow w14:blurRad="50800" w14:dist="38100" w14:dir="2700000" w14:sx="100000" w14:sy="100000" w14:kx="0" w14:ky="0" w14:algn="tl">
            <w14:srgbClr w14:val="000000">
              <w14:alpha w14:val="60000"/>
            </w14:srgbClr>
          </w14:shadow>
        </w:rPr>
      </w:pPr>
    </w:p>
    <w:p>
      <w:pPr>
        <w:widowControl w:val="0"/>
        <w:kinsoku w:val="0"/>
        <w:overflowPunct w:val="0"/>
        <w:autoSpaceDE w:val="0"/>
        <w:autoSpaceDN w:val="0"/>
        <w:adjustRightInd w:val="0"/>
        <w:ind w:left="0"/>
        <w:jc w:val="center"/>
        <w:rPr>
          <w:rFonts w:hint="eastAsia" w:ascii="宋体" w:hAnsi="宋体" w:eastAsia="宋体" w:cs="Times New Roman"/>
          <w:b/>
          <w:spacing w:val="2"/>
          <w:sz w:val="44"/>
          <w:szCs w:val="44"/>
          <w:lang w:val="en-US" w:eastAsia="zh-CN" w:bidi="ar-SA"/>
          <w14:shadow w14:blurRad="50800" w14:dist="38100" w14:dir="2700000" w14:sx="100000" w14:sy="100000" w14:kx="0" w14:ky="0" w14:algn="tl">
            <w14:srgbClr w14:val="000000">
              <w14:alpha w14:val="60000"/>
            </w14:srgbClr>
          </w14:shadow>
        </w:rPr>
      </w:pPr>
    </w:p>
    <w:p>
      <w:pPr>
        <w:widowControl w:val="0"/>
        <w:kinsoku w:val="0"/>
        <w:overflowPunct w:val="0"/>
        <w:autoSpaceDE w:val="0"/>
        <w:autoSpaceDN w:val="0"/>
        <w:adjustRightInd w:val="0"/>
        <w:ind w:left="0"/>
        <w:jc w:val="center"/>
        <w:rPr>
          <w:rFonts w:hint="eastAsia" w:ascii="宋体" w:hAnsi="宋体" w:eastAsia="宋体" w:cs="Times New Roman"/>
          <w:b/>
          <w:spacing w:val="2"/>
          <w:sz w:val="44"/>
          <w:szCs w:val="44"/>
          <w:lang w:val="en-US" w:eastAsia="zh-CN" w:bidi="ar-SA"/>
          <w14:shadow w14:blurRad="50800" w14:dist="38100" w14:dir="2700000" w14:sx="100000" w14:sy="100000" w14:kx="0" w14:ky="0" w14:algn="tl">
            <w14:srgbClr w14:val="000000">
              <w14:alpha w14:val="60000"/>
            </w14:srgbClr>
          </w14:shadow>
        </w:rPr>
      </w:pPr>
    </w:p>
    <w:p>
      <w:pPr>
        <w:widowControl w:val="0"/>
        <w:kinsoku w:val="0"/>
        <w:overflowPunct w:val="0"/>
        <w:autoSpaceDE w:val="0"/>
        <w:autoSpaceDN w:val="0"/>
        <w:adjustRightInd w:val="0"/>
        <w:ind w:left="0"/>
        <w:jc w:val="center"/>
        <w:rPr>
          <w:rFonts w:hint="default" w:ascii="宋体" w:hAnsi="宋体" w:eastAsia="宋体" w:cs="Times New Roman"/>
          <w:b/>
          <w:spacing w:val="2"/>
          <w:sz w:val="44"/>
          <w:szCs w:val="44"/>
          <w:lang w:val="en-US" w:eastAsia="zh-CN" w:bidi="ar-SA"/>
          <w14:shadow w14:blurRad="50800" w14:dist="38100" w14:dir="2700000" w14:sx="100000" w14:sy="100000" w14:kx="0" w14:ky="0" w14:algn="tl">
            <w14:srgbClr w14:val="000000">
              <w14:alpha w14:val="60000"/>
            </w14:srgbClr>
          </w14:shadow>
        </w:rPr>
      </w:pPr>
      <w:r>
        <w:rPr>
          <w:rFonts w:hint="eastAsia" w:ascii="宋体" w:hAnsi="宋体" w:eastAsia="宋体" w:cs="Times New Roman"/>
          <w:b/>
          <w:spacing w:val="2"/>
          <w:sz w:val="44"/>
          <w:szCs w:val="44"/>
          <w:lang w:val="en-US" w:eastAsia="zh-CN" w:bidi="ar-SA"/>
          <w14:shadow w14:blurRad="50800" w14:dist="38100" w14:dir="2700000" w14:sx="100000" w14:sy="100000" w14:kx="0" w14:ky="0" w14:algn="tl">
            <w14:srgbClr w14:val="000000">
              <w14:alpha w14:val="60000"/>
            </w14:srgbClr>
          </w14:shadow>
        </w:rPr>
        <w:t>博湖县2022年度北山牧道修缮工程</w:t>
      </w:r>
    </w:p>
    <w:p>
      <w:pPr>
        <w:widowControl w:val="0"/>
        <w:kinsoku w:val="0"/>
        <w:overflowPunct w:val="0"/>
        <w:autoSpaceDE w:val="0"/>
        <w:autoSpaceDN w:val="0"/>
        <w:adjustRightInd w:val="0"/>
        <w:spacing w:before="6"/>
        <w:ind w:left="0"/>
        <w:jc w:val="center"/>
        <w:rPr>
          <w:rFonts w:ascii="宋体" w:hAnsi="宋体" w:eastAsia="宋体" w:cs="Times New Roman"/>
          <w:b/>
          <w:sz w:val="94"/>
          <w:szCs w:val="24"/>
          <w:lang w:val="en-US" w:eastAsia="zh-CN" w:bidi="ar-SA"/>
        </w:rPr>
      </w:pPr>
    </w:p>
    <w:p>
      <w:pPr>
        <w:widowControl w:val="0"/>
        <w:kinsoku w:val="0"/>
        <w:overflowPunct w:val="0"/>
        <w:autoSpaceDE w:val="0"/>
        <w:autoSpaceDN w:val="0"/>
        <w:adjustRightInd w:val="0"/>
        <w:ind w:left="0" w:right="501"/>
        <w:jc w:val="center"/>
        <w:rPr>
          <w:rFonts w:ascii="宋体" w:hAnsi="宋体" w:eastAsia="宋体" w:cs="Times New Roman"/>
          <w:sz w:val="72"/>
          <w:szCs w:val="24"/>
          <w:lang w:val="en-US" w:eastAsia="zh-CN" w:bidi="ar-SA"/>
        </w:rPr>
      </w:pPr>
      <w:r>
        <w:rPr>
          <w:rFonts w:hint="eastAsia" w:ascii="宋体" w:hAnsi="宋体" w:eastAsia="宋体" w:cs="Times New Roman"/>
          <w:b/>
          <w:spacing w:val="2"/>
          <w:sz w:val="72"/>
          <w:szCs w:val="24"/>
          <w:lang w:val="en-US" w:eastAsia="zh-CN" w:bidi="ar-SA"/>
          <w14:shadow w14:blurRad="50800" w14:dist="38100" w14:dir="2700000" w14:sx="100000" w14:sy="100000" w14:kx="0" w14:ky="0" w14:algn="tl">
            <w14:srgbClr w14:val="000000">
              <w14:alpha w14:val="60000"/>
            </w14:srgbClr>
          </w14:shadow>
        </w:rPr>
        <w:t>竞争</w:t>
      </w:r>
      <w:r>
        <w:rPr>
          <w:rFonts w:hint="eastAsia" w:ascii="宋体" w:hAnsi="宋体" w:eastAsia="宋体" w:cs="Times New Roman"/>
          <w:b/>
          <w:spacing w:val="4"/>
          <w:sz w:val="72"/>
          <w:szCs w:val="24"/>
          <w:lang w:val="en-US" w:eastAsia="zh-CN" w:bidi="ar-SA"/>
          <w14:shadow w14:blurRad="50800" w14:dist="38100" w14:dir="2700000" w14:sx="100000" w14:sy="100000" w14:kx="0" w14:ky="0" w14:algn="tl">
            <w14:srgbClr w14:val="000000">
              <w14:alpha w14:val="60000"/>
            </w14:srgbClr>
          </w14:shadow>
        </w:rPr>
        <w:t>性</w:t>
      </w:r>
      <w:r>
        <w:rPr>
          <w:rFonts w:hint="eastAsia" w:ascii="宋体" w:hAnsi="宋体" w:eastAsia="宋体" w:cs="Times New Roman"/>
          <w:b/>
          <w:spacing w:val="2"/>
          <w:sz w:val="72"/>
          <w:szCs w:val="24"/>
          <w:lang w:val="en-US" w:eastAsia="zh-CN" w:bidi="ar-SA"/>
          <w14:shadow w14:blurRad="50800" w14:dist="38100" w14:dir="2700000" w14:sx="100000" w14:sy="100000" w14:kx="0" w14:ky="0" w14:algn="tl">
            <w14:srgbClr w14:val="000000">
              <w14:alpha w14:val="60000"/>
            </w14:srgbClr>
          </w14:shadow>
        </w:rPr>
        <w:t>磋商文</w:t>
      </w:r>
      <w:r>
        <w:rPr>
          <w:rFonts w:hint="eastAsia" w:ascii="宋体" w:hAnsi="宋体" w:eastAsia="宋体" w:cs="Times New Roman"/>
          <w:b/>
          <w:sz w:val="72"/>
          <w:szCs w:val="24"/>
          <w:lang w:val="en-US" w:eastAsia="zh-CN" w:bidi="ar-SA"/>
          <w14:shadow w14:blurRad="50800" w14:dist="38100" w14:dir="2700000" w14:sx="100000" w14:sy="100000" w14:kx="0" w14:ky="0" w14:algn="tl">
            <w14:srgbClr w14:val="000000">
              <w14:alpha w14:val="60000"/>
            </w14:srgbClr>
          </w14:shadow>
        </w:rPr>
        <w:t>件</w:t>
      </w:r>
    </w:p>
    <w:p>
      <w:pPr>
        <w:widowControl w:val="0"/>
        <w:kinsoku w:val="0"/>
        <w:overflowPunct w:val="0"/>
        <w:autoSpaceDE w:val="0"/>
        <w:autoSpaceDN w:val="0"/>
        <w:adjustRightInd w:val="0"/>
        <w:ind w:left="0"/>
        <w:rPr>
          <w:rFonts w:ascii="宋体" w:hAnsi="宋体" w:eastAsia="宋体" w:cs="Times New Roman"/>
          <w:b/>
          <w:sz w:val="30"/>
          <w:szCs w:val="24"/>
          <w:lang w:val="en-US" w:eastAsia="zh-CN" w:bidi="ar-SA"/>
        </w:rPr>
      </w:pPr>
    </w:p>
    <w:p>
      <w:pPr>
        <w:widowControl w:val="0"/>
        <w:kinsoku w:val="0"/>
        <w:overflowPunct w:val="0"/>
        <w:autoSpaceDE w:val="0"/>
        <w:autoSpaceDN w:val="0"/>
        <w:adjustRightInd w:val="0"/>
        <w:ind w:left="0"/>
        <w:rPr>
          <w:rFonts w:ascii="宋体" w:hAnsi="宋体" w:eastAsia="宋体" w:cs="Times New Roman"/>
          <w:b/>
          <w:sz w:val="30"/>
          <w:szCs w:val="24"/>
          <w:lang w:val="en-US" w:eastAsia="zh-CN" w:bidi="ar-SA"/>
        </w:rPr>
      </w:pPr>
    </w:p>
    <w:p>
      <w:pPr>
        <w:widowControl w:val="0"/>
        <w:kinsoku w:val="0"/>
        <w:overflowPunct w:val="0"/>
        <w:autoSpaceDE w:val="0"/>
        <w:autoSpaceDN w:val="0"/>
        <w:adjustRightInd w:val="0"/>
        <w:spacing w:line="600" w:lineRule="exact"/>
        <w:ind w:left="0" w:firstLine="2281" w:firstLineChars="800"/>
        <w:rPr>
          <w:rFonts w:ascii="宋体" w:hAnsi="宋体" w:eastAsia="宋体" w:cs="Times New Roman"/>
          <w:b/>
          <w:spacing w:val="2"/>
          <w:sz w:val="28"/>
          <w:szCs w:val="24"/>
          <w:lang w:val="en-US" w:eastAsia="zh-CN" w:bidi="ar-SA"/>
          <w14:shadow w14:blurRad="50800" w14:dist="38100" w14:dir="2700000" w14:sx="100000" w14:sy="100000" w14:kx="0" w14:ky="0" w14:algn="tl">
            <w14:srgbClr w14:val="000000">
              <w14:alpha w14:val="60000"/>
            </w14:srgbClr>
          </w14:shadow>
        </w:rPr>
      </w:pPr>
    </w:p>
    <w:p>
      <w:pPr>
        <w:widowControl w:val="0"/>
        <w:kinsoku w:val="0"/>
        <w:overflowPunct w:val="0"/>
        <w:autoSpaceDE w:val="0"/>
        <w:autoSpaceDN w:val="0"/>
        <w:adjustRightInd w:val="0"/>
        <w:spacing w:line="600" w:lineRule="exact"/>
        <w:ind w:left="0" w:firstLine="1425" w:firstLineChars="500"/>
        <w:rPr>
          <w:rFonts w:ascii="宋体" w:hAnsi="宋体" w:eastAsia="宋体" w:cs="Times New Roman"/>
          <w:b/>
          <w:spacing w:val="2"/>
          <w:sz w:val="28"/>
          <w:szCs w:val="24"/>
          <w:lang w:val="en-US" w:eastAsia="zh-CN" w:bidi="ar-SA"/>
          <w14:shadow w14:blurRad="50800" w14:dist="38100" w14:dir="2700000" w14:sx="100000" w14:sy="100000" w14:kx="0" w14:ky="0" w14:algn="tl">
            <w14:srgbClr w14:val="000000">
              <w14:alpha w14:val="60000"/>
            </w14:srgbClr>
          </w14:shadow>
        </w:rPr>
      </w:pPr>
    </w:p>
    <w:p>
      <w:pPr>
        <w:widowControl w:val="0"/>
        <w:kinsoku w:val="0"/>
        <w:overflowPunct w:val="0"/>
        <w:autoSpaceDE w:val="0"/>
        <w:autoSpaceDN w:val="0"/>
        <w:adjustRightInd w:val="0"/>
        <w:spacing w:line="600" w:lineRule="exact"/>
        <w:ind w:left="0" w:firstLine="1425" w:firstLineChars="500"/>
        <w:rPr>
          <w:rFonts w:ascii="宋体" w:hAnsi="宋体" w:eastAsia="宋体" w:cs="Times New Roman"/>
          <w:b/>
          <w:spacing w:val="2"/>
          <w:sz w:val="28"/>
          <w:szCs w:val="24"/>
          <w:lang w:val="en-US" w:eastAsia="zh-CN" w:bidi="ar-SA"/>
          <w14:shadow w14:blurRad="50800" w14:dist="38100" w14:dir="2700000" w14:sx="100000" w14:sy="100000" w14:kx="0" w14:ky="0" w14:algn="tl">
            <w14:srgbClr w14:val="000000">
              <w14:alpha w14:val="60000"/>
            </w14:srgbClr>
          </w14:shadow>
        </w:rPr>
      </w:pPr>
    </w:p>
    <w:p>
      <w:pPr>
        <w:widowControl w:val="0"/>
        <w:kinsoku w:val="0"/>
        <w:overflowPunct w:val="0"/>
        <w:autoSpaceDE w:val="0"/>
        <w:autoSpaceDN w:val="0"/>
        <w:adjustRightInd w:val="0"/>
        <w:spacing w:line="600" w:lineRule="exact"/>
        <w:ind w:left="0" w:firstLine="1425" w:firstLineChars="500"/>
        <w:rPr>
          <w:rFonts w:ascii="宋体" w:hAnsi="宋体" w:eastAsia="宋体" w:cs="Times New Roman"/>
          <w:b/>
          <w:spacing w:val="2"/>
          <w:sz w:val="28"/>
          <w:szCs w:val="24"/>
          <w:lang w:val="en-US" w:eastAsia="zh-CN" w:bidi="ar-SA"/>
          <w14:shadow w14:blurRad="50800" w14:dist="38100" w14:dir="2700000" w14:sx="100000" w14:sy="100000" w14:kx="0" w14:ky="0" w14:algn="tl">
            <w14:srgbClr w14:val="000000">
              <w14:alpha w14:val="60000"/>
            </w14:srgbClr>
          </w14:shadow>
        </w:rPr>
      </w:pPr>
    </w:p>
    <w:p>
      <w:pPr>
        <w:widowControl w:val="0"/>
        <w:kinsoku w:val="0"/>
        <w:overflowPunct w:val="0"/>
        <w:autoSpaceDE w:val="0"/>
        <w:autoSpaceDN w:val="0"/>
        <w:adjustRightInd w:val="0"/>
        <w:spacing w:line="600" w:lineRule="exact"/>
        <w:ind w:left="0" w:firstLine="1425" w:firstLineChars="500"/>
        <w:rPr>
          <w:rFonts w:ascii="宋体" w:hAnsi="宋体" w:eastAsia="宋体" w:cs="Times New Roman"/>
          <w:b/>
          <w:spacing w:val="2"/>
          <w:sz w:val="28"/>
          <w:szCs w:val="24"/>
          <w:lang w:val="en-US" w:eastAsia="zh-CN" w:bidi="ar-SA"/>
          <w14:shadow w14:blurRad="50800" w14:dist="38100" w14:dir="2700000" w14:sx="100000" w14:sy="100000" w14:kx="0" w14:ky="0" w14:algn="tl">
            <w14:srgbClr w14:val="000000">
              <w14:alpha w14:val="60000"/>
            </w14:srgbClr>
          </w14:shadow>
        </w:rPr>
      </w:pPr>
    </w:p>
    <w:p>
      <w:pPr>
        <w:widowControl w:val="0"/>
        <w:kinsoku w:val="0"/>
        <w:overflowPunct w:val="0"/>
        <w:autoSpaceDE w:val="0"/>
        <w:autoSpaceDN w:val="0"/>
        <w:adjustRightInd w:val="0"/>
        <w:spacing w:line="600" w:lineRule="exact"/>
        <w:ind w:left="0" w:firstLine="1425" w:firstLineChars="500"/>
        <w:rPr>
          <w:rFonts w:ascii="宋体" w:hAnsi="宋体" w:eastAsia="宋体" w:cs="Times New Roman"/>
          <w:b/>
          <w:spacing w:val="2"/>
          <w:sz w:val="28"/>
          <w:szCs w:val="24"/>
          <w:lang w:val="en-US" w:eastAsia="zh-CN" w:bidi="ar-SA"/>
          <w14:shadow w14:blurRad="50800" w14:dist="38100" w14:dir="2700000" w14:sx="100000" w14:sy="100000" w14:kx="0" w14:ky="0" w14:algn="tl">
            <w14:srgbClr w14:val="000000">
              <w14:alpha w14:val="60000"/>
            </w14:srgbClr>
          </w14:shadow>
        </w:rPr>
      </w:pPr>
    </w:p>
    <w:p>
      <w:pPr>
        <w:adjustRightInd w:val="0"/>
        <w:spacing w:line="600" w:lineRule="exact"/>
        <w:ind w:firstLine="1405" w:firstLineChars="500"/>
        <w:rPr>
          <w:rFonts w:hint="default" w:ascii="宋体" w:hAnsi="宋体" w:cs="Times New Roman"/>
          <w:b/>
          <w:color w:val="000000" w:themeColor="text1"/>
          <w:sz w:val="28"/>
          <w:szCs w:val="24"/>
          <w:lang w:val="en-US" w:bidi="ar-SA"/>
          <w14:textFill>
            <w14:solidFill>
              <w14:schemeClr w14:val="tx1"/>
            </w14:solidFill>
          </w14:textFill>
        </w:rPr>
      </w:pPr>
      <w:r>
        <w:rPr>
          <w:rFonts w:hint="eastAsia" w:ascii="宋体" w:hAnsi="宋体" w:cs="Times New Roman"/>
          <w:b/>
          <w:sz w:val="28"/>
          <w:szCs w:val="24"/>
          <w:lang w:val="en-US" w:bidi="ar-SA"/>
        </w:rPr>
        <w:t>采购文件编号：</w:t>
      </w:r>
      <w:r>
        <w:rPr>
          <w:rFonts w:hint="eastAsia" w:ascii="宋体" w:hAnsi="宋体" w:cs="Times New Roman"/>
          <w:b/>
          <w:color w:val="000000" w:themeColor="text1"/>
          <w:sz w:val="28"/>
          <w:szCs w:val="24"/>
          <w:lang w:val="en-US" w:eastAsia="zh-CN" w:bidi="ar-SA"/>
          <w14:textFill>
            <w14:solidFill>
              <w14:schemeClr w14:val="tx1"/>
            </w14:solidFill>
          </w14:textFill>
        </w:rPr>
        <w:t>HLFNZFCG2022-CS003</w:t>
      </w:r>
    </w:p>
    <w:p>
      <w:pPr>
        <w:adjustRightInd w:val="0"/>
        <w:spacing w:line="600" w:lineRule="exact"/>
        <w:ind w:firstLine="1405" w:firstLineChars="500"/>
        <w:rPr>
          <w:rFonts w:hint="default" w:ascii="宋体" w:hAnsi="宋体" w:eastAsia="宋体" w:cs="Times New Roman"/>
          <w:b/>
          <w:sz w:val="28"/>
          <w:szCs w:val="24"/>
          <w:lang w:val="en-US" w:eastAsia="zh-CN" w:bidi="ar-SA"/>
        </w:rPr>
      </w:pPr>
      <w:r>
        <w:rPr>
          <w:rFonts w:hint="eastAsia" w:ascii="宋体" w:hAnsi="宋体" w:cs="Times New Roman"/>
          <w:b/>
          <w:sz w:val="28"/>
          <w:szCs w:val="24"/>
          <w:lang w:val="en-US" w:bidi="ar-SA"/>
        </w:rPr>
        <w:t>项目名称：</w:t>
      </w:r>
      <w:r>
        <w:rPr>
          <w:rFonts w:hint="eastAsia" w:ascii="宋体" w:hAnsi="宋体" w:cs="Times New Roman"/>
          <w:b/>
          <w:sz w:val="28"/>
          <w:szCs w:val="24"/>
          <w:lang w:val="en-US" w:eastAsia="zh-CN" w:bidi="ar-SA"/>
        </w:rPr>
        <w:t>博湖县2022年度北山牧道修缮工程</w:t>
      </w:r>
    </w:p>
    <w:p>
      <w:pPr>
        <w:adjustRightInd w:val="0"/>
        <w:spacing w:line="600" w:lineRule="exact"/>
        <w:ind w:firstLine="1405" w:firstLineChars="500"/>
        <w:rPr>
          <w:rFonts w:hint="eastAsia" w:ascii="宋体" w:hAnsi="宋体" w:eastAsia="宋体" w:cs="Times New Roman"/>
          <w:b/>
          <w:sz w:val="28"/>
          <w:szCs w:val="24"/>
          <w:lang w:val="en-US" w:eastAsia="zh-CN" w:bidi="ar-SA"/>
        </w:rPr>
      </w:pPr>
      <w:r>
        <w:rPr>
          <w:rFonts w:hint="eastAsia" w:ascii="宋体" w:hAnsi="宋体" w:cs="Times New Roman"/>
          <w:b/>
          <w:sz w:val="28"/>
          <w:szCs w:val="24"/>
          <w:lang w:val="en-US" w:bidi="ar-SA"/>
        </w:rPr>
        <w:t>采购单位：</w:t>
      </w:r>
      <w:r>
        <w:rPr>
          <w:rFonts w:hint="eastAsia" w:ascii="宋体" w:hAnsi="宋体" w:cs="Times New Roman"/>
          <w:b/>
          <w:sz w:val="28"/>
          <w:szCs w:val="24"/>
          <w:lang w:val="en-US" w:eastAsia="zh-CN" w:bidi="ar-SA"/>
        </w:rPr>
        <w:t>博湖县交通运输局</w:t>
      </w:r>
    </w:p>
    <w:p>
      <w:pPr>
        <w:adjustRightInd w:val="0"/>
        <w:spacing w:line="600" w:lineRule="exact"/>
        <w:ind w:firstLine="1405" w:firstLineChars="500"/>
        <w:rPr>
          <w:rFonts w:ascii="宋体" w:hAnsi="宋体" w:cs="Times New Roman"/>
          <w:b/>
          <w:sz w:val="28"/>
          <w:szCs w:val="24"/>
          <w:lang w:val="en-US" w:bidi="ar-SA"/>
        </w:rPr>
      </w:pPr>
      <w:r>
        <w:rPr>
          <w:rFonts w:hint="eastAsia" w:ascii="宋体" w:hAnsi="宋体" w:cs="Times New Roman"/>
          <w:b/>
          <w:sz w:val="28"/>
          <w:szCs w:val="24"/>
          <w:lang w:val="en-US" w:bidi="ar-SA"/>
        </w:rPr>
        <w:t>采购单位代表确认（签字）：</w:t>
      </w:r>
    </w:p>
    <w:p>
      <w:pPr>
        <w:adjustRightInd w:val="0"/>
        <w:spacing w:line="600" w:lineRule="exact"/>
        <w:ind w:firstLine="1405" w:firstLineChars="500"/>
        <w:rPr>
          <w:rFonts w:ascii="宋体" w:hAnsi="宋体" w:eastAsia="宋体" w:cs="Times New Roman"/>
          <w:b/>
          <w:color w:val="FFFFFF"/>
          <w:w w:val="95"/>
          <w:sz w:val="48"/>
          <w:szCs w:val="24"/>
          <w:lang w:val="en-US" w:eastAsia="zh-CN" w:bidi="ar-SA"/>
        </w:rPr>
      </w:pPr>
      <w:r>
        <w:rPr>
          <w:rFonts w:hint="eastAsia" w:ascii="宋体" w:hAnsi="宋体" w:cs="Times New Roman"/>
          <w:b/>
          <w:sz w:val="28"/>
          <w:szCs w:val="24"/>
          <w:lang w:val="en-US" w:bidi="ar-SA"/>
        </w:rPr>
        <w:t>采购单位代表确认时间：</w:t>
      </w:r>
      <w:r>
        <w:rPr>
          <w:rFonts w:ascii="宋体" w:hAnsi="宋体" w:cs="Times New Roman"/>
          <w:b/>
          <w:color w:val="000000" w:themeColor="text1"/>
          <w:sz w:val="28"/>
          <w:szCs w:val="24"/>
          <w:lang w:val="en-US" w:bidi="ar-SA"/>
          <w14:textFill>
            <w14:solidFill>
              <w14:schemeClr w14:val="tx1"/>
            </w14:solidFill>
          </w14:textFill>
        </w:rPr>
        <w:t>202</w:t>
      </w:r>
      <w:r>
        <w:rPr>
          <w:rFonts w:hint="eastAsia" w:ascii="宋体" w:hAnsi="宋体" w:cs="Times New Roman"/>
          <w:b/>
          <w:color w:val="000000" w:themeColor="text1"/>
          <w:sz w:val="28"/>
          <w:szCs w:val="24"/>
          <w:lang w:val="en-US" w:eastAsia="zh-CN" w:bidi="ar-SA"/>
          <w14:textFill>
            <w14:solidFill>
              <w14:schemeClr w14:val="tx1"/>
            </w14:solidFill>
          </w14:textFill>
        </w:rPr>
        <w:t>2</w:t>
      </w:r>
      <w:r>
        <w:rPr>
          <w:rFonts w:hint="eastAsia" w:ascii="宋体" w:hAnsi="宋体" w:cs="Times New Roman"/>
          <w:b/>
          <w:color w:val="000000" w:themeColor="text1"/>
          <w:sz w:val="28"/>
          <w:szCs w:val="24"/>
          <w:lang w:val="en-US" w:bidi="ar-SA"/>
          <w14:textFill>
            <w14:solidFill>
              <w14:schemeClr w14:val="tx1"/>
            </w14:solidFill>
          </w14:textFill>
        </w:rPr>
        <w:t>年</w:t>
      </w:r>
      <w:r>
        <w:rPr>
          <w:rFonts w:hint="eastAsia" w:cs="Times New Roman"/>
          <w:b/>
          <w:color w:val="000000" w:themeColor="text1"/>
          <w:sz w:val="28"/>
          <w:szCs w:val="24"/>
          <w:lang w:val="en-US" w:eastAsia="zh-CN" w:bidi="ar-SA"/>
          <w14:textFill>
            <w14:solidFill>
              <w14:schemeClr w14:val="tx1"/>
            </w14:solidFill>
          </w14:textFill>
        </w:rPr>
        <w:t>7</w:t>
      </w:r>
      <w:bookmarkStart w:id="114" w:name="_GoBack"/>
      <w:bookmarkEnd w:id="114"/>
      <w:r>
        <w:rPr>
          <w:rFonts w:hint="eastAsia" w:ascii="宋体" w:hAnsi="宋体" w:cs="Times New Roman"/>
          <w:b/>
          <w:color w:val="000000" w:themeColor="text1"/>
          <w:sz w:val="28"/>
          <w:szCs w:val="24"/>
          <w:lang w:val="en-US" w:bidi="ar-SA"/>
          <w14:textFill>
            <w14:solidFill>
              <w14:schemeClr w14:val="tx1"/>
            </w14:solidFill>
          </w14:textFill>
        </w:rPr>
        <w:t>月</w:t>
      </w:r>
      <w:r>
        <w:rPr>
          <w:rFonts w:hint="eastAsia" w:cs="Times New Roman"/>
          <w:b/>
          <w:color w:val="000000" w:themeColor="text1"/>
          <w:sz w:val="28"/>
          <w:szCs w:val="24"/>
          <w:lang w:val="en-US" w:eastAsia="zh-CN" w:bidi="ar-SA"/>
          <w14:textFill>
            <w14:solidFill>
              <w14:schemeClr w14:val="tx1"/>
            </w14:solidFill>
          </w14:textFill>
        </w:rPr>
        <w:t>1日</w:t>
      </w:r>
    </w:p>
    <w:p>
      <w:pPr>
        <w:widowControl w:val="0"/>
        <w:tabs>
          <w:tab w:val="left" w:pos="1684"/>
        </w:tabs>
        <w:kinsoku w:val="0"/>
        <w:overflowPunct w:val="0"/>
        <w:autoSpaceDE w:val="0"/>
        <w:autoSpaceDN w:val="0"/>
        <w:adjustRightInd w:val="0"/>
        <w:spacing w:line="580" w:lineRule="exact"/>
        <w:ind w:left="0" w:right="1"/>
        <w:jc w:val="center"/>
        <w:rPr>
          <w:rFonts w:ascii="宋体" w:hAnsi="宋体" w:eastAsia="宋体" w:cs="Times New Roman"/>
          <w:b/>
          <w:w w:val="95"/>
          <w:sz w:val="48"/>
          <w:szCs w:val="24"/>
          <w:lang w:val="en-US" w:eastAsia="zh-CN" w:bidi="ar-SA"/>
        </w:rPr>
      </w:pPr>
      <w:r>
        <w:rPr>
          <w:rFonts w:ascii="宋体" w:hAnsi="宋体" w:eastAsia="宋体" w:cs="Times New Roman"/>
          <w:b/>
          <w:w w:val="95"/>
          <w:sz w:val="48"/>
          <w:szCs w:val="24"/>
          <w:lang w:val="en-US" w:eastAsia="zh-CN" w:bidi="ar-SA"/>
        </w:rPr>
        <w:br w:type="page"/>
      </w:r>
    </w:p>
    <w:p>
      <w:pPr>
        <w:widowControl w:val="0"/>
        <w:tabs>
          <w:tab w:val="left" w:pos="1684"/>
        </w:tabs>
        <w:kinsoku w:val="0"/>
        <w:overflowPunct w:val="0"/>
        <w:autoSpaceDE w:val="0"/>
        <w:autoSpaceDN w:val="0"/>
        <w:adjustRightInd w:val="0"/>
        <w:spacing w:line="580" w:lineRule="exact"/>
        <w:ind w:left="0" w:right="1"/>
        <w:jc w:val="center"/>
        <w:rPr>
          <w:rFonts w:ascii="宋体" w:hAnsi="宋体" w:eastAsia="宋体" w:cs="Times New Roman"/>
          <w:b/>
          <w:w w:val="95"/>
          <w:sz w:val="48"/>
          <w:szCs w:val="24"/>
          <w:lang w:val="en-US" w:eastAsia="zh-CN" w:bidi="ar-SA"/>
        </w:rPr>
      </w:pPr>
    </w:p>
    <w:p>
      <w:pPr>
        <w:widowControl w:val="0"/>
        <w:tabs>
          <w:tab w:val="left" w:pos="1684"/>
        </w:tabs>
        <w:kinsoku w:val="0"/>
        <w:overflowPunct w:val="0"/>
        <w:autoSpaceDE w:val="0"/>
        <w:autoSpaceDN w:val="0"/>
        <w:adjustRightInd w:val="0"/>
        <w:spacing w:line="580" w:lineRule="exact"/>
        <w:ind w:left="0" w:right="1"/>
        <w:jc w:val="center"/>
        <w:rPr>
          <w:rFonts w:ascii="宋体" w:hAnsi="宋体" w:eastAsia="Times New Roman" w:cs="Times New Roman"/>
          <w:sz w:val="32"/>
          <w:szCs w:val="32"/>
          <w:lang w:val="en-US" w:eastAsia="zh-CN" w:bidi="ar-SA"/>
        </w:rPr>
      </w:pPr>
      <w:r>
        <w:rPr>
          <w:rFonts w:hint="eastAsia" w:ascii="宋体" w:hAnsi="宋体" w:eastAsia="宋体" w:cs="Times New Roman"/>
          <w:b/>
          <w:w w:val="95"/>
          <w:sz w:val="32"/>
          <w:szCs w:val="32"/>
          <w:lang w:val="en-US" w:eastAsia="zh-CN" w:bidi="ar-SA"/>
        </w:rPr>
        <w:t>目</w:t>
      </w:r>
      <w:r>
        <w:rPr>
          <w:rFonts w:hint="eastAsia" w:cs="Times New Roman"/>
          <w:b/>
          <w:w w:val="95"/>
          <w:sz w:val="32"/>
          <w:szCs w:val="32"/>
          <w:lang w:val="en-US" w:eastAsia="zh-CN" w:bidi="ar-SA"/>
        </w:rPr>
        <w:t xml:space="preserve">  </w:t>
      </w:r>
      <w:r>
        <w:rPr>
          <w:rFonts w:hint="eastAsia" w:ascii="宋体" w:hAnsi="宋体" w:eastAsia="宋体" w:cs="Times New Roman"/>
          <w:b/>
          <w:sz w:val="32"/>
          <w:szCs w:val="32"/>
          <w:lang w:val="en-US" w:eastAsia="zh-CN" w:bidi="ar-SA"/>
        </w:rPr>
        <w:t>录</w:t>
      </w:r>
    </w:p>
    <w:p>
      <w:pPr>
        <w:widowControl w:val="0"/>
        <w:kinsoku w:val="0"/>
        <w:overflowPunct w:val="0"/>
        <w:autoSpaceDE w:val="0"/>
        <w:autoSpaceDN w:val="0"/>
        <w:adjustRightInd w:val="0"/>
        <w:ind w:left="0"/>
        <w:rPr>
          <w:rFonts w:ascii="宋体" w:hAnsi="宋体" w:eastAsia="Times New Roman" w:cs="Times New Roman"/>
          <w:b/>
          <w:sz w:val="20"/>
          <w:szCs w:val="24"/>
          <w:lang w:val="en-US" w:eastAsia="zh-CN" w:bidi="ar-SA"/>
        </w:rPr>
      </w:pPr>
    </w:p>
    <w:p>
      <w:pPr>
        <w:widowControl w:val="0"/>
        <w:kinsoku w:val="0"/>
        <w:overflowPunct w:val="0"/>
        <w:autoSpaceDE w:val="0"/>
        <w:autoSpaceDN w:val="0"/>
        <w:adjustRightInd w:val="0"/>
        <w:ind w:left="0"/>
        <w:rPr>
          <w:rFonts w:ascii="宋体" w:hAnsi="宋体" w:eastAsia="Times New Roman" w:cs="Times New Roman"/>
          <w:b/>
          <w:sz w:val="20"/>
          <w:szCs w:val="24"/>
          <w:lang w:val="en-US" w:eastAsia="zh-CN" w:bidi="ar-SA"/>
        </w:rPr>
      </w:pPr>
    </w:p>
    <w:p>
      <w:pPr>
        <w:widowControl w:val="0"/>
        <w:kinsoku w:val="0"/>
        <w:overflowPunct w:val="0"/>
        <w:autoSpaceDE w:val="0"/>
        <w:autoSpaceDN w:val="0"/>
        <w:adjustRightInd w:val="0"/>
        <w:ind w:left="0"/>
        <w:rPr>
          <w:rFonts w:ascii="宋体" w:hAnsi="宋体" w:eastAsia="Times New Roman" w:cs="Times New Roman"/>
          <w:b/>
          <w:sz w:val="20"/>
          <w:szCs w:val="24"/>
          <w:lang w:val="en-US" w:eastAsia="zh-CN" w:bidi="ar-SA"/>
        </w:rPr>
      </w:pPr>
    </w:p>
    <w:p>
      <w:pPr>
        <w:widowControl w:val="0"/>
        <w:kinsoku w:val="0"/>
        <w:overflowPunct w:val="0"/>
        <w:autoSpaceDE w:val="0"/>
        <w:autoSpaceDN w:val="0"/>
        <w:adjustRightInd w:val="0"/>
        <w:ind w:left="0"/>
        <w:rPr>
          <w:rFonts w:ascii="宋体" w:hAnsi="宋体" w:eastAsia="Times New Roman" w:cs="Times New Roman"/>
          <w:b/>
          <w:sz w:val="20"/>
          <w:szCs w:val="24"/>
          <w:lang w:val="en-US" w:eastAsia="zh-CN" w:bidi="ar-SA"/>
        </w:rPr>
      </w:pPr>
    </w:p>
    <w:p>
      <w:pPr>
        <w:widowControl w:val="0"/>
        <w:kinsoku w:val="0"/>
        <w:overflowPunct w:val="0"/>
        <w:autoSpaceDE w:val="0"/>
        <w:autoSpaceDN w:val="0"/>
        <w:adjustRightInd w:val="0"/>
        <w:spacing w:before="160"/>
        <w:ind w:left="111"/>
        <w:rPr>
          <w:rFonts w:ascii="宋体" w:hAnsi="宋体" w:eastAsia="Times New Roman" w:cs="Times New Roman"/>
          <w:sz w:val="28"/>
          <w:szCs w:val="28"/>
          <w:lang w:val="en-US" w:eastAsia="zh-CN" w:bidi="ar-SA"/>
        </w:rPr>
      </w:pPr>
      <w:r>
        <w:rPr>
          <w:rFonts w:hint="eastAsia" w:ascii="宋体" w:hAnsi="宋体" w:eastAsia="宋体" w:cs="Times New Roman"/>
          <w:sz w:val="28"/>
          <w:szCs w:val="28"/>
          <w:lang w:val="en-US" w:eastAsia="zh-CN" w:bidi="ar-SA"/>
        </w:rPr>
        <w:t>竞争性磋商公告</w:t>
      </w:r>
    </w:p>
    <w:p>
      <w:pPr>
        <w:widowControl w:val="0"/>
        <w:kinsoku w:val="0"/>
        <w:overflowPunct w:val="0"/>
        <w:autoSpaceDE w:val="0"/>
        <w:autoSpaceDN w:val="0"/>
        <w:adjustRightInd w:val="0"/>
        <w:spacing w:before="3"/>
        <w:ind w:left="0"/>
        <w:rPr>
          <w:rFonts w:ascii="宋体" w:hAnsi="宋体" w:eastAsia="Times New Roman" w:cs="Times New Roman"/>
          <w:sz w:val="28"/>
          <w:szCs w:val="28"/>
          <w:lang w:val="en-US" w:eastAsia="zh-CN" w:bidi="ar-SA"/>
        </w:rPr>
      </w:pPr>
    </w:p>
    <w:p>
      <w:pPr>
        <w:widowControl w:val="0"/>
        <w:tabs>
          <w:tab w:val="left" w:pos="1776"/>
        </w:tabs>
        <w:kinsoku w:val="0"/>
        <w:overflowPunct w:val="0"/>
        <w:autoSpaceDE w:val="0"/>
        <w:autoSpaceDN w:val="0"/>
        <w:adjustRightInd w:val="0"/>
        <w:spacing w:line="488" w:lineRule="auto"/>
        <w:ind w:left="111" w:right="3667"/>
        <w:rPr>
          <w:rFonts w:ascii="宋体" w:hAnsi="宋体" w:eastAsia="Times New Roman" w:cs="Times New Roman"/>
          <w:sz w:val="28"/>
          <w:szCs w:val="28"/>
          <w:lang w:val="en-US" w:eastAsia="zh-CN" w:bidi="ar-SA"/>
        </w:rPr>
      </w:pPr>
      <w:r>
        <w:rPr>
          <w:rFonts w:hint="eastAsia" w:ascii="宋体" w:hAnsi="宋体" w:eastAsia="宋体" w:cs="Times New Roman"/>
          <w:sz w:val="28"/>
          <w:szCs w:val="28"/>
          <w:lang w:val="en-US" w:eastAsia="zh-CN" w:bidi="ar-SA"/>
        </w:rPr>
        <w:t>第一章</w:t>
      </w:r>
      <w:r>
        <w:rPr>
          <w:rFonts w:ascii="宋体" w:hAnsi="宋体" w:eastAsia="Times New Roman" w:cs="Times New Roman"/>
          <w:sz w:val="28"/>
          <w:szCs w:val="28"/>
          <w:lang w:val="en-US" w:eastAsia="zh-CN" w:bidi="ar-SA"/>
        </w:rPr>
        <w:tab/>
      </w:r>
      <w:r>
        <w:rPr>
          <w:rFonts w:hint="eastAsia" w:ascii="宋体" w:hAnsi="宋体" w:eastAsia="宋体" w:cs="Times New Roman"/>
          <w:sz w:val="28"/>
          <w:szCs w:val="28"/>
          <w:lang w:val="en-US" w:eastAsia="zh-CN" w:bidi="ar-SA"/>
        </w:rPr>
        <w:t>磋商须知前附表及磋商须知第二章</w:t>
      </w:r>
      <w:r>
        <w:rPr>
          <w:rFonts w:ascii="宋体" w:hAnsi="宋体" w:eastAsia="Times New Roman" w:cs="Times New Roman"/>
          <w:sz w:val="28"/>
          <w:szCs w:val="28"/>
          <w:lang w:val="en-US" w:eastAsia="zh-CN" w:bidi="ar-SA"/>
        </w:rPr>
        <w:tab/>
      </w:r>
      <w:r>
        <w:rPr>
          <w:rFonts w:hint="eastAsia" w:ascii="宋体" w:hAnsi="宋体" w:eastAsia="宋体" w:cs="Times New Roman"/>
          <w:sz w:val="28"/>
          <w:szCs w:val="28"/>
          <w:lang w:val="en-US" w:eastAsia="zh-CN" w:bidi="ar-SA"/>
        </w:rPr>
        <w:t>合同条款及格式</w:t>
      </w:r>
    </w:p>
    <w:p>
      <w:pPr>
        <w:widowControl w:val="0"/>
        <w:tabs>
          <w:tab w:val="left" w:pos="1776"/>
        </w:tabs>
        <w:kinsoku w:val="0"/>
        <w:overflowPunct w:val="0"/>
        <w:autoSpaceDE w:val="0"/>
        <w:autoSpaceDN w:val="0"/>
        <w:adjustRightInd w:val="0"/>
        <w:spacing w:before="96" w:line="489" w:lineRule="auto"/>
        <w:ind w:left="111" w:right="4267"/>
        <w:rPr>
          <w:rFonts w:ascii="宋体" w:hAnsi="宋体" w:eastAsia="Times New Roman" w:cs="Times New Roman"/>
          <w:sz w:val="28"/>
          <w:szCs w:val="28"/>
          <w:lang w:val="en-US" w:eastAsia="zh-CN" w:bidi="ar-SA"/>
        </w:rPr>
      </w:pPr>
      <w:r>
        <w:rPr>
          <w:rFonts w:hint="eastAsia" w:ascii="宋体" w:hAnsi="宋体" w:eastAsia="宋体" w:cs="Times New Roman"/>
          <w:sz w:val="28"/>
          <w:szCs w:val="28"/>
          <w:lang w:val="en-US" w:eastAsia="zh-CN" w:bidi="ar-SA"/>
        </w:rPr>
        <w:t>第三章</w:t>
      </w:r>
      <w:r>
        <w:rPr>
          <w:rFonts w:ascii="宋体" w:hAnsi="宋体" w:eastAsia="Times New Roman" w:cs="Times New Roman"/>
          <w:sz w:val="28"/>
          <w:szCs w:val="28"/>
          <w:lang w:val="en-US" w:eastAsia="zh-CN" w:bidi="ar-SA"/>
        </w:rPr>
        <w:tab/>
      </w:r>
      <w:r>
        <w:rPr>
          <w:rFonts w:hint="eastAsia" w:ascii="宋体" w:hAnsi="宋体" w:eastAsia="宋体" w:cs="Times New Roman"/>
          <w:sz w:val="28"/>
          <w:szCs w:val="28"/>
          <w:lang w:val="en-US" w:eastAsia="zh-CN" w:bidi="ar-SA"/>
        </w:rPr>
        <w:t>工程量清单</w:t>
      </w:r>
    </w:p>
    <w:p>
      <w:pPr>
        <w:widowControl w:val="0"/>
        <w:tabs>
          <w:tab w:val="left" w:pos="1776"/>
        </w:tabs>
        <w:kinsoku w:val="0"/>
        <w:overflowPunct w:val="0"/>
        <w:autoSpaceDE w:val="0"/>
        <w:autoSpaceDN w:val="0"/>
        <w:adjustRightInd w:val="0"/>
        <w:spacing w:before="96" w:line="489" w:lineRule="auto"/>
        <w:ind w:left="111" w:right="4267"/>
        <w:rPr>
          <w:rFonts w:hint="eastAsia" w:ascii="宋体" w:hAnsi="宋体" w:eastAsia="宋体" w:cs="Times New Roman"/>
          <w:sz w:val="28"/>
          <w:szCs w:val="28"/>
          <w:lang w:val="en-US" w:eastAsia="zh-CN" w:bidi="ar-SA"/>
        </w:rPr>
      </w:pPr>
      <w:r>
        <w:rPr>
          <w:rFonts w:hint="eastAsia" w:ascii="宋体" w:hAnsi="宋体" w:eastAsia="宋体" w:cs="Times New Roman"/>
          <w:sz w:val="28"/>
          <w:szCs w:val="28"/>
          <w:lang w:val="en-US" w:eastAsia="zh-CN" w:bidi="ar-SA"/>
        </w:rPr>
        <w:t>第四章</w:t>
      </w:r>
      <w:r>
        <w:rPr>
          <w:rFonts w:ascii="宋体" w:hAnsi="宋体" w:eastAsia="Times New Roman" w:cs="Times New Roman"/>
          <w:sz w:val="28"/>
          <w:szCs w:val="28"/>
          <w:lang w:val="en-US" w:eastAsia="zh-CN" w:bidi="ar-SA"/>
        </w:rPr>
        <w:tab/>
      </w:r>
      <w:r>
        <w:rPr>
          <w:rFonts w:hint="eastAsia" w:ascii="宋体" w:hAnsi="宋体" w:eastAsia="宋体" w:cs="Times New Roman"/>
          <w:sz w:val="28"/>
          <w:szCs w:val="28"/>
          <w:lang w:val="en-US" w:eastAsia="zh-CN" w:bidi="ar-SA"/>
        </w:rPr>
        <w:t>图纸（另卷）</w:t>
      </w:r>
    </w:p>
    <w:p>
      <w:pPr>
        <w:widowControl w:val="0"/>
        <w:tabs>
          <w:tab w:val="left" w:pos="1776"/>
        </w:tabs>
        <w:kinsoku w:val="0"/>
        <w:overflowPunct w:val="0"/>
        <w:autoSpaceDE w:val="0"/>
        <w:autoSpaceDN w:val="0"/>
        <w:adjustRightInd w:val="0"/>
        <w:spacing w:before="96" w:line="489" w:lineRule="auto"/>
        <w:ind w:left="111" w:right="4267"/>
        <w:rPr>
          <w:rFonts w:hint="eastAsia" w:ascii="宋体" w:hAnsi="宋体" w:eastAsia="宋体" w:cs="Times New Roman"/>
          <w:sz w:val="28"/>
          <w:szCs w:val="28"/>
          <w:lang w:val="en-US" w:eastAsia="zh-CN" w:bidi="ar-SA"/>
        </w:rPr>
      </w:pPr>
      <w:r>
        <w:rPr>
          <w:rFonts w:hint="eastAsia" w:ascii="宋体" w:hAnsi="宋体" w:eastAsia="宋体" w:cs="Times New Roman"/>
          <w:sz w:val="28"/>
          <w:szCs w:val="28"/>
          <w:lang w:val="en-US" w:eastAsia="zh-CN" w:bidi="ar-SA"/>
        </w:rPr>
        <w:t>第五章</w:t>
      </w:r>
      <w:r>
        <w:rPr>
          <w:rFonts w:ascii="宋体" w:hAnsi="宋体" w:eastAsia="Times New Roman" w:cs="Times New Roman"/>
          <w:sz w:val="28"/>
          <w:szCs w:val="28"/>
          <w:lang w:val="en-US" w:eastAsia="zh-CN" w:bidi="ar-SA"/>
        </w:rPr>
        <w:tab/>
      </w:r>
      <w:r>
        <w:rPr>
          <w:rFonts w:hint="eastAsia" w:ascii="宋体" w:hAnsi="宋体" w:eastAsia="宋体" w:cs="Times New Roman"/>
          <w:sz w:val="28"/>
          <w:szCs w:val="28"/>
          <w:lang w:val="en-US" w:eastAsia="zh-CN" w:bidi="ar-SA"/>
        </w:rPr>
        <w:t>技术规范</w:t>
      </w:r>
    </w:p>
    <w:p>
      <w:pPr>
        <w:widowControl w:val="0"/>
        <w:tabs>
          <w:tab w:val="left" w:pos="1776"/>
        </w:tabs>
        <w:kinsoku w:val="0"/>
        <w:overflowPunct w:val="0"/>
        <w:autoSpaceDE w:val="0"/>
        <w:autoSpaceDN w:val="0"/>
        <w:adjustRightInd w:val="0"/>
        <w:spacing w:before="96" w:line="489" w:lineRule="auto"/>
        <w:ind w:left="111" w:right="4267"/>
        <w:rPr>
          <w:rFonts w:ascii="Times New Roman" w:hAnsi="Times New Roman" w:eastAsia="宋体" w:cs="Times New Roman"/>
          <w:sz w:val="28"/>
          <w:szCs w:val="28"/>
          <w:lang w:val="en-US" w:eastAsia="zh-CN" w:bidi="ar-SA"/>
        </w:rPr>
      </w:pPr>
      <w:r>
        <w:rPr>
          <w:rFonts w:hint="eastAsia" w:ascii="宋体" w:hAnsi="宋体" w:eastAsia="宋体" w:cs="Times New Roman"/>
          <w:b w:val="0"/>
          <w:sz w:val="28"/>
          <w:szCs w:val="28"/>
          <w:lang w:val="en-US" w:eastAsia="zh-CN" w:bidi="ar-SA"/>
        </w:rPr>
        <w:t>第六章</w:t>
      </w:r>
      <w:r>
        <w:rPr>
          <w:rFonts w:hint="eastAsia" w:ascii="宋体" w:hAnsi="宋体" w:eastAsia="宋体" w:cs="Times New Roman"/>
          <w:b w:val="0"/>
          <w:sz w:val="28"/>
          <w:szCs w:val="28"/>
          <w:lang w:val="en-US" w:eastAsia="zh-CN" w:bidi="ar-SA"/>
        </w:rPr>
        <w:tab/>
      </w:r>
      <w:r>
        <w:rPr>
          <w:rFonts w:hint="eastAsia" w:ascii="宋体" w:hAnsi="宋体" w:eastAsia="宋体" w:cs="Times New Roman"/>
          <w:b w:val="0"/>
          <w:sz w:val="28"/>
          <w:szCs w:val="28"/>
          <w:lang w:val="en-US" w:eastAsia="zh-CN" w:bidi="ar-SA"/>
        </w:rPr>
        <w:t>工程量清单计量规则</w:t>
      </w:r>
    </w:p>
    <w:p>
      <w:pPr>
        <w:widowControl w:val="0"/>
        <w:tabs>
          <w:tab w:val="left" w:pos="1776"/>
        </w:tabs>
        <w:kinsoku w:val="0"/>
        <w:overflowPunct w:val="0"/>
        <w:autoSpaceDE w:val="0"/>
        <w:autoSpaceDN w:val="0"/>
        <w:adjustRightInd w:val="0"/>
        <w:spacing w:before="96" w:line="489" w:lineRule="auto"/>
        <w:ind w:left="111" w:right="4267"/>
        <w:rPr>
          <w:rFonts w:ascii="宋体" w:hAnsi="宋体" w:eastAsia="Times New Roman" w:cs="Times New Roman"/>
          <w:sz w:val="28"/>
          <w:szCs w:val="28"/>
          <w:lang w:val="en-US" w:eastAsia="zh-CN" w:bidi="ar-SA"/>
        </w:rPr>
      </w:pPr>
      <w:r>
        <w:rPr>
          <w:rFonts w:hint="eastAsia" w:ascii="宋体" w:hAnsi="宋体" w:eastAsia="宋体" w:cs="Times New Roman"/>
          <w:sz w:val="28"/>
          <w:szCs w:val="28"/>
          <w:lang w:val="en-US" w:eastAsia="zh-CN" w:bidi="ar-SA"/>
        </w:rPr>
        <w:t>第七章</w:t>
      </w:r>
      <w:r>
        <w:rPr>
          <w:rFonts w:ascii="宋体" w:hAnsi="宋体" w:eastAsia="Times New Roman" w:cs="Times New Roman"/>
          <w:sz w:val="28"/>
          <w:szCs w:val="28"/>
          <w:lang w:val="en-US" w:eastAsia="zh-CN" w:bidi="ar-SA"/>
        </w:rPr>
        <w:tab/>
      </w:r>
      <w:r>
        <w:rPr>
          <w:rFonts w:hint="eastAsia" w:ascii="宋体" w:hAnsi="宋体" w:eastAsia="宋体" w:cs="Times New Roman"/>
          <w:sz w:val="28"/>
          <w:szCs w:val="28"/>
          <w:lang w:val="en-US" w:eastAsia="zh-CN" w:bidi="ar-SA"/>
        </w:rPr>
        <w:t>响应文件格式</w:t>
      </w:r>
    </w:p>
    <w:p>
      <w:pPr>
        <w:tabs>
          <w:tab w:val="left" w:pos="1776"/>
        </w:tabs>
        <w:kinsoku w:val="0"/>
        <w:overflowPunct w:val="0"/>
        <w:spacing w:before="96" w:line="489" w:lineRule="auto"/>
        <w:ind w:left="111" w:right="4267"/>
        <w:rPr>
          <w:rFonts w:eastAsia="Times New Roman"/>
          <w:sz w:val="28"/>
          <w:szCs w:val="28"/>
        </w:rPr>
        <w:sectPr>
          <w:headerReference r:id="rId3" w:type="default"/>
          <w:footerReference r:id="rId4" w:type="default"/>
          <w:pgSz w:w="11910" w:h="16840"/>
          <w:pgMar w:top="1040" w:right="1440" w:bottom="1180" w:left="1420" w:header="858" w:footer="997" w:gutter="0"/>
          <w:pgNumType w:start="1"/>
          <w:cols w:space="720" w:num="1"/>
        </w:sectPr>
      </w:pPr>
      <w:r>
        <w:rPr>
          <w:rFonts w:hint="eastAsia" w:ascii="宋体" w:hAnsi="宋体" w:eastAsia="宋体" w:cs="Times New Roman"/>
          <w:sz w:val="28"/>
          <w:szCs w:val="28"/>
          <w:lang w:val="en-US" w:eastAsia="zh-CN" w:bidi="ar-SA"/>
        </w:rPr>
        <w:t xml:space="preserve">第八章     </w:t>
      </w:r>
      <w:r>
        <w:rPr>
          <w:rFonts w:hint="eastAsia" w:cs="Times New Roman"/>
          <w:sz w:val="28"/>
          <w:szCs w:val="28"/>
          <w:lang w:val="en-US" w:eastAsia="zh-CN" w:bidi="ar-SA"/>
        </w:rPr>
        <w:t xml:space="preserve"> </w:t>
      </w:r>
      <w:r>
        <w:rPr>
          <w:rFonts w:hint="eastAsia" w:ascii="宋体" w:hAnsi="宋体" w:eastAsia="宋体" w:cs="Times New Roman"/>
          <w:sz w:val="28"/>
          <w:szCs w:val="28"/>
          <w:lang w:val="en-US" w:eastAsia="zh-CN" w:bidi="ar-SA"/>
        </w:rPr>
        <w:t>评审方法及标准</w:t>
      </w:r>
    </w:p>
    <w:p>
      <w:pPr>
        <w:widowControl w:val="0"/>
        <w:kinsoku w:val="0"/>
        <w:overflowPunct w:val="0"/>
        <w:autoSpaceDE w:val="0"/>
        <w:autoSpaceDN w:val="0"/>
        <w:adjustRightInd w:val="0"/>
        <w:spacing w:line="500" w:lineRule="exact"/>
        <w:ind w:left="0"/>
        <w:jc w:val="center"/>
        <w:rPr>
          <w:rFonts w:ascii="宋体" w:hAnsi="宋体" w:eastAsia="Times New Roman" w:cs="Times New Roman"/>
          <w:b/>
          <w:w w:val="99"/>
          <w:sz w:val="30"/>
          <w:szCs w:val="30"/>
          <w:lang w:val="en-US" w:eastAsia="zh-CN" w:bidi="ar-SA"/>
        </w:rPr>
      </w:pPr>
      <w:r>
        <w:rPr>
          <w:rFonts w:hint="eastAsia" w:ascii="宋体" w:hAnsi="宋体" w:eastAsia="宋体" w:cs="Times New Roman"/>
          <w:b/>
          <w:spacing w:val="1"/>
          <w:sz w:val="30"/>
          <w:szCs w:val="30"/>
          <w:lang w:val="en-US" w:eastAsia="zh-CN" w:bidi="ar-SA"/>
        </w:rPr>
        <w:t>竞争性磋商公告</w:t>
      </w:r>
    </w:p>
    <w:p>
      <w:pPr>
        <w:widowControl w:val="0"/>
        <w:kinsoku w:val="0"/>
        <w:overflowPunct w:val="0"/>
        <w:autoSpaceDE w:val="0"/>
        <w:autoSpaceDN w:val="0"/>
        <w:adjustRightInd w:val="0"/>
        <w:spacing w:line="500" w:lineRule="exact"/>
        <w:ind w:left="3384" w:leftChars="1132" w:hanging="894" w:hangingChars="296"/>
        <w:jc w:val="both"/>
        <w:rPr>
          <w:rFonts w:ascii="宋体" w:hAnsi="宋体" w:eastAsia="Times New Roman" w:cs="Times New Roman"/>
          <w:b/>
          <w:spacing w:val="1"/>
          <w:sz w:val="30"/>
          <w:szCs w:val="30"/>
          <w:lang w:val="en-US" w:eastAsia="zh-CN" w:bidi="ar-SA"/>
        </w:rPr>
      </w:pP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hint="eastAsia" w:ascii="Times New Roman" w:hAnsi="Times New Roman" w:cs="Times New Roman"/>
          <w:color w:val="auto"/>
          <w:sz w:val="24"/>
          <w:szCs w:val="21"/>
          <w:highlight w:val="none"/>
          <w:u w:val="none"/>
          <w:lang w:val="en-US" w:eastAsia="zh-CN" w:bidi="ar-SA"/>
        </w:rPr>
        <w:t>新疆汇力赋能</w:t>
      </w:r>
      <w:r>
        <w:rPr>
          <w:rFonts w:ascii="宋体" w:hAnsi="宋体" w:cs="Times New Roman"/>
          <w:color w:val="auto"/>
          <w:sz w:val="24"/>
          <w:szCs w:val="21"/>
          <w:highlight w:val="none"/>
          <w:u w:val="none"/>
          <w:lang w:val="en-US" w:bidi="ar-SA"/>
        </w:rPr>
        <w:t>项目管理有限</w:t>
      </w:r>
      <w:r>
        <w:rPr>
          <w:rFonts w:hint="eastAsia" w:ascii="Times New Roman" w:hAnsi="Times New Roman" w:cs="Times New Roman"/>
          <w:color w:val="auto"/>
          <w:sz w:val="24"/>
          <w:szCs w:val="21"/>
          <w:highlight w:val="none"/>
          <w:u w:val="none"/>
          <w:lang w:val="en-US" w:eastAsia="zh-CN" w:bidi="ar-SA"/>
        </w:rPr>
        <w:t>责任</w:t>
      </w:r>
      <w:r>
        <w:rPr>
          <w:rFonts w:ascii="宋体" w:hAnsi="宋体" w:cs="Times New Roman"/>
          <w:color w:val="auto"/>
          <w:sz w:val="24"/>
          <w:szCs w:val="21"/>
          <w:highlight w:val="none"/>
          <w:u w:val="none"/>
          <w:lang w:val="en-US" w:bidi="ar-SA"/>
        </w:rPr>
        <w:t>公司</w:t>
      </w:r>
      <w:r>
        <w:rPr>
          <w:rFonts w:hint="eastAsia" w:ascii="Times New Roman" w:hAnsi="Times New Roman" w:cs="Times New Roman"/>
          <w:sz w:val="24"/>
          <w:szCs w:val="24"/>
          <w:lang w:val="en-US" w:bidi="ar-SA"/>
        </w:rPr>
        <w:t>受</w:t>
      </w:r>
      <w:r>
        <w:rPr>
          <w:rFonts w:hint="eastAsia" w:ascii="Times New Roman" w:hAnsi="Times New Roman" w:eastAsia="宋体" w:cs="Times New Roman"/>
          <w:sz w:val="24"/>
          <w:szCs w:val="24"/>
          <w:lang w:val="en-US" w:eastAsia="zh-CN" w:bidi="ar-SA"/>
        </w:rPr>
        <w:t>博湖县交通运输局</w:t>
      </w:r>
      <w:r>
        <w:rPr>
          <w:rFonts w:hint="eastAsia" w:ascii="Times New Roman" w:hAnsi="Times New Roman" w:cs="Times New Roman"/>
          <w:sz w:val="24"/>
          <w:szCs w:val="24"/>
          <w:lang w:val="en-US" w:bidi="ar-SA"/>
        </w:rPr>
        <w:t>的委托，现对</w:t>
      </w:r>
      <w:r>
        <w:rPr>
          <w:rFonts w:hint="eastAsia" w:ascii="Times New Roman" w:hAnsi="Times New Roman" w:eastAsia="宋体" w:cs="Times New Roman"/>
          <w:sz w:val="24"/>
          <w:szCs w:val="24"/>
          <w:lang w:val="en-US" w:eastAsia="zh-CN" w:bidi="ar-SA"/>
        </w:rPr>
        <w:t>博湖县2022年度北山牧道修缮工程以竞争</w:t>
      </w:r>
      <w:r>
        <w:rPr>
          <w:rFonts w:hint="eastAsia" w:ascii="Times New Roman" w:hAnsi="Times New Roman" w:cs="Times New Roman"/>
          <w:sz w:val="24"/>
          <w:szCs w:val="24"/>
          <w:lang w:val="en-US" w:bidi="ar-SA"/>
        </w:rPr>
        <w:t>性磋商方式组织采购，欢迎符合条件的供应商参加磋商。</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textAlignment w:val="auto"/>
        <w:rPr>
          <w:rFonts w:hint="eastAsia" w:ascii="Times New Roman" w:hAnsi="Times New Roman" w:eastAsia="宋体" w:cs="Times New Roman"/>
          <w:sz w:val="24"/>
          <w:szCs w:val="24"/>
          <w:lang w:val="en-US" w:eastAsia="zh-CN" w:bidi="ar-SA"/>
        </w:rPr>
      </w:pPr>
      <w:r>
        <w:rPr>
          <w:rFonts w:hint="eastAsia" w:ascii="Times New Roman" w:hAnsi="Times New Roman" w:cs="Times New Roman"/>
          <w:sz w:val="24"/>
          <w:szCs w:val="24"/>
          <w:lang w:val="en-US" w:bidi="ar-SA"/>
        </w:rPr>
        <w:t>项目名称：</w:t>
      </w:r>
      <w:r>
        <w:rPr>
          <w:rFonts w:hint="eastAsia" w:ascii="Times New Roman" w:hAnsi="Times New Roman" w:eastAsia="宋体" w:cs="Times New Roman"/>
          <w:sz w:val="24"/>
          <w:szCs w:val="24"/>
          <w:lang w:val="en-US" w:eastAsia="zh-CN" w:bidi="ar-SA"/>
        </w:rPr>
        <w:t>博湖县2022年度北山牧道修缮工程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ascii="宋体" w:hAnsi="宋体" w:cs="Times New Roman"/>
          <w:b w:val="0"/>
          <w:bCs/>
          <w:color w:val="000000" w:themeColor="text1"/>
          <w:sz w:val="24"/>
          <w:szCs w:val="24"/>
          <w:lang w:val="en-US" w:bidi="ar-SA"/>
          <w14:textFill>
            <w14:solidFill>
              <w14:schemeClr w14:val="tx1"/>
            </w14:solidFill>
          </w14:textFill>
        </w:rPr>
      </w:pPr>
      <w:r>
        <w:rPr>
          <w:rFonts w:hint="eastAsia" w:ascii="Times New Roman" w:hAnsi="Times New Roman" w:cs="Times New Roman"/>
          <w:color w:val="000000" w:themeColor="text1"/>
          <w:sz w:val="24"/>
          <w:szCs w:val="24"/>
          <w:lang w:val="en-US" w:bidi="ar-SA"/>
          <w14:textFill>
            <w14:solidFill>
              <w14:schemeClr w14:val="tx1"/>
            </w14:solidFill>
          </w14:textFill>
        </w:rPr>
        <w:t>二、磋商文件编号：</w:t>
      </w:r>
      <w:r>
        <w:rPr>
          <w:rFonts w:hint="eastAsia" w:ascii="宋体" w:hAnsi="宋体" w:cs="Times New Roman"/>
          <w:b w:val="0"/>
          <w:bCs/>
          <w:color w:val="000000" w:themeColor="text1"/>
          <w:sz w:val="24"/>
          <w:szCs w:val="24"/>
          <w:lang w:val="en-US" w:eastAsia="zh-CN" w:bidi="ar-SA"/>
          <w14:textFill>
            <w14:solidFill>
              <w14:schemeClr w14:val="tx1"/>
            </w14:solidFill>
          </w14:textFill>
        </w:rPr>
        <w:t>HLFNZFCG2022-CS003</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Times New Roman"/>
          <w:sz w:val="24"/>
          <w:szCs w:val="24"/>
          <w:lang w:val="en-US" w:eastAsia="zh-CN" w:bidi="ar-SA"/>
        </w:rPr>
      </w:pPr>
      <w:r>
        <w:rPr>
          <w:rFonts w:hint="eastAsia" w:ascii="Times New Roman" w:hAnsi="Times New Roman" w:cs="Times New Roman"/>
          <w:sz w:val="24"/>
          <w:szCs w:val="24"/>
          <w:lang w:val="en-US" w:bidi="ar-SA"/>
        </w:rPr>
        <w:t>三、项目建设地点：</w:t>
      </w:r>
      <w:r>
        <w:rPr>
          <w:rFonts w:hint="eastAsia" w:ascii="宋体" w:hAnsi="宋体" w:eastAsia="宋体" w:cs="Times New Roman"/>
          <w:sz w:val="24"/>
          <w:szCs w:val="24"/>
          <w:lang w:val="en-US" w:eastAsia="zh-CN" w:bidi="ar-SA"/>
        </w:rPr>
        <w:t>博湖县境内。</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Times New Roman"/>
          <w:color w:val="auto"/>
          <w:sz w:val="24"/>
          <w:szCs w:val="21"/>
          <w:lang w:val="en-US" w:eastAsia="zh-CN" w:bidi="ar-SA"/>
        </w:rPr>
      </w:pPr>
      <w:r>
        <w:rPr>
          <w:rFonts w:hint="eastAsia" w:ascii="Times New Roman" w:hAnsi="Times New Roman" w:cs="Times New Roman"/>
          <w:sz w:val="24"/>
          <w:szCs w:val="24"/>
          <w:lang w:val="en-US" w:bidi="ar-SA"/>
        </w:rPr>
        <w:t>四、</w:t>
      </w:r>
      <w:r>
        <w:rPr>
          <w:rFonts w:hint="eastAsia" w:ascii="宋体" w:hAnsi="宋体" w:cs="Times New Roman"/>
          <w:sz w:val="24"/>
          <w:szCs w:val="24"/>
          <w:lang w:val="en-US" w:bidi="ar-SA"/>
        </w:rPr>
        <w:t>建设规模：</w:t>
      </w:r>
      <w:r>
        <w:rPr>
          <w:rFonts w:hint="eastAsia" w:ascii="宋体" w:hAnsi="宋体" w:eastAsia="宋体" w:cs="Times New Roman"/>
          <w:color w:val="auto"/>
          <w:sz w:val="24"/>
          <w:szCs w:val="21"/>
          <w:lang w:val="en-US" w:eastAsia="zh-CN" w:bidi="ar-SA"/>
        </w:rPr>
        <w:t>由1条线组成，路线全长</w:t>
      </w:r>
      <w:r>
        <w:rPr>
          <w:rFonts w:hint="eastAsia" w:ascii="Times New Roman" w:hAnsi="Times New Roman" w:eastAsia="宋体" w:cs="Times New Roman"/>
          <w:color w:val="auto"/>
          <w:sz w:val="24"/>
          <w:szCs w:val="21"/>
          <w:lang w:val="en-US" w:eastAsia="zh-CN" w:bidi="ar-SA"/>
        </w:rPr>
        <w:t>8.167</w:t>
      </w:r>
      <w:r>
        <w:rPr>
          <w:rFonts w:hint="eastAsia" w:ascii="Times New Roman" w:hAnsi="Times New Roman" w:cs="Times New Roman"/>
          <w:color w:val="auto"/>
          <w:sz w:val="24"/>
          <w:szCs w:val="21"/>
          <w:lang w:val="en-US" w:eastAsia="zh-CN" w:bidi="ar-SA"/>
        </w:rPr>
        <w:t>Km</w:t>
      </w:r>
      <w:r>
        <w:rPr>
          <w:rFonts w:hint="eastAsia" w:ascii="宋体" w:hAnsi="宋体" w:eastAsia="宋体" w:cs="Times New Roman"/>
          <w:color w:val="auto"/>
          <w:sz w:val="24"/>
          <w:szCs w:val="21"/>
          <w:lang w:val="en-US" w:eastAsia="zh-CN" w:bidi="ar-SA"/>
        </w:rPr>
        <w:t>，采用公路等级为四级公路</w:t>
      </w:r>
      <w:r>
        <w:rPr>
          <w:rFonts w:ascii="宋体" w:hAnsi="宋体" w:cs="Times New Roman"/>
          <w:color w:val="auto"/>
          <w:sz w:val="24"/>
          <w:szCs w:val="21"/>
          <w:lang w:val="en-US" w:bidi="ar-SA"/>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cs="Times New Roman"/>
          <w:sz w:val="24"/>
          <w:szCs w:val="24"/>
          <w:lang w:val="en-US" w:bidi="ar-SA"/>
        </w:rPr>
      </w:pPr>
      <w:r>
        <w:rPr>
          <w:rFonts w:hint="eastAsia" w:ascii="Times New Roman" w:hAnsi="Times New Roman" w:cs="Times New Roman"/>
          <w:sz w:val="24"/>
          <w:szCs w:val="24"/>
          <w:lang w:val="en-US" w:bidi="ar-SA"/>
        </w:rPr>
        <w:t>五、采购范围：</w:t>
      </w:r>
      <w:r>
        <w:rPr>
          <w:rFonts w:hint="eastAsia" w:ascii="Times New Roman" w:hAnsi="Times New Roman" w:eastAsia="宋体" w:cs="Times New Roman"/>
          <w:sz w:val="24"/>
          <w:szCs w:val="24"/>
          <w:lang w:val="en-US" w:eastAsia="zh-CN" w:bidi="ar-SA"/>
        </w:rPr>
        <w:t>博湖县2022年度北山牧道修缮工程</w:t>
      </w:r>
      <w:r>
        <w:rPr>
          <w:rFonts w:hint="eastAsia" w:ascii="Times New Roman" w:hAnsi="Times New Roman" w:cs="Times New Roman"/>
          <w:sz w:val="24"/>
          <w:szCs w:val="24"/>
          <w:lang w:val="en-US" w:bidi="ar-SA"/>
        </w:rPr>
        <w:t>施工</w:t>
      </w:r>
      <w:r>
        <w:rPr>
          <w:rFonts w:hint="eastAsia" w:ascii="Times New Roman" w:hAnsi="Times New Roman" w:eastAsia="宋体" w:cs="Times New Roman"/>
          <w:sz w:val="24"/>
          <w:szCs w:val="24"/>
          <w:lang w:val="en-US" w:eastAsia="zh-CN" w:bidi="ar-SA"/>
        </w:rPr>
        <w:t>，</w:t>
      </w:r>
      <w:r>
        <w:rPr>
          <w:rFonts w:hint="eastAsia" w:ascii="Times New Roman" w:hAnsi="Times New Roman" w:cs="Times New Roman"/>
          <w:sz w:val="24"/>
          <w:szCs w:val="24"/>
          <w:lang w:val="en-US" w:bidi="ar-SA"/>
        </w:rPr>
        <w:t>包括</w:t>
      </w:r>
      <w:r>
        <w:rPr>
          <w:rFonts w:hint="eastAsia" w:ascii="Times New Roman" w:hAnsi="Times New Roman" w:eastAsia="宋体" w:cs="Times New Roman"/>
          <w:sz w:val="24"/>
          <w:szCs w:val="24"/>
          <w:lang w:val="en-US" w:eastAsia="zh-CN" w:bidi="ar-SA"/>
        </w:rPr>
        <w:t>对以上合同段</w:t>
      </w:r>
      <w:r>
        <w:rPr>
          <w:rFonts w:hint="eastAsia" w:ascii="宋体" w:hAnsi="宋体" w:cs="Times New Roman"/>
          <w:color w:val="auto"/>
          <w:sz w:val="24"/>
          <w:szCs w:val="21"/>
          <w:lang w:val="en-US" w:bidi="ar-SA"/>
        </w:rPr>
        <w:t>路基路面</w:t>
      </w:r>
      <w:r>
        <w:rPr>
          <w:rFonts w:hint="eastAsia" w:ascii="宋体" w:hAnsi="宋体" w:cs="Times New Roman"/>
          <w:color w:val="auto"/>
          <w:sz w:val="24"/>
          <w:szCs w:val="21"/>
          <w:lang w:val="en-US" w:eastAsia="zh-CN" w:bidi="ar-SA"/>
        </w:rPr>
        <w:t>、过水路面及安全设施等</w:t>
      </w:r>
      <w:r>
        <w:rPr>
          <w:rFonts w:hint="eastAsia" w:ascii="Times New Roman" w:hAnsi="Times New Roman" w:cs="Times New Roman"/>
          <w:color w:val="auto"/>
          <w:sz w:val="24"/>
          <w:szCs w:val="21"/>
          <w:lang w:val="en-US" w:eastAsia="zh-CN" w:bidi="ar-SA"/>
        </w:rPr>
        <w:t>进行施工。</w:t>
      </w:r>
    </w:p>
    <w:p>
      <w:pPr>
        <w:adjustRightInd w:val="0"/>
        <w:spacing w:line="360" w:lineRule="auto"/>
        <w:rPr>
          <w:rFonts w:hint="eastAsia" w:ascii="Times New Roman" w:hAnsi="Times New Roman" w:cs="Times New Roman"/>
          <w:color w:val="000000" w:themeColor="text1"/>
          <w:sz w:val="24"/>
          <w:szCs w:val="24"/>
          <w:lang w:val="en-US" w:bidi="ar-SA"/>
          <w14:textFill>
            <w14:solidFill>
              <w14:schemeClr w14:val="tx1"/>
            </w14:solidFill>
          </w14:textFill>
        </w:rPr>
      </w:pPr>
      <w:r>
        <w:rPr>
          <w:rFonts w:hint="eastAsia" w:ascii="Times New Roman" w:hAnsi="Times New Roman" w:cs="Times New Roman"/>
          <w:color w:val="000000" w:themeColor="text1"/>
          <w:sz w:val="24"/>
          <w:szCs w:val="24"/>
          <w:lang w:val="en-US" w:bidi="ar-SA"/>
          <w14:textFill>
            <w14:solidFill>
              <w14:schemeClr w14:val="tx1"/>
            </w14:solidFill>
          </w14:textFill>
        </w:rPr>
        <w:t>六、预算金额：</w:t>
      </w:r>
      <w:r>
        <w:rPr>
          <w:rFonts w:hint="eastAsia" w:ascii="Times New Roman" w:hAnsi="Times New Roman" w:cs="Times New Roman"/>
          <w:color w:val="000000" w:themeColor="text1"/>
          <w:sz w:val="24"/>
          <w:szCs w:val="24"/>
          <w:lang w:val="en-US" w:eastAsia="zh-CN" w:bidi="ar-SA"/>
          <w14:textFill>
            <w14:solidFill>
              <w14:schemeClr w14:val="tx1"/>
            </w14:solidFill>
          </w14:textFill>
        </w:rPr>
        <w:t>96.8</w:t>
      </w:r>
      <w:r>
        <w:rPr>
          <w:rFonts w:hint="eastAsia" w:ascii="Times New Roman" w:hAnsi="Times New Roman" w:cs="Times New Roman"/>
          <w:color w:val="000000" w:themeColor="text1"/>
          <w:sz w:val="24"/>
          <w:szCs w:val="24"/>
          <w:lang w:val="en-US" w:bidi="ar-SA"/>
          <w14:textFill>
            <w14:solidFill>
              <w14:schemeClr w14:val="tx1"/>
            </w14:solidFill>
          </w14:textFill>
        </w:rPr>
        <w:t>万元。</w:t>
      </w:r>
    </w:p>
    <w:p>
      <w:pPr>
        <w:pStyle w:val="2"/>
        <w:ind w:left="0" w:leftChars="0" w:firstLine="0" w:firstLineChars="0"/>
        <w:rPr>
          <w:rFonts w:hint="default" w:ascii="Times New Roman" w:hAnsi="Times New Roman" w:cs="Times New Roman"/>
          <w:color w:val="000000" w:themeColor="text1"/>
          <w:sz w:val="24"/>
          <w:szCs w:val="24"/>
          <w:lang w:val="en-US" w:eastAsia="zh-CN" w:bidi="ar-SA"/>
          <w14:textFill>
            <w14:solidFill>
              <w14:schemeClr w14:val="tx1"/>
            </w14:solidFill>
          </w14:textFill>
        </w:rPr>
      </w:pPr>
      <w:r>
        <w:rPr>
          <w:rFonts w:hint="eastAsia" w:ascii="Times New Roman" w:hAnsi="Times New Roman" w:cs="Times New Roman"/>
          <w:color w:val="000000" w:themeColor="text1"/>
          <w:sz w:val="24"/>
          <w:szCs w:val="24"/>
          <w:lang w:val="en-US" w:eastAsia="zh-CN" w:bidi="ar-SA"/>
          <w14:textFill>
            <w14:solidFill>
              <w14:schemeClr w14:val="tx1"/>
            </w14:solidFill>
          </w14:textFill>
        </w:rPr>
        <w:t>七、最高投标限价：96.8</w:t>
      </w:r>
      <w:r>
        <w:rPr>
          <w:rFonts w:hint="eastAsia" w:ascii="Times New Roman" w:hAnsi="Times New Roman" w:cs="Times New Roman"/>
          <w:color w:val="000000" w:themeColor="text1"/>
          <w:sz w:val="24"/>
          <w:szCs w:val="24"/>
          <w:lang w:val="en-US" w:bidi="ar-SA"/>
          <w14:textFill>
            <w14:solidFill>
              <w14:schemeClr w14:val="tx1"/>
            </w14:solidFill>
          </w14:textFill>
        </w:rPr>
        <w:t>万元</w:t>
      </w:r>
      <w:r>
        <w:rPr>
          <w:rFonts w:hint="eastAsia" w:ascii="Times New Roman" w:hAnsi="Times New Roman" w:cs="Times New Roman"/>
          <w:color w:val="000000" w:themeColor="text1"/>
          <w:sz w:val="24"/>
          <w:szCs w:val="24"/>
          <w:lang w:val="en-US" w:eastAsia="zh-CN" w:bidi="ar-SA"/>
          <w14:textFill>
            <w14:solidFill>
              <w14:schemeClr w14:val="tx1"/>
            </w14:solidFill>
          </w14:textFill>
        </w:rPr>
        <w:t>，</w:t>
      </w:r>
      <w:r>
        <w:rPr>
          <w:rFonts w:hint="eastAsia" w:ascii="Times New Roman" w:hAnsi="Times New Roman" w:cs="Times New Roman"/>
          <w:color w:val="000000" w:themeColor="text1"/>
          <w:sz w:val="24"/>
          <w:szCs w:val="24"/>
          <w:lang w:val="en-US" w:bidi="ar-SA"/>
          <w14:textFill>
            <w14:solidFill>
              <w14:schemeClr w14:val="tx1"/>
            </w14:solidFill>
          </w14:textFill>
        </w:rPr>
        <w:t>投标报价不得高于</w:t>
      </w:r>
      <w:r>
        <w:rPr>
          <w:rFonts w:hint="eastAsia" w:ascii="Times New Roman" w:hAnsi="Times New Roman" w:cs="Times New Roman"/>
          <w:color w:val="000000" w:themeColor="text1"/>
          <w:sz w:val="24"/>
          <w:szCs w:val="24"/>
          <w:lang w:val="en-US" w:eastAsia="zh-CN" w:bidi="ar-SA"/>
          <w14:textFill>
            <w14:solidFill>
              <w14:schemeClr w14:val="tx1"/>
            </w14:solidFill>
          </w14:textFill>
        </w:rPr>
        <w:t>最高投标限价</w:t>
      </w:r>
      <w:r>
        <w:rPr>
          <w:rFonts w:hint="eastAsia" w:ascii="Times New Roman" w:hAnsi="Times New Roman" w:cs="Times New Roman"/>
          <w:color w:val="000000" w:themeColor="text1"/>
          <w:sz w:val="24"/>
          <w:szCs w:val="24"/>
          <w:lang w:val="en-US" w:bidi="ar-SA"/>
          <w14:textFill>
            <w14:solidFill>
              <w14:schemeClr w14:val="tx1"/>
            </w14:solidFill>
          </w14:textFill>
        </w:rPr>
        <w:t>，否则响应文件将被拒绝。</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Times New Roman"/>
          <w:b/>
          <w:bCs/>
          <w:color w:val="auto"/>
          <w:sz w:val="24"/>
          <w:szCs w:val="21"/>
          <w:lang w:val="en-US" w:eastAsia="zh-CN" w:bidi="ar-SA"/>
        </w:rPr>
      </w:pPr>
      <w:r>
        <w:rPr>
          <w:rFonts w:hint="eastAsia" w:ascii="Times New Roman" w:hAnsi="Times New Roman" w:cs="Times New Roman"/>
          <w:sz w:val="24"/>
          <w:szCs w:val="24"/>
          <w:lang w:val="en-US" w:eastAsia="zh-CN" w:bidi="ar-SA"/>
        </w:rPr>
        <w:t>八</w:t>
      </w:r>
      <w:r>
        <w:rPr>
          <w:rFonts w:hint="eastAsia" w:ascii="Times New Roman" w:hAnsi="Times New Roman" w:cs="Times New Roman"/>
          <w:sz w:val="24"/>
          <w:szCs w:val="24"/>
          <w:lang w:val="en-US" w:bidi="ar-SA"/>
        </w:rPr>
        <w:t>、</w:t>
      </w:r>
      <w:r>
        <w:rPr>
          <w:rFonts w:hint="eastAsia" w:ascii="Times New Roman" w:hAnsi="Times New Roman" w:cs="Times New Roman"/>
          <w:sz w:val="24"/>
          <w:szCs w:val="24"/>
          <w:lang w:val="en-US" w:eastAsia="zh-CN" w:bidi="ar-SA"/>
        </w:rPr>
        <w:t>合同标段划分、施工工期：</w:t>
      </w:r>
      <w:r>
        <w:rPr>
          <w:rFonts w:hint="eastAsia" w:ascii="宋体" w:hAnsi="宋体" w:eastAsia="宋体" w:cs="Times New Roman"/>
          <w:color w:val="auto"/>
          <w:sz w:val="24"/>
          <w:szCs w:val="21"/>
          <w:lang w:val="en-US" w:eastAsia="zh-CN" w:bidi="ar-SA"/>
        </w:rPr>
        <w:t>本项目划分为一个合同段。</w:t>
      </w:r>
      <w:r>
        <w:rPr>
          <w:rFonts w:hint="eastAsia" w:ascii="宋体" w:hAnsi="宋体" w:eastAsia="宋体" w:cs="Times New Roman"/>
          <w:color w:val="000000" w:themeColor="text1"/>
          <w:sz w:val="24"/>
          <w:szCs w:val="21"/>
          <w:lang w:val="en-US" w:eastAsia="zh-CN" w:bidi="ar-SA"/>
          <w14:textFill>
            <w14:solidFill>
              <w14:schemeClr w14:val="tx1"/>
            </w14:solidFill>
          </w14:textFill>
        </w:rPr>
        <w:t>施工工期为6</w:t>
      </w:r>
      <w:r>
        <w:rPr>
          <w:rFonts w:hint="default" w:ascii="宋体" w:hAnsi="宋体" w:eastAsia="宋体" w:cs="Times New Roman"/>
          <w:color w:val="000000" w:themeColor="text1"/>
          <w:sz w:val="24"/>
          <w:szCs w:val="21"/>
          <w:lang w:val="en-US" w:eastAsia="zh-CN" w:bidi="ar-SA"/>
          <w14:textFill>
            <w14:solidFill>
              <w14:schemeClr w14:val="tx1"/>
            </w14:solidFill>
          </w14:textFill>
        </w:rPr>
        <w:t>0</w:t>
      </w:r>
      <w:r>
        <w:rPr>
          <w:rFonts w:hint="eastAsia" w:ascii="宋体" w:hAnsi="宋体" w:eastAsia="宋体" w:cs="Times New Roman"/>
          <w:color w:val="000000" w:themeColor="text1"/>
          <w:sz w:val="24"/>
          <w:szCs w:val="21"/>
          <w:lang w:val="en-US" w:eastAsia="zh-CN" w:bidi="ar-SA"/>
          <w14:textFill>
            <w14:solidFill>
              <w14:schemeClr w14:val="tx1"/>
            </w14:solidFill>
          </w14:textFill>
        </w:rPr>
        <w:t>天，</w:t>
      </w:r>
      <w:r>
        <w:rPr>
          <w:rFonts w:hint="eastAsia" w:ascii="宋体" w:hAnsi="宋体" w:eastAsia="宋体" w:cs="Times New Roman"/>
          <w:b/>
          <w:bCs/>
          <w:color w:val="auto"/>
          <w:sz w:val="24"/>
          <w:szCs w:val="21"/>
          <w:lang w:val="en-US" w:eastAsia="zh-CN" w:bidi="ar-SA"/>
        </w:rPr>
        <w:t>自2022年</w:t>
      </w:r>
      <w:r>
        <w:rPr>
          <w:rFonts w:hint="default" w:ascii="宋体" w:hAnsi="宋体" w:eastAsia="宋体" w:cs="Times New Roman"/>
          <w:b/>
          <w:bCs/>
          <w:color w:val="auto"/>
          <w:sz w:val="24"/>
          <w:szCs w:val="21"/>
          <w:lang w:val="en-US" w:eastAsia="zh-CN" w:bidi="ar-SA"/>
        </w:rPr>
        <w:t>7</w:t>
      </w:r>
      <w:r>
        <w:rPr>
          <w:rFonts w:hint="eastAsia" w:ascii="宋体" w:hAnsi="宋体" w:eastAsia="宋体" w:cs="Times New Roman"/>
          <w:b/>
          <w:bCs/>
          <w:color w:val="auto"/>
          <w:sz w:val="24"/>
          <w:szCs w:val="21"/>
          <w:lang w:val="en-US" w:eastAsia="zh-CN" w:bidi="ar-SA"/>
        </w:rPr>
        <w:t>月</w:t>
      </w:r>
      <w:r>
        <w:rPr>
          <w:rFonts w:hint="eastAsia" w:cs="Times New Roman"/>
          <w:b/>
          <w:bCs/>
          <w:color w:val="auto"/>
          <w:sz w:val="24"/>
          <w:szCs w:val="21"/>
          <w:lang w:val="en-US" w:eastAsia="zh-CN" w:bidi="ar-SA"/>
        </w:rPr>
        <w:t>18</w:t>
      </w:r>
      <w:r>
        <w:rPr>
          <w:rFonts w:hint="eastAsia" w:ascii="宋体" w:hAnsi="宋体" w:eastAsia="宋体" w:cs="Times New Roman"/>
          <w:b/>
          <w:bCs/>
          <w:color w:val="auto"/>
          <w:sz w:val="24"/>
          <w:szCs w:val="21"/>
          <w:lang w:val="en-US" w:eastAsia="zh-CN" w:bidi="ar-SA"/>
        </w:rPr>
        <w:t xml:space="preserve"> 日至2022年9月</w:t>
      </w:r>
      <w:r>
        <w:rPr>
          <w:rFonts w:hint="eastAsia" w:cs="Times New Roman"/>
          <w:b/>
          <w:bCs/>
          <w:color w:val="auto"/>
          <w:sz w:val="24"/>
          <w:szCs w:val="21"/>
          <w:lang w:val="en-US" w:eastAsia="zh-CN" w:bidi="ar-SA"/>
        </w:rPr>
        <w:t>15</w:t>
      </w:r>
      <w:r>
        <w:rPr>
          <w:rFonts w:hint="eastAsia" w:ascii="宋体" w:hAnsi="宋体" w:eastAsia="宋体" w:cs="Times New Roman"/>
          <w:b/>
          <w:bCs/>
          <w:color w:val="auto"/>
          <w:sz w:val="24"/>
          <w:szCs w:val="21"/>
          <w:lang w:val="en-US" w:eastAsia="zh-CN" w:bidi="ar-SA"/>
        </w:rPr>
        <w:t>日</w:t>
      </w:r>
      <w:r>
        <w:rPr>
          <w:rFonts w:hint="eastAsia" w:ascii="宋体" w:hAnsi="宋体" w:eastAsia="宋体" w:cs="Times New Roman"/>
          <w:b/>
          <w:bCs/>
          <w:color w:val="auto"/>
          <w:sz w:val="24"/>
          <w:szCs w:val="21"/>
          <w:lang w:val="en-US" w:eastAsia="zh-CN" w:bidi="ar-SA"/>
        </w:rPr>
        <w:tab/>
      </w:r>
    </w:p>
    <w:p>
      <w:pPr>
        <w:adjustRightInd w:val="0"/>
        <w:spacing w:line="360" w:lineRule="auto"/>
        <w:rPr>
          <w:rFonts w:ascii="Times New Roman" w:hAnsi="Times New Roman" w:eastAsia="Times New Roman" w:cs="Times New Roman"/>
          <w:sz w:val="24"/>
          <w:szCs w:val="24"/>
          <w:lang w:val="en-US" w:bidi="ar-SA"/>
        </w:rPr>
      </w:pPr>
      <w:r>
        <w:rPr>
          <w:rFonts w:hint="eastAsia" w:ascii="Times New Roman" w:hAnsi="Times New Roman" w:cs="Times New Roman"/>
          <w:sz w:val="24"/>
          <w:szCs w:val="24"/>
          <w:lang w:val="en-US" w:eastAsia="zh-CN" w:bidi="ar-SA"/>
        </w:rPr>
        <w:t>九</w:t>
      </w:r>
      <w:r>
        <w:rPr>
          <w:rFonts w:hint="eastAsia" w:ascii="Times New Roman" w:hAnsi="Times New Roman" w:cs="Times New Roman"/>
          <w:sz w:val="24"/>
          <w:szCs w:val="24"/>
          <w:lang w:val="en-US" w:bidi="ar-SA"/>
        </w:rPr>
        <w:t>、供应商资格要求：</w:t>
      </w:r>
    </w:p>
    <w:p>
      <w:pPr>
        <w:adjustRightInd w:val="0"/>
        <w:spacing w:line="360" w:lineRule="auto"/>
        <w:rPr>
          <w:rFonts w:ascii="宋体" w:hAnsi="宋体" w:eastAsia="宋体" w:cs="Times New Roman"/>
          <w:sz w:val="24"/>
          <w:szCs w:val="24"/>
          <w:lang w:val="en-US" w:bidi="ar-SA"/>
        </w:rPr>
      </w:pPr>
      <w:r>
        <w:rPr>
          <w:rFonts w:hint="eastAsia" w:ascii="宋体" w:hAnsi="宋体" w:eastAsia="宋体" w:cs="Times New Roman"/>
          <w:sz w:val="24"/>
          <w:szCs w:val="24"/>
          <w:lang w:val="en-US" w:bidi="ar-SA"/>
        </w:rPr>
        <w:t>（</w:t>
      </w:r>
      <w:r>
        <w:rPr>
          <w:rFonts w:ascii="宋体" w:hAnsi="宋体" w:eastAsia="宋体" w:cs="Times New Roman"/>
          <w:sz w:val="24"/>
          <w:szCs w:val="24"/>
          <w:lang w:val="en-US" w:bidi="ar-SA"/>
        </w:rPr>
        <w:t>1</w:t>
      </w:r>
      <w:r>
        <w:rPr>
          <w:rFonts w:hint="eastAsia" w:ascii="宋体" w:hAnsi="宋体" w:eastAsia="宋体" w:cs="Times New Roman"/>
          <w:sz w:val="24"/>
          <w:szCs w:val="24"/>
          <w:lang w:val="en-US" w:bidi="ar-SA"/>
        </w:rPr>
        <w:t>）供应商应满足《中华人民共和国政府采购法》第二十二条所规定的条件，在中华人民共和国境内依法注册的、能独立承担民事责任的独立法人；</w:t>
      </w:r>
    </w:p>
    <w:p>
      <w:pPr>
        <w:adjustRightInd w:val="0"/>
        <w:spacing w:line="360" w:lineRule="auto"/>
        <w:rPr>
          <w:rFonts w:hint="eastAsia" w:ascii="宋体" w:hAnsi="宋体" w:eastAsia="宋体" w:cs="宋体"/>
          <w:sz w:val="24"/>
          <w:szCs w:val="24"/>
          <w:lang w:val="en-US" w:bidi="ar-SA"/>
        </w:rPr>
      </w:pPr>
      <w:r>
        <w:rPr>
          <w:rFonts w:hint="eastAsia" w:ascii="宋体" w:hAnsi="宋体" w:eastAsia="宋体" w:cs="宋体"/>
          <w:sz w:val="24"/>
          <w:szCs w:val="24"/>
          <w:lang w:val="en-US" w:bidi="ar-SA"/>
        </w:rPr>
        <w:t>（2）供应商须具有良好的信誉，未被“信用中国”(</w:t>
      </w:r>
      <w:r>
        <w:rPr>
          <w:rFonts w:hint="eastAsia" w:ascii="宋体" w:hAnsi="宋体" w:eastAsia="宋体" w:cs="宋体"/>
          <w:sz w:val="24"/>
          <w:szCs w:val="24"/>
          <w:lang w:val="en-US" w:bidi="ar-SA"/>
        </w:rPr>
        <w:fldChar w:fldCharType="begin"/>
      </w:r>
      <w:r>
        <w:rPr>
          <w:rFonts w:hint="eastAsia" w:ascii="宋体" w:hAnsi="宋体" w:eastAsia="宋体" w:cs="宋体"/>
          <w:sz w:val="24"/>
          <w:szCs w:val="24"/>
          <w:lang w:val="en-US" w:bidi="ar-SA"/>
        </w:rPr>
        <w:instrText xml:space="preserve"> HYPERLINK "http://www.creditchina.gov.cn" </w:instrText>
      </w:r>
      <w:r>
        <w:rPr>
          <w:rFonts w:hint="eastAsia" w:ascii="宋体" w:hAnsi="宋体" w:eastAsia="宋体" w:cs="宋体"/>
          <w:sz w:val="24"/>
          <w:szCs w:val="24"/>
          <w:lang w:val="en-US" w:bidi="ar-SA"/>
        </w:rPr>
        <w:fldChar w:fldCharType="separate"/>
      </w:r>
      <w:r>
        <w:rPr>
          <w:rFonts w:hint="eastAsia" w:ascii="宋体" w:hAnsi="宋体" w:eastAsia="宋体" w:cs="宋体"/>
          <w:b/>
          <w:sz w:val="24"/>
          <w:szCs w:val="24"/>
          <w:lang w:val="en-US" w:bidi="ar-SA"/>
        </w:rPr>
        <w:t>www.creditchina.gov.cn</w:t>
      </w:r>
      <w:r>
        <w:rPr>
          <w:rFonts w:hint="eastAsia" w:ascii="宋体" w:hAnsi="宋体" w:eastAsia="宋体" w:cs="宋体"/>
          <w:b/>
          <w:sz w:val="24"/>
          <w:szCs w:val="24"/>
          <w:lang w:val="en-US" w:bidi="ar-SA"/>
        </w:rPr>
        <w:fldChar w:fldCharType="end"/>
      </w:r>
      <w:r>
        <w:rPr>
          <w:rFonts w:hint="eastAsia" w:ascii="宋体" w:hAnsi="宋体" w:eastAsia="宋体" w:cs="宋体"/>
          <w:sz w:val="24"/>
          <w:szCs w:val="24"/>
          <w:lang w:val="en-US" w:bidi="ar-SA"/>
        </w:rPr>
        <w:t>)、“中国政府采购网”（ www.ccgp.gov.cn）列入失信被执行人、重大税收违法案件当事人名单、政府采购严重违法失信行为记录名单；</w:t>
      </w:r>
    </w:p>
    <w:p>
      <w:pPr>
        <w:pStyle w:val="21"/>
        <w:keepNext w:val="0"/>
        <w:keepLines w:val="0"/>
        <w:pageBreakBefore w:val="0"/>
        <w:widowControl w:val="0"/>
        <w:numPr>
          <w:ilvl w:val="0"/>
          <w:numId w:val="0"/>
        </w:numPr>
        <w:tabs>
          <w:tab w:val="left" w:pos="537"/>
        </w:tabs>
        <w:kinsoku/>
        <w:wordWrap/>
        <w:overflowPunct/>
        <w:topLinePunct w:val="0"/>
        <w:autoSpaceDE w:val="0"/>
        <w:autoSpaceDN w:val="0"/>
        <w:bidi w:val="0"/>
        <w:adjustRightInd/>
        <w:snapToGrid/>
        <w:spacing w:before="88" w:line="360" w:lineRule="auto"/>
        <w:ind w:right="99" w:rightChars="0"/>
        <w:jc w:val="both"/>
        <w:textAlignment w:val="auto"/>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（3）</w:t>
      </w:r>
      <w:r>
        <w:rPr>
          <w:rFonts w:hint="eastAsia" w:cs="Times New Roman"/>
          <w:color w:val="auto"/>
          <w:sz w:val="24"/>
          <w:szCs w:val="24"/>
          <w:lang w:val="en-US" w:eastAsia="zh-CN" w:bidi="ar-SA"/>
        </w:rPr>
        <w:t>供应商</w:t>
      </w:r>
      <w:r>
        <w:rPr>
          <w:rFonts w:hint="eastAsia" w:ascii="宋体" w:hAnsi="宋体" w:eastAsia="宋体" w:cs="Times New Roman"/>
          <w:color w:val="auto"/>
          <w:sz w:val="24"/>
          <w:szCs w:val="24"/>
          <w:lang w:val="en-US" w:eastAsia="zh-CN" w:bidi="ar-SA"/>
        </w:rPr>
        <w:t>须具备公路工程施工总承包叁级及以上</w:t>
      </w:r>
      <w:r>
        <w:rPr>
          <w:rFonts w:hint="eastAsia" w:cs="Times New Roman"/>
          <w:color w:val="auto"/>
          <w:sz w:val="24"/>
          <w:szCs w:val="24"/>
          <w:lang w:val="en-US" w:eastAsia="zh-CN" w:bidi="ar-SA"/>
        </w:rPr>
        <w:t>资质/</w:t>
      </w:r>
      <w:r>
        <w:rPr>
          <w:rFonts w:hint="eastAsia" w:ascii="宋体" w:hAnsi="宋体" w:eastAsia="宋体" w:cs="Times New Roman"/>
          <w:color w:val="auto"/>
          <w:sz w:val="24"/>
          <w:szCs w:val="24"/>
          <w:lang w:val="en-US" w:eastAsia="zh-CN" w:bidi="ar-SA"/>
        </w:rPr>
        <w:t>或同时具备公路路基、公路路面专业承包叁级及以上资质</w:t>
      </w:r>
      <w:r>
        <w:rPr>
          <w:rFonts w:hint="eastAsia" w:cs="Times New Roman"/>
          <w:color w:val="auto"/>
          <w:sz w:val="24"/>
          <w:szCs w:val="24"/>
          <w:lang w:val="en-US" w:eastAsia="zh-CN" w:bidi="ar-SA"/>
        </w:rPr>
        <w:t>，</w:t>
      </w:r>
      <w:r>
        <w:rPr>
          <w:rFonts w:hint="eastAsia" w:ascii="宋体" w:hAnsi="宋体" w:eastAsia="宋体" w:cs="Times New Roman"/>
          <w:color w:val="auto"/>
          <w:sz w:val="24"/>
          <w:szCs w:val="24"/>
          <w:lang w:val="en-US" w:eastAsia="zh-CN" w:bidi="ar-SA"/>
        </w:rPr>
        <w:t>具有合格有效的安全生产许可证，自治区外企业进疆信息报送册，具有类似项目施工业绩，并在人员、设备、资金等方面具有相应的施工能力；</w:t>
      </w:r>
    </w:p>
    <w:p>
      <w:pPr>
        <w:spacing w:line="360" w:lineRule="auto"/>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（4）项目</w:t>
      </w:r>
      <w:r>
        <w:rPr>
          <w:rFonts w:hint="eastAsia" w:cs="Times New Roman"/>
          <w:color w:val="auto"/>
          <w:sz w:val="24"/>
          <w:szCs w:val="24"/>
          <w:lang w:val="en-US" w:eastAsia="zh-CN" w:bidi="ar-SA"/>
        </w:rPr>
        <w:t>经理</w:t>
      </w:r>
      <w:r>
        <w:rPr>
          <w:rFonts w:hint="eastAsia" w:ascii="宋体" w:hAnsi="宋体" w:eastAsia="宋体" w:cs="Times New Roman"/>
          <w:color w:val="auto"/>
          <w:sz w:val="24"/>
          <w:szCs w:val="24"/>
          <w:lang w:val="en-US" w:eastAsia="zh-CN" w:bidi="ar-SA"/>
        </w:rPr>
        <w:t>须具备公路工程专业二级及以上注册建造师执业资格，持有有效的交通运输主管部门颁发的安全生产考核合格证书(B 类),且未担任其他在施建设工程项目的项目经理；</w:t>
      </w:r>
    </w:p>
    <w:p>
      <w:pPr>
        <w:pStyle w:val="21"/>
        <w:keepNext w:val="0"/>
        <w:keepLines w:val="0"/>
        <w:pageBreakBefore w:val="0"/>
        <w:widowControl w:val="0"/>
        <w:numPr>
          <w:ilvl w:val="0"/>
          <w:numId w:val="0"/>
        </w:numPr>
        <w:tabs>
          <w:tab w:val="left" w:pos="537"/>
        </w:tabs>
        <w:kinsoku/>
        <w:wordWrap/>
        <w:overflowPunct/>
        <w:topLinePunct w:val="0"/>
        <w:autoSpaceDE w:val="0"/>
        <w:autoSpaceDN w:val="0"/>
        <w:bidi w:val="0"/>
        <w:adjustRightInd/>
        <w:snapToGrid/>
        <w:spacing w:before="88" w:line="360" w:lineRule="auto"/>
        <w:ind w:right="99" w:rightChars="0"/>
        <w:jc w:val="both"/>
        <w:textAlignment w:val="auto"/>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（5）</w:t>
      </w:r>
      <w:r>
        <w:rPr>
          <w:rFonts w:hint="eastAsia" w:ascii="宋体" w:hAnsi="宋体" w:eastAsia="宋体" w:cs="Times New Roman"/>
          <w:color w:val="auto"/>
          <w:sz w:val="24"/>
          <w:szCs w:val="24"/>
          <w:lang w:val="en-US" w:eastAsia="zh-CN" w:bidi="ar-SA"/>
        </w:rPr>
        <w:t>落实政府采购政策需满足的资格要求：供应商为中小企业/小微企业</w:t>
      </w:r>
      <w:r>
        <w:rPr>
          <w:rFonts w:hint="eastAsia" w:cs="Times New Roman"/>
          <w:color w:val="auto"/>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宋体" w:hAnsi="宋体" w:eastAsia="宋体" w:cs="Times New Roman"/>
          <w:sz w:val="24"/>
          <w:szCs w:val="24"/>
          <w:lang w:val="en-US" w:bidi="ar-SA"/>
        </w:rPr>
      </w:pPr>
      <w:r>
        <w:rPr>
          <w:rFonts w:hint="eastAsia" w:cs="Times New Roman"/>
          <w:sz w:val="24"/>
          <w:szCs w:val="24"/>
          <w:lang w:val="en-US" w:eastAsia="zh-CN" w:bidi="ar-SA"/>
        </w:rPr>
        <w:t>（6）</w:t>
      </w:r>
      <w:r>
        <w:rPr>
          <w:rFonts w:hint="eastAsia" w:ascii="宋体" w:hAnsi="宋体" w:eastAsia="宋体" w:cs="Times New Roman"/>
          <w:sz w:val="24"/>
          <w:szCs w:val="24"/>
          <w:lang w:val="en-US" w:eastAsia="zh-CN" w:bidi="ar-SA"/>
        </w:rPr>
        <w:t>与采购人存在利害关系可能影响</w:t>
      </w:r>
      <w:r>
        <w:rPr>
          <w:rFonts w:hint="eastAsia" w:ascii="宋体" w:hAnsi="宋体" w:eastAsia="宋体" w:cs="宋体"/>
          <w:sz w:val="24"/>
          <w:szCs w:val="21"/>
          <w:lang w:val="en-US" w:bidi="ar-SA"/>
        </w:rPr>
        <w:t>招标公正性的单位，不得参加投标。单位负责人为同一人或存在控股、管理关系的不同单位，不得参加同一标段投标，否则，相关投标均无效。</w:t>
      </w:r>
    </w:p>
    <w:p>
      <w:pPr>
        <w:adjustRightInd w:val="0"/>
        <w:spacing w:line="360" w:lineRule="auto"/>
        <w:rPr>
          <w:rFonts w:ascii="宋体" w:hAnsi="宋体" w:eastAsia="宋体" w:cs="Times New Roman"/>
          <w:sz w:val="24"/>
          <w:szCs w:val="24"/>
          <w:lang w:val="en-US" w:bidi="ar-SA"/>
        </w:rPr>
      </w:pPr>
      <w:r>
        <w:rPr>
          <w:rFonts w:hint="eastAsia" w:ascii="宋体" w:hAnsi="宋体" w:eastAsia="宋体" w:cs="Times New Roman"/>
          <w:sz w:val="24"/>
          <w:szCs w:val="24"/>
          <w:lang w:val="en-US" w:bidi="ar-SA"/>
        </w:rPr>
        <w:t>（</w:t>
      </w:r>
      <w:r>
        <w:rPr>
          <w:rFonts w:hint="eastAsia" w:cs="Times New Roman"/>
          <w:sz w:val="24"/>
          <w:szCs w:val="24"/>
          <w:lang w:val="en-US" w:eastAsia="zh-CN" w:bidi="ar-SA"/>
        </w:rPr>
        <w:t>7</w:t>
      </w:r>
      <w:r>
        <w:rPr>
          <w:rFonts w:hint="eastAsia" w:ascii="宋体" w:hAnsi="宋体" w:eastAsia="宋体" w:cs="Times New Roman"/>
          <w:sz w:val="24"/>
          <w:szCs w:val="24"/>
          <w:lang w:val="en-US" w:bidi="ar-SA"/>
        </w:rPr>
        <w:t>）本项目不接受联合体投标；</w:t>
      </w:r>
    </w:p>
    <w:p>
      <w:pPr>
        <w:adjustRightInd w:val="0"/>
        <w:spacing w:line="360" w:lineRule="auto"/>
        <w:rPr>
          <w:rFonts w:hint="eastAsia" w:ascii="宋体" w:hAnsi="宋体" w:eastAsia="宋体" w:cs="宋体"/>
          <w:sz w:val="24"/>
          <w:szCs w:val="24"/>
          <w:lang w:val="en-US" w:bidi="ar-SA"/>
        </w:rPr>
      </w:pPr>
      <w:r>
        <w:rPr>
          <w:rFonts w:hint="eastAsia" w:ascii="宋体" w:hAnsi="宋体" w:eastAsia="宋体" w:cs="Times New Roman"/>
          <w:sz w:val="24"/>
          <w:szCs w:val="24"/>
          <w:lang w:val="en-US" w:bidi="ar-SA"/>
        </w:rPr>
        <w:t>（</w:t>
      </w:r>
      <w:r>
        <w:rPr>
          <w:rFonts w:hint="eastAsia" w:cs="Times New Roman"/>
          <w:sz w:val="24"/>
          <w:szCs w:val="24"/>
          <w:lang w:val="en-US" w:eastAsia="zh-CN" w:bidi="ar-SA"/>
        </w:rPr>
        <w:t>8</w:t>
      </w:r>
      <w:r>
        <w:rPr>
          <w:rFonts w:hint="eastAsia" w:ascii="宋体" w:hAnsi="宋体" w:eastAsia="宋体" w:cs="Times New Roman"/>
          <w:sz w:val="24"/>
          <w:szCs w:val="24"/>
          <w:lang w:val="en-US" w:bidi="ar-SA"/>
        </w:rPr>
        <w:t>）</w:t>
      </w:r>
      <w:r>
        <w:rPr>
          <w:rFonts w:hint="eastAsia" w:ascii="宋体" w:hAnsi="宋体" w:eastAsia="宋体" w:cs="宋体"/>
          <w:sz w:val="24"/>
          <w:szCs w:val="21"/>
          <w:lang w:val="en-US" w:bidi="ar-SA"/>
        </w:rPr>
        <w:t>本项</w:t>
      </w:r>
      <w:r>
        <w:rPr>
          <w:rFonts w:hint="eastAsia" w:ascii="宋体" w:hAnsi="宋体" w:eastAsia="宋体" w:cs="Times New Roman"/>
          <w:sz w:val="24"/>
          <w:szCs w:val="24"/>
          <w:lang w:val="en-US" w:bidi="ar-SA"/>
        </w:rPr>
        <w:t>目为电子招投标，需要使用</w:t>
      </w:r>
      <w:r>
        <w:rPr>
          <w:rFonts w:ascii="宋体" w:hAnsi="宋体" w:eastAsia="宋体" w:cs="Times New Roman"/>
          <w:sz w:val="24"/>
          <w:szCs w:val="24"/>
          <w:lang w:val="en-US" w:bidi="ar-SA"/>
        </w:rPr>
        <w:t>CA</w:t>
      </w:r>
      <w:r>
        <w:rPr>
          <w:rFonts w:hint="eastAsia" w:ascii="宋体" w:hAnsi="宋体" w:eastAsia="宋体" w:cs="Times New Roman"/>
          <w:sz w:val="24"/>
          <w:szCs w:val="24"/>
          <w:lang w:val="en-US" w:bidi="ar-SA"/>
        </w:rPr>
        <w:t>加密设备，供应商可通过新疆数字证书认证中心官</w:t>
      </w:r>
      <w:r>
        <w:rPr>
          <w:rFonts w:hint="eastAsia" w:ascii="宋体" w:hAnsi="宋体" w:eastAsia="宋体" w:cs="宋体"/>
          <w:sz w:val="24"/>
          <w:szCs w:val="24"/>
          <w:lang w:val="en-US" w:bidi="ar-SA"/>
        </w:rPr>
        <w:t>网（https://www.xjca.com.cn/）或下载“新疆政务通”APP自行进行申领。</w:t>
      </w:r>
    </w:p>
    <w:p>
      <w:pPr>
        <w:tabs>
          <w:tab w:val="left" w:pos="7133"/>
        </w:tabs>
        <w:adjustRightInd w:val="0"/>
        <w:spacing w:line="360" w:lineRule="auto"/>
        <w:rPr>
          <w:rFonts w:hint="eastAsia" w:ascii="宋体" w:hAnsi="宋体" w:eastAsia="宋体" w:cs="宋体"/>
          <w:color w:val="FF0000"/>
          <w:sz w:val="24"/>
          <w:szCs w:val="21"/>
          <w:lang w:val="en-US" w:bidi="ar-SA"/>
        </w:rPr>
      </w:pPr>
      <w:r>
        <w:rPr>
          <w:rFonts w:hint="eastAsia" w:cs="宋体"/>
          <w:sz w:val="24"/>
          <w:szCs w:val="24"/>
          <w:lang w:val="en-US" w:eastAsia="zh-CN" w:bidi="ar-SA"/>
        </w:rPr>
        <w:t>十</w:t>
      </w:r>
      <w:r>
        <w:rPr>
          <w:rFonts w:hint="eastAsia" w:ascii="宋体" w:hAnsi="宋体" w:eastAsia="宋体" w:cs="宋体"/>
          <w:sz w:val="24"/>
          <w:szCs w:val="24"/>
          <w:lang w:val="en-US" w:bidi="ar-SA"/>
        </w:rPr>
        <w:t>、磋商文件获取时间：</w:t>
      </w:r>
      <w:r>
        <w:rPr>
          <w:rFonts w:hint="eastAsia" w:ascii="宋体" w:hAnsi="宋体" w:eastAsia="宋体" w:cs="宋体"/>
          <w:b/>
          <w:bCs/>
          <w:color w:val="0000FF"/>
          <w:sz w:val="24"/>
          <w:szCs w:val="21"/>
          <w:lang w:val="en-US" w:bidi="ar-SA"/>
        </w:rPr>
        <w:t>202</w:t>
      </w:r>
      <w:r>
        <w:rPr>
          <w:rFonts w:hint="eastAsia" w:ascii="宋体" w:hAnsi="宋体" w:eastAsia="宋体" w:cs="宋体"/>
          <w:b/>
          <w:bCs/>
          <w:color w:val="0000FF"/>
          <w:sz w:val="24"/>
          <w:szCs w:val="21"/>
          <w:lang w:val="en-US" w:eastAsia="zh-CN" w:bidi="ar-SA"/>
        </w:rPr>
        <w:t>2</w:t>
      </w:r>
      <w:r>
        <w:rPr>
          <w:rFonts w:hint="eastAsia" w:ascii="宋体" w:hAnsi="宋体" w:eastAsia="宋体" w:cs="宋体"/>
          <w:b/>
          <w:bCs/>
          <w:color w:val="0000FF"/>
          <w:sz w:val="24"/>
          <w:szCs w:val="21"/>
          <w:lang w:val="en-US" w:bidi="ar-SA"/>
        </w:rPr>
        <w:t>年</w:t>
      </w:r>
      <w:r>
        <w:rPr>
          <w:rFonts w:hint="eastAsia" w:cs="宋体"/>
          <w:b/>
          <w:bCs/>
          <w:color w:val="0000FF"/>
          <w:sz w:val="24"/>
          <w:szCs w:val="21"/>
          <w:lang w:val="en-US" w:eastAsia="zh-CN" w:bidi="ar-SA"/>
        </w:rPr>
        <w:t>7</w:t>
      </w:r>
      <w:r>
        <w:rPr>
          <w:rFonts w:hint="eastAsia" w:ascii="宋体" w:hAnsi="宋体" w:eastAsia="宋体" w:cs="宋体"/>
          <w:b/>
          <w:bCs/>
          <w:color w:val="0000FF"/>
          <w:sz w:val="24"/>
          <w:szCs w:val="21"/>
          <w:lang w:val="en-US" w:bidi="ar-SA"/>
        </w:rPr>
        <w:t>月</w:t>
      </w:r>
      <w:r>
        <w:rPr>
          <w:rFonts w:hint="eastAsia" w:cs="宋体"/>
          <w:b/>
          <w:bCs/>
          <w:color w:val="0000FF"/>
          <w:sz w:val="24"/>
          <w:szCs w:val="21"/>
          <w:lang w:val="en-US" w:eastAsia="zh-CN" w:bidi="ar-SA"/>
        </w:rPr>
        <w:t>1</w:t>
      </w:r>
      <w:r>
        <w:rPr>
          <w:rFonts w:hint="eastAsia" w:ascii="宋体" w:hAnsi="宋体" w:eastAsia="宋体" w:cs="宋体"/>
          <w:b/>
          <w:bCs/>
          <w:color w:val="0000FF"/>
          <w:sz w:val="24"/>
          <w:szCs w:val="21"/>
          <w:lang w:val="en-US" w:bidi="ar-SA"/>
        </w:rPr>
        <w:t>日起至202</w:t>
      </w:r>
      <w:r>
        <w:rPr>
          <w:rFonts w:hint="eastAsia" w:ascii="宋体" w:hAnsi="宋体" w:eastAsia="宋体" w:cs="宋体"/>
          <w:b/>
          <w:bCs/>
          <w:color w:val="0000FF"/>
          <w:sz w:val="24"/>
          <w:szCs w:val="21"/>
          <w:lang w:val="en-US" w:eastAsia="zh-CN" w:bidi="ar-SA"/>
        </w:rPr>
        <w:t>2</w:t>
      </w:r>
      <w:r>
        <w:rPr>
          <w:rFonts w:hint="eastAsia" w:ascii="宋体" w:hAnsi="宋体" w:eastAsia="宋体" w:cs="宋体"/>
          <w:b/>
          <w:bCs/>
          <w:color w:val="0000FF"/>
          <w:sz w:val="24"/>
          <w:szCs w:val="21"/>
          <w:lang w:val="en-US" w:bidi="ar-SA"/>
        </w:rPr>
        <w:t>年</w:t>
      </w:r>
      <w:r>
        <w:rPr>
          <w:rFonts w:hint="eastAsia" w:cs="宋体"/>
          <w:b/>
          <w:bCs/>
          <w:color w:val="0000FF"/>
          <w:sz w:val="24"/>
          <w:szCs w:val="21"/>
          <w:lang w:val="en-US" w:eastAsia="zh-CN" w:bidi="ar-SA"/>
        </w:rPr>
        <w:t>7</w:t>
      </w:r>
      <w:r>
        <w:rPr>
          <w:rFonts w:hint="eastAsia" w:ascii="宋体" w:hAnsi="宋体" w:eastAsia="宋体" w:cs="宋体"/>
          <w:b/>
          <w:bCs/>
          <w:color w:val="0000FF"/>
          <w:sz w:val="24"/>
          <w:szCs w:val="21"/>
          <w:lang w:val="en-US" w:bidi="ar-SA"/>
        </w:rPr>
        <w:t>月</w:t>
      </w:r>
      <w:r>
        <w:rPr>
          <w:rFonts w:hint="eastAsia" w:cs="宋体"/>
          <w:b/>
          <w:bCs/>
          <w:color w:val="0000FF"/>
          <w:sz w:val="24"/>
          <w:szCs w:val="21"/>
          <w:lang w:val="en-US" w:eastAsia="zh-CN" w:bidi="ar-SA"/>
        </w:rPr>
        <w:t>8</w:t>
      </w:r>
      <w:r>
        <w:rPr>
          <w:rFonts w:hint="eastAsia" w:ascii="宋体" w:hAnsi="宋体" w:eastAsia="宋体" w:cs="宋体"/>
          <w:b/>
          <w:bCs/>
          <w:color w:val="0000FF"/>
          <w:sz w:val="24"/>
          <w:szCs w:val="21"/>
          <w:lang w:val="en-US" w:bidi="ar-SA"/>
        </w:rPr>
        <w:t>日止。</w:t>
      </w:r>
      <w:r>
        <w:rPr>
          <w:rFonts w:hint="eastAsia" w:ascii="宋体" w:hAnsi="宋体" w:eastAsia="宋体" w:cs="宋体"/>
          <w:sz w:val="24"/>
          <w:szCs w:val="24"/>
          <w:lang w:val="en-US" w:bidi="ar-SA"/>
        </w:rPr>
        <w:t>（工作日</w:t>
      </w:r>
      <w:r>
        <w:rPr>
          <w:rFonts w:hint="eastAsia" w:cs="宋体"/>
          <w:sz w:val="24"/>
          <w:szCs w:val="24"/>
          <w:lang w:val="en-US" w:eastAsia="zh-CN" w:bidi="ar-SA"/>
        </w:rPr>
        <w:t>10</w:t>
      </w:r>
      <w:r>
        <w:rPr>
          <w:rFonts w:hint="eastAsia" w:ascii="宋体" w:hAnsi="宋体" w:eastAsia="宋体" w:cs="宋体"/>
          <w:sz w:val="24"/>
          <w:szCs w:val="24"/>
          <w:lang w:val="en-US" w:bidi="ar-SA"/>
        </w:rPr>
        <w:t>：</w:t>
      </w:r>
      <w:r>
        <w:rPr>
          <w:rFonts w:hint="eastAsia" w:cs="宋体"/>
          <w:sz w:val="24"/>
          <w:szCs w:val="24"/>
          <w:lang w:val="en-US" w:eastAsia="zh-CN" w:bidi="ar-SA"/>
        </w:rPr>
        <w:t>0</w:t>
      </w:r>
      <w:r>
        <w:rPr>
          <w:rFonts w:hint="eastAsia" w:ascii="宋体" w:hAnsi="宋体" w:eastAsia="宋体" w:cs="宋体"/>
          <w:sz w:val="24"/>
          <w:szCs w:val="24"/>
          <w:lang w:val="en-US" w:bidi="ar-SA"/>
        </w:rPr>
        <w:t>0-1</w:t>
      </w:r>
      <w:r>
        <w:rPr>
          <w:rFonts w:hint="eastAsia" w:cs="宋体"/>
          <w:sz w:val="24"/>
          <w:szCs w:val="24"/>
          <w:lang w:val="en-US" w:eastAsia="zh-CN" w:bidi="ar-SA"/>
        </w:rPr>
        <w:t>4</w:t>
      </w:r>
      <w:r>
        <w:rPr>
          <w:rFonts w:hint="eastAsia" w:ascii="宋体" w:hAnsi="宋体" w:eastAsia="宋体" w:cs="宋体"/>
          <w:sz w:val="24"/>
          <w:szCs w:val="24"/>
          <w:lang w:val="en-US" w:bidi="ar-SA"/>
        </w:rPr>
        <w:t>：</w:t>
      </w:r>
      <w:r>
        <w:rPr>
          <w:rFonts w:hint="eastAsia" w:cs="宋体"/>
          <w:sz w:val="24"/>
          <w:szCs w:val="24"/>
          <w:lang w:val="en-US" w:eastAsia="zh-CN" w:bidi="ar-SA"/>
        </w:rPr>
        <w:t>0</w:t>
      </w:r>
      <w:r>
        <w:rPr>
          <w:rFonts w:hint="eastAsia" w:ascii="宋体" w:hAnsi="宋体" w:eastAsia="宋体" w:cs="宋体"/>
          <w:sz w:val="24"/>
          <w:szCs w:val="24"/>
          <w:lang w:val="en-US" w:bidi="ar-SA"/>
        </w:rPr>
        <w:t>0，</w:t>
      </w:r>
      <w:r>
        <w:rPr>
          <w:rFonts w:hint="eastAsia" w:ascii="宋体" w:hAnsi="宋体" w:eastAsia="宋体" w:cs="宋体"/>
          <w:sz w:val="24"/>
          <w:szCs w:val="24"/>
          <w:lang w:val="en-US" w:eastAsia="zh-CN" w:bidi="ar-SA"/>
        </w:rPr>
        <w:t>16：00</w:t>
      </w:r>
      <w:r>
        <w:rPr>
          <w:rFonts w:hint="eastAsia" w:ascii="宋体" w:hAnsi="宋体" w:eastAsia="宋体" w:cs="宋体"/>
          <w:sz w:val="24"/>
          <w:szCs w:val="24"/>
          <w:lang w:val="en-US" w:bidi="ar-SA"/>
        </w:rPr>
        <w:t>-</w:t>
      </w:r>
      <w:r>
        <w:rPr>
          <w:rFonts w:hint="eastAsia" w:cs="宋体"/>
          <w:sz w:val="24"/>
          <w:szCs w:val="24"/>
          <w:lang w:val="en-US" w:eastAsia="zh-CN" w:bidi="ar-SA"/>
        </w:rPr>
        <w:t>19</w:t>
      </w:r>
      <w:r>
        <w:rPr>
          <w:rFonts w:hint="eastAsia" w:ascii="宋体" w:hAnsi="宋体" w:eastAsia="宋体" w:cs="宋体"/>
          <w:sz w:val="24"/>
          <w:szCs w:val="24"/>
          <w:lang w:val="en-US" w:bidi="ar-SA"/>
        </w:rPr>
        <w:t>：</w:t>
      </w:r>
      <w:r>
        <w:rPr>
          <w:rFonts w:hint="eastAsia" w:cs="宋体"/>
          <w:sz w:val="24"/>
          <w:szCs w:val="24"/>
          <w:lang w:val="en-US" w:eastAsia="zh-CN" w:bidi="ar-SA"/>
        </w:rPr>
        <w:t>3</w:t>
      </w:r>
      <w:r>
        <w:rPr>
          <w:rFonts w:hint="eastAsia" w:ascii="宋体" w:hAnsi="宋体" w:eastAsia="宋体" w:cs="宋体"/>
          <w:sz w:val="24"/>
          <w:szCs w:val="24"/>
          <w:lang w:val="en-US" w:bidi="ar-SA"/>
        </w:rPr>
        <w:t>0）。</w:t>
      </w:r>
    </w:p>
    <w:p>
      <w:pPr>
        <w:adjustRightInd w:val="0"/>
        <w:spacing w:line="360" w:lineRule="auto"/>
        <w:rPr>
          <w:rFonts w:hint="eastAsia" w:ascii="宋体" w:hAnsi="宋体" w:eastAsia="宋体" w:cs="宋体"/>
          <w:bCs/>
          <w:sz w:val="24"/>
          <w:szCs w:val="21"/>
          <w:lang w:val="en-US" w:bidi="ar-SA"/>
        </w:rPr>
      </w:pPr>
      <w:r>
        <w:rPr>
          <w:rFonts w:hint="eastAsia" w:ascii="宋体" w:hAnsi="宋体" w:eastAsia="宋体" w:cs="宋体"/>
          <w:color w:val="000000"/>
          <w:sz w:val="24"/>
          <w:szCs w:val="21"/>
          <w:lang w:val="en-US" w:bidi="ar-SA"/>
        </w:rPr>
        <w:t>十</w:t>
      </w:r>
      <w:r>
        <w:rPr>
          <w:rFonts w:hint="eastAsia" w:cs="宋体"/>
          <w:color w:val="000000"/>
          <w:sz w:val="24"/>
          <w:szCs w:val="21"/>
          <w:lang w:val="en-US" w:eastAsia="zh-CN" w:bidi="ar-SA"/>
        </w:rPr>
        <w:t>一</w:t>
      </w:r>
      <w:r>
        <w:rPr>
          <w:rFonts w:hint="eastAsia" w:ascii="宋体" w:hAnsi="宋体" w:eastAsia="宋体" w:cs="宋体"/>
          <w:color w:val="000000"/>
          <w:sz w:val="24"/>
          <w:szCs w:val="21"/>
          <w:lang w:val="en-US" w:bidi="ar-SA"/>
        </w:rPr>
        <w:t>、获取方式：</w:t>
      </w:r>
      <w:r>
        <w:rPr>
          <w:rFonts w:hint="eastAsia" w:ascii="宋体" w:hAnsi="宋体" w:eastAsia="宋体" w:cs="宋体"/>
          <w:bCs/>
          <w:sz w:val="24"/>
          <w:szCs w:val="21"/>
          <w:lang w:val="en-US" w:bidi="ar-SA"/>
        </w:rPr>
        <w:t>供应商登陆政采云平台http://www.zcygov.cn/在线申请获取采购文件（进入“项目采购”应用，在获取采购文件菜单中选择项目，申请获取采购文件），审核通过后可下载竞争性磋商文件，本次招标不提供纸质版竞争性磋商文件。如有操作性问题，可与政采云热/在线客服进行咨询，咨询电话400-881-7190。</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color w:val="000000" w:themeColor="text1"/>
          <w:sz w:val="24"/>
          <w:szCs w:val="21"/>
          <w:highlight w:val="none"/>
          <w:lang w:val="en-US" w:bidi="ar-SA"/>
          <w14:textFill>
            <w14:solidFill>
              <w14:schemeClr w14:val="tx1"/>
            </w14:solidFill>
          </w14:textFill>
        </w:rPr>
      </w:pPr>
      <w:r>
        <w:rPr>
          <w:rFonts w:hint="eastAsia" w:ascii="宋体" w:hAnsi="宋体" w:eastAsia="宋体" w:cs="宋体"/>
          <w:b/>
          <w:sz w:val="24"/>
          <w:szCs w:val="21"/>
          <w:highlight w:val="none"/>
          <w:lang w:val="en-US" w:bidi="ar-SA"/>
        </w:rPr>
        <w:t>获取磋商文件应上传：</w:t>
      </w:r>
      <w:r>
        <w:rPr>
          <w:rFonts w:hint="eastAsia" w:ascii="宋体" w:hAnsi="宋体" w:eastAsia="宋体" w:cs="宋体"/>
          <w:b/>
          <w:color w:val="000000" w:themeColor="text1"/>
          <w:sz w:val="24"/>
          <w:szCs w:val="21"/>
          <w:highlight w:val="none"/>
          <w:lang w:val="en-US" w:bidi="ar-SA"/>
          <w14:textFill>
            <w14:solidFill>
              <w14:schemeClr w14:val="tx1"/>
            </w14:solidFill>
          </w14:textFill>
        </w:rPr>
        <w:t>（1）营业执照副本原件的扫描件；（2）法定代表人《居民身份证》原件的扫描件或法人授权委托书原件的扫描件及被授权人《居民身份证》原件的扫描件；</w:t>
      </w:r>
    </w:p>
    <w:p>
      <w:pPr>
        <w:adjustRightInd w:val="0"/>
        <w:spacing w:line="360" w:lineRule="auto"/>
        <w:ind w:firstLine="600" w:firstLineChars="250"/>
        <w:rPr>
          <w:rFonts w:hint="eastAsia" w:ascii="宋体" w:hAnsi="宋体" w:eastAsia="宋体" w:cs="宋体"/>
          <w:bCs/>
          <w:sz w:val="24"/>
          <w:szCs w:val="21"/>
          <w:lang w:val="en-US" w:bidi="ar-SA"/>
        </w:rPr>
      </w:pPr>
      <w:r>
        <w:rPr>
          <w:rFonts w:hint="eastAsia" w:ascii="宋体" w:hAnsi="宋体" w:eastAsia="宋体" w:cs="宋体"/>
          <w:bCs/>
          <w:sz w:val="24"/>
          <w:szCs w:val="21"/>
          <w:lang w:val="en-US" w:bidi="ar-SA"/>
        </w:rPr>
        <w:t>提示：供应商只有在“政府采购云平台”完成注册并下载了竞争性磋商文件后才视作依法获取竞争性磋商文件，未在政采云平台上获取竞争性磋商文件的潜在供应商均无资格参加本次磋商。已依法获取竞争性磋商文件的供应商不代表已通过资格审查，资格审查由采购人根据供应商提交的磋商响应文件认定。</w:t>
      </w:r>
    </w:p>
    <w:p>
      <w:pPr>
        <w:adjustRightInd w:val="0"/>
        <w:spacing w:line="440" w:lineRule="exact"/>
        <w:rPr>
          <w:rFonts w:ascii="Times New Roman" w:hAnsi="Times New Roman" w:eastAsia="Times New Roman" w:cs="Times New Roman"/>
          <w:sz w:val="24"/>
          <w:szCs w:val="24"/>
          <w:lang w:val="en-US" w:bidi="ar-SA"/>
        </w:rPr>
      </w:pPr>
      <w:r>
        <w:rPr>
          <w:rFonts w:hint="eastAsia" w:ascii="Times New Roman" w:hAnsi="Times New Roman" w:cs="Times New Roman"/>
          <w:sz w:val="24"/>
          <w:szCs w:val="24"/>
          <w:lang w:val="en-US" w:bidi="ar-SA"/>
        </w:rPr>
        <w:t>十</w:t>
      </w:r>
      <w:r>
        <w:rPr>
          <w:rFonts w:hint="eastAsia" w:ascii="Times New Roman" w:hAnsi="Times New Roman" w:cs="Times New Roman"/>
          <w:sz w:val="24"/>
          <w:szCs w:val="24"/>
          <w:lang w:val="en-US" w:eastAsia="zh-CN" w:bidi="ar-SA"/>
        </w:rPr>
        <w:t>二</w:t>
      </w:r>
      <w:r>
        <w:rPr>
          <w:rFonts w:hint="eastAsia" w:ascii="Times New Roman" w:hAnsi="Times New Roman" w:cs="Times New Roman"/>
          <w:sz w:val="24"/>
          <w:szCs w:val="24"/>
          <w:lang w:val="en-US" w:bidi="ar-SA"/>
        </w:rPr>
        <w:t>、磋商文件发售费用：</w:t>
      </w:r>
      <w:r>
        <w:rPr>
          <w:rFonts w:hint="eastAsia" w:ascii="Times New Roman" w:hAnsi="Times New Roman" w:cs="Times New Roman"/>
          <w:color w:val="000000" w:themeColor="text1"/>
          <w:sz w:val="24"/>
          <w:szCs w:val="24"/>
          <w:lang w:val="en-US" w:bidi="ar-SA"/>
          <w14:textFill>
            <w14:solidFill>
              <w14:schemeClr w14:val="tx1"/>
            </w14:solidFill>
          </w14:textFill>
        </w:rPr>
        <w:t>免费。</w:t>
      </w:r>
    </w:p>
    <w:p>
      <w:pPr>
        <w:adjustRightInd w:val="0"/>
        <w:spacing w:line="440" w:lineRule="exact"/>
        <w:rPr>
          <w:rFonts w:ascii="Times New Roman" w:hAnsi="Times New Roman" w:cs="Times New Roman"/>
          <w:sz w:val="24"/>
          <w:szCs w:val="24"/>
          <w:lang w:val="en-US" w:bidi="ar-SA"/>
        </w:rPr>
      </w:pPr>
      <w:r>
        <w:rPr>
          <w:rFonts w:hint="eastAsia" w:ascii="Times New Roman" w:hAnsi="Times New Roman" w:cs="Times New Roman"/>
          <w:sz w:val="24"/>
          <w:szCs w:val="24"/>
          <w:lang w:val="en-US" w:bidi="ar-SA"/>
        </w:rPr>
        <w:t>十</w:t>
      </w:r>
      <w:r>
        <w:rPr>
          <w:rFonts w:hint="eastAsia" w:ascii="Times New Roman" w:hAnsi="Times New Roman" w:cs="Times New Roman"/>
          <w:sz w:val="24"/>
          <w:szCs w:val="24"/>
          <w:lang w:val="en-US" w:eastAsia="zh-CN" w:bidi="ar-SA"/>
        </w:rPr>
        <w:t>三</w:t>
      </w:r>
      <w:r>
        <w:rPr>
          <w:rFonts w:hint="eastAsia" w:ascii="Times New Roman" w:hAnsi="Times New Roman" w:cs="Times New Roman"/>
          <w:sz w:val="24"/>
          <w:szCs w:val="24"/>
          <w:lang w:val="en-US" w:bidi="ar-SA"/>
        </w:rPr>
        <w:t>、响应文件提交：</w:t>
      </w:r>
    </w:p>
    <w:p>
      <w:pPr>
        <w:adjustRightInd w:val="0"/>
        <w:spacing w:line="440" w:lineRule="exact"/>
        <w:rPr>
          <w:rFonts w:ascii="宋体" w:hAnsi="宋体" w:eastAsia="宋体" w:cs="宋体"/>
          <w:sz w:val="24"/>
          <w:szCs w:val="24"/>
          <w:lang w:val="en-US" w:bidi="ar-SA"/>
        </w:rPr>
      </w:pPr>
      <w:r>
        <w:rPr>
          <w:rFonts w:hint="eastAsia" w:ascii="Times New Roman" w:hAnsi="Times New Roman" w:cs="Times New Roman"/>
          <w:sz w:val="24"/>
          <w:szCs w:val="24"/>
          <w:lang w:val="en-US" w:bidi="ar-SA"/>
        </w:rPr>
        <w:t>截止时间：</w:t>
      </w:r>
      <w:r>
        <w:rPr>
          <w:rFonts w:ascii="Times New Roman" w:hAnsi="Times New Roman" w:cs="Times New Roman"/>
          <w:b/>
          <w:bCs/>
          <w:color w:val="0000FF"/>
          <w:sz w:val="24"/>
          <w:szCs w:val="24"/>
          <w:lang w:val="en-US" w:bidi="ar-SA"/>
        </w:rPr>
        <w:t>202</w:t>
      </w:r>
      <w:r>
        <w:rPr>
          <w:rFonts w:hint="eastAsia" w:ascii="Times New Roman" w:hAnsi="Times New Roman" w:eastAsia="宋体" w:cs="Times New Roman"/>
          <w:b/>
          <w:bCs/>
          <w:color w:val="0000FF"/>
          <w:sz w:val="24"/>
          <w:szCs w:val="24"/>
          <w:lang w:val="en-US" w:eastAsia="zh-CN" w:bidi="ar-SA"/>
        </w:rPr>
        <w:t>2</w:t>
      </w:r>
      <w:r>
        <w:rPr>
          <w:rFonts w:hint="eastAsia" w:ascii="Times New Roman" w:hAnsi="Times New Roman" w:cs="Times New Roman"/>
          <w:b/>
          <w:bCs/>
          <w:color w:val="0000FF"/>
          <w:sz w:val="24"/>
          <w:szCs w:val="24"/>
          <w:lang w:val="en-US" w:bidi="ar-SA"/>
        </w:rPr>
        <w:t>年</w:t>
      </w:r>
      <w:r>
        <w:rPr>
          <w:rFonts w:hint="eastAsia" w:ascii="Times New Roman" w:hAnsi="Times New Roman" w:eastAsia="宋体" w:cs="Times New Roman"/>
          <w:b/>
          <w:bCs/>
          <w:color w:val="0000FF"/>
          <w:sz w:val="24"/>
          <w:szCs w:val="24"/>
          <w:lang w:val="en-US" w:eastAsia="zh-CN" w:bidi="ar-SA"/>
        </w:rPr>
        <w:t>7</w:t>
      </w:r>
      <w:r>
        <w:rPr>
          <w:rFonts w:hint="eastAsia" w:ascii="Times New Roman" w:hAnsi="Times New Roman" w:cs="Times New Roman"/>
          <w:b/>
          <w:bCs/>
          <w:color w:val="0000FF"/>
          <w:sz w:val="24"/>
          <w:szCs w:val="24"/>
          <w:lang w:val="en-US" w:bidi="ar-SA"/>
        </w:rPr>
        <w:t>月</w:t>
      </w:r>
      <w:r>
        <w:rPr>
          <w:rFonts w:hint="eastAsia" w:ascii="Times New Roman" w:hAnsi="Times New Roman" w:cs="Times New Roman"/>
          <w:b/>
          <w:bCs/>
          <w:color w:val="0000FF"/>
          <w:sz w:val="24"/>
          <w:szCs w:val="24"/>
          <w:lang w:val="en-US" w:eastAsia="zh-CN" w:bidi="ar-SA"/>
        </w:rPr>
        <w:t>15</w:t>
      </w:r>
      <w:r>
        <w:rPr>
          <w:rFonts w:hint="eastAsia" w:ascii="Times New Roman" w:hAnsi="Times New Roman" w:cs="Times New Roman"/>
          <w:b/>
          <w:bCs/>
          <w:color w:val="0000FF"/>
          <w:sz w:val="24"/>
          <w:szCs w:val="24"/>
          <w:lang w:val="en-US" w:bidi="ar-SA"/>
        </w:rPr>
        <w:t>日上午</w:t>
      </w:r>
      <w:r>
        <w:rPr>
          <w:rFonts w:ascii="Times New Roman" w:hAnsi="Times New Roman" w:cs="Times New Roman"/>
          <w:b/>
          <w:bCs/>
          <w:color w:val="0000FF"/>
          <w:sz w:val="24"/>
          <w:szCs w:val="24"/>
          <w:lang w:val="en-US" w:bidi="ar-SA"/>
        </w:rPr>
        <w:t xml:space="preserve">10:30 </w:t>
      </w:r>
      <w:r>
        <w:rPr>
          <w:rFonts w:hint="eastAsia" w:ascii="Times New Roman" w:hAnsi="Times New Roman" w:cs="Times New Roman"/>
          <w:b/>
          <w:bCs/>
          <w:color w:val="0000FF"/>
          <w:sz w:val="24"/>
          <w:szCs w:val="24"/>
          <w:lang w:val="en-US" w:bidi="ar-SA"/>
        </w:rPr>
        <w:t>时（北京时间）</w:t>
      </w:r>
      <w:r>
        <w:rPr>
          <w:rFonts w:hint="eastAsia" w:ascii="Times New Roman" w:hAnsi="Times New Roman" w:cs="Times New Roman"/>
          <w:sz w:val="24"/>
          <w:szCs w:val="24"/>
          <w:lang w:val="en-US" w:bidi="ar-SA"/>
        </w:rPr>
        <w:t>。</w:t>
      </w:r>
      <w:r>
        <w:rPr>
          <w:rFonts w:hint="eastAsia" w:ascii="宋体" w:hAnsi="宋体" w:eastAsia="宋体" w:cs="宋体"/>
          <w:sz w:val="24"/>
          <w:szCs w:val="24"/>
          <w:lang w:val="en-US" w:bidi="ar-SA"/>
        </w:rPr>
        <w:t>逾期恕不接受。</w:t>
      </w:r>
    </w:p>
    <w:p>
      <w:pPr>
        <w:adjustRightInd w:val="0"/>
        <w:spacing w:line="440" w:lineRule="exact"/>
        <w:rPr>
          <w:rFonts w:ascii="宋体" w:hAnsi="宋体" w:eastAsia="宋体" w:cs="宋体"/>
          <w:color w:val="000000"/>
          <w:sz w:val="24"/>
          <w:szCs w:val="21"/>
          <w:lang w:val="en-US" w:bidi="ar-SA"/>
        </w:rPr>
      </w:pPr>
      <w:r>
        <w:rPr>
          <w:rFonts w:hint="eastAsia" w:ascii="Times New Roman" w:hAnsi="Times New Roman" w:cs="Times New Roman"/>
          <w:sz w:val="24"/>
          <w:szCs w:val="24"/>
          <w:lang w:val="en-US" w:bidi="ar-SA"/>
        </w:rPr>
        <w:t>地点：</w:t>
      </w:r>
      <w:r>
        <w:rPr>
          <w:rFonts w:hint="eastAsia" w:ascii="宋体" w:hAnsi="宋体" w:eastAsia="宋体" w:cs="宋体"/>
          <w:color w:val="000000"/>
          <w:sz w:val="24"/>
          <w:szCs w:val="21"/>
          <w:lang w:val="en-US" w:bidi="ar-SA"/>
        </w:rPr>
        <w:t>各供应商应在响应文件提交截止时间前，通过“政采云”平台（</w:t>
      </w:r>
      <w:r>
        <w:rPr>
          <w:rFonts w:ascii="宋体" w:hAnsi="宋体" w:eastAsia="宋体" w:cs="宋体"/>
          <w:color w:val="000000"/>
          <w:sz w:val="24"/>
          <w:szCs w:val="21"/>
          <w:lang w:val="en-US" w:bidi="ar-SA"/>
        </w:rPr>
        <w:t>https://www.zcygov.cn</w:t>
      </w:r>
      <w:r>
        <w:rPr>
          <w:rFonts w:hint="eastAsia" w:ascii="宋体" w:hAnsi="宋体" w:eastAsia="宋体" w:cs="宋体"/>
          <w:color w:val="000000"/>
          <w:sz w:val="24"/>
          <w:szCs w:val="21"/>
          <w:lang w:val="en-US" w:bidi="ar-SA"/>
        </w:rPr>
        <w:t>）上传加密的电子响应文件。</w:t>
      </w:r>
    </w:p>
    <w:p>
      <w:pPr>
        <w:adjustRightInd w:val="0"/>
        <w:spacing w:line="440" w:lineRule="exact"/>
        <w:ind w:firstLine="600" w:firstLineChars="250"/>
        <w:rPr>
          <w:rFonts w:ascii="宋体" w:hAnsi="宋体" w:eastAsia="宋体" w:cs="宋体"/>
          <w:color w:val="000000"/>
          <w:sz w:val="24"/>
          <w:szCs w:val="24"/>
          <w:lang w:val="en-US" w:bidi="ar-SA"/>
        </w:rPr>
      </w:pPr>
      <w:r>
        <w:rPr>
          <w:rFonts w:hint="eastAsia" w:ascii="宋体" w:hAnsi="宋体" w:eastAsia="宋体" w:cs="宋体"/>
          <w:color w:val="000000"/>
          <w:sz w:val="24"/>
          <w:szCs w:val="24"/>
          <w:lang w:val="en-US" w:bidi="ar-SA"/>
        </w:rPr>
        <w:t>请各供应商按照本项目磋商文件和政采云平台的要求编制、加密传输响应文件，上传前务必认真检查上传电子响应文件是否完整、正确。供应商在使用系统进行投标的过程中遇到涉及平台使用的任何问题，可致电政采云平台技术支持热线咨询，联系方式：400-881-7190。</w:t>
      </w:r>
    </w:p>
    <w:p>
      <w:pPr>
        <w:widowControl/>
        <w:adjustRightInd w:val="0"/>
        <w:spacing w:line="440" w:lineRule="exact"/>
        <w:rPr>
          <w:rFonts w:ascii="宋体" w:hAnsi="宋体" w:eastAsia="宋体" w:cs="宋体"/>
          <w:sz w:val="24"/>
          <w:szCs w:val="24"/>
          <w:lang w:val="en-US" w:bidi="ar-SA"/>
        </w:rPr>
      </w:pPr>
      <w:r>
        <w:rPr>
          <w:rFonts w:hint="eastAsia" w:ascii="宋体" w:hAnsi="宋体" w:eastAsia="宋体" w:cs="宋体"/>
          <w:color w:val="000000"/>
          <w:sz w:val="24"/>
          <w:szCs w:val="24"/>
          <w:lang w:val="en-US" w:bidi="ar-SA"/>
        </w:rPr>
        <w:t>十</w:t>
      </w:r>
      <w:r>
        <w:rPr>
          <w:rFonts w:hint="eastAsia" w:cs="宋体"/>
          <w:color w:val="000000"/>
          <w:sz w:val="24"/>
          <w:szCs w:val="24"/>
          <w:lang w:val="en-US" w:eastAsia="zh-CN" w:bidi="ar-SA"/>
        </w:rPr>
        <w:t>四</w:t>
      </w:r>
      <w:r>
        <w:rPr>
          <w:rFonts w:hint="eastAsia" w:ascii="宋体" w:hAnsi="宋体" w:eastAsia="宋体" w:cs="宋体"/>
          <w:color w:val="000000"/>
          <w:sz w:val="24"/>
          <w:szCs w:val="24"/>
          <w:lang w:val="en-US" w:bidi="ar-SA"/>
        </w:rPr>
        <w:t xml:space="preserve">、磋商时间及地点： </w:t>
      </w:r>
    </w:p>
    <w:p>
      <w:pPr>
        <w:widowControl/>
        <w:adjustRightInd w:val="0"/>
        <w:spacing w:line="440" w:lineRule="exact"/>
        <w:ind w:firstLine="480" w:firstLineChars="200"/>
        <w:rPr>
          <w:rFonts w:ascii="宋体" w:hAnsi="宋体" w:eastAsia="宋体" w:cs="宋体"/>
          <w:color w:val="FF0000"/>
          <w:sz w:val="24"/>
          <w:szCs w:val="24"/>
          <w:lang w:val="en-US" w:bidi="ar-SA"/>
        </w:rPr>
      </w:pPr>
      <w:r>
        <w:rPr>
          <w:rFonts w:hint="eastAsia" w:ascii="宋体" w:hAnsi="宋体" w:eastAsia="宋体" w:cs="宋体"/>
          <w:color w:val="000000"/>
          <w:sz w:val="24"/>
          <w:szCs w:val="24"/>
          <w:lang w:val="en-US" w:bidi="ar-SA"/>
        </w:rPr>
        <w:t>1、时间：</w:t>
      </w:r>
      <w:r>
        <w:rPr>
          <w:rFonts w:hint="eastAsia" w:ascii="宋体" w:hAnsi="宋体" w:eastAsia="宋体" w:cs="宋体"/>
          <w:b/>
          <w:bCs/>
          <w:color w:val="0000FF"/>
          <w:sz w:val="24"/>
          <w:szCs w:val="24"/>
          <w:lang w:val="en-US" w:bidi="ar-SA"/>
        </w:rPr>
        <w:t>202</w:t>
      </w:r>
      <w:r>
        <w:rPr>
          <w:rFonts w:hint="eastAsia" w:ascii="宋体" w:hAnsi="宋体" w:eastAsia="宋体" w:cs="宋体"/>
          <w:b/>
          <w:bCs/>
          <w:color w:val="0000FF"/>
          <w:sz w:val="24"/>
          <w:szCs w:val="24"/>
          <w:lang w:val="en-US" w:eastAsia="zh-CN" w:bidi="ar-SA"/>
        </w:rPr>
        <w:t>2</w:t>
      </w:r>
      <w:r>
        <w:rPr>
          <w:rFonts w:hint="eastAsia" w:ascii="宋体" w:hAnsi="宋体" w:eastAsia="宋体" w:cs="宋体"/>
          <w:b/>
          <w:bCs/>
          <w:color w:val="0000FF"/>
          <w:sz w:val="24"/>
          <w:szCs w:val="24"/>
          <w:lang w:val="en-US" w:bidi="ar-SA"/>
        </w:rPr>
        <w:t>年</w:t>
      </w:r>
      <w:r>
        <w:rPr>
          <w:rFonts w:hint="eastAsia" w:ascii="宋体" w:hAnsi="宋体" w:eastAsia="宋体" w:cs="宋体"/>
          <w:b/>
          <w:bCs/>
          <w:color w:val="0000FF"/>
          <w:sz w:val="24"/>
          <w:szCs w:val="24"/>
          <w:lang w:val="en-US" w:eastAsia="zh-CN" w:bidi="ar-SA"/>
        </w:rPr>
        <w:t>7</w:t>
      </w:r>
      <w:r>
        <w:rPr>
          <w:rFonts w:hint="eastAsia" w:ascii="宋体" w:hAnsi="宋体" w:eastAsia="宋体" w:cs="宋体"/>
          <w:b/>
          <w:bCs/>
          <w:color w:val="0000FF"/>
          <w:sz w:val="24"/>
          <w:szCs w:val="24"/>
          <w:lang w:val="en-US" w:bidi="ar-SA"/>
        </w:rPr>
        <w:t>月</w:t>
      </w:r>
      <w:r>
        <w:rPr>
          <w:rFonts w:hint="eastAsia" w:cs="宋体"/>
          <w:b/>
          <w:bCs/>
          <w:color w:val="0000FF"/>
          <w:sz w:val="24"/>
          <w:szCs w:val="24"/>
          <w:lang w:val="en-US" w:eastAsia="zh-CN" w:bidi="ar-SA"/>
        </w:rPr>
        <w:t>15</w:t>
      </w:r>
      <w:r>
        <w:rPr>
          <w:rFonts w:hint="eastAsia" w:ascii="宋体" w:hAnsi="宋体" w:eastAsia="宋体" w:cs="宋体"/>
          <w:b/>
          <w:bCs/>
          <w:color w:val="0000FF"/>
          <w:sz w:val="24"/>
          <w:szCs w:val="24"/>
          <w:lang w:val="en-US" w:bidi="ar-SA"/>
        </w:rPr>
        <w:t>日 上午10:30（北京时间)。</w:t>
      </w:r>
    </w:p>
    <w:p>
      <w:pPr>
        <w:adjustRightInd w:val="0"/>
        <w:spacing w:line="440" w:lineRule="exact"/>
        <w:ind w:firstLine="480" w:firstLineChars="200"/>
        <w:rPr>
          <w:rFonts w:ascii="宋体" w:hAnsi="宋体" w:eastAsia="宋体" w:cs="宋体"/>
          <w:color w:val="000000"/>
          <w:sz w:val="24"/>
          <w:szCs w:val="24"/>
          <w:lang w:val="en-US" w:bidi="ar-SA"/>
        </w:rPr>
      </w:pPr>
      <w:r>
        <w:rPr>
          <w:rFonts w:hint="eastAsia" w:ascii="宋体" w:hAnsi="宋体" w:eastAsia="宋体" w:cs="宋体"/>
          <w:color w:val="000000"/>
          <w:sz w:val="24"/>
          <w:szCs w:val="24"/>
          <w:lang w:val="en-US" w:bidi="ar-SA"/>
        </w:rPr>
        <w:t>2、地点：“政采云”平台（https://www.zcygov.cn）线上开标。</w:t>
      </w:r>
    </w:p>
    <w:p>
      <w:pPr>
        <w:adjustRightInd w:val="0"/>
        <w:snapToGrid w:val="0"/>
        <w:spacing w:line="440" w:lineRule="exact"/>
        <w:ind w:firstLine="480" w:firstLineChars="200"/>
        <w:rPr>
          <w:rFonts w:ascii="宋体" w:hAnsi="宋体" w:eastAsia="宋体" w:cs="仿宋"/>
          <w:color w:val="000000"/>
          <w:sz w:val="24"/>
          <w:szCs w:val="24"/>
          <w:lang w:val="en-US" w:bidi="ar-SA"/>
        </w:rPr>
      </w:pPr>
      <w:r>
        <w:rPr>
          <w:rFonts w:hint="eastAsia" w:ascii="宋体" w:hAnsi="宋体" w:eastAsia="宋体" w:cs="仿宋"/>
          <w:color w:val="000000"/>
          <w:sz w:val="24"/>
          <w:szCs w:val="24"/>
          <w:lang w:val="en-US" w:bidi="ar-SA"/>
        </w:rPr>
        <w:t>注意事项：</w:t>
      </w:r>
      <w:r>
        <w:rPr>
          <w:rFonts w:hint="eastAsia" w:ascii="宋体" w:hAnsi="宋体" w:eastAsia="宋体" w:cs="仿宋"/>
          <w:bCs/>
          <w:color w:val="000000"/>
          <w:sz w:val="24"/>
          <w:szCs w:val="24"/>
          <w:lang w:val="en-US" w:bidi="ar-SA"/>
        </w:rPr>
        <w:t>1.</w:t>
      </w:r>
      <w:r>
        <w:rPr>
          <w:rFonts w:hint="eastAsia" w:ascii="宋体" w:hAnsi="宋体" w:eastAsia="宋体" w:cs="宋体"/>
          <w:color w:val="000000"/>
          <w:sz w:val="24"/>
          <w:szCs w:val="24"/>
          <w:lang w:val="en-US" w:bidi="ar-SA"/>
        </w:rPr>
        <w:t xml:space="preserve"> 本项目采用全流程不见面电子开评标</w:t>
      </w:r>
      <w:r>
        <w:rPr>
          <w:rFonts w:hint="eastAsia" w:ascii="宋体" w:hAnsi="宋体" w:eastAsia="宋体" w:cs="仿宋"/>
          <w:bCs/>
          <w:color w:val="000000"/>
          <w:sz w:val="24"/>
          <w:szCs w:val="24"/>
          <w:lang w:val="en-US" w:bidi="ar-SA"/>
        </w:rPr>
        <w:t>，投标供应商需要使用CA加密设备，</w:t>
      </w:r>
      <w:r>
        <w:rPr>
          <w:rFonts w:hint="eastAsia" w:ascii="宋体" w:hAnsi="宋体" w:eastAsia="宋体" w:cs="宋体"/>
          <w:color w:val="000000"/>
          <w:sz w:val="24"/>
          <w:szCs w:val="24"/>
          <w:lang w:val="en-US" w:bidi="ar-SA"/>
        </w:rPr>
        <w:t>供应商可通过新疆数字证书认证中心官网（https://www.xjca.com.cn/）或下载“新疆政务通”APP自行进行申领。</w:t>
      </w:r>
    </w:p>
    <w:p>
      <w:pPr>
        <w:adjustRightInd w:val="0"/>
        <w:snapToGrid w:val="0"/>
        <w:spacing w:line="360" w:lineRule="auto"/>
        <w:ind w:firstLine="480" w:firstLineChars="200"/>
        <w:rPr>
          <w:rFonts w:ascii="宋体" w:hAnsi="宋体" w:eastAsia="宋体" w:cs="宋体"/>
          <w:color w:val="000000"/>
          <w:sz w:val="24"/>
          <w:szCs w:val="24"/>
          <w:lang w:val="en-US" w:bidi="ar-SA"/>
        </w:rPr>
      </w:pPr>
      <w:r>
        <w:rPr>
          <w:rFonts w:hint="eastAsia" w:ascii="宋体" w:hAnsi="宋体" w:eastAsia="宋体" w:cs="宋体"/>
          <w:color w:val="000000"/>
          <w:sz w:val="24"/>
          <w:szCs w:val="24"/>
          <w:lang w:val="en-US" w:bidi="ar-SA"/>
        </w:rPr>
        <w:t xml:space="preserve">2.本项目实行网上投标，采用加密电子投标响应文件(供应商须使用CA加密设备通过政采云电子投标客户端制作投标响应文件)。若供应商参与投标，自行承担投标一切费用。 </w:t>
      </w:r>
    </w:p>
    <w:p>
      <w:pPr>
        <w:adjustRightInd w:val="0"/>
        <w:spacing w:line="360" w:lineRule="auto"/>
        <w:ind w:firstLine="480" w:firstLineChars="200"/>
        <w:rPr>
          <w:rFonts w:ascii="宋体" w:hAnsi="宋体" w:eastAsia="宋体" w:cs="宋体"/>
          <w:color w:val="000000"/>
          <w:sz w:val="24"/>
          <w:szCs w:val="24"/>
          <w:lang w:val="en-US" w:bidi="ar-SA"/>
        </w:rPr>
      </w:pPr>
      <w:r>
        <w:rPr>
          <w:rFonts w:hint="eastAsia" w:ascii="宋体" w:hAnsi="宋体" w:eastAsia="宋体" w:cs="宋体"/>
          <w:color w:val="000000"/>
          <w:sz w:val="24"/>
          <w:szCs w:val="24"/>
          <w:lang w:val="en-US" w:bidi="ar-SA"/>
        </w:rPr>
        <w:t>3.各供应商在开标前应确保成为新疆维吾尔自治区政府采购网正式注册入库供应商，并完成CA数字证书申领。因未注册入库、未办理CA数字证书等原因造成无法投标或投标失败等后果由供应商自行承担。</w:t>
      </w:r>
    </w:p>
    <w:p>
      <w:pPr>
        <w:adjustRightInd w:val="0"/>
        <w:snapToGrid w:val="0"/>
        <w:spacing w:line="360" w:lineRule="auto"/>
        <w:ind w:firstLine="600" w:firstLineChars="250"/>
        <w:rPr>
          <w:rFonts w:ascii="宋体" w:hAnsi="宋体" w:eastAsia="宋体" w:cs="仿宋"/>
          <w:bCs/>
          <w:color w:val="000000"/>
          <w:sz w:val="24"/>
          <w:szCs w:val="24"/>
          <w:lang w:val="en-US" w:bidi="ar-SA"/>
        </w:rPr>
      </w:pPr>
      <w:r>
        <w:rPr>
          <w:rFonts w:hint="eastAsia" w:ascii="宋体" w:hAnsi="宋体" w:eastAsia="宋体" w:cs="仿宋"/>
          <w:bCs/>
          <w:color w:val="000000"/>
          <w:sz w:val="24"/>
          <w:szCs w:val="24"/>
          <w:lang w:val="en-US" w:bidi="ar-SA"/>
        </w:rPr>
        <w:t xml:space="preserve">4.供应商将政采云电子交易客户端下载、安装完成后，可通过账号密码或CA登录客户端进行投标响应文件制作。在使用政采云投标客户端时，建议使用WIN7及以上操作系统。客户端请至新疆政府采购网（http://www.ccgp-xinjiang.gov.cn/）下载专区查看，如有问题可拨打政采云客户服务热线400-881-7190进行咨询。 </w:t>
      </w:r>
    </w:p>
    <w:p>
      <w:pPr>
        <w:adjustRightInd w:val="0"/>
        <w:snapToGrid w:val="0"/>
        <w:spacing w:line="360" w:lineRule="auto"/>
        <w:ind w:firstLine="600" w:firstLineChars="250"/>
        <w:rPr>
          <w:rFonts w:ascii="宋体" w:hAnsi="宋体" w:eastAsia="宋体" w:cs="仿宋"/>
          <w:bCs/>
          <w:color w:val="000000"/>
          <w:sz w:val="24"/>
          <w:szCs w:val="24"/>
          <w:lang w:val="en-US" w:bidi="ar-SA"/>
        </w:rPr>
      </w:pPr>
      <w:r>
        <w:rPr>
          <w:rFonts w:hint="eastAsia" w:ascii="宋体" w:hAnsi="宋体" w:eastAsia="宋体" w:cs="仿宋"/>
          <w:bCs/>
          <w:color w:val="000000"/>
          <w:sz w:val="24"/>
          <w:szCs w:val="24"/>
          <w:lang w:val="en-US" w:bidi="ar-SA"/>
        </w:rPr>
        <w:t xml:space="preserve">5.供应商在开标时须使用制作加密电子投标响应文件所使用的CA锁及电脑，电脑须提前配置好浏览器（建议使用360浏览器或谷歌浏览器），以便开标时解锁。  </w:t>
      </w:r>
    </w:p>
    <w:p>
      <w:pPr>
        <w:widowControl w:val="0"/>
        <w:autoSpaceDE w:val="0"/>
        <w:autoSpaceDN w:val="0"/>
        <w:adjustRightInd w:val="0"/>
        <w:spacing w:line="360" w:lineRule="auto"/>
        <w:ind w:firstLine="600" w:firstLineChars="250"/>
        <w:jc w:val="both"/>
        <w:rPr>
          <w:rFonts w:ascii="宋体" w:hAnsi="宋体" w:eastAsia="宋体" w:cs="仿宋"/>
          <w:bCs/>
          <w:color w:val="000000"/>
          <w:kern w:val="2"/>
          <w:sz w:val="24"/>
          <w:szCs w:val="24"/>
          <w:lang w:val="en-US" w:eastAsia="zh-CN" w:bidi="ar-SA"/>
        </w:rPr>
      </w:pPr>
      <w:r>
        <w:rPr>
          <w:rFonts w:hint="eastAsia" w:ascii="宋体" w:hAnsi="宋体" w:eastAsia="宋体" w:cs="仿宋"/>
          <w:bCs/>
          <w:color w:val="000000"/>
          <w:kern w:val="2"/>
          <w:sz w:val="24"/>
          <w:szCs w:val="24"/>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widowControl w:val="0"/>
        <w:autoSpaceDE w:val="0"/>
        <w:autoSpaceDN w:val="0"/>
        <w:adjustRightInd w:val="0"/>
        <w:spacing w:line="360" w:lineRule="auto"/>
        <w:ind w:firstLine="600" w:firstLineChars="25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7.</w:t>
      </w:r>
      <w:r>
        <w:rPr>
          <w:rFonts w:hint="eastAsia" w:ascii="宋体" w:hAnsi="宋体" w:eastAsia="宋体" w:cs="宋体"/>
          <w:color w:val="000000"/>
          <w:kern w:val="0"/>
          <w:sz w:val="24"/>
          <w:szCs w:val="21"/>
          <w:lang w:val="en-US" w:eastAsia="zh-CN" w:bidi="ar-SA"/>
        </w:rPr>
        <w:t xml:space="preserve"> 为了保证开评标顺利进行，政采云线上开标功能完全实现，供应商开标所使用的电脑设备须具有视频及语音功能。</w:t>
      </w:r>
    </w:p>
    <w:p>
      <w:pPr>
        <w:widowControl/>
        <w:adjustRightInd w:val="0"/>
        <w:spacing w:line="360" w:lineRule="auto"/>
        <w:rPr>
          <w:rFonts w:hint="eastAsia" w:ascii="宋体" w:hAnsi="宋体" w:eastAsia="宋体" w:cs="宋体"/>
          <w:sz w:val="24"/>
          <w:szCs w:val="24"/>
          <w:lang w:val="en-US" w:bidi="ar-SA"/>
        </w:rPr>
      </w:pPr>
      <w:r>
        <w:rPr>
          <w:rFonts w:hint="eastAsia" w:ascii="宋体" w:hAnsi="宋体" w:eastAsia="宋体" w:cs="宋体"/>
          <w:sz w:val="24"/>
          <w:szCs w:val="24"/>
          <w:lang w:val="en-US" w:bidi="ar-SA"/>
        </w:rPr>
        <w:t>十</w:t>
      </w:r>
      <w:r>
        <w:rPr>
          <w:rFonts w:hint="eastAsia" w:cs="宋体"/>
          <w:sz w:val="24"/>
          <w:szCs w:val="24"/>
          <w:lang w:val="en-US" w:eastAsia="zh-CN" w:bidi="ar-SA"/>
        </w:rPr>
        <w:t>五</w:t>
      </w:r>
      <w:r>
        <w:rPr>
          <w:rFonts w:hint="eastAsia" w:ascii="宋体" w:hAnsi="宋体" w:eastAsia="宋体" w:cs="宋体"/>
          <w:sz w:val="24"/>
          <w:szCs w:val="24"/>
          <w:lang w:val="en-US" w:bidi="ar-SA"/>
        </w:rPr>
        <w:t xml:space="preserve">、联系方式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招 标 人：博湖县交通运输局</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 xml:space="preserve">地址：博湖县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联系人：王广君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 xml:space="preserve">联系电话：0996-8898322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kern w:val="0"/>
          <w:sz w:val="24"/>
          <w:szCs w:val="21"/>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招标代理机构：新疆汇力赋能项目管理有限责任公司</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地址：新疆巴州库尔勒市团结辖区兰干路18号吉恒大厦1栋1层01商铺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联系人：方桦柯珺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联系电话：0996-2118336</w:t>
      </w:r>
    </w:p>
    <w:p>
      <w:pPr>
        <w:tabs>
          <w:tab w:val="left" w:pos="7133"/>
        </w:tabs>
        <w:adjustRightInd w:val="0"/>
        <w:spacing w:line="360" w:lineRule="auto"/>
        <w:jc w:val="right"/>
        <w:rPr>
          <w:rFonts w:hint="eastAsia" w:ascii="宋体" w:hAnsi="宋体" w:eastAsia="宋体" w:cs="Times New Roman"/>
          <w:sz w:val="24"/>
          <w:szCs w:val="24"/>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 xml:space="preserve">                                       博湖县交通运输局</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 xml:space="preserve">                               新疆汇力赋能项目管理有限责任公司</w:t>
      </w:r>
    </w:p>
    <w:p>
      <w:pPr>
        <w:keepNext w:val="0"/>
        <w:keepLines w:val="0"/>
        <w:pageBreakBefore w:val="0"/>
        <w:widowControl w:val="0"/>
        <w:kinsoku/>
        <w:wordWrap/>
        <w:overflowPunct/>
        <w:topLinePunct w:val="0"/>
        <w:autoSpaceDE w:val="0"/>
        <w:autoSpaceDN w:val="0"/>
        <w:bidi w:val="0"/>
        <w:adjustRightInd/>
        <w:snapToGrid/>
        <w:spacing w:line="360" w:lineRule="auto"/>
        <w:ind w:left="5240" w:leftChars="200" w:hanging="4800" w:hangingChars="2000"/>
        <w:textAlignment w:val="auto"/>
        <w:rPr>
          <w:rFonts w:hint="eastAsia" w:ascii="宋体" w:hAnsi="宋体" w:eastAsia="宋体" w:cs="Times New Roman"/>
          <w:sz w:val="24"/>
          <w:szCs w:val="24"/>
          <w:lang w:val="en-US" w:bidi="ar-SA"/>
        </w:rPr>
      </w:pPr>
      <w:r>
        <w:rPr>
          <w:rFonts w:hint="eastAsia" w:ascii="宋体" w:hAnsi="宋体" w:eastAsia="宋体" w:cs="宋体"/>
          <w:color w:val="000000"/>
          <w:kern w:val="0"/>
          <w:sz w:val="24"/>
          <w:szCs w:val="21"/>
          <w:lang w:val="en-US" w:eastAsia="zh-CN" w:bidi="ar-SA"/>
        </w:rPr>
        <w:t xml:space="preserve">                                     </w:t>
      </w:r>
      <w:r>
        <w:rPr>
          <w:rFonts w:hint="eastAsia" w:ascii="宋体" w:hAnsi="宋体" w:eastAsia="宋体" w:cs="宋体"/>
          <w:color w:val="FF0000"/>
          <w:kern w:val="0"/>
          <w:sz w:val="24"/>
          <w:szCs w:val="21"/>
          <w:lang w:val="en-US" w:eastAsia="zh-CN" w:bidi="ar-SA"/>
        </w:rPr>
        <w:t xml:space="preserve">  </w:t>
      </w:r>
      <w:r>
        <w:rPr>
          <w:rFonts w:hint="eastAsia" w:ascii="宋体" w:hAnsi="宋体" w:eastAsia="宋体" w:cs="宋体"/>
          <w:color w:val="000000" w:themeColor="text1"/>
          <w:kern w:val="0"/>
          <w:sz w:val="24"/>
          <w:szCs w:val="21"/>
          <w:lang w:val="en-US" w:eastAsia="zh-CN" w:bidi="ar-SA"/>
          <w14:textFill>
            <w14:solidFill>
              <w14:schemeClr w14:val="tx1"/>
            </w14:solidFill>
          </w14:textFill>
        </w:rPr>
        <w:t xml:space="preserve">  2022年</w:t>
      </w:r>
      <w:r>
        <w:rPr>
          <w:rFonts w:hint="eastAsia" w:cs="宋体"/>
          <w:color w:val="000000" w:themeColor="text1"/>
          <w:kern w:val="0"/>
          <w:sz w:val="24"/>
          <w:szCs w:val="21"/>
          <w:lang w:val="en-US" w:eastAsia="zh-CN" w:bidi="ar-SA"/>
          <w14:textFill>
            <w14:solidFill>
              <w14:schemeClr w14:val="tx1"/>
            </w14:solidFill>
          </w14:textFill>
        </w:rPr>
        <w:t>7</w:t>
      </w:r>
      <w:r>
        <w:rPr>
          <w:rFonts w:hint="eastAsia" w:ascii="宋体" w:hAnsi="宋体" w:eastAsia="宋体" w:cs="宋体"/>
          <w:color w:val="000000" w:themeColor="text1"/>
          <w:kern w:val="0"/>
          <w:sz w:val="24"/>
          <w:szCs w:val="21"/>
          <w:lang w:val="en-US" w:eastAsia="zh-CN" w:bidi="ar-SA"/>
          <w14:textFill>
            <w14:solidFill>
              <w14:schemeClr w14:val="tx1"/>
            </w14:solidFill>
          </w14:textFill>
        </w:rPr>
        <w:t>月</w:t>
      </w:r>
      <w:r>
        <w:rPr>
          <w:rFonts w:hint="eastAsia" w:cs="宋体"/>
          <w:color w:val="000000" w:themeColor="text1"/>
          <w:kern w:val="0"/>
          <w:sz w:val="24"/>
          <w:szCs w:val="21"/>
          <w:lang w:val="en-US" w:eastAsia="zh-CN" w:bidi="ar-SA"/>
          <w14:textFill>
            <w14:solidFill>
              <w14:schemeClr w14:val="tx1"/>
            </w14:solidFill>
          </w14:textFill>
        </w:rPr>
        <w:t>1</w:t>
      </w:r>
      <w:r>
        <w:rPr>
          <w:rFonts w:hint="eastAsia" w:ascii="宋体" w:hAnsi="宋体" w:eastAsia="宋体" w:cs="宋体"/>
          <w:color w:val="000000" w:themeColor="text1"/>
          <w:kern w:val="0"/>
          <w:sz w:val="24"/>
          <w:szCs w:val="21"/>
          <w:lang w:val="en-US" w:eastAsia="zh-CN" w:bidi="ar-SA"/>
          <w14:textFill>
            <w14:solidFill>
              <w14:schemeClr w14:val="tx1"/>
            </w14:solidFill>
          </w14:textFill>
        </w:rPr>
        <w:t xml:space="preserve">日 </w:t>
      </w:r>
      <w:r>
        <w:rPr>
          <w:rFonts w:hint="eastAsia" w:ascii="宋体" w:hAnsi="宋体" w:eastAsia="宋体" w:cs="Times New Roman"/>
          <w:color w:val="000000" w:themeColor="text1"/>
          <w:sz w:val="24"/>
          <w:szCs w:val="24"/>
          <w:lang w:val="en-US" w:eastAsia="zh-CN" w:bidi="ar-SA"/>
          <w14:textFill>
            <w14:solidFill>
              <w14:schemeClr w14:val="tx1"/>
            </w14:solidFill>
          </w14:textFill>
        </w:rPr>
        <w:t xml:space="preserve">     </w:t>
      </w:r>
      <w:r>
        <w:rPr>
          <w:rFonts w:hint="eastAsia" w:ascii="宋体" w:hAnsi="宋体" w:eastAsia="宋体" w:cs="Times New Roman"/>
          <w:sz w:val="24"/>
          <w:szCs w:val="24"/>
          <w:lang w:val="en-US" w:eastAsia="zh-CN" w:bidi="ar-SA"/>
        </w:rPr>
        <w:t xml:space="preserve">             </w:t>
      </w:r>
    </w:p>
    <w:p>
      <w:pPr>
        <w:widowControl w:val="0"/>
        <w:kinsoku w:val="0"/>
        <w:overflowPunct w:val="0"/>
        <w:autoSpaceDE w:val="0"/>
        <w:autoSpaceDN w:val="0"/>
        <w:adjustRightInd w:val="0"/>
        <w:spacing w:line="500" w:lineRule="exact"/>
        <w:ind w:left="0"/>
        <w:jc w:val="center"/>
        <w:rPr>
          <w:rFonts w:hint="eastAsia" w:ascii="宋体" w:hAnsi="宋体" w:eastAsia="宋体" w:cs="Times New Roman"/>
          <w:b/>
          <w:spacing w:val="1"/>
          <w:sz w:val="30"/>
          <w:szCs w:val="30"/>
          <w:lang w:val="en-US" w:eastAsia="zh-CN" w:bidi="ar-SA"/>
        </w:rPr>
      </w:pPr>
    </w:p>
    <w:p>
      <w:pPr>
        <w:widowControl w:val="0"/>
        <w:kinsoku w:val="0"/>
        <w:overflowPunct w:val="0"/>
        <w:autoSpaceDE w:val="0"/>
        <w:autoSpaceDN w:val="0"/>
        <w:adjustRightInd w:val="0"/>
        <w:spacing w:line="500" w:lineRule="exact"/>
        <w:ind w:left="0"/>
        <w:jc w:val="center"/>
        <w:rPr>
          <w:rFonts w:hint="eastAsia" w:ascii="宋体" w:hAnsi="宋体" w:eastAsia="宋体" w:cs="Times New Roman"/>
          <w:b/>
          <w:spacing w:val="1"/>
          <w:sz w:val="30"/>
          <w:szCs w:val="30"/>
          <w:lang w:val="en-US" w:eastAsia="zh-CN" w:bidi="ar-SA"/>
        </w:rPr>
      </w:pPr>
    </w:p>
    <w:p>
      <w:pPr>
        <w:widowControl w:val="0"/>
        <w:kinsoku w:val="0"/>
        <w:overflowPunct w:val="0"/>
        <w:autoSpaceDE w:val="0"/>
        <w:autoSpaceDN w:val="0"/>
        <w:adjustRightInd w:val="0"/>
        <w:spacing w:line="500" w:lineRule="exact"/>
        <w:ind w:left="0"/>
        <w:jc w:val="center"/>
        <w:rPr>
          <w:rFonts w:hint="eastAsia" w:ascii="宋体" w:hAnsi="宋体" w:eastAsia="宋体" w:cs="Times New Roman"/>
          <w:b/>
          <w:spacing w:val="1"/>
          <w:sz w:val="30"/>
          <w:szCs w:val="30"/>
          <w:lang w:val="en-US" w:eastAsia="zh-CN" w:bidi="ar-SA"/>
        </w:rPr>
      </w:pPr>
    </w:p>
    <w:p>
      <w:pPr>
        <w:widowControl w:val="0"/>
        <w:kinsoku w:val="0"/>
        <w:overflowPunct w:val="0"/>
        <w:autoSpaceDE w:val="0"/>
        <w:autoSpaceDN w:val="0"/>
        <w:adjustRightInd w:val="0"/>
        <w:spacing w:line="500" w:lineRule="exact"/>
        <w:ind w:left="0"/>
        <w:jc w:val="center"/>
        <w:rPr>
          <w:rFonts w:hint="eastAsia" w:ascii="宋体" w:hAnsi="宋体" w:eastAsia="宋体" w:cs="Times New Roman"/>
          <w:b/>
          <w:spacing w:val="1"/>
          <w:sz w:val="30"/>
          <w:szCs w:val="30"/>
          <w:lang w:val="en-US" w:eastAsia="zh-CN" w:bidi="ar-SA"/>
        </w:rPr>
      </w:pPr>
      <w:r>
        <w:rPr>
          <w:rFonts w:hint="eastAsia" w:ascii="宋体" w:hAnsi="宋体" w:eastAsia="宋体" w:cs="Times New Roman"/>
          <w:b/>
          <w:spacing w:val="1"/>
          <w:sz w:val="30"/>
          <w:szCs w:val="30"/>
          <w:lang w:val="en-US" w:eastAsia="zh-CN" w:bidi="ar-SA"/>
        </w:rPr>
        <w:t>第一章</w:t>
      </w:r>
      <w:r>
        <w:rPr>
          <w:rFonts w:hint="eastAsia" w:ascii="宋体" w:hAnsi="宋体" w:eastAsia="宋体" w:cs="Times New Roman"/>
          <w:b/>
          <w:spacing w:val="1"/>
          <w:sz w:val="30"/>
          <w:szCs w:val="30"/>
          <w:lang w:val="en-US" w:eastAsia="zh-CN" w:bidi="ar-SA"/>
        </w:rPr>
        <w:tab/>
      </w:r>
      <w:r>
        <w:rPr>
          <w:rFonts w:hint="eastAsia" w:ascii="宋体" w:hAnsi="宋体" w:eastAsia="宋体" w:cs="Times New Roman"/>
          <w:b/>
          <w:spacing w:val="1"/>
          <w:sz w:val="30"/>
          <w:szCs w:val="30"/>
          <w:lang w:val="en-US" w:eastAsia="zh-CN" w:bidi="ar-SA"/>
        </w:rPr>
        <w:t>磋商须知前附表及磋商须知</w:t>
      </w:r>
    </w:p>
    <w:p>
      <w:pPr>
        <w:widowControl w:val="0"/>
        <w:kinsoku w:val="0"/>
        <w:overflowPunct w:val="0"/>
        <w:autoSpaceDE w:val="0"/>
        <w:autoSpaceDN w:val="0"/>
        <w:adjustRightInd w:val="0"/>
        <w:ind w:left="0"/>
        <w:rPr>
          <w:rFonts w:ascii="宋体" w:hAnsi="宋体" w:eastAsia="Times New Roman" w:cs="Times New Roman"/>
          <w:sz w:val="20"/>
          <w:szCs w:val="24"/>
          <w:lang w:val="en-US" w:eastAsia="zh-CN" w:bidi="ar-SA"/>
        </w:rPr>
      </w:pPr>
    </w:p>
    <w:p>
      <w:pPr>
        <w:widowControl w:val="0"/>
        <w:kinsoku w:val="0"/>
        <w:overflowPunct w:val="0"/>
        <w:autoSpaceDE w:val="0"/>
        <w:autoSpaceDN w:val="0"/>
        <w:adjustRightInd w:val="0"/>
        <w:spacing w:before="13"/>
        <w:ind w:left="0"/>
        <w:rPr>
          <w:rFonts w:ascii="宋体" w:hAnsi="宋体" w:eastAsia="Times New Roman" w:cs="Times New Roman"/>
          <w:sz w:val="13"/>
          <w:szCs w:val="24"/>
          <w:lang w:val="en-US" w:eastAsia="zh-CN" w:bidi="ar-SA"/>
        </w:rPr>
      </w:pPr>
    </w:p>
    <w:p>
      <w:pPr>
        <w:widowControl w:val="0"/>
        <w:numPr>
          <w:ilvl w:val="0"/>
          <w:numId w:val="2"/>
        </w:numPr>
        <w:kinsoku w:val="0"/>
        <w:overflowPunct w:val="0"/>
        <w:autoSpaceDE w:val="0"/>
        <w:autoSpaceDN w:val="0"/>
        <w:adjustRightInd w:val="0"/>
        <w:spacing w:before="7"/>
        <w:ind w:left="398"/>
        <w:jc w:val="center"/>
        <w:outlineLvl w:val="1"/>
        <w:rPr>
          <w:rFonts w:ascii="宋体" w:hAnsi="宋体" w:eastAsia="Times New Roman" w:cs="Times New Roman"/>
          <w:b/>
          <w:sz w:val="30"/>
          <w:szCs w:val="24"/>
          <w:lang w:val="en-US" w:eastAsia="zh-CN" w:bidi="ar-SA"/>
        </w:rPr>
      </w:pPr>
      <w:r>
        <w:rPr>
          <w:rFonts w:hint="eastAsia" w:ascii="宋体" w:hAnsi="宋体" w:eastAsia="宋体" w:cs="Times New Roman"/>
          <w:b/>
          <w:sz w:val="30"/>
          <w:szCs w:val="24"/>
          <w:lang w:val="en-US" w:eastAsia="zh-CN" w:bidi="ar-SA"/>
        </w:rPr>
        <w:t>磋商须知前附表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6"/>
        <w:gridCol w:w="2142"/>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adjustRightInd w:val="0"/>
              <w:spacing w:line="400" w:lineRule="exact"/>
              <w:jc w:val="center"/>
              <w:rPr>
                <w:rFonts w:ascii="Times New Roman" w:hAnsi="Times New Roman" w:eastAsia="Times New Roman" w:cs="Times New Roman"/>
                <w:b/>
                <w:sz w:val="24"/>
                <w:szCs w:val="24"/>
                <w:lang w:val="en-US" w:bidi="ar-SA"/>
              </w:rPr>
            </w:pPr>
            <w:r>
              <w:rPr>
                <w:rFonts w:hint="eastAsia" w:ascii="宋体" w:hAnsi="宋体" w:cs="Times New Roman"/>
                <w:b/>
                <w:sz w:val="24"/>
                <w:szCs w:val="24"/>
                <w:lang w:val="en-US" w:bidi="ar-SA"/>
              </w:rPr>
              <w:t>条款号</w:t>
            </w:r>
          </w:p>
        </w:tc>
        <w:tc>
          <w:tcPr>
            <w:tcW w:w="2142" w:type="dxa"/>
            <w:vAlign w:val="center"/>
          </w:tcPr>
          <w:p>
            <w:pPr>
              <w:adjustRightInd w:val="0"/>
              <w:spacing w:line="400" w:lineRule="exact"/>
              <w:jc w:val="center"/>
              <w:rPr>
                <w:rFonts w:ascii="Times New Roman" w:hAnsi="Times New Roman" w:eastAsia="Times New Roman" w:cs="Times New Roman"/>
                <w:b/>
                <w:sz w:val="24"/>
                <w:szCs w:val="24"/>
                <w:lang w:val="en-US" w:bidi="ar-SA"/>
              </w:rPr>
            </w:pPr>
            <w:r>
              <w:rPr>
                <w:rFonts w:hint="eastAsia" w:ascii="宋体" w:hAnsi="宋体" w:cs="Times New Roman"/>
                <w:b/>
                <w:sz w:val="24"/>
                <w:szCs w:val="24"/>
                <w:lang w:val="en-US" w:bidi="ar-SA"/>
              </w:rPr>
              <w:t>条款名称</w:t>
            </w:r>
          </w:p>
        </w:tc>
        <w:tc>
          <w:tcPr>
            <w:tcW w:w="6357" w:type="dxa"/>
            <w:vAlign w:val="center"/>
          </w:tcPr>
          <w:p>
            <w:pPr>
              <w:adjustRightInd w:val="0"/>
              <w:spacing w:line="400" w:lineRule="exact"/>
              <w:jc w:val="center"/>
              <w:rPr>
                <w:rFonts w:ascii="Times New Roman" w:hAnsi="Times New Roman" w:eastAsia="Times New Roman" w:cs="Times New Roman"/>
                <w:b/>
                <w:sz w:val="24"/>
                <w:szCs w:val="24"/>
                <w:lang w:val="en-US" w:bidi="ar-SA"/>
              </w:rPr>
            </w:pPr>
            <w:r>
              <w:rPr>
                <w:rFonts w:hint="eastAsia" w:ascii="宋体" w:hAnsi="宋体" w:cs="Times New Roman"/>
                <w:b/>
                <w:sz w:val="24"/>
                <w:szCs w:val="24"/>
                <w:lang w:val="en-US" w:bidi="ar-SA"/>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adjustRightInd w:val="0"/>
              <w:spacing w:line="400" w:lineRule="exact"/>
              <w:jc w:val="center"/>
              <w:rPr>
                <w:rFonts w:ascii="宋体" w:hAnsi="宋体" w:cs="Times New Roman"/>
                <w:sz w:val="24"/>
                <w:szCs w:val="24"/>
                <w:lang w:val="en-US" w:bidi="ar-SA"/>
              </w:rPr>
            </w:pPr>
            <w:r>
              <w:rPr>
                <w:rFonts w:ascii="宋体" w:hAnsi="宋体" w:cs="Times New Roman"/>
                <w:sz w:val="24"/>
                <w:szCs w:val="24"/>
                <w:lang w:val="en-US" w:bidi="ar-SA"/>
              </w:rPr>
              <w:t>1</w:t>
            </w:r>
          </w:p>
        </w:tc>
        <w:tc>
          <w:tcPr>
            <w:tcW w:w="2142" w:type="dxa"/>
            <w:vAlign w:val="center"/>
          </w:tcPr>
          <w:p>
            <w:pPr>
              <w:adjustRightInd w:val="0"/>
              <w:spacing w:line="400" w:lineRule="exact"/>
              <w:jc w:val="center"/>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采购人</w:t>
            </w:r>
          </w:p>
        </w:tc>
        <w:tc>
          <w:tcPr>
            <w:tcW w:w="6357"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sz w:val="24"/>
                <w:szCs w:val="24"/>
                <w:lang w:val="en-US" w:bidi="ar-SA"/>
              </w:rPr>
              <w:t>名称：</w:t>
            </w:r>
            <w:r>
              <w:rPr>
                <w:rFonts w:hint="eastAsia" w:ascii="宋体" w:hAnsi="宋体" w:eastAsia="宋体" w:cs="宋体"/>
                <w:color w:val="000000"/>
                <w:kern w:val="0"/>
                <w:sz w:val="24"/>
                <w:szCs w:val="21"/>
                <w:lang w:val="en-US" w:eastAsia="zh-CN" w:bidi="ar-SA"/>
              </w:rPr>
              <w:t>博湖县交通运输局</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bidi="ar-SA"/>
              </w:rPr>
              <w:t>地址：</w:t>
            </w:r>
            <w:r>
              <w:rPr>
                <w:rFonts w:hint="eastAsia" w:ascii="宋体" w:hAnsi="宋体" w:eastAsia="宋体" w:cs="宋体"/>
                <w:color w:val="000000"/>
                <w:sz w:val="24"/>
                <w:szCs w:val="24"/>
                <w:lang w:val="en-US" w:eastAsia="zh-CN" w:bidi="ar-SA"/>
              </w:rPr>
              <w:t>博湖县</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color w:val="000000"/>
                <w:sz w:val="24"/>
                <w:szCs w:val="24"/>
                <w:lang w:val="en-US" w:bidi="ar-SA"/>
              </w:rPr>
            </w:pPr>
            <w:r>
              <w:rPr>
                <w:rFonts w:hint="eastAsia" w:ascii="宋体" w:hAnsi="宋体" w:eastAsia="宋体" w:cs="宋体"/>
                <w:color w:val="000000"/>
                <w:sz w:val="24"/>
                <w:szCs w:val="24"/>
                <w:lang w:val="en-US" w:bidi="ar-SA"/>
              </w:rPr>
              <w:t>联系人：</w:t>
            </w:r>
            <w:r>
              <w:rPr>
                <w:rFonts w:hint="eastAsia" w:ascii="宋体" w:hAnsi="宋体" w:eastAsia="宋体" w:cs="宋体"/>
                <w:color w:val="000000"/>
                <w:kern w:val="0"/>
                <w:sz w:val="24"/>
                <w:szCs w:val="21"/>
                <w:lang w:val="en-US" w:eastAsia="zh-CN" w:bidi="ar-SA"/>
              </w:rPr>
              <w:t>王广君</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宋体" w:hAnsi="Times New Roman" w:eastAsia="Times New Roman" w:cs="Times New Roman"/>
                <w:sz w:val="24"/>
                <w:szCs w:val="24"/>
                <w:lang w:val="en-US" w:bidi="ar-SA"/>
              </w:rPr>
            </w:pPr>
            <w:r>
              <w:rPr>
                <w:rFonts w:hint="eastAsia" w:ascii="宋体" w:hAnsi="宋体" w:eastAsia="宋体" w:cs="宋体"/>
                <w:color w:val="000000"/>
                <w:sz w:val="24"/>
                <w:szCs w:val="24"/>
                <w:lang w:val="en-US" w:bidi="ar-SA"/>
              </w:rPr>
              <w:t>电话：</w:t>
            </w:r>
            <w:r>
              <w:rPr>
                <w:rFonts w:hint="eastAsia" w:ascii="宋体" w:hAnsi="宋体" w:eastAsia="宋体" w:cs="宋体"/>
                <w:color w:val="000000"/>
                <w:kern w:val="0"/>
                <w:sz w:val="24"/>
                <w:szCs w:val="21"/>
                <w:lang w:val="en-US" w:eastAsia="zh-CN" w:bidi="ar-SA"/>
              </w:rPr>
              <w:t xml:space="preserve">0996-8898322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adjustRightInd w:val="0"/>
              <w:spacing w:line="400" w:lineRule="exact"/>
              <w:jc w:val="center"/>
              <w:rPr>
                <w:rFonts w:ascii="宋体" w:hAnsi="宋体" w:cs="Times New Roman"/>
                <w:sz w:val="24"/>
                <w:szCs w:val="24"/>
                <w:lang w:val="en-US" w:bidi="ar-SA"/>
              </w:rPr>
            </w:pPr>
            <w:r>
              <w:rPr>
                <w:rFonts w:ascii="宋体" w:hAnsi="宋体" w:cs="Times New Roman"/>
                <w:sz w:val="24"/>
                <w:szCs w:val="24"/>
                <w:lang w:val="en-US" w:bidi="ar-SA"/>
              </w:rPr>
              <w:t>2</w:t>
            </w:r>
          </w:p>
        </w:tc>
        <w:tc>
          <w:tcPr>
            <w:tcW w:w="2142" w:type="dxa"/>
            <w:vAlign w:val="center"/>
          </w:tcPr>
          <w:p>
            <w:pPr>
              <w:adjustRightInd w:val="0"/>
              <w:spacing w:line="400" w:lineRule="exact"/>
              <w:jc w:val="center"/>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招标代理机构</w:t>
            </w:r>
          </w:p>
        </w:tc>
        <w:tc>
          <w:tcPr>
            <w:tcW w:w="6357"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bidi="ar-SA"/>
              </w:rPr>
              <w:t>名称：</w:t>
            </w:r>
            <w:r>
              <w:rPr>
                <w:rFonts w:hint="eastAsia" w:ascii="宋体" w:hAnsi="宋体" w:eastAsia="宋体" w:cs="宋体"/>
                <w:color w:val="000000"/>
                <w:sz w:val="24"/>
                <w:szCs w:val="24"/>
                <w:lang w:val="en-US" w:eastAsia="zh-CN" w:bidi="ar-SA"/>
              </w:rPr>
              <w:t>新疆汇力赋能项目管理有限责任公司</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000000"/>
                <w:sz w:val="24"/>
                <w:szCs w:val="24"/>
                <w:lang w:val="en-US" w:bidi="ar-SA"/>
              </w:rPr>
            </w:pPr>
            <w:r>
              <w:rPr>
                <w:rFonts w:hint="eastAsia" w:ascii="宋体" w:hAnsi="宋体" w:eastAsia="宋体" w:cs="宋体"/>
                <w:color w:val="000000"/>
                <w:sz w:val="24"/>
                <w:szCs w:val="24"/>
                <w:lang w:val="en-US" w:bidi="ar-SA"/>
              </w:rPr>
              <w:t>地址：</w:t>
            </w:r>
            <w:r>
              <w:rPr>
                <w:rFonts w:hint="eastAsia" w:ascii="宋体" w:hAnsi="宋体" w:eastAsia="宋体" w:cs="宋体"/>
                <w:color w:val="000000"/>
                <w:sz w:val="24"/>
                <w:szCs w:val="24"/>
                <w:lang w:val="en-US" w:eastAsia="zh-CN" w:bidi="ar-SA"/>
              </w:rPr>
              <w:t>新疆巴州库尔勒市团结辖区兰干路18号吉恒大厦1栋1层01商铺</w:t>
            </w:r>
            <w:r>
              <w:rPr>
                <w:rFonts w:hint="eastAsia" w:ascii="宋体" w:hAnsi="宋体" w:eastAsia="宋体" w:cs="宋体"/>
                <w:color w:val="000000"/>
                <w:sz w:val="24"/>
                <w:szCs w:val="24"/>
                <w:lang w:val="en-US"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000000"/>
                <w:sz w:val="24"/>
                <w:szCs w:val="24"/>
                <w:lang w:val="en-US" w:bidi="ar-SA"/>
              </w:rPr>
            </w:pPr>
            <w:r>
              <w:rPr>
                <w:rFonts w:hint="eastAsia" w:ascii="宋体" w:hAnsi="宋体" w:eastAsia="宋体" w:cs="宋体"/>
                <w:color w:val="000000"/>
                <w:sz w:val="24"/>
                <w:szCs w:val="24"/>
                <w:lang w:val="en-US" w:bidi="ar-SA"/>
              </w:rPr>
              <w:t>联系人：</w:t>
            </w:r>
            <w:r>
              <w:rPr>
                <w:rFonts w:hint="eastAsia" w:ascii="宋体" w:hAnsi="宋体" w:eastAsia="宋体" w:cs="宋体"/>
                <w:color w:val="000000"/>
                <w:sz w:val="24"/>
                <w:szCs w:val="24"/>
                <w:lang w:val="en-US" w:eastAsia="zh-CN" w:bidi="ar-SA"/>
              </w:rPr>
              <w:t>方桦柯珺</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Times New Roman" w:eastAsia="Times New Roman" w:cs="Times New Roman"/>
                <w:sz w:val="24"/>
                <w:szCs w:val="24"/>
                <w:lang w:val="en-US" w:bidi="ar-SA"/>
              </w:rPr>
            </w:pPr>
            <w:r>
              <w:rPr>
                <w:rFonts w:hint="eastAsia" w:ascii="宋体" w:hAnsi="宋体" w:eastAsia="宋体" w:cs="宋体"/>
                <w:color w:val="000000"/>
                <w:sz w:val="24"/>
                <w:szCs w:val="24"/>
                <w:lang w:val="en-US" w:bidi="ar-SA"/>
              </w:rPr>
              <w:t>电话：</w:t>
            </w:r>
            <w:r>
              <w:rPr>
                <w:rFonts w:hint="eastAsia" w:ascii="宋体" w:hAnsi="宋体" w:eastAsia="宋体" w:cs="宋体"/>
                <w:color w:val="000000"/>
                <w:sz w:val="24"/>
                <w:szCs w:val="24"/>
                <w:lang w:val="en-US" w:eastAsia="zh-CN" w:bidi="ar-SA"/>
              </w:rPr>
              <w:t>0996-2118336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adjustRightInd w:val="0"/>
              <w:spacing w:line="400" w:lineRule="exact"/>
              <w:jc w:val="center"/>
              <w:rPr>
                <w:rFonts w:ascii="宋体" w:hAnsi="宋体" w:cs="Times New Roman"/>
                <w:sz w:val="24"/>
                <w:szCs w:val="24"/>
                <w:lang w:val="en-US" w:bidi="ar-SA"/>
              </w:rPr>
            </w:pPr>
            <w:r>
              <w:rPr>
                <w:rFonts w:ascii="宋体" w:hAnsi="宋体" w:cs="Times New Roman"/>
                <w:sz w:val="24"/>
                <w:szCs w:val="24"/>
                <w:lang w:val="en-US" w:bidi="ar-SA"/>
              </w:rPr>
              <w:t>3</w:t>
            </w:r>
          </w:p>
        </w:tc>
        <w:tc>
          <w:tcPr>
            <w:tcW w:w="2142" w:type="dxa"/>
            <w:vAlign w:val="center"/>
          </w:tcPr>
          <w:p>
            <w:pPr>
              <w:adjustRightInd w:val="0"/>
              <w:spacing w:line="400" w:lineRule="exact"/>
              <w:jc w:val="center"/>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项目名称</w:t>
            </w:r>
          </w:p>
        </w:tc>
        <w:tc>
          <w:tcPr>
            <w:tcW w:w="6357"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ascii="宋体" w:hAnsi="Times New Roman" w:eastAsia="Times New Roman" w:cs="Times New Roman"/>
                <w:sz w:val="24"/>
                <w:szCs w:val="24"/>
                <w:lang w:val="en-US" w:bidi="ar-SA"/>
              </w:rPr>
            </w:pPr>
            <w:r>
              <w:rPr>
                <w:rFonts w:hint="eastAsia" w:ascii="Times New Roman" w:hAnsi="Times New Roman" w:eastAsia="宋体" w:cs="Times New Roman"/>
                <w:sz w:val="24"/>
                <w:szCs w:val="24"/>
                <w:lang w:val="en-US" w:eastAsia="zh-CN" w:bidi="ar-SA"/>
              </w:rPr>
              <w:t>博湖县2022年度北山牧道修缮工程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37" w:type="dxa"/>
            <w:gridSpan w:val="2"/>
            <w:vAlign w:val="center"/>
          </w:tcPr>
          <w:p>
            <w:pPr>
              <w:adjustRightInd w:val="0"/>
              <w:spacing w:line="400" w:lineRule="exact"/>
              <w:jc w:val="center"/>
              <w:rPr>
                <w:rFonts w:ascii="宋体" w:hAnsi="宋体" w:cs="Times New Roman"/>
                <w:sz w:val="24"/>
                <w:szCs w:val="24"/>
                <w:lang w:val="en-US" w:bidi="ar-SA"/>
              </w:rPr>
            </w:pPr>
            <w:r>
              <w:rPr>
                <w:rFonts w:ascii="宋体" w:hAnsi="宋体" w:cs="Times New Roman"/>
                <w:sz w:val="24"/>
                <w:szCs w:val="24"/>
                <w:lang w:val="en-US" w:bidi="ar-SA"/>
              </w:rPr>
              <w:t>4</w:t>
            </w:r>
          </w:p>
        </w:tc>
        <w:tc>
          <w:tcPr>
            <w:tcW w:w="2142" w:type="dxa"/>
            <w:vAlign w:val="center"/>
          </w:tcPr>
          <w:p>
            <w:pPr>
              <w:adjustRightInd w:val="0"/>
              <w:spacing w:line="400" w:lineRule="exact"/>
              <w:jc w:val="center"/>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建设地点</w:t>
            </w:r>
          </w:p>
        </w:tc>
        <w:tc>
          <w:tcPr>
            <w:tcW w:w="6357" w:type="dxa"/>
            <w:vAlign w:val="center"/>
          </w:tcPr>
          <w:p>
            <w:pPr>
              <w:adjustRightInd w:val="0"/>
              <w:spacing w:line="400" w:lineRule="exact"/>
              <w:rPr>
                <w:rFonts w:hint="eastAsia" w:ascii="Times New Roman" w:hAnsi="Times New Roman" w:eastAsia="宋体" w:cs="Times New Roman"/>
                <w:sz w:val="24"/>
                <w:szCs w:val="24"/>
                <w:lang w:val="en-US" w:eastAsia="zh-CN" w:bidi="ar-SA"/>
              </w:rPr>
            </w:pPr>
            <w:r>
              <w:rPr>
                <w:rFonts w:hint="eastAsia" w:ascii="宋体" w:hAnsi="宋体" w:cs="Times New Roman"/>
                <w:sz w:val="24"/>
                <w:szCs w:val="24"/>
                <w:lang w:val="en-US" w:eastAsia="zh-CN" w:bidi="ar-SA"/>
              </w:rPr>
              <w:t>博湖县境内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adjustRightInd w:val="0"/>
              <w:spacing w:line="400" w:lineRule="exact"/>
              <w:jc w:val="center"/>
              <w:rPr>
                <w:rFonts w:ascii="宋体" w:hAnsi="宋体" w:cs="Times New Roman"/>
                <w:sz w:val="24"/>
                <w:szCs w:val="24"/>
                <w:lang w:val="en-US" w:bidi="ar-SA"/>
              </w:rPr>
            </w:pPr>
            <w:r>
              <w:rPr>
                <w:rFonts w:ascii="宋体" w:hAnsi="宋体" w:cs="Times New Roman"/>
                <w:sz w:val="24"/>
                <w:szCs w:val="24"/>
                <w:lang w:val="en-US" w:bidi="ar-SA"/>
              </w:rPr>
              <w:t>5</w:t>
            </w:r>
          </w:p>
        </w:tc>
        <w:tc>
          <w:tcPr>
            <w:tcW w:w="2142" w:type="dxa"/>
            <w:vAlign w:val="center"/>
          </w:tcPr>
          <w:p>
            <w:pPr>
              <w:adjustRightInd w:val="0"/>
              <w:spacing w:line="400" w:lineRule="exact"/>
              <w:jc w:val="center"/>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资金来源</w:t>
            </w:r>
          </w:p>
        </w:tc>
        <w:tc>
          <w:tcPr>
            <w:tcW w:w="6357" w:type="dxa"/>
            <w:vAlign w:val="center"/>
          </w:tcPr>
          <w:p>
            <w:pPr>
              <w:adjustRightInd w:val="0"/>
              <w:spacing w:line="400" w:lineRule="exact"/>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巩固拓展脱贫攻坚成果和乡村振兴资金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adjustRightInd w:val="0"/>
              <w:spacing w:line="400" w:lineRule="exact"/>
              <w:jc w:val="center"/>
              <w:rPr>
                <w:rFonts w:ascii="宋体" w:hAnsi="宋体" w:cs="Times New Roman"/>
                <w:sz w:val="24"/>
                <w:szCs w:val="24"/>
                <w:lang w:val="en-US" w:bidi="ar-SA"/>
              </w:rPr>
            </w:pPr>
            <w:r>
              <w:rPr>
                <w:rFonts w:ascii="宋体" w:hAnsi="宋体" w:cs="Times New Roman"/>
                <w:sz w:val="24"/>
                <w:szCs w:val="24"/>
                <w:lang w:val="en-US" w:bidi="ar-SA"/>
              </w:rPr>
              <w:t>6</w:t>
            </w:r>
          </w:p>
        </w:tc>
        <w:tc>
          <w:tcPr>
            <w:tcW w:w="2142" w:type="dxa"/>
            <w:vAlign w:val="center"/>
          </w:tcPr>
          <w:p>
            <w:pPr>
              <w:adjustRightInd w:val="0"/>
              <w:spacing w:line="400" w:lineRule="exact"/>
              <w:jc w:val="center"/>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出资比例</w:t>
            </w:r>
          </w:p>
        </w:tc>
        <w:tc>
          <w:tcPr>
            <w:tcW w:w="6357" w:type="dxa"/>
            <w:vAlign w:val="center"/>
          </w:tcPr>
          <w:p>
            <w:pPr>
              <w:adjustRightInd w:val="0"/>
              <w:spacing w:line="400" w:lineRule="exact"/>
              <w:rPr>
                <w:rFonts w:ascii="宋体" w:hAnsi="宋体" w:cs="Times New Roman"/>
                <w:sz w:val="24"/>
                <w:szCs w:val="24"/>
                <w:lang w:val="en-US" w:bidi="ar-SA"/>
              </w:rPr>
            </w:pPr>
            <w:r>
              <w:rPr>
                <w:rFonts w:ascii="宋体" w:hAnsi="宋体" w:cs="Times New Roman"/>
                <w:sz w:val="24"/>
                <w:szCs w:val="24"/>
                <w:lang w:val="en-US"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adjustRightInd w:val="0"/>
              <w:spacing w:line="400" w:lineRule="exact"/>
              <w:jc w:val="center"/>
              <w:rPr>
                <w:rFonts w:ascii="宋体" w:hAnsi="宋体" w:cs="Times New Roman"/>
                <w:sz w:val="24"/>
                <w:szCs w:val="24"/>
                <w:lang w:val="en-US" w:bidi="ar-SA"/>
              </w:rPr>
            </w:pPr>
            <w:r>
              <w:rPr>
                <w:rFonts w:ascii="宋体" w:hAnsi="宋体" w:cs="Times New Roman"/>
                <w:sz w:val="24"/>
                <w:szCs w:val="24"/>
                <w:lang w:val="en-US" w:bidi="ar-SA"/>
              </w:rPr>
              <w:t>7</w:t>
            </w:r>
          </w:p>
        </w:tc>
        <w:tc>
          <w:tcPr>
            <w:tcW w:w="2142" w:type="dxa"/>
            <w:vAlign w:val="center"/>
          </w:tcPr>
          <w:p>
            <w:pPr>
              <w:adjustRightInd w:val="0"/>
              <w:spacing w:line="400" w:lineRule="exact"/>
              <w:jc w:val="center"/>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资金落实情况</w:t>
            </w:r>
          </w:p>
        </w:tc>
        <w:tc>
          <w:tcPr>
            <w:tcW w:w="6357" w:type="dxa"/>
            <w:vAlign w:val="center"/>
          </w:tcPr>
          <w:p>
            <w:pPr>
              <w:adjustRightInd w:val="0"/>
              <w:spacing w:line="400" w:lineRule="exact"/>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adjustRightInd w:val="0"/>
              <w:spacing w:line="400" w:lineRule="exact"/>
              <w:jc w:val="center"/>
              <w:rPr>
                <w:rFonts w:ascii="宋体" w:hAnsi="宋体" w:cs="Times New Roman"/>
                <w:sz w:val="24"/>
                <w:szCs w:val="24"/>
                <w:lang w:val="en-US" w:bidi="ar-SA"/>
              </w:rPr>
            </w:pPr>
            <w:r>
              <w:rPr>
                <w:rFonts w:ascii="宋体" w:hAnsi="宋体" w:cs="Times New Roman"/>
                <w:sz w:val="24"/>
                <w:szCs w:val="24"/>
                <w:lang w:val="en-US" w:bidi="ar-SA"/>
              </w:rPr>
              <w:t>8</w:t>
            </w:r>
          </w:p>
        </w:tc>
        <w:tc>
          <w:tcPr>
            <w:tcW w:w="2142" w:type="dxa"/>
            <w:vAlign w:val="center"/>
          </w:tcPr>
          <w:p>
            <w:pPr>
              <w:widowControl w:val="0"/>
              <w:autoSpaceDE w:val="0"/>
              <w:autoSpaceDN w:val="0"/>
              <w:adjustRightInd w:val="0"/>
              <w:spacing w:line="400" w:lineRule="exact"/>
              <w:jc w:val="center"/>
              <w:rPr>
                <w:rFonts w:ascii="宋体" w:hAnsi="宋体" w:eastAsia="Times New Roman" w:cs="Times New Roman"/>
                <w:sz w:val="24"/>
                <w:szCs w:val="24"/>
                <w:lang w:val="en-US" w:eastAsia="zh-CN" w:bidi="ar-SA"/>
              </w:rPr>
            </w:pPr>
            <w:r>
              <w:rPr>
                <w:rFonts w:hint="eastAsia" w:ascii="宋体" w:hAnsi="宋体" w:eastAsia="宋体" w:cs="Times New Roman"/>
                <w:sz w:val="24"/>
                <w:szCs w:val="24"/>
                <w:lang w:val="en-US" w:eastAsia="zh-CN" w:bidi="ar-SA"/>
              </w:rPr>
              <w:t>采购预算、内容</w:t>
            </w:r>
          </w:p>
          <w:p>
            <w:pPr>
              <w:widowControl w:val="0"/>
              <w:autoSpaceDE w:val="0"/>
              <w:autoSpaceDN w:val="0"/>
              <w:adjustRightInd w:val="0"/>
              <w:spacing w:line="400" w:lineRule="exact"/>
              <w:jc w:val="center"/>
              <w:rPr>
                <w:rFonts w:ascii="宋体" w:hAnsi="宋体" w:eastAsia="Times New Roman" w:cs="Times New Roman"/>
                <w:sz w:val="24"/>
                <w:szCs w:val="24"/>
                <w:lang w:val="en-US" w:eastAsia="zh-CN" w:bidi="ar-SA"/>
              </w:rPr>
            </w:pPr>
            <w:r>
              <w:rPr>
                <w:rFonts w:hint="eastAsia" w:ascii="宋体" w:hAnsi="宋体" w:eastAsia="宋体" w:cs="Times New Roman"/>
                <w:sz w:val="24"/>
                <w:szCs w:val="24"/>
                <w:lang w:val="en-US" w:eastAsia="zh-CN" w:bidi="ar-SA"/>
              </w:rPr>
              <w:t>及范围</w:t>
            </w:r>
          </w:p>
        </w:tc>
        <w:tc>
          <w:tcPr>
            <w:tcW w:w="6357" w:type="dxa"/>
            <w:vAlign w:val="center"/>
          </w:tcPr>
          <w:p>
            <w:pPr>
              <w:adjustRightInd w:val="0"/>
              <w:spacing w:line="400" w:lineRule="exact"/>
              <w:rPr>
                <w:rFonts w:hint="eastAsia" w:ascii="宋体" w:hAnsi="宋体" w:cs="Times New Roman"/>
                <w:sz w:val="24"/>
                <w:szCs w:val="24"/>
                <w:lang w:val="en-US" w:eastAsia="zh-CN" w:bidi="ar-SA"/>
              </w:rPr>
            </w:pPr>
            <w:r>
              <w:rPr>
                <w:rFonts w:hint="eastAsia" w:ascii="宋体" w:hAnsi="宋体" w:cs="Times New Roman"/>
                <w:sz w:val="24"/>
                <w:szCs w:val="24"/>
                <w:lang w:val="en-US" w:eastAsia="zh-CN" w:bidi="ar-SA"/>
              </w:rPr>
              <w:t>采购预算：96.8万元。</w:t>
            </w:r>
          </w:p>
          <w:p>
            <w:pPr>
              <w:adjustRightInd w:val="0"/>
              <w:spacing w:line="400" w:lineRule="exact"/>
              <w:rPr>
                <w:rFonts w:hint="eastAsia" w:ascii="宋体" w:hAnsi="宋体" w:cs="Times New Roman"/>
                <w:sz w:val="24"/>
                <w:szCs w:val="24"/>
                <w:lang w:val="en-US" w:eastAsia="zh-CN" w:bidi="ar-SA"/>
              </w:rPr>
            </w:pPr>
            <w:r>
              <w:rPr>
                <w:rFonts w:hint="eastAsia" w:ascii="宋体" w:hAnsi="宋体" w:cs="Times New Roman"/>
                <w:sz w:val="24"/>
                <w:szCs w:val="24"/>
                <w:lang w:val="en-US" w:eastAsia="zh-CN" w:bidi="ar-SA"/>
              </w:rPr>
              <w:t>最高投标限价：96.8万元，投标报价不得高于最高投标限价，否则响应文件将被拒绝。</w:t>
            </w:r>
          </w:p>
          <w:p>
            <w:pPr>
              <w:adjustRightInd w:val="0"/>
              <w:spacing w:line="400" w:lineRule="exact"/>
              <w:rPr>
                <w:rFonts w:hint="eastAsia" w:ascii="宋体" w:hAnsi="宋体" w:cs="Times New Roman"/>
                <w:sz w:val="24"/>
                <w:szCs w:val="24"/>
                <w:lang w:val="en-US" w:eastAsia="zh-CN" w:bidi="ar-SA"/>
              </w:rPr>
            </w:pPr>
            <w:r>
              <w:rPr>
                <w:rFonts w:hint="eastAsia" w:ascii="宋体" w:hAnsi="宋体" w:cs="Times New Roman"/>
                <w:sz w:val="24"/>
                <w:szCs w:val="24"/>
                <w:lang w:val="en-US" w:eastAsia="zh-CN" w:bidi="ar-SA"/>
              </w:rPr>
              <w:t>建设规模：由1条线组成，路线全长8.167Km，采用公路等级为四级公路。本项目划分为一个合同段。</w:t>
            </w:r>
          </w:p>
          <w:p>
            <w:pPr>
              <w:adjustRightInd w:val="0"/>
              <w:spacing w:line="400" w:lineRule="exact"/>
              <w:rPr>
                <w:rFonts w:hint="eastAsia" w:ascii="宋体" w:hAnsi="宋体" w:cs="Times New Roman"/>
                <w:sz w:val="24"/>
                <w:szCs w:val="24"/>
                <w:lang w:val="en-US" w:eastAsia="zh-CN" w:bidi="ar-SA"/>
              </w:rPr>
            </w:pPr>
            <w:r>
              <w:rPr>
                <w:rFonts w:hint="eastAsia" w:ascii="宋体" w:hAnsi="宋体" w:cs="Times New Roman"/>
                <w:sz w:val="24"/>
                <w:szCs w:val="24"/>
                <w:lang w:val="en-US" w:eastAsia="zh-CN" w:bidi="ar-SA"/>
              </w:rPr>
              <w:t>采购范围：博湖县2022年度北山牧道修缮工程施工，包括对以上合同段路基路面、过水路面及安全设施等进行施工。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gridSpan w:val="2"/>
            <w:vAlign w:val="center"/>
          </w:tcPr>
          <w:p>
            <w:pPr>
              <w:adjustRightInd w:val="0"/>
              <w:spacing w:line="400" w:lineRule="exact"/>
              <w:jc w:val="center"/>
              <w:rPr>
                <w:rFonts w:hint="eastAsia" w:ascii="宋体" w:hAnsi="Times New Roman" w:eastAsia="宋体" w:cs="Times New Roman"/>
                <w:sz w:val="24"/>
                <w:szCs w:val="24"/>
                <w:lang w:val="en-US" w:eastAsia="zh-CN" w:bidi="ar-SA"/>
              </w:rPr>
            </w:pPr>
            <w:r>
              <w:rPr>
                <w:rFonts w:hint="eastAsia" w:cs="Times New Roman"/>
                <w:sz w:val="24"/>
                <w:szCs w:val="24"/>
                <w:lang w:val="en-US" w:eastAsia="zh-CN" w:bidi="ar-SA"/>
              </w:rPr>
              <w:t>9</w:t>
            </w:r>
          </w:p>
        </w:tc>
        <w:tc>
          <w:tcPr>
            <w:tcW w:w="2142" w:type="dxa"/>
            <w:vAlign w:val="center"/>
          </w:tcPr>
          <w:p>
            <w:pPr>
              <w:adjustRightInd w:val="0"/>
              <w:spacing w:line="400" w:lineRule="exact"/>
              <w:ind w:firstLine="720" w:firstLineChars="300"/>
              <w:jc w:val="both"/>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工期</w:t>
            </w:r>
          </w:p>
        </w:tc>
        <w:tc>
          <w:tcPr>
            <w:tcW w:w="6357" w:type="dxa"/>
            <w:vAlign w:val="bottom"/>
          </w:tcPr>
          <w:p>
            <w:pPr>
              <w:keepNext w:val="0"/>
              <w:keepLines w:val="0"/>
              <w:pageBreakBefore w:val="0"/>
              <w:widowControl w:val="0"/>
              <w:kinsoku/>
              <w:wordWrap/>
              <w:overflowPunct/>
              <w:topLinePunct w:val="0"/>
              <w:autoSpaceDE w:val="0"/>
              <w:autoSpaceDN w:val="0"/>
              <w:bidi w:val="0"/>
              <w:adjustRightInd w:val="0"/>
              <w:snapToGrid/>
              <w:spacing w:before="109" w:line="400" w:lineRule="exact"/>
              <w:textAlignment w:val="auto"/>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计划工期：60日历天</w:t>
            </w:r>
          </w:p>
          <w:p>
            <w:pPr>
              <w:keepNext w:val="0"/>
              <w:keepLines w:val="0"/>
              <w:pageBreakBefore w:val="0"/>
              <w:widowControl w:val="0"/>
              <w:kinsoku/>
              <w:wordWrap/>
              <w:overflowPunct/>
              <w:topLinePunct w:val="0"/>
              <w:autoSpaceDE w:val="0"/>
              <w:autoSpaceDN w:val="0"/>
              <w:bidi w:val="0"/>
              <w:adjustRightInd w:val="0"/>
              <w:snapToGrid/>
              <w:spacing w:before="109" w:line="400" w:lineRule="exact"/>
              <w:textAlignment w:val="auto"/>
              <w:rPr>
                <w:rFonts w:hint="eastAsia"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bidi="ar-SA"/>
              </w:rPr>
              <w:t>计划开工日期： 2022年</w:t>
            </w:r>
            <w:r>
              <w:rPr>
                <w:rFonts w:hint="eastAsia" w:ascii="Times New Roman" w:hAnsi="Times New Roman" w:cs="Times New Roman"/>
                <w:color w:val="auto"/>
                <w:sz w:val="24"/>
                <w:szCs w:val="24"/>
                <w:lang w:val="en-US" w:eastAsia="zh-CN" w:bidi="ar-SA"/>
              </w:rPr>
              <w:t>7</w:t>
            </w:r>
            <w:r>
              <w:rPr>
                <w:rFonts w:hint="eastAsia" w:ascii="Times New Roman" w:hAnsi="Times New Roman" w:eastAsia="宋体" w:cs="Times New Roman"/>
                <w:color w:val="auto"/>
                <w:sz w:val="24"/>
                <w:szCs w:val="24"/>
                <w:lang w:val="en-US" w:eastAsia="zh-CN" w:bidi="ar-SA"/>
              </w:rPr>
              <w:t>月</w:t>
            </w:r>
            <w:r>
              <w:rPr>
                <w:rFonts w:hint="eastAsia" w:ascii="Times New Roman" w:hAnsi="Times New Roman" w:cs="Times New Roman"/>
                <w:color w:val="auto"/>
                <w:sz w:val="24"/>
                <w:szCs w:val="24"/>
                <w:lang w:val="en-US" w:eastAsia="zh-CN" w:bidi="ar-SA"/>
              </w:rPr>
              <w:t>18</w:t>
            </w:r>
            <w:r>
              <w:rPr>
                <w:rFonts w:hint="eastAsia" w:ascii="Times New Roman" w:hAnsi="Times New Roman" w:eastAsia="宋体" w:cs="Times New Roman"/>
                <w:color w:val="auto"/>
                <w:sz w:val="24"/>
                <w:szCs w:val="24"/>
                <w:lang w:val="en-US" w:eastAsia="zh-CN" w:bidi="ar-SA"/>
              </w:rPr>
              <w:t>日</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Times New Roman" w:cs="Times New Roman"/>
                <w:sz w:val="24"/>
                <w:szCs w:val="24"/>
                <w:lang w:val="en-US" w:bidi="ar-SA"/>
              </w:rPr>
            </w:pPr>
            <w:r>
              <w:rPr>
                <w:rFonts w:hint="eastAsia" w:ascii="Times New Roman" w:hAnsi="Times New Roman" w:eastAsia="宋体" w:cs="Times New Roman"/>
                <w:color w:val="auto"/>
                <w:sz w:val="24"/>
                <w:szCs w:val="24"/>
                <w:lang w:val="en-US" w:eastAsia="zh-CN" w:bidi="ar-SA"/>
              </w:rPr>
              <w:t>计划交工日期： 2022年</w:t>
            </w:r>
            <w:r>
              <w:rPr>
                <w:rFonts w:hint="eastAsia" w:ascii="Times New Roman" w:hAnsi="Times New Roman" w:cs="Times New Roman"/>
                <w:color w:val="auto"/>
                <w:sz w:val="24"/>
                <w:szCs w:val="24"/>
                <w:lang w:val="en-US" w:eastAsia="zh-CN" w:bidi="ar-SA"/>
              </w:rPr>
              <w:t>9</w:t>
            </w:r>
            <w:r>
              <w:rPr>
                <w:rFonts w:hint="eastAsia" w:ascii="Times New Roman" w:hAnsi="Times New Roman" w:eastAsia="宋体" w:cs="Times New Roman"/>
                <w:color w:val="auto"/>
                <w:sz w:val="24"/>
                <w:szCs w:val="24"/>
                <w:lang w:val="en-US" w:eastAsia="zh-CN" w:bidi="ar-SA"/>
              </w:rPr>
              <w:t>月</w:t>
            </w:r>
            <w:r>
              <w:rPr>
                <w:rFonts w:hint="eastAsia" w:ascii="Times New Roman" w:hAnsi="Times New Roman" w:cs="Times New Roman"/>
                <w:color w:val="auto"/>
                <w:sz w:val="24"/>
                <w:szCs w:val="24"/>
                <w:lang w:val="en-US" w:eastAsia="zh-CN" w:bidi="ar-SA"/>
              </w:rPr>
              <w:t>15</w:t>
            </w:r>
            <w:r>
              <w:rPr>
                <w:rFonts w:hint="eastAsia" w:ascii="Times New Roman" w:hAnsi="Times New Roman" w:eastAsia="宋体" w:cs="Times New Roman"/>
                <w:color w:val="auto"/>
                <w:sz w:val="24"/>
                <w:szCs w:val="24"/>
                <w:lang w:val="en-US" w:eastAsia="zh-CN"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gridSpan w:val="2"/>
            <w:vAlign w:val="center"/>
          </w:tcPr>
          <w:p>
            <w:pPr>
              <w:adjustRightInd w:val="0"/>
              <w:spacing w:line="400" w:lineRule="exact"/>
              <w:jc w:val="center"/>
              <w:rPr>
                <w:rFonts w:hint="default" w:ascii="宋体" w:hAnsi="Times New Roman" w:eastAsia="宋体" w:cs="Times New Roman"/>
                <w:sz w:val="24"/>
                <w:szCs w:val="24"/>
                <w:lang w:val="en-US" w:eastAsia="zh-CN" w:bidi="ar-SA"/>
              </w:rPr>
            </w:pPr>
            <w:r>
              <w:rPr>
                <w:rFonts w:hint="eastAsia" w:cs="Times New Roman"/>
                <w:sz w:val="24"/>
                <w:szCs w:val="24"/>
                <w:lang w:val="en-US" w:eastAsia="zh-CN" w:bidi="ar-SA"/>
              </w:rPr>
              <w:t>10</w:t>
            </w:r>
          </w:p>
        </w:tc>
        <w:tc>
          <w:tcPr>
            <w:tcW w:w="2142" w:type="dxa"/>
            <w:vAlign w:val="center"/>
          </w:tcPr>
          <w:p>
            <w:pPr>
              <w:adjustRightInd w:val="0"/>
              <w:spacing w:line="400" w:lineRule="exact"/>
              <w:jc w:val="center"/>
              <w:rPr>
                <w:rFonts w:ascii="宋体" w:hAnsi="Times New Roman" w:cs="Times New Roman"/>
                <w:sz w:val="24"/>
                <w:szCs w:val="24"/>
                <w:lang w:val="en-US" w:bidi="ar-SA"/>
              </w:rPr>
            </w:pPr>
            <w:r>
              <w:rPr>
                <w:rFonts w:hint="eastAsia" w:ascii="宋体" w:hAnsi="宋体" w:cs="Times New Roman"/>
                <w:sz w:val="24"/>
                <w:szCs w:val="24"/>
                <w:lang w:val="en-US" w:bidi="ar-SA"/>
              </w:rPr>
              <w:t>质量要求</w:t>
            </w:r>
          </w:p>
        </w:tc>
        <w:tc>
          <w:tcPr>
            <w:tcW w:w="6357" w:type="dxa"/>
            <w:vAlign w:val="bottom"/>
          </w:tcPr>
          <w:p>
            <w:pPr>
              <w:keepNext w:val="0"/>
              <w:keepLines w:val="0"/>
              <w:pageBreakBefore w:val="0"/>
              <w:widowControl w:val="0"/>
              <w:tabs>
                <w:tab w:val="left" w:pos="4112"/>
              </w:tabs>
              <w:kinsoku/>
              <w:wordWrap/>
              <w:overflowPunct/>
              <w:topLinePunct w:val="0"/>
              <w:autoSpaceDE w:val="0"/>
              <w:autoSpaceDN w:val="0"/>
              <w:bidi w:val="0"/>
              <w:adjustRightInd w:val="0"/>
              <w:snapToGrid/>
              <w:spacing w:before="110" w:line="400" w:lineRule="exact"/>
              <w:textAlignment w:val="auto"/>
              <w:rPr>
                <w:rFonts w:hint="eastAsia" w:ascii="Times New Roman" w:hAnsi="Times New Roman" w:eastAsia="宋体" w:cs="Times New Roman"/>
                <w:sz w:val="24"/>
                <w:szCs w:val="24"/>
                <w:u w:val="single"/>
                <w:lang w:val="en-US" w:eastAsia="zh-CN" w:bidi="ar-SA"/>
              </w:rPr>
            </w:pPr>
            <w:r>
              <w:rPr>
                <w:rFonts w:hint="eastAsia" w:ascii="Times New Roman" w:hAnsi="Times New Roman" w:eastAsia="宋体" w:cs="Times New Roman"/>
                <w:sz w:val="24"/>
                <w:szCs w:val="24"/>
                <w:lang w:val="en-US" w:eastAsia="zh-CN" w:bidi="ar-SA"/>
              </w:rPr>
              <w:t>标段工程交工验收的质量评定：</w:t>
            </w:r>
            <w:r>
              <w:rPr>
                <w:rFonts w:hint="eastAsia" w:ascii="Times New Roman" w:hAnsi="Times New Roman" w:eastAsia="宋体" w:cs="Times New Roman"/>
                <w:sz w:val="24"/>
                <w:szCs w:val="24"/>
                <w:u w:val="single"/>
                <w:lang w:val="en-US" w:eastAsia="zh-CN" w:bidi="ar-SA"/>
              </w:rPr>
              <w:t xml:space="preserve"> 合格。</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Times New Roman" w:cs="Times New Roman"/>
                <w:sz w:val="24"/>
                <w:szCs w:val="24"/>
                <w:lang w:val="en-US" w:bidi="ar-SA"/>
              </w:rPr>
            </w:pPr>
            <w:r>
              <w:rPr>
                <w:rFonts w:hint="eastAsia" w:ascii="Times New Roman" w:hAnsi="Times New Roman" w:eastAsia="宋体" w:cs="Times New Roman"/>
                <w:sz w:val="24"/>
                <w:szCs w:val="24"/>
                <w:lang w:val="en-US" w:eastAsia="zh-CN" w:bidi="ar-SA"/>
              </w:rPr>
              <w:t>竣工验收的质量评定：</w:t>
            </w:r>
            <w:r>
              <w:rPr>
                <w:rFonts w:hint="eastAsia" w:ascii="Times New Roman" w:hAnsi="Times New Roman" w:eastAsia="宋体" w:cs="Times New Roman"/>
                <w:sz w:val="24"/>
                <w:szCs w:val="24"/>
                <w:u w:val="single"/>
                <w:lang w:val="en-US" w:eastAsia="zh-CN" w:bidi="ar-SA"/>
              </w:rPr>
              <w:t>合格</w:t>
            </w:r>
            <w:r>
              <w:rPr>
                <w:rFonts w:hint="eastAsia" w:ascii="Times New Roman" w:hAnsi="Times New Roman" w:eastAsia="宋体" w:cs="Times New Roman"/>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gridSpan w:val="2"/>
            <w:vAlign w:val="center"/>
          </w:tcPr>
          <w:p>
            <w:pPr>
              <w:adjustRightInd w:val="0"/>
              <w:spacing w:line="400" w:lineRule="exact"/>
              <w:jc w:val="center"/>
              <w:rPr>
                <w:rFonts w:hint="default" w:ascii="宋体" w:hAnsi="宋体" w:eastAsia="宋体" w:cs="Times New Roman"/>
                <w:sz w:val="24"/>
                <w:szCs w:val="24"/>
                <w:lang w:val="en-US" w:eastAsia="zh-CN" w:bidi="ar-SA"/>
              </w:rPr>
            </w:pPr>
            <w:r>
              <w:rPr>
                <w:rFonts w:hint="eastAsia" w:cs="Times New Roman"/>
                <w:sz w:val="24"/>
                <w:szCs w:val="24"/>
                <w:lang w:val="en-US" w:eastAsia="zh-CN" w:bidi="ar-SA"/>
              </w:rPr>
              <w:t>11</w:t>
            </w:r>
          </w:p>
        </w:tc>
        <w:tc>
          <w:tcPr>
            <w:tcW w:w="2142" w:type="dxa"/>
            <w:vAlign w:val="center"/>
          </w:tcPr>
          <w:p>
            <w:pPr>
              <w:pStyle w:val="21"/>
              <w:spacing w:before="1"/>
              <w:ind w:firstLine="480" w:firstLineChars="200"/>
              <w:jc w:val="both"/>
              <w:rPr>
                <w:rFonts w:hint="eastAsia" w:ascii="宋体" w:hAnsi="宋体" w:eastAsia="宋体" w:cs="宋体"/>
                <w:sz w:val="24"/>
                <w:szCs w:val="24"/>
                <w:lang w:val="en-US" w:bidi="ar-SA"/>
              </w:rPr>
            </w:pPr>
            <w:r>
              <w:rPr>
                <w:rFonts w:hint="eastAsia" w:ascii="宋体" w:hAnsi="宋体" w:eastAsia="宋体" w:cs="宋体"/>
                <w:sz w:val="24"/>
                <w:szCs w:val="24"/>
              </w:rPr>
              <w:t>安全目标</w:t>
            </w:r>
          </w:p>
        </w:tc>
        <w:tc>
          <w:tcPr>
            <w:tcW w:w="6357" w:type="dxa"/>
            <w:vAlign w:val="center"/>
          </w:tcPr>
          <w:p>
            <w:pPr>
              <w:pStyle w:val="21"/>
              <w:spacing w:before="3" w:line="398" w:lineRule="exact"/>
              <w:ind w:right="97" w:rightChars="0"/>
              <w:jc w:val="both"/>
              <w:rPr>
                <w:rFonts w:hint="eastAsia" w:ascii="宋体" w:hAnsi="宋体" w:eastAsia="宋体" w:cs="宋体"/>
                <w:sz w:val="24"/>
                <w:szCs w:val="24"/>
                <w:lang w:val="en-US" w:eastAsia="zh-CN" w:bidi="ar-SA"/>
              </w:rPr>
            </w:pPr>
            <w:r>
              <w:rPr>
                <w:rFonts w:hint="eastAsia" w:ascii="宋体" w:hAnsi="宋体" w:eastAsia="宋体" w:cs="宋体"/>
                <w:sz w:val="24"/>
                <w:szCs w:val="24"/>
              </w:rPr>
              <w:t>各类生产安全责任事故死亡人数为零，不发生一般火灾事故</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gridSpan w:val="2"/>
            <w:vAlign w:val="center"/>
          </w:tcPr>
          <w:p>
            <w:pPr>
              <w:adjustRightInd w:val="0"/>
              <w:spacing w:line="400" w:lineRule="exact"/>
              <w:jc w:val="center"/>
              <w:rPr>
                <w:rFonts w:hint="default" w:ascii="宋体" w:hAnsi="Times New Roman" w:eastAsia="宋体" w:cs="Times New Roman"/>
                <w:sz w:val="24"/>
                <w:szCs w:val="24"/>
                <w:lang w:val="en-US" w:eastAsia="zh-CN" w:bidi="ar-SA"/>
              </w:rPr>
            </w:pPr>
            <w:r>
              <w:rPr>
                <w:rFonts w:hint="eastAsia" w:cs="Times New Roman"/>
                <w:sz w:val="24"/>
                <w:szCs w:val="24"/>
                <w:lang w:val="en-US" w:eastAsia="zh-CN" w:bidi="ar-SA"/>
              </w:rPr>
              <w:t>12</w:t>
            </w:r>
          </w:p>
        </w:tc>
        <w:tc>
          <w:tcPr>
            <w:tcW w:w="2142" w:type="dxa"/>
            <w:vAlign w:val="center"/>
          </w:tcPr>
          <w:p>
            <w:pPr>
              <w:adjustRightInd w:val="0"/>
              <w:spacing w:line="400" w:lineRule="exact"/>
              <w:jc w:val="center"/>
              <w:rPr>
                <w:rFonts w:ascii="宋体" w:hAnsi="Times New Roman" w:cs="Times New Roman"/>
                <w:sz w:val="24"/>
                <w:szCs w:val="24"/>
                <w:lang w:val="en-US" w:bidi="ar-SA"/>
              </w:rPr>
            </w:pPr>
            <w:r>
              <w:rPr>
                <w:rFonts w:hint="eastAsia" w:ascii="宋体" w:hAnsi="宋体" w:cs="Times New Roman"/>
                <w:sz w:val="24"/>
                <w:szCs w:val="24"/>
                <w:lang w:val="en-US" w:bidi="ar-SA"/>
              </w:rPr>
              <w:t>付款方式</w:t>
            </w:r>
          </w:p>
        </w:tc>
        <w:tc>
          <w:tcPr>
            <w:tcW w:w="6357" w:type="dxa"/>
            <w:vAlign w:val="bottom"/>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开工预付款金额：</w:t>
            </w:r>
            <w:r>
              <w:rPr>
                <w:rFonts w:hint="eastAsia" w:ascii="Times New Roman" w:hAnsi="Times New Roman" w:eastAsia="宋体" w:cs="Times New Roman"/>
                <w:color w:val="000000" w:themeColor="text1"/>
                <w:sz w:val="24"/>
                <w:szCs w:val="24"/>
                <w:u w:val="single"/>
                <w:lang w:val="en-US" w:eastAsia="zh-CN" w:bidi="ar-SA"/>
                <w14:textFill>
                  <w14:solidFill>
                    <w14:schemeClr w14:val="tx1"/>
                  </w14:solidFill>
                </w14:textFill>
              </w:rPr>
              <w:t>10 %</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签约合同价；</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材料预付款比例：水泥、钢材、沥青等主要材料单据所列费用的</w:t>
            </w:r>
            <w:r>
              <w:rPr>
                <w:rFonts w:hint="eastAsia" w:ascii="Times New Roman" w:hAnsi="Times New Roman" w:eastAsia="宋体" w:cs="Times New Roman"/>
                <w:color w:val="000000" w:themeColor="text1"/>
                <w:sz w:val="24"/>
                <w:szCs w:val="24"/>
                <w:u w:val="single"/>
                <w:lang w:val="en-US" w:eastAsia="zh-CN" w:bidi="ar-SA"/>
                <w14:textFill>
                  <w14:solidFill>
                    <w14:schemeClr w14:val="tx1"/>
                  </w14:solidFill>
                </w14:textFill>
              </w:rPr>
              <w:t xml:space="preserve"> 60 %</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sz w:val="24"/>
                <w:szCs w:val="24"/>
                <w:lang w:val="en-US" w:bidi="ar-SA"/>
              </w:rPr>
            </w:pP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 xml:space="preserve">质量保证金限额 </w:t>
            </w:r>
            <w:r>
              <w:rPr>
                <w:rFonts w:hint="eastAsia" w:ascii="Times New Roman" w:hAnsi="Times New Roman" w:eastAsia="宋体" w:cs="Times New Roman"/>
                <w:color w:val="000000" w:themeColor="text1"/>
                <w:sz w:val="24"/>
                <w:szCs w:val="24"/>
                <w:u w:val="single"/>
                <w:lang w:val="en-US" w:eastAsia="zh-CN" w:bidi="ar-SA"/>
                <w14:textFill>
                  <w14:solidFill>
                    <w14:schemeClr w14:val="tx1"/>
                  </w14:solidFill>
                </w14:textFill>
              </w:rPr>
              <w:t>：3%</w:t>
            </w:r>
            <w:r>
              <w:rPr>
                <w:rFonts w:hint="eastAsia" w:ascii="Times New Roman" w:hAnsi="Times New Roman" w:eastAsia="宋体" w:cs="Times New Roman"/>
                <w:color w:val="000000" w:themeColor="text1"/>
                <w:sz w:val="24"/>
                <w:szCs w:val="24"/>
                <w:lang w:val="en-US" w:eastAsia="zh-CN" w:bidi="ar-SA"/>
                <w14:textFill>
                  <w14:solidFill>
                    <w14:schemeClr w14:val="tx1"/>
                  </w14:solidFill>
                </w14:textFill>
              </w:rPr>
              <w:t>合同价格。最终付款方式按中标后合同约定。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7" w:type="dxa"/>
            <w:gridSpan w:val="2"/>
            <w:vAlign w:val="center"/>
          </w:tcPr>
          <w:p>
            <w:pPr>
              <w:adjustRightInd w:val="0"/>
              <w:spacing w:line="400" w:lineRule="exact"/>
              <w:jc w:val="center"/>
              <w:rPr>
                <w:rFonts w:hint="default" w:ascii="宋体" w:hAnsi="Times New Roman" w:eastAsia="宋体" w:cs="Times New Roman"/>
                <w:sz w:val="24"/>
                <w:szCs w:val="24"/>
                <w:lang w:val="en-US" w:eastAsia="zh-CN" w:bidi="ar-SA"/>
              </w:rPr>
            </w:pPr>
            <w:r>
              <w:rPr>
                <w:rFonts w:hint="eastAsia" w:cs="Times New Roman"/>
                <w:sz w:val="24"/>
                <w:szCs w:val="24"/>
                <w:lang w:val="en-US" w:eastAsia="zh-CN" w:bidi="ar-SA"/>
              </w:rPr>
              <w:t>13</w:t>
            </w:r>
          </w:p>
        </w:tc>
        <w:tc>
          <w:tcPr>
            <w:tcW w:w="2142" w:type="dxa"/>
            <w:vAlign w:val="center"/>
          </w:tcPr>
          <w:p>
            <w:pPr>
              <w:adjustRightInd w:val="0"/>
              <w:spacing w:line="400" w:lineRule="exact"/>
              <w:jc w:val="center"/>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供应商资质条件、能力</w:t>
            </w:r>
          </w:p>
        </w:tc>
        <w:tc>
          <w:tcPr>
            <w:tcW w:w="6357" w:type="dxa"/>
            <w:vAlign w:val="center"/>
          </w:tcPr>
          <w:p>
            <w:pPr>
              <w:adjustRightInd w:val="0"/>
              <w:spacing w:line="360" w:lineRule="auto"/>
              <w:rPr>
                <w:rFonts w:ascii="宋体" w:hAnsi="宋体" w:eastAsia="宋体" w:cs="Times New Roman"/>
                <w:sz w:val="24"/>
                <w:szCs w:val="24"/>
                <w:lang w:val="en-US" w:bidi="ar-SA"/>
              </w:rPr>
            </w:pPr>
            <w:r>
              <w:rPr>
                <w:rFonts w:hint="eastAsia" w:ascii="宋体" w:hAnsi="宋体" w:eastAsia="宋体" w:cs="Times New Roman"/>
                <w:sz w:val="24"/>
                <w:szCs w:val="24"/>
                <w:lang w:val="en-US" w:bidi="ar-SA"/>
              </w:rPr>
              <w:t>（</w:t>
            </w:r>
            <w:r>
              <w:rPr>
                <w:rFonts w:ascii="宋体" w:hAnsi="宋体" w:eastAsia="宋体" w:cs="Times New Roman"/>
                <w:sz w:val="24"/>
                <w:szCs w:val="24"/>
                <w:lang w:val="en-US" w:bidi="ar-SA"/>
              </w:rPr>
              <w:t>1</w:t>
            </w:r>
            <w:r>
              <w:rPr>
                <w:rFonts w:hint="eastAsia" w:ascii="宋体" w:hAnsi="宋体" w:eastAsia="宋体" w:cs="Times New Roman"/>
                <w:sz w:val="24"/>
                <w:szCs w:val="24"/>
                <w:lang w:val="en-US" w:bidi="ar-SA"/>
              </w:rPr>
              <w:t>）供应商应满足《中华人民共和国政府采购法》第二十二条所规定的条件，在中华人民共和国境内依法注册的、能独立承担民事责任的独立法人；</w:t>
            </w:r>
          </w:p>
          <w:p>
            <w:pPr>
              <w:adjustRightInd w:val="0"/>
              <w:spacing w:line="360" w:lineRule="auto"/>
              <w:rPr>
                <w:rFonts w:hint="eastAsia" w:ascii="宋体" w:hAnsi="宋体" w:eastAsia="宋体" w:cs="宋体"/>
                <w:sz w:val="24"/>
                <w:szCs w:val="24"/>
                <w:lang w:val="en-US" w:bidi="ar-SA"/>
              </w:rPr>
            </w:pPr>
            <w:r>
              <w:rPr>
                <w:rFonts w:hint="eastAsia" w:ascii="宋体" w:hAnsi="宋体" w:eastAsia="宋体" w:cs="宋体"/>
                <w:sz w:val="24"/>
                <w:szCs w:val="24"/>
                <w:lang w:val="en-US" w:bidi="ar-SA"/>
              </w:rPr>
              <w:t>（2）供应商须具有良好的信誉，未被“信用中国”(</w:t>
            </w:r>
            <w:r>
              <w:rPr>
                <w:rFonts w:hint="eastAsia" w:ascii="宋体" w:hAnsi="宋体" w:eastAsia="宋体" w:cs="宋体"/>
                <w:sz w:val="24"/>
                <w:szCs w:val="24"/>
                <w:lang w:val="en-US" w:bidi="ar-SA"/>
              </w:rPr>
              <w:fldChar w:fldCharType="begin"/>
            </w:r>
            <w:r>
              <w:rPr>
                <w:rFonts w:hint="eastAsia" w:ascii="宋体" w:hAnsi="宋体" w:eastAsia="宋体" w:cs="宋体"/>
                <w:sz w:val="24"/>
                <w:szCs w:val="24"/>
                <w:lang w:val="en-US" w:bidi="ar-SA"/>
              </w:rPr>
              <w:instrText xml:space="preserve"> HYPERLINK "http://www.creditchina.gov.cn" </w:instrText>
            </w:r>
            <w:r>
              <w:rPr>
                <w:rFonts w:hint="eastAsia" w:ascii="宋体" w:hAnsi="宋体" w:eastAsia="宋体" w:cs="宋体"/>
                <w:sz w:val="24"/>
                <w:szCs w:val="24"/>
                <w:lang w:val="en-US" w:bidi="ar-SA"/>
              </w:rPr>
              <w:fldChar w:fldCharType="separate"/>
            </w:r>
            <w:r>
              <w:rPr>
                <w:rFonts w:hint="eastAsia" w:ascii="宋体" w:hAnsi="宋体" w:eastAsia="宋体" w:cs="宋体"/>
                <w:b/>
                <w:sz w:val="24"/>
                <w:szCs w:val="24"/>
                <w:lang w:val="en-US" w:bidi="ar-SA"/>
              </w:rPr>
              <w:t>www.creditchina.gov.cn</w:t>
            </w:r>
            <w:r>
              <w:rPr>
                <w:rFonts w:hint="eastAsia" w:ascii="宋体" w:hAnsi="宋体" w:eastAsia="宋体" w:cs="宋体"/>
                <w:b/>
                <w:sz w:val="24"/>
                <w:szCs w:val="24"/>
                <w:lang w:val="en-US" w:bidi="ar-SA"/>
              </w:rPr>
              <w:fldChar w:fldCharType="end"/>
            </w:r>
            <w:r>
              <w:rPr>
                <w:rFonts w:hint="eastAsia" w:ascii="宋体" w:hAnsi="宋体" w:eastAsia="宋体" w:cs="宋体"/>
                <w:sz w:val="24"/>
                <w:szCs w:val="24"/>
                <w:lang w:val="en-US" w:bidi="ar-SA"/>
              </w:rPr>
              <w:t>)、“中国政府采购网”（ www.ccgp.gov.cn）列入失信被执行人、重大税收违法案件当事人名单、政府采购严重违法失信行为记录名单；</w:t>
            </w:r>
          </w:p>
          <w:p>
            <w:pPr>
              <w:pStyle w:val="21"/>
              <w:keepNext w:val="0"/>
              <w:keepLines w:val="0"/>
              <w:pageBreakBefore w:val="0"/>
              <w:widowControl w:val="0"/>
              <w:numPr>
                <w:ilvl w:val="0"/>
                <w:numId w:val="0"/>
              </w:numPr>
              <w:tabs>
                <w:tab w:val="left" w:pos="537"/>
              </w:tabs>
              <w:kinsoku/>
              <w:wordWrap/>
              <w:overflowPunct/>
              <w:topLinePunct w:val="0"/>
              <w:autoSpaceDE w:val="0"/>
              <w:autoSpaceDN w:val="0"/>
              <w:bidi w:val="0"/>
              <w:adjustRightInd/>
              <w:snapToGrid/>
              <w:spacing w:before="88" w:line="360" w:lineRule="auto"/>
              <w:ind w:right="99" w:rightChars="0"/>
              <w:jc w:val="both"/>
              <w:textAlignment w:val="auto"/>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（3）</w:t>
            </w:r>
            <w:r>
              <w:rPr>
                <w:rFonts w:hint="eastAsia" w:cs="Times New Roman"/>
                <w:color w:val="auto"/>
                <w:sz w:val="24"/>
                <w:szCs w:val="24"/>
                <w:lang w:val="en-US" w:eastAsia="zh-CN" w:bidi="ar-SA"/>
              </w:rPr>
              <w:t>供应商</w:t>
            </w:r>
            <w:r>
              <w:rPr>
                <w:rFonts w:hint="eastAsia" w:ascii="宋体" w:hAnsi="宋体" w:eastAsia="宋体" w:cs="Times New Roman"/>
                <w:color w:val="auto"/>
                <w:sz w:val="24"/>
                <w:szCs w:val="24"/>
                <w:lang w:val="en-US" w:eastAsia="zh-CN" w:bidi="ar-SA"/>
              </w:rPr>
              <w:t>须具备公路工程施工总承包叁级及以上</w:t>
            </w:r>
            <w:r>
              <w:rPr>
                <w:rFonts w:hint="eastAsia" w:cs="Times New Roman"/>
                <w:color w:val="auto"/>
                <w:sz w:val="24"/>
                <w:szCs w:val="24"/>
                <w:lang w:val="en-US" w:eastAsia="zh-CN" w:bidi="ar-SA"/>
              </w:rPr>
              <w:t>资质/</w:t>
            </w:r>
            <w:r>
              <w:rPr>
                <w:rFonts w:hint="eastAsia" w:ascii="宋体" w:hAnsi="宋体" w:eastAsia="宋体" w:cs="Times New Roman"/>
                <w:color w:val="auto"/>
                <w:sz w:val="24"/>
                <w:szCs w:val="24"/>
                <w:lang w:val="en-US" w:eastAsia="zh-CN" w:bidi="ar-SA"/>
              </w:rPr>
              <w:t>或同时具备公路路基、公路路面专业承包叁级及以上资质</w:t>
            </w:r>
            <w:r>
              <w:rPr>
                <w:rFonts w:hint="eastAsia" w:cs="Times New Roman"/>
                <w:color w:val="auto"/>
                <w:sz w:val="24"/>
                <w:szCs w:val="24"/>
                <w:lang w:val="en-US" w:eastAsia="zh-CN" w:bidi="ar-SA"/>
              </w:rPr>
              <w:t>，</w:t>
            </w:r>
            <w:r>
              <w:rPr>
                <w:rFonts w:hint="eastAsia" w:ascii="宋体" w:hAnsi="宋体" w:eastAsia="宋体" w:cs="Times New Roman"/>
                <w:color w:val="auto"/>
                <w:sz w:val="24"/>
                <w:szCs w:val="24"/>
                <w:lang w:val="en-US" w:eastAsia="zh-CN" w:bidi="ar-SA"/>
              </w:rPr>
              <w:t>具有合格有效的安全生产许可证，自治区外企业进疆信息报送册，具有类似项目施工业绩，并在人员、设备、资金等方面具有相应的施工能力；</w:t>
            </w:r>
          </w:p>
          <w:p>
            <w:pPr>
              <w:spacing w:line="360" w:lineRule="auto"/>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（4）项目</w:t>
            </w:r>
            <w:r>
              <w:rPr>
                <w:rFonts w:hint="eastAsia" w:cs="Times New Roman"/>
                <w:color w:val="auto"/>
                <w:sz w:val="24"/>
                <w:szCs w:val="24"/>
                <w:lang w:val="en-US" w:eastAsia="zh-CN" w:bidi="ar-SA"/>
              </w:rPr>
              <w:t>经理</w:t>
            </w:r>
            <w:r>
              <w:rPr>
                <w:rFonts w:hint="eastAsia" w:ascii="宋体" w:hAnsi="宋体" w:eastAsia="宋体" w:cs="Times New Roman"/>
                <w:color w:val="auto"/>
                <w:sz w:val="24"/>
                <w:szCs w:val="24"/>
                <w:lang w:val="en-US" w:eastAsia="zh-CN" w:bidi="ar-SA"/>
              </w:rPr>
              <w:t>须具备公路工程专业二级及以上注册建造师执业资格，持有有效的交通运输主管部门颁发的安全生产考核合格证书(B 类),且未担任其他在施建设工程项目的项目经理；</w:t>
            </w:r>
          </w:p>
          <w:p>
            <w:pPr>
              <w:pStyle w:val="21"/>
              <w:keepNext w:val="0"/>
              <w:keepLines w:val="0"/>
              <w:pageBreakBefore w:val="0"/>
              <w:widowControl w:val="0"/>
              <w:numPr>
                <w:ilvl w:val="0"/>
                <w:numId w:val="0"/>
              </w:numPr>
              <w:tabs>
                <w:tab w:val="left" w:pos="537"/>
              </w:tabs>
              <w:kinsoku/>
              <w:wordWrap/>
              <w:overflowPunct/>
              <w:topLinePunct w:val="0"/>
              <w:autoSpaceDE w:val="0"/>
              <w:autoSpaceDN w:val="0"/>
              <w:bidi w:val="0"/>
              <w:adjustRightInd/>
              <w:snapToGrid/>
              <w:spacing w:before="88" w:line="360" w:lineRule="auto"/>
              <w:ind w:right="99" w:rightChars="0"/>
              <w:jc w:val="both"/>
              <w:textAlignment w:val="auto"/>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（5）</w:t>
            </w:r>
            <w:r>
              <w:rPr>
                <w:rFonts w:hint="eastAsia" w:ascii="宋体" w:hAnsi="宋体" w:eastAsia="宋体" w:cs="Times New Roman"/>
                <w:color w:val="auto"/>
                <w:sz w:val="24"/>
                <w:szCs w:val="24"/>
                <w:lang w:val="en-US" w:eastAsia="zh-CN" w:bidi="ar-SA"/>
              </w:rPr>
              <w:t>落实政府采购政策需满足的资格要求：供应商为中小企业/小微企业</w:t>
            </w:r>
            <w:r>
              <w:rPr>
                <w:rFonts w:hint="eastAsia" w:cs="Times New Roman"/>
                <w:color w:val="auto"/>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宋体" w:hAnsi="宋体" w:eastAsia="宋体" w:cs="Times New Roman"/>
                <w:sz w:val="24"/>
                <w:szCs w:val="24"/>
                <w:lang w:val="en-US" w:bidi="ar-SA"/>
              </w:rPr>
            </w:pPr>
            <w:r>
              <w:rPr>
                <w:rFonts w:hint="eastAsia" w:cs="Times New Roman"/>
                <w:sz w:val="24"/>
                <w:szCs w:val="24"/>
                <w:lang w:val="en-US" w:eastAsia="zh-CN" w:bidi="ar-SA"/>
              </w:rPr>
              <w:t>（6）</w:t>
            </w:r>
            <w:r>
              <w:rPr>
                <w:rFonts w:hint="eastAsia" w:ascii="宋体" w:hAnsi="宋体" w:eastAsia="宋体" w:cs="Times New Roman"/>
                <w:sz w:val="24"/>
                <w:szCs w:val="24"/>
                <w:lang w:val="en-US" w:eastAsia="zh-CN" w:bidi="ar-SA"/>
              </w:rPr>
              <w:t>与采购人存在利害关系可能影响</w:t>
            </w:r>
            <w:r>
              <w:rPr>
                <w:rFonts w:hint="eastAsia" w:ascii="宋体" w:hAnsi="宋体" w:eastAsia="宋体" w:cs="宋体"/>
                <w:sz w:val="24"/>
                <w:szCs w:val="21"/>
                <w:lang w:val="en-US" w:bidi="ar-SA"/>
              </w:rPr>
              <w:t>招标公正性的单位，不得参加投标。单位负责人为同一人或存在控股、管理关系的不同单位，不得参加同一标段投标，否则，相关投标均无效。</w:t>
            </w:r>
          </w:p>
          <w:p>
            <w:pPr>
              <w:adjustRightInd w:val="0"/>
              <w:spacing w:line="360" w:lineRule="auto"/>
              <w:rPr>
                <w:rFonts w:ascii="宋体" w:hAnsi="宋体" w:eastAsia="宋体" w:cs="Times New Roman"/>
                <w:sz w:val="24"/>
                <w:szCs w:val="24"/>
                <w:lang w:val="en-US" w:bidi="ar-SA"/>
              </w:rPr>
            </w:pPr>
            <w:r>
              <w:rPr>
                <w:rFonts w:hint="eastAsia" w:ascii="宋体" w:hAnsi="宋体" w:eastAsia="宋体" w:cs="Times New Roman"/>
                <w:sz w:val="24"/>
                <w:szCs w:val="24"/>
                <w:lang w:val="en-US" w:bidi="ar-SA"/>
              </w:rPr>
              <w:t>（</w:t>
            </w:r>
            <w:r>
              <w:rPr>
                <w:rFonts w:hint="eastAsia" w:cs="Times New Roman"/>
                <w:sz w:val="24"/>
                <w:szCs w:val="24"/>
                <w:lang w:val="en-US" w:eastAsia="zh-CN" w:bidi="ar-SA"/>
              </w:rPr>
              <w:t>7</w:t>
            </w:r>
            <w:r>
              <w:rPr>
                <w:rFonts w:hint="eastAsia" w:ascii="宋体" w:hAnsi="宋体" w:eastAsia="宋体" w:cs="Times New Roman"/>
                <w:sz w:val="24"/>
                <w:szCs w:val="24"/>
                <w:lang w:val="en-US" w:bidi="ar-SA"/>
              </w:rPr>
              <w:t>）本项目不接受联合体投标；</w:t>
            </w:r>
          </w:p>
          <w:p>
            <w:pPr>
              <w:adjustRightInd w:val="0"/>
              <w:spacing w:line="360" w:lineRule="auto"/>
              <w:rPr>
                <w:rFonts w:ascii="宋体" w:hAnsi="宋体" w:eastAsia="宋体" w:cs="Times New Roman"/>
                <w:color w:val="FF0000"/>
                <w:sz w:val="24"/>
                <w:szCs w:val="24"/>
                <w:lang w:val="en-US" w:bidi="ar-SA"/>
              </w:rPr>
            </w:pPr>
            <w:r>
              <w:rPr>
                <w:rFonts w:hint="eastAsia" w:ascii="宋体" w:hAnsi="宋体" w:eastAsia="宋体" w:cs="Times New Roman"/>
                <w:sz w:val="24"/>
                <w:szCs w:val="24"/>
                <w:lang w:val="en-US" w:bidi="ar-SA"/>
              </w:rPr>
              <w:t>（</w:t>
            </w:r>
            <w:r>
              <w:rPr>
                <w:rFonts w:hint="eastAsia" w:cs="Times New Roman"/>
                <w:sz w:val="24"/>
                <w:szCs w:val="24"/>
                <w:lang w:val="en-US" w:eastAsia="zh-CN" w:bidi="ar-SA"/>
              </w:rPr>
              <w:t>8</w:t>
            </w:r>
            <w:r>
              <w:rPr>
                <w:rFonts w:hint="eastAsia" w:ascii="宋体" w:hAnsi="宋体" w:eastAsia="宋体" w:cs="Times New Roman"/>
                <w:sz w:val="24"/>
                <w:szCs w:val="24"/>
                <w:lang w:val="en-US" w:bidi="ar-SA"/>
              </w:rPr>
              <w:t>）</w:t>
            </w:r>
            <w:r>
              <w:rPr>
                <w:rFonts w:hint="eastAsia" w:ascii="宋体" w:hAnsi="宋体" w:eastAsia="宋体" w:cs="宋体"/>
                <w:sz w:val="24"/>
                <w:szCs w:val="21"/>
                <w:lang w:val="en-US" w:bidi="ar-SA"/>
              </w:rPr>
              <w:t>本项</w:t>
            </w:r>
            <w:r>
              <w:rPr>
                <w:rFonts w:hint="eastAsia" w:ascii="宋体" w:hAnsi="宋体" w:eastAsia="宋体" w:cs="Times New Roman"/>
                <w:sz w:val="24"/>
                <w:szCs w:val="24"/>
                <w:lang w:val="en-US" w:bidi="ar-SA"/>
              </w:rPr>
              <w:t>目为电子招投标，需要使用</w:t>
            </w:r>
            <w:r>
              <w:rPr>
                <w:rFonts w:ascii="宋体" w:hAnsi="宋体" w:eastAsia="宋体" w:cs="Times New Roman"/>
                <w:sz w:val="24"/>
                <w:szCs w:val="24"/>
                <w:lang w:val="en-US" w:bidi="ar-SA"/>
              </w:rPr>
              <w:t>CA</w:t>
            </w:r>
            <w:r>
              <w:rPr>
                <w:rFonts w:hint="eastAsia" w:ascii="宋体" w:hAnsi="宋体" w:eastAsia="宋体" w:cs="Times New Roman"/>
                <w:sz w:val="24"/>
                <w:szCs w:val="24"/>
                <w:lang w:val="en-US" w:bidi="ar-SA"/>
              </w:rPr>
              <w:t>加密设备，供应商可通过新疆数字证书认证中心官</w:t>
            </w:r>
            <w:r>
              <w:rPr>
                <w:rFonts w:hint="eastAsia" w:ascii="宋体" w:hAnsi="宋体" w:eastAsia="宋体" w:cs="宋体"/>
                <w:sz w:val="24"/>
                <w:szCs w:val="24"/>
                <w:lang w:val="en-US" w:bidi="ar-SA"/>
              </w:rPr>
              <w:t>网（https://www.xjca.com.cn/）或下载“新疆政务通”APP自行进行申领。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adjustRightInd w:val="0"/>
              <w:spacing w:line="400" w:lineRule="exact"/>
              <w:jc w:val="center"/>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14</w:t>
            </w:r>
          </w:p>
        </w:tc>
        <w:tc>
          <w:tcPr>
            <w:tcW w:w="2142" w:type="dxa"/>
            <w:vAlign w:val="center"/>
          </w:tcPr>
          <w:p>
            <w:pPr>
              <w:adjustRightInd w:val="0"/>
              <w:spacing w:line="400" w:lineRule="exact"/>
              <w:jc w:val="center"/>
              <w:rPr>
                <w:rFonts w:ascii="Times New Roman" w:hAnsi="Times New Roman" w:cs="Times New Roman"/>
                <w:sz w:val="24"/>
                <w:szCs w:val="24"/>
                <w:lang w:val="en-US" w:bidi="ar-SA"/>
              </w:rPr>
            </w:pPr>
            <w:r>
              <w:rPr>
                <w:rFonts w:hint="eastAsia" w:ascii="宋体" w:hAnsi="宋体" w:cs="Times New Roman"/>
                <w:sz w:val="24"/>
                <w:szCs w:val="24"/>
                <w:lang w:val="en-US" w:bidi="ar-SA"/>
              </w:rPr>
              <w:t>现场踏勘</w:t>
            </w:r>
          </w:p>
        </w:tc>
        <w:tc>
          <w:tcPr>
            <w:tcW w:w="6357" w:type="dxa"/>
            <w:vAlign w:val="center"/>
          </w:tcPr>
          <w:p>
            <w:pPr>
              <w:adjustRightInd w:val="0"/>
              <w:spacing w:line="400" w:lineRule="exact"/>
              <w:rPr>
                <w:rFonts w:ascii="宋体" w:hAnsi="宋体" w:cs="Times New Roman"/>
                <w:sz w:val="24"/>
                <w:szCs w:val="24"/>
                <w:lang w:val="en-US" w:bidi="ar-SA"/>
              </w:rPr>
            </w:pPr>
            <w:r>
              <w:rPr>
                <w:rFonts w:hint="eastAsia" w:ascii="宋体" w:hAnsi="宋体" w:cs="Times New Roman"/>
                <w:sz w:val="24"/>
                <w:szCs w:val="24"/>
                <w:lang w:val="en-US" w:bidi="ar-SA"/>
              </w:rPr>
              <w:t>不统一组织踏勘，各投标供应商应认真踏勘施工现场，了解工程建设地点位置，材料运输储存条件，掌握有关可能影响投标报价的因素和情况，投标人一旦中标后不得以不完全了解现场情况为借口而增加造价和延长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adjustRightInd w:val="0"/>
              <w:spacing w:line="400" w:lineRule="exact"/>
              <w:jc w:val="center"/>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15</w:t>
            </w:r>
          </w:p>
        </w:tc>
        <w:tc>
          <w:tcPr>
            <w:tcW w:w="2142" w:type="dxa"/>
            <w:vAlign w:val="center"/>
          </w:tcPr>
          <w:p>
            <w:pPr>
              <w:adjustRightInd w:val="0"/>
              <w:spacing w:line="400" w:lineRule="exact"/>
              <w:jc w:val="center"/>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投标预备会</w:t>
            </w:r>
          </w:p>
        </w:tc>
        <w:tc>
          <w:tcPr>
            <w:tcW w:w="6357" w:type="dxa"/>
            <w:vAlign w:val="center"/>
          </w:tcPr>
          <w:p>
            <w:pPr>
              <w:adjustRightInd w:val="0"/>
              <w:spacing w:line="400" w:lineRule="exact"/>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不召开，招标代理机构将对供应商所提出的问题予以解答，并出具书面答疑纪要。答疑纪要为磋商文件的组成部分，与磋商文件具有同等法律效力。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adjustRightInd w:val="0"/>
              <w:spacing w:line="400" w:lineRule="exact"/>
              <w:jc w:val="center"/>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16</w:t>
            </w:r>
          </w:p>
        </w:tc>
        <w:tc>
          <w:tcPr>
            <w:tcW w:w="2142" w:type="dxa"/>
            <w:vAlign w:val="center"/>
          </w:tcPr>
          <w:p>
            <w:pPr>
              <w:adjustRightInd w:val="0"/>
              <w:spacing w:line="400" w:lineRule="exact"/>
              <w:jc w:val="center"/>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构成磋商文件的其他材料</w:t>
            </w:r>
          </w:p>
        </w:tc>
        <w:tc>
          <w:tcPr>
            <w:tcW w:w="6357" w:type="dxa"/>
            <w:vAlign w:val="center"/>
          </w:tcPr>
          <w:p>
            <w:pPr>
              <w:adjustRightInd w:val="0"/>
              <w:spacing w:line="400" w:lineRule="exact"/>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根据磋商文件相应条款对磋商文件所作的答疑、修改，构成磋商文件的组成部分。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adjustRightInd w:val="0"/>
              <w:spacing w:line="400" w:lineRule="exact"/>
              <w:jc w:val="center"/>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17</w:t>
            </w:r>
          </w:p>
        </w:tc>
        <w:tc>
          <w:tcPr>
            <w:tcW w:w="2142" w:type="dxa"/>
            <w:vAlign w:val="center"/>
          </w:tcPr>
          <w:p>
            <w:pPr>
              <w:widowControl w:val="0"/>
              <w:autoSpaceDE w:val="0"/>
              <w:autoSpaceDN w:val="0"/>
              <w:adjustRightInd w:val="0"/>
              <w:spacing w:line="400" w:lineRule="exact"/>
              <w:rPr>
                <w:rFonts w:ascii="宋体" w:hAnsi="宋体" w:eastAsia="Times New Roman" w:cs="Times New Roman"/>
                <w:sz w:val="24"/>
                <w:szCs w:val="24"/>
                <w:lang w:val="en-US" w:eastAsia="zh-CN" w:bidi="ar-SA"/>
              </w:rPr>
            </w:pPr>
            <w:r>
              <w:rPr>
                <w:rFonts w:hint="eastAsia" w:ascii="宋体" w:hAnsi="宋体" w:eastAsia="宋体" w:cs="Times New Roman"/>
                <w:sz w:val="24"/>
                <w:szCs w:val="24"/>
                <w:lang w:val="en-US" w:eastAsia="zh-CN" w:bidi="ar-SA"/>
              </w:rPr>
              <w:t>澄清或者修改时间</w:t>
            </w:r>
          </w:p>
        </w:tc>
        <w:tc>
          <w:tcPr>
            <w:tcW w:w="6357" w:type="dxa"/>
            <w:vAlign w:val="center"/>
          </w:tcPr>
          <w:p>
            <w:pPr>
              <w:widowControl w:val="0"/>
              <w:autoSpaceDE w:val="0"/>
              <w:autoSpaceDN w:val="0"/>
              <w:adjustRightInd w:val="0"/>
              <w:spacing w:line="400" w:lineRule="exact"/>
              <w:rPr>
                <w:rFonts w:ascii="宋体" w:hAnsi="宋体" w:eastAsia="Times New Roman" w:cs="Times New Roman"/>
                <w:sz w:val="24"/>
                <w:szCs w:val="24"/>
                <w:lang w:val="en-US" w:eastAsia="zh-CN" w:bidi="ar-SA"/>
              </w:rPr>
            </w:pPr>
            <w:r>
              <w:rPr>
                <w:rFonts w:hint="eastAsia" w:ascii="宋体" w:hAnsi="宋体" w:eastAsia="宋体" w:cs="Times New Roman"/>
                <w:sz w:val="24"/>
                <w:szCs w:val="24"/>
                <w:lang w:val="en-US" w:eastAsia="zh-CN" w:bidi="ar-SA"/>
              </w:rPr>
              <w:t>磋商截止时间</w:t>
            </w:r>
            <w:r>
              <w:rPr>
                <w:rFonts w:ascii="宋体" w:hAnsi="宋体" w:eastAsia="宋体" w:cs="Times New Roman"/>
                <w:sz w:val="24"/>
                <w:szCs w:val="24"/>
                <w:lang w:val="en-US" w:eastAsia="zh-CN" w:bidi="ar-SA"/>
              </w:rPr>
              <w:t>5</w:t>
            </w:r>
            <w:r>
              <w:rPr>
                <w:rFonts w:hint="eastAsia" w:ascii="宋体" w:hAnsi="宋体" w:eastAsia="宋体" w:cs="Times New Roman"/>
                <w:sz w:val="24"/>
                <w:szCs w:val="24"/>
                <w:lang w:val="en-US" w:eastAsia="zh-CN" w:bidi="ar-SA"/>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137" w:type="dxa"/>
            <w:gridSpan w:val="2"/>
            <w:vAlign w:val="center"/>
          </w:tcPr>
          <w:p>
            <w:pPr>
              <w:adjustRightInd w:val="0"/>
              <w:spacing w:line="400" w:lineRule="exact"/>
              <w:jc w:val="center"/>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18</w:t>
            </w:r>
          </w:p>
        </w:tc>
        <w:tc>
          <w:tcPr>
            <w:tcW w:w="2142" w:type="dxa"/>
            <w:vAlign w:val="center"/>
          </w:tcPr>
          <w:p>
            <w:pPr>
              <w:adjustRightInd w:val="0"/>
              <w:spacing w:line="400" w:lineRule="exact"/>
              <w:jc w:val="center"/>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构成响应文件的其他材料</w:t>
            </w:r>
          </w:p>
        </w:tc>
        <w:tc>
          <w:tcPr>
            <w:tcW w:w="6357" w:type="dxa"/>
            <w:vAlign w:val="center"/>
          </w:tcPr>
          <w:p>
            <w:pPr>
              <w:adjustRightInd w:val="0"/>
              <w:spacing w:line="400" w:lineRule="exact"/>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供应商认为应增加的资料或说明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37" w:type="dxa"/>
            <w:gridSpan w:val="2"/>
            <w:vAlign w:val="center"/>
          </w:tcPr>
          <w:p>
            <w:pPr>
              <w:adjustRightInd w:val="0"/>
              <w:spacing w:line="400" w:lineRule="exact"/>
              <w:jc w:val="center"/>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19</w:t>
            </w:r>
          </w:p>
        </w:tc>
        <w:tc>
          <w:tcPr>
            <w:tcW w:w="2142" w:type="dxa"/>
            <w:vAlign w:val="center"/>
          </w:tcPr>
          <w:p>
            <w:pPr>
              <w:adjustRightInd w:val="0"/>
              <w:spacing w:line="400" w:lineRule="exact"/>
              <w:jc w:val="center"/>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投标有效期</w:t>
            </w:r>
          </w:p>
        </w:tc>
        <w:tc>
          <w:tcPr>
            <w:tcW w:w="6357" w:type="dxa"/>
            <w:vAlign w:val="center"/>
          </w:tcPr>
          <w:p>
            <w:pPr>
              <w:adjustRightInd w:val="0"/>
              <w:spacing w:line="400" w:lineRule="exact"/>
              <w:rPr>
                <w:rFonts w:ascii="Times New Roman" w:hAnsi="Times New Roman" w:eastAsia="Times New Roman" w:cs="Times New Roman"/>
                <w:sz w:val="24"/>
                <w:szCs w:val="24"/>
                <w:lang w:val="en-US" w:bidi="ar-SA"/>
              </w:rPr>
            </w:pPr>
            <w:r>
              <w:rPr>
                <w:rFonts w:ascii="宋体" w:hAnsi="宋体" w:cs="Times New Roman"/>
                <w:sz w:val="24"/>
                <w:szCs w:val="24"/>
                <w:u w:val="single"/>
                <w:lang w:val="en-US" w:bidi="ar-SA"/>
              </w:rPr>
              <w:t>90</w:t>
            </w:r>
            <w:r>
              <w:rPr>
                <w:rFonts w:hint="eastAsia" w:ascii="宋体" w:hAnsi="宋体" w:cs="Times New Roman"/>
                <w:sz w:val="24"/>
                <w:szCs w:val="24"/>
                <w:lang w:val="en-US" w:bidi="ar-SA"/>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37" w:type="dxa"/>
            <w:gridSpan w:val="2"/>
            <w:vAlign w:val="center"/>
          </w:tcPr>
          <w:p>
            <w:pPr>
              <w:adjustRightInd w:val="0"/>
              <w:spacing w:line="400" w:lineRule="exact"/>
              <w:jc w:val="center"/>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20</w:t>
            </w:r>
          </w:p>
        </w:tc>
        <w:tc>
          <w:tcPr>
            <w:tcW w:w="2142" w:type="dxa"/>
            <w:vAlign w:val="center"/>
          </w:tcPr>
          <w:p>
            <w:pPr>
              <w:adjustRightInd w:val="0"/>
              <w:spacing w:line="400" w:lineRule="exact"/>
              <w:jc w:val="center"/>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磋商保证金</w:t>
            </w:r>
          </w:p>
        </w:tc>
        <w:tc>
          <w:tcPr>
            <w:tcW w:w="6357" w:type="dxa"/>
            <w:vAlign w:val="center"/>
          </w:tcPr>
          <w:p>
            <w:pPr>
              <w:adjustRightInd w:val="0"/>
              <w:spacing w:line="400" w:lineRule="exact"/>
              <w:rPr>
                <w:rFonts w:ascii="Times New Roman" w:hAnsi="Times New Roman" w:eastAsia="Times New Roman" w:cs="Times New Roman"/>
                <w:sz w:val="24"/>
                <w:szCs w:val="24"/>
                <w:lang w:val="en-US" w:bidi="ar-SA"/>
              </w:rPr>
            </w:pPr>
            <w:r>
              <w:rPr>
                <w:rFonts w:hint="eastAsia" w:ascii="宋体" w:hAnsi="宋体" w:cs="Times New Roman"/>
                <w:b/>
                <w:sz w:val="24"/>
                <w:szCs w:val="24"/>
                <w:lang w:val="en-US" w:bidi="ar-SA"/>
              </w:rPr>
              <w:t>本项目的磋商保证金为人民币：</w:t>
            </w:r>
            <w:r>
              <w:rPr>
                <w:rFonts w:hint="eastAsia" w:cs="Times New Roman"/>
                <w:b/>
                <w:sz w:val="24"/>
                <w:szCs w:val="24"/>
                <w:u w:val="single"/>
                <w:lang w:val="en-US" w:eastAsia="zh-CN" w:bidi="ar-SA"/>
              </w:rPr>
              <w:t>18</w:t>
            </w:r>
            <w:r>
              <w:rPr>
                <w:rFonts w:hint="eastAsia" w:ascii="宋体" w:hAnsi="宋体" w:cs="Times New Roman"/>
                <w:b/>
                <w:sz w:val="24"/>
                <w:szCs w:val="24"/>
                <w:u w:val="single"/>
                <w:lang w:val="en-US" w:eastAsia="zh-CN" w:bidi="ar-SA"/>
              </w:rPr>
              <w:t>000</w:t>
            </w:r>
            <w:r>
              <w:rPr>
                <w:rFonts w:hint="eastAsia" w:ascii="宋体" w:hAnsi="宋体" w:cs="Times New Roman"/>
                <w:b/>
                <w:sz w:val="24"/>
                <w:szCs w:val="24"/>
                <w:u w:val="single"/>
                <w:lang w:val="en-US" w:bidi="ar-SA"/>
              </w:rPr>
              <w:t>元</w:t>
            </w:r>
            <w:r>
              <w:rPr>
                <w:rFonts w:hint="eastAsia" w:ascii="宋体" w:hAnsi="宋体" w:cs="Times New Roman"/>
                <w:b/>
                <w:sz w:val="24"/>
                <w:szCs w:val="24"/>
                <w:lang w:val="en-US" w:bidi="ar-SA"/>
              </w:rPr>
              <w:t>，</w:t>
            </w:r>
            <w:r>
              <w:rPr>
                <w:rFonts w:hint="eastAsia" w:ascii="宋体" w:hAnsi="宋体" w:cs="Times New Roman"/>
                <w:sz w:val="24"/>
                <w:szCs w:val="24"/>
                <w:lang w:val="en-US" w:bidi="ar-SA"/>
              </w:rPr>
              <w:t>磋商保证金到账截止时间同磋商截止时间。</w:t>
            </w:r>
          </w:p>
          <w:p>
            <w:pPr>
              <w:adjustRightInd w:val="0"/>
              <w:spacing w:line="400" w:lineRule="exact"/>
              <w:rPr>
                <w:rFonts w:ascii="宋体" w:hAnsi="Times New Roman" w:cs="Times New Roman"/>
                <w:b/>
                <w:sz w:val="24"/>
                <w:szCs w:val="24"/>
                <w:lang w:val="en-US" w:bidi="ar-SA"/>
              </w:rPr>
            </w:pPr>
            <w:r>
              <w:rPr>
                <w:rFonts w:hint="eastAsia" w:ascii="宋体" w:hAnsi="宋体" w:cs="Times New Roman"/>
                <w:b/>
                <w:sz w:val="24"/>
                <w:szCs w:val="24"/>
                <w:lang w:val="en-US" w:bidi="ar-SA"/>
              </w:rPr>
              <w:t>提交方式：从供应商基本账户以电汇、网银等非现金形式在提交首次响应文件截止时间前交纳。汇款需注明采购项目编号或名称。</w:t>
            </w:r>
          </w:p>
          <w:p>
            <w:pPr>
              <w:adjustRightInd w:val="0"/>
              <w:spacing w:line="400" w:lineRule="exact"/>
              <w:rPr>
                <w:rFonts w:ascii="Times New Roman" w:hAnsi="Times New Roman" w:eastAsia="Times New Roman" w:cs="Times New Roman"/>
                <w:b/>
                <w:sz w:val="24"/>
                <w:szCs w:val="24"/>
                <w:lang w:val="en-US" w:bidi="ar-SA"/>
              </w:rPr>
            </w:pPr>
            <w:r>
              <w:rPr>
                <w:rFonts w:hint="eastAsia" w:ascii="宋体" w:hAnsi="宋体" w:cs="Times New Roman"/>
                <w:b/>
                <w:sz w:val="24"/>
                <w:szCs w:val="24"/>
                <w:lang w:val="en-US" w:bidi="ar-SA"/>
              </w:rPr>
              <w:t>账户信息：</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bidi="ar-SA"/>
              </w:rPr>
              <w:t>单位名称：</w:t>
            </w:r>
            <w:r>
              <w:rPr>
                <w:rFonts w:hint="eastAsia" w:ascii="宋体" w:hAnsi="宋体" w:eastAsia="宋体" w:cs="Times New Roman"/>
                <w:sz w:val="24"/>
                <w:szCs w:val="24"/>
                <w:lang w:val="en-US" w:eastAsia="zh-CN" w:bidi="ar-SA"/>
              </w:rPr>
              <w:t>新疆汇力赋能项目管理有限责任公司</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Times New Roman"/>
                <w:sz w:val="24"/>
                <w:szCs w:val="24"/>
                <w:lang w:val="en-US" w:bidi="ar-SA"/>
              </w:rPr>
            </w:pPr>
            <w:r>
              <w:rPr>
                <w:rFonts w:hint="eastAsia" w:ascii="宋体" w:hAnsi="宋体" w:eastAsia="宋体" w:cs="Times New Roman"/>
                <w:sz w:val="24"/>
                <w:szCs w:val="24"/>
                <w:lang w:val="en-US" w:bidi="ar-SA"/>
              </w:rPr>
              <w:t>开户银行：中国工商银行股份有限公司巴音郭楞蒙古自治州分行</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Times New Roman"/>
                <w:sz w:val="24"/>
                <w:szCs w:val="24"/>
                <w:lang w:val="en-US" w:bidi="ar-SA"/>
              </w:rPr>
            </w:pPr>
            <w:r>
              <w:rPr>
                <w:rFonts w:hint="eastAsia" w:ascii="宋体" w:hAnsi="宋体" w:eastAsia="宋体" w:cs="Times New Roman"/>
                <w:sz w:val="24"/>
                <w:szCs w:val="24"/>
                <w:lang w:val="en-US" w:bidi="ar-SA"/>
              </w:rPr>
              <w:t>帐  号：3010024709200410350</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bidi="ar-SA"/>
              </w:rPr>
              <w:t>行  号：</w:t>
            </w:r>
            <w:r>
              <w:rPr>
                <w:rFonts w:hint="eastAsia" w:ascii="宋体" w:hAnsi="宋体" w:eastAsia="宋体" w:cs="Times New Roman"/>
                <w:sz w:val="24"/>
                <w:szCs w:val="24"/>
                <w:lang w:val="en-US" w:eastAsia="zh-CN" w:bidi="ar-SA"/>
              </w:rPr>
              <w:t>102888000013</w:t>
            </w:r>
          </w:p>
          <w:p>
            <w:pPr>
              <w:keepNext w:val="0"/>
              <w:keepLines w:val="0"/>
              <w:pageBreakBefore w:val="0"/>
              <w:widowControl/>
              <w:tabs>
                <w:tab w:val="left" w:pos="0"/>
              </w:tabs>
              <w:kinsoku/>
              <w:wordWrap/>
              <w:overflowPunct/>
              <w:topLinePunct w:val="0"/>
              <w:autoSpaceDE w:val="0"/>
              <w:autoSpaceDN w:val="0"/>
              <w:bidi w:val="0"/>
              <w:adjustRightInd w:val="0"/>
              <w:snapToGrid/>
              <w:spacing w:after="0" w:line="400" w:lineRule="exact"/>
              <w:ind w:left="0" w:leftChars="0" w:firstLine="0" w:firstLineChars="0"/>
              <w:textAlignment w:val="auto"/>
              <w:rPr>
                <w:rFonts w:ascii="Times New Roman" w:hAnsi="Times New Roman" w:eastAsia="Times New Roman" w:cs="Times New Roman"/>
                <w:sz w:val="28"/>
                <w:szCs w:val="24"/>
                <w:lang w:val="en-US" w:eastAsia="zh-CN" w:bidi="ar-SA"/>
              </w:rPr>
            </w:pPr>
            <w:r>
              <w:rPr>
                <w:rFonts w:hint="eastAsia" w:ascii="宋体" w:hAnsi="宋体" w:eastAsia="宋体" w:cs="Times New Roman"/>
                <w:sz w:val="24"/>
                <w:szCs w:val="24"/>
                <w:lang w:val="en-US" w:eastAsia="zh-CN" w:bidi="ar-SA"/>
              </w:rPr>
              <w:t>磋商保证金以到账信息为准，供应商应充分考虑在途时间，供应商未按照磋商文件要求提交磋商保证金的，磋商无效。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adjustRightInd w:val="0"/>
              <w:spacing w:line="400" w:lineRule="exact"/>
              <w:jc w:val="center"/>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21</w:t>
            </w:r>
          </w:p>
        </w:tc>
        <w:tc>
          <w:tcPr>
            <w:tcW w:w="2142" w:type="dxa"/>
            <w:vAlign w:val="center"/>
          </w:tcPr>
          <w:p>
            <w:pPr>
              <w:adjustRightInd w:val="0"/>
              <w:spacing w:line="400" w:lineRule="exact"/>
              <w:jc w:val="center"/>
              <w:rPr>
                <w:rFonts w:ascii="Times New Roman" w:hAnsi="Times New Roman" w:eastAsia="Times New Roman" w:cs="Times New Roman"/>
                <w:sz w:val="24"/>
                <w:szCs w:val="24"/>
                <w:lang w:val="en-US" w:bidi="ar-SA"/>
              </w:rPr>
            </w:pPr>
            <w:r>
              <w:rPr>
                <w:rFonts w:hint="eastAsia" w:ascii="宋体" w:hAnsi="宋体" w:cs="宋体"/>
                <w:color w:val="000000"/>
                <w:sz w:val="24"/>
                <w:szCs w:val="21"/>
                <w:lang w:val="en-US" w:bidi="ar-SA"/>
              </w:rPr>
              <w:t>投标前准备</w:t>
            </w:r>
          </w:p>
        </w:tc>
        <w:tc>
          <w:tcPr>
            <w:tcW w:w="6357" w:type="dxa"/>
            <w:vAlign w:val="center"/>
          </w:tcPr>
          <w:p>
            <w:pPr>
              <w:adjustRightInd w:val="0"/>
              <w:spacing w:line="312" w:lineRule="auto"/>
              <w:rPr>
                <w:rFonts w:ascii="宋体" w:hAnsi="Times New Roman" w:cs="宋体"/>
                <w:color w:val="000000"/>
                <w:sz w:val="24"/>
                <w:szCs w:val="21"/>
                <w:lang w:val="en-US" w:bidi="ar-SA"/>
              </w:rPr>
            </w:pPr>
            <w:r>
              <w:rPr>
                <w:rFonts w:ascii="宋体" w:hAnsi="宋体" w:cs="宋体"/>
                <w:color w:val="000000"/>
                <w:sz w:val="24"/>
                <w:szCs w:val="21"/>
                <w:lang w:val="en-US" w:bidi="ar-SA"/>
              </w:rPr>
              <w:t>1</w:t>
            </w:r>
            <w:r>
              <w:rPr>
                <w:rFonts w:hint="eastAsia" w:ascii="宋体" w:hAnsi="宋体" w:cs="宋体"/>
                <w:color w:val="000000"/>
                <w:sz w:val="24"/>
                <w:szCs w:val="21"/>
                <w:lang w:val="en-US" w:bidi="ar-SA"/>
              </w:rPr>
              <w:t>、本项目实行网上投标，采用加密电子投标响应文件。若供应商参与投标，自行承担投标一切费用。</w:t>
            </w:r>
          </w:p>
          <w:p>
            <w:pPr>
              <w:adjustRightInd w:val="0"/>
              <w:spacing w:line="312" w:lineRule="auto"/>
              <w:rPr>
                <w:rFonts w:ascii="宋体" w:hAnsi="Times New Roman" w:cs="宋体"/>
                <w:color w:val="000000"/>
                <w:sz w:val="24"/>
                <w:szCs w:val="21"/>
                <w:lang w:val="en-US" w:bidi="ar-SA"/>
              </w:rPr>
            </w:pPr>
            <w:r>
              <w:rPr>
                <w:rFonts w:ascii="宋体" w:hAnsi="宋体" w:cs="宋体"/>
                <w:color w:val="000000"/>
                <w:sz w:val="24"/>
                <w:szCs w:val="21"/>
                <w:lang w:val="en-US" w:bidi="ar-SA"/>
              </w:rPr>
              <w:t>2</w:t>
            </w:r>
            <w:r>
              <w:rPr>
                <w:rFonts w:hint="eastAsia" w:ascii="宋体" w:hAnsi="宋体" w:cs="宋体"/>
                <w:color w:val="000000"/>
                <w:sz w:val="24"/>
                <w:szCs w:val="21"/>
                <w:lang w:val="en-US" w:bidi="ar-SA"/>
              </w:rPr>
              <w:t>、各供应商在开标前应确保成为新疆维吾尔自治区政府采购网正式注册入库供应商，并完成</w:t>
            </w:r>
            <w:r>
              <w:rPr>
                <w:rFonts w:ascii="宋体" w:hAnsi="宋体" w:cs="宋体"/>
                <w:color w:val="000000"/>
                <w:sz w:val="24"/>
                <w:szCs w:val="21"/>
                <w:lang w:val="en-US" w:bidi="ar-SA"/>
              </w:rPr>
              <w:t>CA</w:t>
            </w:r>
            <w:r>
              <w:rPr>
                <w:rFonts w:hint="eastAsia" w:ascii="宋体" w:hAnsi="宋体" w:cs="宋体"/>
                <w:color w:val="000000"/>
                <w:sz w:val="24"/>
                <w:szCs w:val="21"/>
                <w:lang w:val="en-US" w:bidi="ar-SA"/>
              </w:rPr>
              <w:t>数字证书申领。因未注册入库、未办理</w:t>
            </w:r>
            <w:r>
              <w:rPr>
                <w:rFonts w:ascii="宋体" w:hAnsi="宋体" w:cs="宋体"/>
                <w:color w:val="000000"/>
                <w:sz w:val="24"/>
                <w:szCs w:val="21"/>
                <w:lang w:val="en-US" w:bidi="ar-SA"/>
              </w:rPr>
              <w:t>CA</w:t>
            </w:r>
            <w:r>
              <w:rPr>
                <w:rFonts w:hint="eastAsia" w:ascii="宋体" w:hAnsi="宋体" w:cs="宋体"/>
                <w:color w:val="000000"/>
                <w:sz w:val="24"/>
                <w:szCs w:val="21"/>
                <w:lang w:val="en-US" w:bidi="ar-SA"/>
              </w:rPr>
              <w:t>数字证书等原因造成无法投标或投标失败等后果由供应商自行承担。</w:t>
            </w:r>
          </w:p>
          <w:p>
            <w:pPr>
              <w:adjustRightInd w:val="0"/>
              <w:spacing w:line="312" w:lineRule="auto"/>
              <w:rPr>
                <w:rFonts w:ascii="Times New Roman" w:hAnsi="Times New Roman" w:eastAsia="Times New Roman" w:cs="Times New Roman"/>
                <w:sz w:val="24"/>
                <w:szCs w:val="24"/>
                <w:lang w:val="en-US" w:bidi="ar-SA"/>
              </w:rPr>
            </w:pPr>
            <w:r>
              <w:rPr>
                <w:rFonts w:ascii="宋体" w:hAnsi="宋体" w:cs="宋体"/>
                <w:color w:val="000000"/>
                <w:sz w:val="24"/>
                <w:szCs w:val="21"/>
                <w:lang w:val="en-US" w:bidi="ar-SA"/>
              </w:rPr>
              <w:t>3</w:t>
            </w:r>
            <w:r>
              <w:rPr>
                <w:rFonts w:hint="eastAsia" w:ascii="宋体" w:hAnsi="宋体" w:cs="宋体"/>
                <w:color w:val="000000"/>
                <w:sz w:val="24"/>
                <w:szCs w:val="21"/>
                <w:lang w:val="en-US" w:bidi="ar-SA"/>
              </w:rPr>
              <w:t>、供应商将政采云电子交易客户端下载、安装完成后，可通过账号密码或</w:t>
            </w:r>
            <w:r>
              <w:rPr>
                <w:rFonts w:ascii="宋体" w:hAnsi="宋体" w:cs="宋体"/>
                <w:color w:val="000000"/>
                <w:sz w:val="24"/>
                <w:szCs w:val="21"/>
                <w:lang w:val="en-US" w:bidi="ar-SA"/>
              </w:rPr>
              <w:t>CA</w:t>
            </w:r>
            <w:r>
              <w:rPr>
                <w:rFonts w:hint="eastAsia" w:ascii="宋体" w:hAnsi="宋体" w:cs="宋体"/>
                <w:color w:val="000000"/>
                <w:sz w:val="24"/>
                <w:szCs w:val="21"/>
                <w:lang w:val="en-US" w:bidi="ar-SA"/>
              </w:rPr>
              <w:t>登录客户端进行响应文件制作。在使用政采云投标客户端时，建议使用</w:t>
            </w:r>
            <w:r>
              <w:rPr>
                <w:rFonts w:ascii="宋体" w:hAnsi="宋体" w:cs="宋体"/>
                <w:color w:val="000000"/>
                <w:sz w:val="24"/>
                <w:szCs w:val="21"/>
                <w:lang w:val="en-US" w:bidi="ar-SA"/>
              </w:rPr>
              <w:t>WIN7</w:t>
            </w:r>
            <w:r>
              <w:rPr>
                <w:rFonts w:hint="eastAsia" w:ascii="宋体" w:hAnsi="宋体" w:cs="宋体"/>
                <w:color w:val="000000"/>
                <w:sz w:val="24"/>
                <w:szCs w:val="21"/>
                <w:lang w:val="en-US" w:bidi="ar-SA"/>
              </w:rPr>
              <w:t>及以上操作系统。客户端请至新疆政府采购网（</w:t>
            </w:r>
            <w:r>
              <w:rPr>
                <w:rFonts w:ascii="Times New Roman" w:hAnsi="Times New Roman" w:cs="Times New Roman"/>
                <w:sz w:val="24"/>
                <w:szCs w:val="24"/>
                <w:lang w:val="en-US" w:bidi="ar-SA"/>
              </w:rPr>
              <w:fldChar w:fldCharType="begin"/>
            </w:r>
            <w:r>
              <w:rPr>
                <w:rFonts w:ascii="Times New Roman" w:hAnsi="Times New Roman" w:cs="Times New Roman"/>
                <w:sz w:val="24"/>
                <w:szCs w:val="24"/>
                <w:lang w:val="en-US" w:bidi="ar-SA"/>
              </w:rPr>
              <w:instrText xml:space="preserve"> HYPERLINK "http://www.ccgp-xinjiang.gov.cn/" </w:instrText>
            </w:r>
            <w:r>
              <w:rPr>
                <w:rFonts w:ascii="Times New Roman" w:hAnsi="Times New Roman" w:cs="Times New Roman"/>
                <w:sz w:val="24"/>
                <w:szCs w:val="24"/>
                <w:lang w:val="en-US" w:bidi="ar-SA"/>
              </w:rPr>
              <w:fldChar w:fldCharType="separate"/>
            </w:r>
            <w:r>
              <w:rPr>
                <w:rFonts w:ascii="宋体" w:hAnsi="宋体" w:cs="宋体"/>
                <w:color w:val="000000"/>
                <w:sz w:val="24"/>
                <w:szCs w:val="21"/>
                <w:lang w:val="en-US" w:bidi="ar-SA"/>
              </w:rPr>
              <w:t>http://www.ccgp-xinjiang.gov.cn/</w:t>
            </w:r>
            <w:r>
              <w:rPr>
                <w:rFonts w:ascii="宋体" w:hAnsi="宋体" w:cs="宋体"/>
                <w:color w:val="000000"/>
                <w:sz w:val="24"/>
                <w:szCs w:val="21"/>
                <w:lang w:val="en-US" w:bidi="ar-SA"/>
              </w:rPr>
              <w:fldChar w:fldCharType="end"/>
            </w:r>
            <w:r>
              <w:rPr>
                <w:rFonts w:hint="eastAsia" w:ascii="宋体" w:hAnsi="宋体" w:cs="宋体"/>
                <w:color w:val="000000"/>
                <w:sz w:val="24"/>
                <w:szCs w:val="21"/>
                <w:lang w:val="en-US" w:bidi="ar-SA"/>
              </w:rPr>
              <w:t>）下载专区查看，如有问题可拨打政采云客户服务热线</w:t>
            </w:r>
            <w:r>
              <w:rPr>
                <w:rFonts w:ascii="宋体" w:hAnsi="宋体" w:cs="宋体"/>
                <w:color w:val="000000"/>
                <w:sz w:val="24"/>
                <w:szCs w:val="21"/>
                <w:lang w:val="en-US" w:bidi="ar-SA"/>
              </w:rPr>
              <w:t>400-881-7190</w:t>
            </w:r>
            <w:r>
              <w:rPr>
                <w:rFonts w:hint="eastAsia" w:ascii="宋体" w:hAnsi="宋体" w:cs="宋体"/>
                <w:color w:val="000000"/>
                <w:sz w:val="24"/>
                <w:szCs w:val="21"/>
                <w:lang w:val="en-US" w:bidi="ar-SA"/>
              </w:rPr>
              <w:t>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137" w:type="dxa"/>
            <w:gridSpan w:val="2"/>
            <w:vAlign w:val="center"/>
          </w:tcPr>
          <w:p>
            <w:pPr>
              <w:adjustRightInd w:val="0"/>
              <w:spacing w:line="400" w:lineRule="exact"/>
              <w:jc w:val="center"/>
              <w:rPr>
                <w:rFonts w:hint="default" w:ascii="Times New Roman" w:hAnsi="Times New Roman" w:eastAsia="宋体" w:cs="Times New Roman"/>
                <w:color w:val="000000"/>
                <w:sz w:val="24"/>
                <w:szCs w:val="24"/>
                <w:lang w:val="en-US" w:eastAsia="zh-CN" w:bidi="ar-SA"/>
              </w:rPr>
            </w:pPr>
            <w:r>
              <w:rPr>
                <w:rFonts w:hint="eastAsia" w:cs="Times New Roman"/>
                <w:color w:val="000000"/>
                <w:sz w:val="24"/>
                <w:szCs w:val="24"/>
                <w:lang w:val="en-US" w:eastAsia="zh-CN" w:bidi="ar-SA"/>
              </w:rPr>
              <w:t>22</w:t>
            </w:r>
          </w:p>
        </w:tc>
        <w:tc>
          <w:tcPr>
            <w:tcW w:w="2142" w:type="dxa"/>
            <w:vAlign w:val="center"/>
          </w:tcPr>
          <w:p>
            <w:pPr>
              <w:adjustRightInd w:val="0"/>
              <w:spacing w:line="400" w:lineRule="exact"/>
              <w:jc w:val="center"/>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磋商响应文件签字、盖章要求</w:t>
            </w:r>
          </w:p>
        </w:tc>
        <w:tc>
          <w:tcPr>
            <w:tcW w:w="6357" w:type="dxa"/>
            <w:vAlign w:val="center"/>
          </w:tcPr>
          <w:p>
            <w:pPr>
              <w:adjustRightInd w:val="0"/>
              <w:spacing w:line="400" w:lineRule="exact"/>
              <w:rPr>
                <w:rFonts w:ascii="宋体" w:hAnsi="Times New Roman" w:cs="Times New Roman"/>
                <w:sz w:val="24"/>
                <w:szCs w:val="24"/>
                <w:lang w:val="en-US" w:bidi="ar-SA"/>
              </w:rPr>
            </w:pPr>
            <w:r>
              <w:rPr>
                <w:rFonts w:hint="eastAsia" w:ascii="宋体" w:hAnsi="宋体" w:cs="Times New Roman"/>
                <w:sz w:val="24"/>
                <w:szCs w:val="24"/>
                <w:lang w:val="en-US" w:bidi="ar-SA"/>
              </w:rPr>
              <w:t>上传的电子磋商响应文件的盖章可采用</w:t>
            </w:r>
            <w:r>
              <w:rPr>
                <w:rFonts w:ascii="宋体" w:hAnsi="宋体" w:cs="Times New Roman"/>
                <w:sz w:val="24"/>
                <w:szCs w:val="24"/>
                <w:lang w:val="en-US" w:bidi="ar-SA"/>
              </w:rPr>
              <w:t>CA</w:t>
            </w:r>
            <w:r>
              <w:rPr>
                <w:rFonts w:hint="eastAsia" w:ascii="宋体" w:hAnsi="宋体" w:cs="Times New Roman"/>
                <w:sz w:val="24"/>
                <w:szCs w:val="24"/>
                <w:lang w:val="en-US" w:bidi="ar-SA"/>
              </w:rPr>
              <w:t>锁电子签章进行，如办理了法人电子锁，法人签字也可以进行电子签章。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37" w:type="dxa"/>
            <w:gridSpan w:val="2"/>
            <w:vAlign w:val="center"/>
          </w:tcPr>
          <w:p>
            <w:pPr>
              <w:adjustRightInd w:val="0"/>
              <w:spacing w:line="400" w:lineRule="exact"/>
              <w:jc w:val="center"/>
              <w:rPr>
                <w:rFonts w:hint="default" w:ascii="Times New Roman" w:hAnsi="Times New Roman" w:eastAsia="宋体" w:cs="Times New Roman"/>
                <w:color w:val="000000"/>
                <w:sz w:val="24"/>
                <w:szCs w:val="24"/>
                <w:lang w:val="en-US" w:eastAsia="zh-CN" w:bidi="ar-SA"/>
              </w:rPr>
            </w:pPr>
            <w:r>
              <w:rPr>
                <w:rFonts w:hint="eastAsia" w:cs="Times New Roman"/>
                <w:color w:val="000000"/>
                <w:sz w:val="24"/>
                <w:szCs w:val="24"/>
                <w:lang w:val="en-US" w:eastAsia="zh-CN" w:bidi="ar-SA"/>
              </w:rPr>
              <w:t>23</w:t>
            </w:r>
          </w:p>
        </w:tc>
        <w:tc>
          <w:tcPr>
            <w:tcW w:w="2142" w:type="dxa"/>
            <w:vAlign w:val="center"/>
          </w:tcPr>
          <w:p>
            <w:pPr>
              <w:widowControl w:val="0"/>
              <w:autoSpaceDE w:val="0"/>
              <w:autoSpaceDN w:val="0"/>
              <w:adjustRightInd w:val="0"/>
              <w:spacing w:line="400" w:lineRule="exact"/>
              <w:rPr>
                <w:rFonts w:ascii="宋体" w:hAnsi="宋体" w:eastAsia="Times New Roman" w:cs="Times New Roman"/>
                <w:sz w:val="24"/>
                <w:szCs w:val="24"/>
                <w:lang w:val="en-US" w:eastAsia="zh-CN" w:bidi="ar-SA"/>
              </w:rPr>
            </w:pPr>
            <w:r>
              <w:rPr>
                <w:rFonts w:hint="eastAsia" w:ascii="宋体" w:hAnsi="宋体" w:eastAsia="宋体" w:cs="Times New Roman"/>
                <w:sz w:val="24"/>
                <w:szCs w:val="24"/>
                <w:lang w:val="en-US" w:eastAsia="zh-CN" w:bidi="ar-SA"/>
              </w:rPr>
              <w:t>磋商响应文件数量及制作</w:t>
            </w:r>
          </w:p>
        </w:tc>
        <w:tc>
          <w:tcPr>
            <w:tcW w:w="6357"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1、供应商投标时须提供：加密的电子响应文件壹份（*.jmb 格式）；备份文件壹份（BFBS格式），按政采云平台供应商项目采购-电子招投标操作指南(www.zcygov.cn)及本磋商文件要求编制、提交。</w:t>
            </w:r>
          </w:p>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2、开标后各投标供应商需在公示期满后，另行提交纸质版响应文件（正本一份、副本二份）。须与电子版响应文件内容一致，纸质响应文件需留存备案将一律不予退还。</w:t>
            </w:r>
          </w:p>
          <w:p>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3、纸质版标书邮寄地址及收件人：新疆新疆巴州库尔勒市团结辖区兰干路18号吉恒大厦1栋1层01商铺（新疆汇力赋能项目管理有限责任公司）</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000000"/>
                <w:sz w:val="24"/>
                <w:szCs w:val="24"/>
                <w:lang w:val="en-US" w:bidi="ar-SA"/>
              </w:rPr>
            </w:pPr>
            <w:r>
              <w:rPr>
                <w:rFonts w:hint="eastAsia" w:ascii="宋体" w:hAnsi="宋体" w:eastAsia="宋体" w:cs="宋体"/>
                <w:color w:val="000000"/>
                <w:sz w:val="24"/>
                <w:szCs w:val="24"/>
                <w:lang w:val="en-US" w:bidi="ar-SA"/>
              </w:rPr>
              <w:t>收件人：</w:t>
            </w:r>
            <w:r>
              <w:rPr>
                <w:rFonts w:hint="eastAsia" w:ascii="宋体" w:hAnsi="宋体" w:eastAsia="宋体" w:cs="宋体"/>
                <w:kern w:val="0"/>
                <w:sz w:val="24"/>
                <w:szCs w:val="21"/>
                <w:lang w:val="en-US" w:bidi="ar-SA"/>
              </w:rPr>
              <w:t xml:space="preserve">方桦柯珺 </w:t>
            </w:r>
            <w:r>
              <w:rPr>
                <w:rFonts w:hint="eastAsia" w:ascii="宋体" w:hAnsi="宋体" w:eastAsia="宋体" w:cs="宋体"/>
                <w:kern w:val="0"/>
                <w:sz w:val="24"/>
                <w:szCs w:val="21"/>
                <w:lang w:val="en-US" w:eastAsia="zh-CN" w:bidi="ar-SA"/>
              </w:rPr>
              <w:t xml:space="preserve">   </w:t>
            </w:r>
            <w:r>
              <w:rPr>
                <w:rFonts w:hint="eastAsia" w:ascii="宋体" w:hAnsi="宋体" w:eastAsia="宋体" w:cs="宋体"/>
                <w:kern w:val="0"/>
                <w:sz w:val="24"/>
                <w:szCs w:val="24"/>
                <w:lang w:val="en-US" w:bidi="ar-SA"/>
              </w:rPr>
              <w:t>联系电话：0996-</w:t>
            </w:r>
            <w:r>
              <w:rPr>
                <w:rFonts w:hint="eastAsia" w:ascii="宋体" w:hAnsi="宋体" w:eastAsia="宋体" w:cs="宋体"/>
                <w:kern w:val="0"/>
                <w:sz w:val="24"/>
                <w:szCs w:val="24"/>
                <w:lang w:val="en-US" w:eastAsia="zh-CN" w:bidi="ar-SA"/>
              </w:rPr>
              <w:t>2118336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gridSpan w:val="2"/>
            <w:vAlign w:val="center"/>
          </w:tcPr>
          <w:p>
            <w:pPr>
              <w:adjustRightInd w:val="0"/>
              <w:spacing w:line="400" w:lineRule="exact"/>
              <w:jc w:val="center"/>
              <w:rPr>
                <w:rFonts w:hint="default" w:ascii="Times New Roman" w:hAnsi="Times New Roman" w:eastAsia="宋体" w:cs="Times New Roman"/>
                <w:color w:val="000000"/>
                <w:sz w:val="24"/>
                <w:szCs w:val="24"/>
                <w:lang w:val="en-US" w:eastAsia="zh-CN" w:bidi="ar-SA"/>
              </w:rPr>
            </w:pPr>
            <w:r>
              <w:rPr>
                <w:rFonts w:hint="eastAsia" w:cs="Times New Roman"/>
                <w:color w:val="000000"/>
                <w:sz w:val="24"/>
                <w:szCs w:val="24"/>
                <w:lang w:val="en-US" w:eastAsia="zh-CN" w:bidi="ar-SA"/>
              </w:rPr>
              <w:t>24</w:t>
            </w:r>
          </w:p>
        </w:tc>
        <w:tc>
          <w:tcPr>
            <w:tcW w:w="2142" w:type="dxa"/>
            <w:vAlign w:val="center"/>
          </w:tcPr>
          <w:p>
            <w:pPr>
              <w:adjustRightInd w:val="0"/>
              <w:spacing w:line="400" w:lineRule="exact"/>
              <w:jc w:val="center"/>
              <w:rPr>
                <w:rFonts w:ascii="Times New Roman" w:hAnsi="Times New Roman" w:eastAsia="Times New Roman" w:cs="Times New Roman"/>
                <w:color w:val="FF0000"/>
                <w:sz w:val="24"/>
                <w:szCs w:val="24"/>
                <w:lang w:val="en-US" w:bidi="ar-SA"/>
              </w:rPr>
            </w:pPr>
            <w:r>
              <w:rPr>
                <w:rFonts w:hint="eastAsia" w:ascii="BRGEKD+??¨¬?" w:hAnsi="BRGEKD+??¨¬?" w:cs="BRGEKD+??¨¬?"/>
                <w:spacing w:val="-1"/>
                <w:sz w:val="24"/>
                <w:szCs w:val="24"/>
                <w:lang w:val="en-US" w:bidi="ar-SA"/>
              </w:rPr>
              <w:t>响应文件的解密</w:t>
            </w:r>
          </w:p>
        </w:tc>
        <w:tc>
          <w:tcPr>
            <w:tcW w:w="6357" w:type="dxa"/>
            <w:vAlign w:val="center"/>
          </w:tcPr>
          <w:p>
            <w:pPr>
              <w:adjustRightInd w:val="0"/>
              <w:spacing w:line="400" w:lineRule="exact"/>
              <w:rPr>
                <w:rFonts w:ascii="Times New Roman" w:hAnsi="Times New Roman" w:eastAsia="Times New Roman" w:cs="Times New Roman"/>
                <w:color w:val="FF0000"/>
                <w:sz w:val="24"/>
                <w:szCs w:val="24"/>
                <w:lang w:val="en-US" w:bidi="ar-SA"/>
              </w:rPr>
            </w:pPr>
            <w:r>
              <w:rPr>
                <w:rFonts w:hint="eastAsia" w:ascii="宋体" w:hAnsi="宋体" w:eastAsia="宋体" w:cs="宋体"/>
                <w:color w:val="000000"/>
                <w:sz w:val="24"/>
                <w:szCs w:val="21"/>
                <w:lang w:val="en-US" w:bidi="ar-SA"/>
              </w:rPr>
              <w:t>本项目采用全流程不见面电子开评标，供应商无需到开标现场解密，通过政采云平台在线响应，并保持电话畅通。开标时发出解密指令后</w:t>
            </w:r>
            <w:r>
              <w:rPr>
                <w:rFonts w:ascii="宋体" w:hAnsi="宋体" w:eastAsia="宋体" w:cs="宋体"/>
                <w:color w:val="000000"/>
                <w:sz w:val="24"/>
                <w:szCs w:val="21"/>
                <w:lang w:val="en-US" w:bidi="ar-SA"/>
              </w:rPr>
              <w:t>30</w:t>
            </w:r>
            <w:r>
              <w:rPr>
                <w:rFonts w:hint="eastAsia" w:ascii="宋体" w:hAnsi="宋体" w:eastAsia="宋体" w:cs="宋体"/>
                <w:color w:val="000000"/>
                <w:sz w:val="24"/>
                <w:szCs w:val="21"/>
                <w:lang w:val="en-US" w:bidi="ar-SA"/>
              </w:rPr>
              <w:t>分钟内，供应商可以登录“政采云”平台，用“项目采购</w:t>
            </w:r>
            <w:r>
              <w:rPr>
                <w:rFonts w:ascii="宋体" w:hAnsi="宋体" w:eastAsia="宋体" w:cs="宋体"/>
                <w:color w:val="000000"/>
                <w:sz w:val="24"/>
                <w:szCs w:val="21"/>
                <w:lang w:val="en-US" w:bidi="ar-SA"/>
              </w:rPr>
              <w:t>-</w:t>
            </w:r>
            <w:r>
              <w:rPr>
                <w:rFonts w:hint="eastAsia" w:ascii="宋体" w:hAnsi="宋体" w:eastAsia="宋体" w:cs="宋体"/>
                <w:color w:val="000000"/>
                <w:sz w:val="24"/>
                <w:szCs w:val="21"/>
                <w:lang w:val="en-US" w:bidi="ar-SA"/>
              </w:rPr>
              <w:t>开标评标”功能进行解密响应文件。若供应商在规定时间内未按时解密的，或解密失败又未提交备份文件的，视为响应文件撤回。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gridSpan w:val="2"/>
            <w:vAlign w:val="center"/>
          </w:tcPr>
          <w:p>
            <w:pPr>
              <w:adjustRightInd w:val="0"/>
              <w:spacing w:line="400" w:lineRule="exact"/>
              <w:jc w:val="center"/>
              <w:rPr>
                <w:rFonts w:hint="default" w:ascii="宋体" w:hAnsi="宋体" w:eastAsia="宋体" w:cs="Times New Roman"/>
                <w:color w:val="000000"/>
                <w:sz w:val="24"/>
                <w:szCs w:val="24"/>
                <w:lang w:val="en-US" w:eastAsia="zh-CN" w:bidi="ar-SA"/>
              </w:rPr>
            </w:pPr>
            <w:r>
              <w:rPr>
                <w:rFonts w:hint="eastAsia" w:cs="Times New Roman"/>
                <w:color w:val="000000"/>
                <w:sz w:val="24"/>
                <w:szCs w:val="24"/>
                <w:lang w:val="en-US" w:eastAsia="zh-CN" w:bidi="ar-SA"/>
              </w:rPr>
              <w:t>25</w:t>
            </w:r>
          </w:p>
        </w:tc>
        <w:tc>
          <w:tcPr>
            <w:tcW w:w="2142"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投标报价确认时间要求</w:t>
            </w:r>
          </w:p>
        </w:tc>
        <w:tc>
          <w:tcPr>
            <w:tcW w:w="6357"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000000"/>
                <w:sz w:val="24"/>
                <w:szCs w:val="21"/>
                <w:lang w:val="en-US" w:eastAsia="zh-CN" w:bidi="ar-SA"/>
              </w:rPr>
            </w:pPr>
            <w:r>
              <w:rPr>
                <w:rFonts w:hint="eastAsia" w:ascii="宋体" w:hAnsi="宋体" w:eastAsia="宋体" w:cs="宋体"/>
                <w:sz w:val="24"/>
                <w:szCs w:val="24"/>
                <w:lang w:val="en-US" w:eastAsia="zh-CN" w:bidi="ar-SA"/>
              </w:rPr>
              <w:t>本项目采用全流程不见面电子开评标，投标报价确认时间为15分钟，投标人须在发出报价确认的指令15分钟内在政采云平台在线确认报价。若逾期未在线确认报价，系统将会进行下一步操作，则视同确认报价。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gridSpan w:val="2"/>
            <w:vAlign w:val="center"/>
          </w:tcPr>
          <w:p>
            <w:pPr>
              <w:adjustRightInd w:val="0"/>
              <w:spacing w:line="400" w:lineRule="exact"/>
              <w:jc w:val="center"/>
              <w:rPr>
                <w:rFonts w:hint="default" w:ascii="宋体" w:hAnsi="宋体" w:cs="Times New Roman"/>
                <w:color w:val="000000"/>
                <w:sz w:val="24"/>
                <w:szCs w:val="24"/>
                <w:lang w:val="en-US" w:eastAsia="zh-CN" w:bidi="ar-SA"/>
              </w:rPr>
            </w:pPr>
            <w:r>
              <w:rPr>
                <w:rFonts w:hint="eastAsia" w:cs="Times New Roman"/>
                <w:color w:val="000000"/>
                <w:sz w:val="24"/>
                <w:szCs w:val="24"/>
                <w:lang w:val="en-US" w:eastAsia="zh-CN" w:bidi="ar-SA"/>
              </w:rPr>
              <w:t>26</w:t>
            </w:r>
          </w:p>
        </w:tc>
        <w:tc>
          <w:tcPr>
            <w:tcW w:w="2142" w:type="dxa"/>
            <w:vAlign w:val="center"/>
          </w:tcPr>
          <w:p>
            <w:pPr>
              <w:pStyle w:val="13"/>
              <w:keepNext w:val="0"/>
              <w:keepLines w:val="0"/>
              <w:pageBreakBefore w:val="0"/>
              <w:wordWrap/>
              <w:topLinePunct w:val="0"/>
              <w:autoSpaceDE w:val="0"/>
              <w:autoSpaceDN w:val="0"/>
              <w:bidi w:val="0"/>
              <w:adjustRightInd w:val="0"/>
              <w:spacing w:line="440" w:lineRule="exact"/>
              <w:jc w:val="center"/>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rPr>
              <w:t>政采云在线最终报价要求</w:t>
            </w:r>
          </w:p>
        </w:tc>
        <w:tc>
          <w:tcPr>
            <w:tcW w:w="6357" w:type="dxa"/>
            <w:vAlign w:val="center"/>
          </w:tcPr>
          <w:p>
            <w:pPr>
              <w:pStyle w:val="13"/>
              <w:keepNext w:val="0"/>
              <w:keepLines w:val="0"/>
              <w:pageBreakBefore w:val="0"/>
              <w:wordWrap/>
              <w:topLinePunct w:val="0"/>
              <w:autoSpaceDE w:val="0"/>
              <w:autoSpaceDN w:val="0"/>
              <w:bidi w:val="0"/>
              <w:adjustRightInd w:val="0"/>
              <w:spacing w:line="440" w:lineRule="exact"/>
              <w:rPr>
                <w:rFonts w:hint="eastAsia" w:ascii="宋体" w:hAnsi="宋体" w:eastAsia="宋体" w:cs="宋体"/>
                <w:kern w:val="0"/>
                <w:sz w:val="24"/>
                <w:szCs w:val="24"/>
              </w:rPr>
            </w:pPr>
            <w:r>
              <w:rPr>
                <w:rFonts w:hint="eastAsia" w:ascii="宋体" w:hAnsi="宋体" w:eastAsia="宋体" w:cs="宋体"/>
                <w:b/>
                <w:bCs/>
                <w:sz w:val="24"/>
                <w:szCs w:val="24"/>
              </w:rPr>
              <w:t>本项目磋商报价为二轮报价，</w:t>
            </w:r>
            <w:r>
              <w:rPr>
                <w:rFonts w:hint="eastAsia" w:ascii="宋体" w:hAnsi="宋体" w:eastAsia="宋体" w:cs="宋体"/>
                <w:sz w:val="24"/>
                <w:szCs w:val="24"/>
              </w:rPr>
              <w:t>首次报价在响应文件中体现；二次报价即最终报价由各磋商供应商在开启最终报价指令发出后</w:t>
            </w:r>
            <w:r>
              <w:rPr>
                <w:rFonts w:hint="eastAsia" w:ascii="宋体" w:hAnsi="宋体" w:eastAsia="宋体" w:cs="宋体"/>
                <w:sz w:val="24"/>
                <w:szCs w:val="24"/>
                <w:lang w:val="en-US" w:eastAsia="zh-CN"/>
              </w:rPr>
              <w:t>20</w:t>
            </w:r>
            <w:r>
              <w:rPr>
                <w:rFonts w:hint="eastAsia" w:ascii="宋体" w:hAnsi="宋体" w:eastAsia="宋体" w:cs="宋体"/>
                <w:sz w:val="24"/>
                <w:szCs w:val="24"/>
              </w:rPr>
              <w:t>分钟内在政采云平台在线完成报价，</w:t>
            </w:r>
            <w:r>
              <w:rPr>
                <w:rFonts w:hint="eastAsia" w:ascii="宋体" w:hAnsi="宋体" w:eastAsia="宋体" w:cs="宋体"/>
                <w:kern w:val="0"/>
                <w:sz w:val="24"/>
                <w:szCs w:val="24"/>
              </w:rPr>
              <w:t>最终报价不得高于首次报价。若逾期未按磋商文件的要求在线提交最终报价，则视同退出磋商。</w:t>
            </w:r>
          </w:p>
          <w:p>
            <w:pPr>
              <w:pStyle w:val="13"/>
              <w:keepNext w:val="0"/>
              <w:keepLines w:val="0"/>
              <w:pageBreakBefore w:val="0"/>
              <w:wordWrap/>
              <w:topLinePunct w:val="0"/>
              <w:autoSpaceDE w:val="0"/>
              <w:autoSpaceDN w:val="0"/>
              <w:bidi w:val="0"/>
              <w:adjustRightInd w:val="0"/>
              <w:spacing w:line="440" w:lineRule="exact"/>
              <w:rPr>
                <w:rFonts w:hint="eastAsia" w:ascii="宋体" w:hAnsi="宋体" w:eastAsia="宋体" w:cs="宋体"/>
                <w:b/>
                <w:bCs/>
                <w:kern w:val="0"/>
                <w:sz w:val="24"/>
                <w:szCs w:val="24"/>
              </w:rPr>
            </w:pPr>
            <w:r>
              <w:rPr>
                <w:rFonts w:hint="eastAsia" w:ascii="宋体" w:hAnsi="宋体" w:eastAsia="宋体" w:cs="宋体"/>
                <w:b/>
                <w:bCs/>
                <w:kern w:val="0"/>
                <w:sz w:val="24"/>
                <w:szCs w:val="24"/>
              </w:rPr>
              <w:t>★投标供应商在线上传最终报价时，须同时上传附件最终报价单（按本磋商文件提供的格式）原件的扫描件。</w:t>
            </w:r>
          </w:p>
          <w:p>
            <w:pPr>
              <w:keepNext w:val="0"/>
              <w:keepLines w:val="0"/>
              <w:pageBreakBefore w:val="0"/>
              <w:widowControl w:val="0"/>
              <w:numPr>
                <w:ilvl w:val="0"/>
                <w:numId w:val="0"/>
              </w:numPr>
              <w:tabs>
                <w:tab w:val="left" w:pos="1409"/>
              </w:tabs>
              <w:kinsoku/>
              <w:wordWrap/>
              <w:overflowPunct/>
              <w:topLinePunct w:val="0"/>
              <w:autoSpaceDE/>
              <w:autoSpaceDN/>
              <w:bidi w:val="0"/>
              <w:adjustRightInd/>
              <w:snapToGrid/>
              <w:spacing w:before="74" w:line="440" w:lineRule="exact"/>
              <w:ind w:right="409" w:rightChars="0"/>
              <w:jc w:val="both"/>
              <w:textAlignment w:val="auto"/>
              <w:rPr>
                <w:rFonts w:hint="eastAsia" w:ascii="宋体" w:hAnsi="宋体" w:eastAsia="宋体" w:cs="宋体"/>
                <w:b/>
                <w:bCs/>
                <w:kern w:val="0"/>
                <w:sz w:val="24"/>
                <w:szCs w:val="24"/>
                <w:lang w:val="en-US" w:eastAsia="zh-CN"/>
              </w:rPr>
            </w:pPr>
            <w:r>
              <w:rPr>
                <w:rFonts w:hint="eastAsia" w:ascii="宋体" w:hAnsi="宋体" w:eastAsia="宋体" w:cs="宋体"/>
                <w:b/>
                <w:bCs/>
                <w:sz w:val="24"/>
                <w:szCs w:val="24"/>
                <w:lang w:val="en-US" w:eastAsia="zh-CN" w:bidi="zh-CN"/>
              </w:rPr>
              <w:t>中标供应商须按最终报价修正“已标价工程量清单”中的相应报价，修正后的报价文件经法人代表或授权委托人签署并加盖供应商公章，在领取中标通知书之前递交到招标代理机构。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adjustRightInd w:val="0"/>
              <w:spacing w:line="400" w:lineRule="exact"/>
              <w:jc w:val="center"/>
              <w:rPr>
                <w:rFonts w:hint="default" w:ascii="Times New Roman" w:hAnsi="Times New Roman" w:eastAsia="宋体" w:cs="Times New Roman"/>
                <w:color w:val="000000"/>
                <w:sz w:val="24"/>
                <w:szCs w:val="24"/>
                <w:lang w:val="en-US" w:eastAsia="zh-CN" w:bidi="ar-SA"/>
              </w:rPr>
            </w:pPr>
            <w:r>
              <w:rPr>
                <w:rFonts w:hint="eastAsia" w:cs="Times New Roman"/>
                <w:color w:val="000000"/>
                <w:sz w:val="24"/>
                <w:szCs w:val="24"/>
                <w:lang w:val="en-US" w:eastAsia="zh-CN" w:bidi="ar-SA"/>
              </w:rPr>
              <w:t>27</w:t>
            </w:r>
          </w:p>
        </w:tc>
        <w:tc>
          <w:tcPr>
            <w:tcW w:w="2142" w:type="dxa"/>
            <w:vAlign w:val="center"/>
          </w:tcPr>
          <w:p>
            <w:pPr>
              <w:widowControl w:val="0"/>
              <w:autoSpaceDE w:val="0"/>
              <w:autoSpaceDN w:val="0"/>
              <w:adjustRightInd w:val="0"/>
              <w:spacing w:line="440" w:lineRule="exact"/>
              <w:jc w:val="center"/>
              <w:rPr>
                <w:rFonts w:ascii="BRGEKD+??¨¬?" w:hAnsi="BRGEKD+??¨¬?" w:eastAsia="宋体" w:cs="BRGEKD+??¨¬?"/>
                <w:spacing w:val="-1"/>
                <w:sz w:val="24"/>
                <w:szCs w:val="24"/>
                <w:lang w:val="en-US" w:eastAsia="zh-CN" w:bidi="ar-SA"/>
              </w:rPr>
            </w:pPr>
            <w:r>
              <w:rPr>
                <w:rFonts w:hint="eastAsia" w:ascii="BRGEKD+??¨¬?" w:hAnsi="BRGEKD+??¨¬?" w:eastAsia="宋体" w:cs="BRGEKD+??¨¬?"/>
                <w:spacing w:val="-1"/>
                <w:sz w:val="24"/>
                <w:szCs w:val="24"/>
                <w:lang w:val="en-US" w:eastAsia="zh-CN" w:bidi="ar-SA"/>
              </w:rPr>
              <w:t>评标办法</w:t>
            </w:r>
          </w:p>
        </w:tc>
        <w:tc>
          <w:tcPr>
            <w:tcW w:w="6357" w:type="dxa"/>
            <w:vAlign w:val="center"/>
          </w:tcPr>
          <w:p>
            <w:pPr>
              <w:widowControl w:val="0"/>
              <w:autoSpaceDE w:val="0"/>
              <w:autoSpaceDN w:val="0"/>
              <w:adjustRightInd w:val="0"/>
              <w:spacing w:line="440" w:lineRule="exact"/>
              <w:rPr>
                <w:rFonts w:ascii="宋体" w:hAnsi="宋体" w:eastAsia="宋体" w:cs="宋体"/>
                <w:sz w:val="24"/>
                <w:szCs w:val="24"/>
                <w:lang w:val="en-US" w:eastAsia="zh-CN" w:bidi="ar-SA"/>
              </w:rPr>
            </w:pPr>
            <w:r>
              <w:rPr>
                <w:rFonts w:hint="eastAsia" w:ascii="宋体" w:hAnsi="宋体" w:eastAsia="宋体" w:cs="宋体"/>
                <w:color w:val="000000"/>
                <w:sz w:val="24"/>
                <w:szCs w:val="24"/>
                <w:lang w:val="en-US" w:eastAsia="zh-CN" w:bidi="ar-SA"/>
              </w:rPr>
              <w:t>本次竞争性磋商采用综合评分法，综合得分最高的确定成交供应商。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1137" w:type="dxa"/>
            <w:gridSpan w:val="2"/>
            <w:vAlign w:val="center"/>
          </w:tcPr>
          <w:p>
            <w:pPr>
              <w:adjustRightInd w:val="0"/>
              <w:spacing w:line="400" w:lineRule="exact"/>
              <w:jc w:val="center"/>
              <w:rPr>
                <w:rFonts w:hint="default" w:ascii="Times New Roman" w:hAnsi="Times New Roman" w:eastAsia="宋体" w:cs="Times New Roman"/>
                <w:color w:val="000000"/>
                <w:sz w:val="24"/>
                <w:szCs w:val="24"/>
                <w:lang w:val="en-US" w:eastAsia="zh-CN" w:bidi="ar-SA"/>
              </w:rPr>
            </w:pPr>
            <w:r>
              <w:rPr>
                <w:rFonts w:hint="eastAsia" w:cs="Times New Roman"/>
                <w:color w:val="000000"/>
                <w:sz w:val="24"/>
                <w:szCs w:val="24"/>
                <w:lang w:val="en-US" w:eastAsia="zh-CN" w:bidi="ar-SA"/>
              </w:rPr>
              <w:t>28</w:t>
            </w:r>
          </w:p>
        </w:tc>
        <w:tc>
          <w:tcPr>
            <w:tcW w:w="2142" w:type="dxa"/>
            <w:vAlign w:val="center"/>
          </w:tcPr>
          <w:p>
            <w:pPr>
              <w:widowControl w:val="0"/>
              <w:autoSpaceDE w:val="0"/>
              <w:autoSpaceDN w:val="0"/>
              <w:adjustRightInd w:val="0"/>
              <w:spacing w:line="400" w:lineRule="exact"/>
              <w:rPr>
                <w:rFonts w:ascii="宋体" w:hAnsi="宋体" w:eastAsia="Times New Roman" w:cs="Times New Roman"/>
                <w:color w:val="FF0000"/>
                <w:sz w:val="24"/>
                <w:szCs w:val="24"/>
                <w:lang w:val="en-US" w:eastAsia="zh-CN" w:bidi="ar-SA"/>
              </w:rPr>
            </w:pPr>
            <w:r>
              <w:rPr>
                <w:rFonts w:hint="eastAsia" w:ascii="宋体" w:hAnsi="宋体" w:eastAsia="宋体" w:cs="宋体"/>
                <w:spacing w:val="-1"/>
                <w:sz w:val="24"/>
                <w:szCs w:val="24"/>
                <w:lang w:val="en-US" w:eastAsia="zh-CN" w:bidi="ar-SA"/>
              </w:rPr>
              <w:t>首次递交竞争性磋商响应文件截止时间及磋商时间</w:t>
            </w:r>
          </w:p>
        </w:tc>
        <w:tc>
          <w:tcPr>
            <w:tcW w:w="6357" w:type="dxa"/>
            <w:vAlign w:val="center"/>
          </w:tcPr>
          <w:p>
            <w:pPr>
              <w:widowControl w:val="0"/>
              <w:autoSpaceDE w:val="0"/>
              <w:autoSpaceDN w:val="0"/>
              <w:adjustRightInd w:val="0"/>
              <w:spacing w:line="400" w:lineRule="exact"/>
              <w:rPr>
                <w:rFonts w:ascii="宋体" w:hAnsi="宋体" w:eastAsia="Times New Roman" w:cs="Times New Roman"/>
                <w:color w:val="FF0000"/>
                <w:sz w:val="24"/>
                <w:szCs w:val="24"/>
                <w:lang w:val="en-US" w:eastAsia="zh-CN" w:bidi="ar-SA"/>
              </w:rPr>
            </w:pPr>
            <w:r>
              <w:rPr>
                <w:rFonts w:ascii="宋体" w:hAnsi="宋体" w:eastAsia="宋体" w:cs="宋体"/>
                <w:b/>
                <w:bCs/>
                <w:color w:val="095CF5"/>
                <w:sz w:val="24"/>
                <w:szCs w:val="21"/>
                <w:lang w:val="en-US" w:eastAsia="zh-CN" w:bidi="ar-SA"/>
              </w:rPr>
              <w:t>2</w:t>
            </w:r>
            <w:r>
              <w:rPr>
                <w:rFonts w:hint="eastAsia" w:ascii="宋体" w:hAnsi="宋体" w:eastAsia="宋体" w:cs="宋体"/>
                <w:b/>
                <w:bCs/>
                <w:color w:val="0000FF"/>
                <w:sz w:val="24"/>
                <w:szCs w:val="21"/>
                <w:lang w:val="en-US" w:eastAsia="zh-CN" w:bidi="ar-SA"/>
              </w:rPr>
              <w:t>022年7月15日上午10:30（北京时间)，逾期恕不接受</w:t>
            </w:r>
            <w:r>
              <w:rPr>
                <w:rFonts w:hint="eastAsia" w:ascii="宋体" w:hAnsi="宋体" w:eastAsia="宋体" w:cs="宋体"/>
                <w:b/>
                <w:bCs/>
                <w:color w:val="095CF5"/>
                <w:sz w:val="24"/>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37" w:type="dxa"/>
            <w:gridSpan w:val="2"/>
            <w:vAlign w:val="center"/>
          </w:tcPr>
          <w:p>
            <w:pPr>
              <w:adjustRightInd w:val="0"/>
              <w:spacing w:line="400" w:lineRule="exact"/>
              <w:jc w:val="center"/>
              <w:rPr>
                <w:rFonts w:hint="default" w:ascii="Times New Roman" w:hAnsi="Times New Roman" w:eastAsia="宋体" w:cs="Times New Roman"/>
                <w:color w:val="000000"/>
                <w:sz w:val="24"/>
                <w:szCs w:val="24"/>
                <w:lang w:val="en-US" w:eastAsia="zh-CN" w:bidi="ar-SA"/>
              </w:rPr>
            </w:pPr>
            <w:r>
              <w:rPr>
                <w:rFonts w:hint="eastAsia" w:cs="Times New Roman"/>
                <w:color w:val="000000"/>
                <w:sz w:val="24"/>
                <w:szCs w:val="24"/>
                <w:lang w:val="en-US" w:eastAsia="zh-CN" w:bidi="ar-SA"/>
              </w:rPr>
              <w:t>29</w:t>
            </w:r>
          </w:p>
        </w:tc>
        <w:tc>
          <w:tcPr>
            <w:tcW w:w="2142" w:type="dxa"/>
            <w:vAlign w:val="center"/>
          </w:tcPr>
          <w:p>
            <w:pPr>
              <w:widowControl w:val="0"/>
              <w:autoSpaceDE w:val="0"/>
              <w:autoSpaceDN w:val="0"/>
              <w:adjustRightInd w:val="0"/>
              <w:spacing w:line="400" w:lineRule="exact"/>
              <w:rPr>
                <w:rFonts w:ascii="宋体" w:hAnsi="宋体" w:eastAsia="Times New Roman" w:cs="Times New Roman"/>
                <w:color w:val="FF0000"/>
                <w:sz w:val="24"/>
                <w:szCs w:val="24"/>
                <w:lang w:val="en-US" w:eastAsia="zh-CN" w:bidi="ar-SA"/>
              </w:rPr>
            </w:pPr>
            <w:r>
              <w:rPr>
                <w:rFonts w:hint="eastAsia" w:ascii="BRGEKD+??¨¬?" w:hAnsi="BRGEKD+??¨¬?" w:eastAsia="宋体" w:cs="BRGEKD+??¨¬?"/>
                <w:spacing w:val="-1"/>
                <w:sz w:val="24"/>
                <w:szCs w:val="24"/>
                <w:lang w:val="en-US" w:eastAsia="zh-CN" w:bidi="ar-SA"/>
              </w:rPr>
              <w:t>首次递交竞争性磋商响应文件地点及磋商地点</w:t>
            </w:r>
          </w:p>
        </w:tc>
        <w:tc>
          <w:tcPr>
            <w:tcW w:w="6357" w:type="dxa"/>
            <w:vAlign w:val="center"/>
          </w:tcPr>
          <w:p>
            <w:pPr>
              <w:adjustRightInd w:val="0"/>
              <w:spacing w:line="440" w:lineRule="exact"/>
              <w:rPr>
                <w:rFonts w:ascii="宋体" w:hAnsi="宋体" w:eastAsia="宋体" w:cs="宋体"/>
                <w:color w:val="000000"/>
                <w:sz w:val="24"/>
                <w:szCs w:val="21"/>
                <w:lang w:val="en-US" w:bidi="ar-SA"/>
              </w:rPr>
            </w:pPr>
            <w:r>
              <w:rPr>
                <w:rFonts w:hint="eastAsia" w:ascii="宋体" w:hAnsi="宋体" w:eastAsia="宋体" w:cs="宋体"/>
                <w:color w:val="000000"/>
                <w:sz w:val="24"/>
                <w:szCs w:val="21"/>
                <w:lang w:val="en-US" w:bidi="ar-SA"/>
              </w:rPr>
              <w:t>地点：各供应商应在响应文件提交截止时间前，通过“政采云”平台（</w:t>
            </w:r>
            <w:r>
              <w:rPr>
                <w:rFonts w:ascii="宋体" w:hAnsi="宋体" w:eastAsia="宋体" w:cs="宋体"/>
                <w:color w:val="000000"/>
                <w:sz w:val="24"/>
                <w:szCs w:val="21"/>
                <w:lang w:val="en-US" w:bidi="ar-SA"/>
              </w:rPr>
              <w:t>https://www.zcygov.cn</w:t>
            </w:r>
            <w:r>
              <w:rPr>
                <w:rFonts w:hint="eastAsia" w:ascii="宋体" w:hAnsi="宋体" w:eastAsia="宋体" w:cs="宋体"/>
                <w:color w:val="000000"/>
                <w:sz w:val="24"/>
                <w:szCs w:val="21"/>
                <w:lang w:val="en-US" w:bidi="ar-SA"/>
              </w:rPr>
              <w:t>）上传加密的电子响应文件。</w:t>
            </w:r>
          </w:p>
          <w:p>
            <w:pPr>
              <w:adjustRightInd w:val="0"/>
              <w:spacing w:line="440" w:lineRule="exact"/>
              <w:ind w:firstLine="360" w:firstLineChars="150"/>
              <w:rPr>
                <w:rFonts w:ascii="宋体" w:hAnsi="Times New Roman" w:cs="宋体"/>
                <w:color w:val="000000"/>
                <w:sz w:val="24"/>
                <w:szCs w:val="21"/>
                <w:lang w:val="en-US" w:bidi="ar-SA"/>
              </w:rPr>
            </w:pPr>
            <w:r>
              <w:rPr>
                <w:rFonts w:hint="eastAsia" w:ascii="宋体" w:hAnsi="宋体" w:eastAsia="宋体" w:cs="宋体"/>
                <w:color w:val="000000"/>
                <w:sz w:val="24"/>
                <w:szCs w:val="21"/>
                <w:lang w:val="en-US" w:bidi="ar-SA"/>
              </w:rPr>
              <w:t>请各供应商</w:t>
            </w:r>
            <w:r>
              <w:rPr>
                <w:rFonts w:hint="eastAsia" w:ascii="宋体" w:hAnsi="宋体" w:cs="宋体"/>
                <w:color w:val="000000"/>
                <w:sz w:val="24"/>
                <w:szCs w:val="21"/>
                <w:lang w:val="en-US" w:bidi="ar-SA"/>
              </w:rPr>
              <w:t>按照本项目磋商文件和政采云平台的要求编制、加密传输响应文件，</w:t>
            </w:r>
            <w:r>
              <w:rPr>
                <w:rFonts w:hint="eastAsia" w:ascii="宋体" w:hAnsi="宋体" w:eastAsia="宋体" w:cs="宋体"/>
                <w:color w:val="000000"/>
                <w:sz w:val="24"/>
                <w:szCs w:val="21"/>
                <w:lang w:val="en-US" w:bidi="ar-SA"/>
              </w:rPr>
              <w:t>上传前务必认真检查上传电子响应文件是否完整、正确。</w:t>
            </w:r>
            <w:r>
              <w:rPr>
                <w:rFonts w:hint="eastAsia" w:ascii="宋体" w:hAnsi="宋体" w:cs="宋体"/>
                <w:color w:val="000000"/>
                <w:sz w:val="24"/>
                <w:szCs w:val="21"/>
                <w:lang w:val="en-US" w:bidi="ar-SA"/>
              </w:rPr>
              <w:t>供应商在使用系统进行投标的过程中遇到涉及平台使用的任何问题，可致电政采云平台技术支持热线咨询，联系方式：</w:t>
            </w:r>
            <w:r>
              <w:rPr>
                <w:rFonts w:ascii="宋体" w:hAnsi="宋体" w:cs="宋体"/>
                <w:color w:val="000000"/>
                <w:sz w:val="24"/>
                <w:szCs w:val="21"/>
                <w:lang w:val="en-US" w:bidi="ar-SA"/>
              </w:rPr>
              <w:t>400-881-7190</w:t>
            </w:r>
            <w:r>
              <w:rPr>
                <w:rFonts w:hint="eastAsia" w:ascii="宋体" w:hAnsi="宋体" w:cs="宋体"/>
                <w:color w:val="000000"/>
                <w:sz w:val="24"/>
                <w:szCs w:val="21"/>
                <w:lang w:val="en-US" w:bidi="ar-SA"/>
              </w:rPr>
              <w:t>。</w:t>
            </w:r>
          </w:p>
          <w:p>
            <w:pPr>
              <w:widowControl w:val="0"/>
              <w:autoSpaceDE w:val="0"/>
              <w:autoSpaceDN w:val="0"/>
              <w:adjustRightInd w:val="0"/>
              <w:spacing w:line="400" w:lineRule="exact"/>
              <w:rPr>
                <w:rFonts w:ascii="宋体" w:hAnsi="宋体" w:eastAsia="Times New Roman" w:cs="Times New Roman"/>
                <w:color w:val="FF0000"/>
                <w:sz w:val="24"/>
                <w:szCs w:val="24"/>
                <w:lang w:val="en-US" w:eastAsia="zh-CN" w:bidi="ar-SA"/>
              </w:rPr>
            </w:pPr>
            <w:r>
              <w:rPr>
                <w:rFonts w:hint="eastAsia" w:ascii="宋体" w:hAnsi="宋体" w:eastAsia="宋体" w:cs="宋体"/>
                <w:color w:val="000000"/>
                <w:sz w:val="24"/>
                <w:szCs w:val="21"/>
                <w:lang w:val="en-US" w:eastAsia="zh-CN" w:bidi="ar-SA"/>
              </w:rPr>
              <w:t>备注：供应商在网上递交投标响应文件的同时将响应文件的备份文件（</w:t>
            </w:r>
            <w:r>
              <w:rPr>
                <w:rFonts w:ascii="宋体" w:hAnsi="宋体" w:eastAsia="宋体" w:cs="宋体"/>
                <w:color w:val="000000"/>
                <w:sz w:val="24"/>
                <w:szCs w:val="21"/>
                <w:lang w:val="en-US" w:eastAsia="zh-CN" w:bidi="ar-SA"/>
              </w:rPr>
              <w:t>BFBS</w:t>
            </w:r>
            <w:r>
              <w:rPr>
                <w:rFonts w:hint="eastAsia" w:ascii="宋体" w:hAnsi="宋体" w:eastAsia="宋体" w:cs="宋体"/>
                <w:color w:val="000000"/>
                <w:sz w:val="24"/>
                <w:szCs w:val="21"/>
                <w:lang w:val="en-US" w:eastAsia="zh-CN" w:bidi="ar-SA"/>
              </w:rPr>
              <w:t>格式）加密后递交至邮箱号：</w:t>
            </w:r>
            <w:r>
              <w:rPr>
                <w:rFonts w:hint="eastAsia" w:ascii="宋体" w:hAnsi="Courier New" w:eastAsia="宋体" w:cs="Times New Roman"/>
                <w:b/>
                <w:bCs/>
                <w:color w:val="auto"/>
                <w:sz w:val="24"/>
                <w:szCs w:val="24"/>
                <w:highlight w:val="none"/>
                <w:u w:val="single"/>
                <w:lang w:val="en-US" w:eastAsia="zh-CN" w:bidi="ar-SA"/>
              </w:rPr>
              <w:t>2259928698@qq.com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137" w:type="dxa"/>
            <w:gridSpan w:val="2"/>
            <w:vAlign w:val="center"/>
          </w:tcPr>
          <w:p>
            <w:pPr>
              <w:adjustRightInd w:val="0"/>
              <w:spacing w:line="400" w:lineRule="exact"/>
              <w:jc w:val="center"/>
              <w:rPr>
                <w:rFonts w:hint="default" w:ascii="Times New Roman" w:hAnsi="Times New Roman" w:eastAsia="宋体" w:cs="Times New Roman"/>
                <w:sz w:val="24"/>
                <w:szCs w:val="24"/>
                <w:lang w:val="en-US" w:eastAsia="zh-CN" w:bidi="ar-SA"/>
              </w:rPr>
            </w:pPr>
            <w:r>
              <w:rPr>
                <w:rFonts w:hint="eastAsia" w:ascii="Times New Roman" w:hAnsi="Times New Roman" w:cs="Times New Roman"/>
                <w:sz w:val="24"/>
                <w:szCs w:val="24"/>
                <w:lang w:val="en-US" w:eastAsia="zh-CN" w:bidi="ar-SA"/>
              </w:rPr>
              <w:t>30</w:t>
            </w:r>
          </w:p>
        </w:tc>
        <w:tc>
          <w:tcPr>
            <w:tcW w:w="2142" w:type="dxa"/>
            <w:vAlign w:val="center"/>
          </w:tcPr>
          <w:p>
            <w:pPr>
              <w:adjustRightInd w:val="0"/>
              <w:spacing w:line="400" w:lineRule="exact"/>
              <w:jc w:val="center"/>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磋商小组的组建</w:t>
            </w:r>
          </w:p>
        </w:tc>
        <w:tc>
          <w:tcPr>
            <w:tcW w:w="6357" w:type="dxa"/>
            <w:vAlign w:val="center"/>
          </w:tcPr>
          <w:p>
            <w:pPr>
              <w:adjustRightInd w:val="0"/>
              <w:spacing w:line="400" w:lineRule="exact"/>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磋商小组的构成：采购人代表</w:t>
            </w:r>
            <w:r>
              <w:rPr>
                <w:rFonts w:ascii="宋体" w:hAnsi="宋体" w:cs="Times New Roman"/>
                <w:sz w:val="24"/>
                <w:szCs w:val="24"/>
                <w:lang w:val="en-US" w:bidi="ar-SA"/>
              </w:rPr>
              <w:t xml:space="preserve"> 1 </w:t>
            </w:r>
            <w:r>
              <w:rPr>
                <w:rFonts w:hint="eastAsia" w:ascii="宋体" w:hAnsi="宋体" w:cs="Times New Roman"/>
                <w:sz w:val="24"/>
                <w:szCs w:val="24"/>
                <w:lang w:val="en-US" w:bidi="ar-SA"/>
              </w:rPr>
              <w:t>人，专家库中随机抽取</w:t>
            </w:r>
            <w:r>
              <w:rPr>
                <w:rFonts w:ascii="宋体" w:hAnsi="宋体" w:cs="Times New Roman"/>
                <w:sz w:val="24"/>
                <w:szCs w:val="24"/>
                <w:lang w:val="en-US" w:bidi="ar-SA"/>
              </w:rPr>
              <w:t>2</w:t>
            </w:r>
            <w:r>
              <w:rPr>
                <w:rFonts w:hint="eastAsia" w:ascii="宋体" w:hAnsi="宋体" w:cs="Times New Roman"/>
                <w:sz w:val="24"/>
                <w:szCs w:val="24"/>
                <w:lang w:val="en-US" w:bidi="ar-SA"/>
              </w:rPr>
              <w:t>人，共</w:t>
            </w:r>
            <w:r>
              <w:rPr>
                <w:rFonts w:ascii="宋体" w:hAnsi="宋体" w:cs="Times New Roman"/>
                <w:sz w:val="24"/>
                <w:szCs w:val="24"/>
                <w:lang w:val="en-US" w:bidi="ar-SA"/>
              </w:rPr>
              <w:t>3</w:t>
            </w:r>
            <w:r>
              <w:rPr>
                <w:rFonts w:hint="eastAsia" w:ascii="宋体" w:hAnsi="宋体" w:cs="Times New Roman"/>
                <w:sz w:val="24"/>
                <w:szCs w:val="24"/>
                <w:lang w:val="en-US" w:bidi="ar-SA"/>
              </w:rPr>
              <w:t>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37" w:type="dxa"/>
            <w:gridSpan w:val="2"/>
            <w:vAlign w:val="center"/>
          </w:tcPr>
          <w:p>
            <w:pPr>
              <w:adjustRightInd w:val="0"/>
              <w:spacing w:line="400" w:lineRule="exact"/>
              <w:jc w:val="center"/>
              <w:rPr>
                <w:rFonts w:hint="default" w:ascii="Times New Roman" w:hAnsi="Times New Roman" w:eastAsia="宋体" w:cs="Times New Roman"/>
                <w:sz w:val="24"/>
                <w:szCs w:val="24"/>
                <w:lang w:val="en-US" w:eastAsia="zh-CN" w:bidi="ar-SA"/>
              </w:rPr>
            </w:pPr>
            <w:r>
              <w:rPr>
                <w:rFonts w:hint="eastAsia" w:ascii="Times New Roman" w:hAnsi="Times New Roman" w:cs="Times New Roman"/>
                <w:sz w:val="24"/>
                <w:szCs w:val="24"/>
                <w:lang w:val="en-US" w:eastAsia="zh-CN" w:bidi="ar-SA"/>
              </w:rPr>
              <w:t>31</w:t>
            </w:r>
          </w:p>
        </w:tc>
        <w:tc>
          <w:tcPr>
            <w:tcW w:w="2142" w:type="dxa"/>
            <w:vAlign w:val="center"/>
          </w:tcPr>
          <w:p>
            <w:pPr>
              <w:adjustRightInd w:val="0"/>
              <w:spacing w:line="400" w:lineRule="exact"/>
              <w:jc w:val="center"/>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是否授权磋商小组确定中标人</w:t>
            </w:r>
          </w:p>
        </w:tc>
        <w:tc>
          <w:tcPr>
            <w:tcW w:w="6357" w:type="dxa"/>
            <w:vAlign w:val="center"/>
          </w:tcPr>
          <w:p>
            <w:pPr>
              <w:adjustRightInd w:val="0"/>
              <w:spacing w:line="400" w:lineRule="exact"/>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否，推荐的中标候选人数</w:t>
            </w:r>
            <w:r>
              <w:rPr>
                <w:rFonts w:ascii="宋体" w:hAnsi="宋体" w:cs="Times New Roman"/>
                <w:sz w:val="24"/>
                <w:szCs w:val="24"/>
                <w:u w:val="single"/>
                <w:lang w:val="en-US" w:bidi="ar-SA"/>
              </w:rPr>
              <w:t>3</w:t>
            </w:r>
            <w:r>
              <w:rPr>
                <w:rFonts w:hint="eastAsia" w:ascii="宋体" w:hAnsi="宋体" w:cs="Times New Roman"/>
                <w:sz w:val="24"/>
                <w:szCs w:val="24"/>
                <w:lang w:val="en-US" w:bidi="ar-S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37" w:type="dxa"/>
            <w:gridSpan w:val="2"/>
            <w:vAlign w:val="center"/>
          </w:tcPr>
          <w:p>
            <w:pPr>
              <w:adjustRightInd w:val="0"/>
              <w:spacing w:line="400" w:lineRule="exact"/>
              <w:jc w:val="center"/>
              <w:rPr>
                <w:rFonts w:hint="default" w:ascii="Times New Roman" w:hAnsi="Times New Roman" w:cs="Times New Roman"/>
                <w:color w:val="000000" w:themeColor="text1"/>
                <w:sz w:val="24"/>
                <w:szCs w:val="24"/>
                <w:lang w:val="en-US" w:eastAsia="zh-CN" w:bidi="ar-SA"/>
                <w14:textFill>
                  <w14:solidFill>
                    <w14:schemeClr w14:val="tx1"/>
                  </w14:solidFill>
                </w14:textFill>
              </w:rPr>
            </w:pPr>
            <w:r>
              <w:rPr>
                <w:rFonts w:hint="eastAsia" w:ascii="Times New Roman" w:hAnsi="Times New Roman" w:cs="Times New Roman"/>
                <w:color w:val="000000" w:themeColor="text1"/>
                <w:sz w:val="24"/>
                <w:szCs w:val="24"/>
                <w:lang w:val="en-US" w:eastAsia="zh-CN" w:bidi="ar-SA"/>
                <w14:textFill>
                  <w14:solidFill>
                    <w14:schemeClr w14:val="tx1"/>
                  </w14:solidFill>
                </w14:textFill>
              </w:rPr>
              <w:t>32</w:t>
            </w:r>
          </w:p>
        </w:tc>
        <w:tc>
          <w:tcPr>
            <w:tcW w:w="2142" w:type="dxa"/>
            <w:vAlign w:val="center"/>
          </w:tcPr>
          <w:p>
            <w:pPr>
              <w:pStyle w:val="21"/>
              <w:tabs>
                <w:tab w:val="left" w:pos="470"/>
              </w:tabs>
              <w:adjustRightInd w:val="0"/>
              <w:spacing w:line="360" w:lineRule="auto"/>
              <w:ind w:firstLine="240" w:firstLineChars="100"/>
              <w:jc w:val="center"/>
              <w:rPr>
                <w:rFonts w:hint="eastAsia" w:ascii="宋体" w:hAnsi="宋体" w:eastAsia="宋体" w:cs="宋体"/>
                <w:color w:val="000000" w:themeColor="text1"/>
                <w:sz w:val="24"/>
                <w:szCs w:val="24"/>
                <w:lang w:val="en-US"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履约保证金</w:t>
            </w:r>
          </w:p>
        </w:tc>
        <w:tc>
          <w:tcPr>
            <w:tcW w:w="6357" w:type="dxa"/>
            <w:vAlign w:val="center"/>
          </w:tcPr>
          <w:p>
            <w:pPr>
              <w:pStyle w:val="21"/>
              <w:keepNext w:val="0"/>
              <w:keepLines w:val="0"/>
              <w:pageBreakBefore w:val="0"/>
              <w:widowControl w:val="0"/>
              <w:tabs>
                <w:tab w:val="left" w:pos="470"/>
              </w:tabs>
              <w:kinsoku/>
              <w:wordWrap/>
              <w:overflowPunct/>
              <w:topLinePunct w:val="0"/>
              <w:autoSpaceDE w:val="0"/>
              <w:autoSpaceDN w:val="0"/>
              <w:bidi w:val="0"/>
              <w:snapToGrid/>
              <w:spacing w:line="440" w:lineRule="exact"/>
              <w:textAlignment w:val="auto"/>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 xml:space="preserve">是否要求中标人提交履约保证金： </w:t>
            </w:r>
          </w:p>
          <w:p>
            <w:pPr>
              <w:pStyle w:val="21"/>
              <w:keepNext w:val="0"/>
              <w:keepLines w:val="0"/>
              <w:pageBreakBefore w:val="0"/>
              <w:widowControl w:val="0"/>
              <w:tabs>
                <w:tab w:val="left" w:pos="470"/>
              </w:tabs>
              <w:kinsoku/>
              <w:wordWrap/>
              <w:overflowPunct/>
              <w:topLinePunct w:val="0"/>
              <w:autoSpaceDE w:val="0"/>
              <w:autoSpaceDN w:val="0"/>
              <w:bidi w:val="0"/>
              <w:snapToGrid/>
              <w:spacing w:line="440" w:lineRule="exact"/>
              <w:textAlignment w:val="auto"/>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14:textFill>
                  <w14:solidFill>
                    <w14:schemeClr w14:val="tx1"/>
                  </w14:solidFill>
                </w14:textFill>
              </w:rPr>
              <w:t xml:space="preserve">要求，履约保证金的形式：银行保函或现金、支票形 </w:t>
            </w:r>
          </w:p>
          <w:p>
            <w:pPr>
              <w:pStyle w:val="21"/>
              <w:keepNext w:val="0"/>
              <w:keepLines w:val="0"/>
              <w:pageBreakBefore w:val="0"/>
              <w:widowControl w:val="0"/>
              <w:tabs>
                <w:tab w:val="left" w:pos="470"/>
              </w:tabs>
              <w:kinsoku/>
              <w:wordWrap/>
              <w:overflowPunct/>
              <w:topLinePunct w:val="0"/>
              <w:autoSpaceDE w:val="0"/>
              <w:autoSpaceDN w:val="0"/>
              <w:bidi w:val="0"/>
              <w:snapToGrid/>
              <w:spacing w:line="440" w:lineRule="exact"/>
              <w:textAlignment w:val="auto"/>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式</w:t>
            </w:r>
          </w:p>
          <w:p>
            <w:pPr>
              <w:pStyle w:val="21"/>
              <w:keepNext w:val="0"/>
              <w:keepLines w:val="0"/>
              <w:pageBreakBefore w:val="0"/>
              <w:widowControl w:val="0"/>
              <w:tabs>
                <w:tab w:val="left" w:pos="470"/>
              </w:tabs>
              <w:kinsoku/>
              <w:wordWrap/>
              <w:overflowPunct/>
              <w:topLinePunct w:val="0"/>
              <w:autoSpaceDE w:val="0"/>
              <w:autoSpaceDN w:val="0"/>
              <w:bidi w:val="0"/>
              <w:snapToGrid/>
              <w:spacing w:line="440" w:lineRule="exact"/>
              <w:ind w:firstLine="240" w:firstLineChars="100"/>
              <w:textAlignment w:val="auto"/>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履约保证金的金额：</w:t>
            </w:r>
            <w:r>
              <w:rPr>
                <w:rFonts w:hint="eastAsia"/>
                <w:color w:val="000000" w:themeColor="text1"/>
                <w:sz w:val="24"/>
                <w:szCs w:val="24"/>
                <w:u w:val="single"/>
                <w:lang w:val="en-US" w:eastAsia="zh-CN"/>
                <w14:textFill>
                  <w14:solidFill>
                    <w14:schemeClr w14:val="tx1"/>
                  </w14:solidFill>
                </w14:textFill>
              </w:rPr>
              <w:t>10%</w:t>
            </w:r>
            <w:r>
              <w:rPr>
                <w:rFonts w:hint="eastAsia"/>
                <w:color w:val="000000" w:themeColor="text1"/>
                <w:sz w:val="24"/>
                <w:szCs w:val="24"/>
                <w:lang w:val="en-US"/>
                <w14:textFill>
                  <w14:solidFill>
                    <w14:schemeClr w14:val="tx1"/>
                  </w14:solidFill>
                </w14:textFill>
              </w:rPr>
              <w:t>签约合同价，被交通运输厅农村公路建设从业单位信用评价评为信用等级的中标人，履约保证金金额为</w:t>
            </w:r>
            <w:r>
              <w:rPr>
                <w:rFonts w:hint="eastAsia"/>
                <w:color w:val="000000" w:themeColor="text1"/>
                <w:sz w:val="24"/>
                <w:szCs w:val="24"/>
                <w:u w:val="single"/>
                <w:lang w:val="en-US" w:eastAsia="zh-CN"/>
                <w14:textFill>
                  <w14:solidFill>
                    <w14:schemeClr w14:val="tx1"/>
                  </w14:solidFill>
                </w14:textFill>
              </w:rPr>
              <w:t xml:space="preserve"> 10% </w:t>
            </w:r>
            <w:r>
              <w:rPr>
                <w:rFonts w:hint="eastAsia"/>
                <w:color w:val="000000" w:themeColor="text1"/>
                <w:sz w:val="24"/>
                <w:szCs w:val="24"/>
                <w:lang w:val="en-US"/>
                <w14:textFill>
                  <w14:solidFill>
                    <w14:schemeClr w14:val="tx1"/>
                  </w14:solidFill>
                </w14:textFill>
              </w:rPr>
              <w:t>签约合同价</w:t>
            </w:r>
          </w:p>
          <w:p>
            <w:pPr>
              <w:pStyle w:val="21"/>
              <w:keepNext w:val="0"/>
              <w:keepLines w:val="0"/>
              <w:pageBreakBefore w:val="0"/>
              <w:widowControl w:val="0"/>
              <w:tabs>
                <w:tab w:val="left" w:pos="470"/>
              </w:tabs>
              <w:kinsoku/>
              <w:wordWrap/>
              <w:overflowPunct/>
              <w:topLinePunct w:val="0"/>
              <w:autoSpaceDE w:val="0"/>
              <w:autoSpaceDN w:val="0"/>
              <w:bidi w:val="0"/>
              <w:snapToGrid/>
              <w:spacing w:line="440" w:lineRule="exact"/>
              <w:ind w:firstLine="240" w:firstLineChars="100"/>
              <w:textAlignment w:val="auto"/>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采用银行保函时，出具保函的银行级别：应为国有商业银行或股份制银行的支行及其以上的银行。</w:t>
            </w:r>
          </w:p>
          <w:p>
            <w:pPr>
              <w:pStyle w:val="21"/>
              <w:keepNext w:val="0"/>
              <w:keepLines w:val="0"/>
              <w:pageBreakBefore w:val="0"/>
              <w:widowControl w:val="0"/>
              <w:tabs>
                <w:tab w:val="left" w:pos="470"/>
              </w:tabs>
              <w:kinsoku/>
              <w:wordWrap/>
              <w:overflowPunct/>
              <w:topLinePunct w:val="0"/>
              <w:autoSpaceDE w:val="0"/>
              <w:autoSpaceDN w:val="0"/>
              <w:bidi w:val="0"/>
              <w:adjustRightInd w:val="0"/>
              <w:snapToGrid/>
              <w:spacing w:line="440" w:lineRule="exact"/>
              <w:textAlignment w:val="auto"/>
              <w:rPr>
                <w:rFonts w:hint="eastAsia" w:ascii="宋体" w:hAnsi="宋体" w:cs="Times New Roman"/>
                <w:color w:val="000000" w:themeColor="text1"/>
                <w:sz w:val="24"/>
                <w:szCs w:val="24"/>
                <w:lang w:val="en-US" w:bidi="ar-SA"/>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14:textFill>
                  <w14:solidFill>
                    <w14:schemeClr w14:val="tx1"/>
                  </w14:solidFill>
                </w14:textFill>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37" w:type="dxa"/>
            <w:gridSpan w:val="2"/>
            <w:vAlign w:val="center"/>
          </w:tcPr>
          <w:p>
            <w:pPr>
              <w:adjustRightInd w:val="0"/>
              <w:spacing w:line="400" w:lineRule="exact"/>
              <w:jc w:val="center"/>
              <w:rPr>
                <w:rFonts w:hint="default" w:ascii="Times New Roman" w:hAnsi="Times New Roman" w:cs="Times New Roman"/>
                <w:color w:val="000000" w:themeColor="text1"/>
                <w:sz w:val="24"/>
                <w:szCs w:val="24"/>
                <w:lang w:val="en-US" w:eastAsia="zh-CN" w:bidi="ar-SA"/>
                <w14:textFill>
                  <w14:solidFill>
                    <w14:schemeClr w14:val="tx1"/>
                  </w14:solidFill>
                </w14:textFill>
              </w:rPr>
            </w:pPr>
            <w:r>
              <w:rPr>
                <w:rFonts w:hint="eastAsia" w:ascii="Times New Roman" w:hAnsi="Times New Roman" w:cs="Times New Roman"/>
                <w:color w:val="000000" w:themeColor="text1"/>
                <w:sz w:val="24"/>
                <w:szCs w:val="24"/>
                <w:lang w:val="en-US" w:eastAsia="zh-CN" w:bidi="ar-SA"/>
                <w14:textFill>
                  <w14:solidFill>
                    <w14:schemeClr w14:val="tx1"/>
                  </w14:solidFill>
                </w14:textFill>
              </w:rPr>
              <w:t>33</w:t>
            </w:r>
          </w:p>
        </w:tc>
        <w:tc>
          <w:tcPr>
            <w:tcW w:w="2142" w:type="dxa"/>
            <w:vAlign w:val="center"/>
          </w:tcPr>
          <w:p>
            <w:pPr>
              <w:adjustRightInd w:val="0"/>
              <w:spacing w:line="400" w:lineRule="exact"/>
              <w:jc w:val="center"/>
              <w:rPr>
                <w:rFonts w:hint="eastAsia" w:ascii="宋体" w:hAnsi="宋体" w:eastAsia="宋体" w:cs="宋体"/>
                <w:color w:val="000000" w:themeColor="text1"/>
                <w:sz w:val="24"/>
                <w:szCs w:val="24"/>
                <w:lang w:val="en-US"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农民工工资保证金</w:t>
            </w:r>
          </w:p>
        </w:tc>
        <w:tc>
          <w:tcPr>
            <w:tcW w:w="6357" w:type="dxa"/>
            <w:vAlign w:val="center"/>
          </w:tcPr>
          <w:p>
            <w:pPr>
              <w:pStyle w:val="21"/>
              <w:keepNext w:val="0"/>
              <w:keepLines w:val="0"/>
              <w:pageBreakBefore w:val="0"/>
              <w:widowControl w:val="0"/>
              <w:tabs>
                <w:tab w:val="left" w:pos="470"/>
              </w:tabs>
              <w:kinsoku/>
              <w:wordWrap/>
              <w:overflowPunct/>
              <w:topLinePunct w:val="0"/>
              <w:autoSpaceDE w:val="0"/>
              <w:autoSpaceDN w:val="0"/>
              <w:bidi w:val="0"/>
              <w:snapToGrid/>
              <w:spacing w:line="44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 xml:space="preserve">是否要求中标人提交农民工工资保证金： </w:t>
            </w:r>
          </w:p>
          <w:p>
            <w:pPr>
              <w:pStyle w:val="21"/>
              <w:keepNext w:val="0"/>
              <w:keepLines w:val="0"/>
              <w:pageBreakBefore w:val="0"/>
              <w:widowControl w:val="0"/>
              <w:tabs>
                <w:tab w:val="left" w:pos="470"/>
              </w:tabs>
              <w:kinsoku/>
              <w:wordWrap/>
              <w:overflowPunct/>
              <w:topLinePunct w:val="0"/>
              <w:autoSpaceDE w:val="0"/>
              <w:autoSpaceDN w:val="0"/>
              <w:bidi w:val="0"/>
              <w:snapToGrid/>
              <w:spacing w:line="440" w:lineRule="exact"/>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要求</w:t>
            </w:r>
          </w:p>
          <w:p>
            <w:pPr>
              <w:pStyle w:val="21"/>
              <w:keepNext w:val="0"/>
              <w:keepLines w:val="0"/>
              <w:pageBreakBefore w:val="0"/>
              <w:widowControl w:val="0"/>
              <w:tabs>
                <w:tab w:val="left" w:pos="470"/>
              </w:tabs>
              <w:kinsoku/>
              <w:wordWrap/>
              <w:overflowPunct/>
              <w:topLinePunct w:val="0"/>
              <w:autoSpaceDE w:val="0"/>
              <w:autoSpaceDN w:val="0"/>
              <w:bidi w:val="0"/>
              <w:snapToGrid/>
              <w:spacing w:line="44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农民工工资保证金的金额</w:t>
            </w:r>
            <w:r>
              <w:rPr>
                <w:rFonts w:hint="eastAsia" w:cs="宋体"/>
                <w:color w:val="000000" w:themeColor="text1"/>
                <w:sz w:val="24"/>
                <w:szCs w:val="24"/>
                <w:lang w:val="en-US" w:eastAsia="zh-CN"/>
                <w14:textFill>
                  <w14:solidFill>
                    <w14:schemeClr w14:val="tx1"/>
                  </w14:solidFill>
                </w14:textFill>
              </w:rPr>
              <w:t>及缴纳形式</w:t>
            </w:r>
            <w:r>
              <w:rPr>
                <w:rFonts w:hint="eastAsia" w:ascii="宋体" w:hAnsi="宋体" w:eastAsia="宋体" w:cs="宋体"/>
                <w:color w:val="000000" w:themeColor="text1"/>
                <w:sz w:val="24"/>
                <w:szCs w:val="24"/>
                <w:lang w:val="en-US"/>
                <w14:textFill>
                  <w14:solidFill>
                    <w14:schemeClr w14:val="tx1"/>
                  </w14:solidFill>
                </w14:textFill>
              </w:rPr>
              <w:t>：</w:t>
            </w:r>
            <w:r>
              <w:rPr>
                <w:rFonts w:hint="eastAsia" w:cs="宋体"/>
                <w:color w:val="000000" w:themeColor="text1"/>
                <w:sz w:val="24"/>
                <w:szCs w:val="24"/>
                <w:u w:val="single"/>
                <w:lang w:val="en-US" w:eastAsia="zh-CN"/>
                <w14:textFill>
                  <w14:solidFill>
                    <w14:schemeClr w14:val="tx1"/>
                  </w14:solidFill>
                </w14:textFill>
              </w:rPr>
              <w:t>根据当地人社局劳动监察部门的相关规定缴纳，并须按采购人要求提供相关凭证</w:t>
            </w:r>
            <w:r>
              <w:rPr>
                <w:rFonts w:hint="eastAsia" w:ascii="宋体" w:hAnsi="宋体" w:eastAsia="宋体" w:cs="宋体"/>
                <w:color w:val="000000" w:themeColor="text1"/>
                <w:sz w:val="24"/>
                <w:szCs w:val="24"/>
                <w:lang w:val="en-US" w:eastAsia="zh-CN"/>
                <w14:textFill>
                  <w14:solidFill>
                    <w14:schemeClr w14:val="tx1"/>
                  </w14:solidFill>
                </w14:textFill>
              </w:rPr>
              <w:t>。</w:t>
            </w:r>
          </w:p>
          <w:p>
            <w:pPr>
              <w:pStyle w:val="21"/>
              <w:keepNext w:val="0"/>
              <w:keepLines w:val="0"/>
              <w:pageBreakBefore w:val="0"/>
              <w:widowControl w:val="0"/>
              <w:tabs>
                <w:tab w:val="left" w:pos="470"/>
              </w:tabs>
              <w:kinsoku/>
              <w:wordWrap/>
              <w:overflowPunct/>
              <w:topLinePunct w:val="0"/>
              <w:autoSpaceDE w:val="0"/>
              <w:autoSpaceDN w:val="0"/>
              <w:bidi w:val="0"/>
              <w:snapToGrid/>
              <w:spacing w:line="440" w:lineRule="exact"/>
              <w:textAlignment w:val="auto"/>
              <w:rPr>
                <w:rFonts w:hint="eastAsia" w:ascii="宋体" w:hAnsi="宋体" w:cs="Times New Roman"/>
                <w:color w:val="000000" w:themeColor="text1"/>
                <w:sz w:val="24"/>
                <w:szCs w:val="24"/>
                <w:lang w:val="en-US"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01" w:type="dxa"/>
            <w:vAlign w:val="center"/>
          </w:tcPr>
          <w:p>
            <w:pPr>
              <w:adjustRightInd w:val="0"/>
              <w:spacing w:line="400" w:lineRule="exact"/>
              <w:jc w:val="center"/>
              <w:textAlignment w:val="baseline"/>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34</w:t>
            </w:r>
          </w:p>
        </w:tc>
        <w:tc>
          <w:tcPr>
            <w:tcW w:w="2178" w:type="dxa"/>
            <w:gridSpan w:val="2"/>
            <w:vAlign w:val="center"/>
          </w:tcPr>
          <w:p>
            <w:pPr>
              <w:adjustRightInd w:val="0"/>
              <w:spacing w:line="400" w:lineRule="exact"/>
              <w:jc w:val="center"/>
              <w:textAlignment w:val="baseline"/>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知识产权</w:t>
            </w:r>
          </w:p>
        </w:tc>
        <w:tc>
          <w:tcPr>
            <w:tcW w:w="6357" w:type="dxa"/>
            <w:vAlign w:val="center"/>
          </w:tcPr>
          <w:p>
            <w:pPr>
              <w:adjustRightInd w:val="0"/>
              <w:spacing w:line="400" w:lineRule="exact"/>
              <w:textAlignment w:val="baseline"/>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构成本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01" w:type="dxa"/>
            <w:vAlign w:val="center"/>
          </w:tcPr>
          <w:p>
            <w:pPr>
              <w:adjustRightInd w:val="0"/>
              <w:spacing w:line="400" w:lineRule="exact"/>
              <w:jc w:val="center"/>
              <w:textAlignment w:val="baseline"/>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35</w:t>
            </w:r>
          </w:p>
        </w:tc>
        <w:tc>
          <w:tcPr>
            <w:tcW w:w="2178" w:type="dxa"/>
            <w:gridSpan w:val="2"/>
            <w:vAlign w:val="center"/>
          </w:tcPr>
          <w:p>
            <w:pPr>
              <w:adjustRightInd w:val="0"/>
              <w:spacing w:line="400" w:lineRule="exact"/>
              <w:ind w:firstLine="240" w:firstLineChars="100"/>
              <w:textAlignment w:val="baseline"/>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招标代理服务费</w:t>
            </w:r>
          </w:p>
        </w:tc>
        <w:tc>
          <w:tcPr>
            <w:tcW w:w="6357" w:type="dxa"/>
            <w:vAlign w:val="center"/>
          </w:tcPr>
          <w:p>
            <w:pPr>
              <w:adjustRightInd w:val="0"/>
              <w:spacing w:line="400" w:lineRule="exact"/>
              <w:textAlignment w:val="baseline"/>
              <w:rPr>
                <w:rFonts w:hint="default" w:eastAsia="宋体"/>
                <w:b/>
                <w:bCs/>
                <w:lang w:val="en-US" w:eastAsia="zh-CN"/>
              </w:rPr>
            </w:pPr>
            <w:r>
              <w:rPr>
                <w:rFonts w:hint="eastAsia"/>
                <w:b/>
                <w:bCs/>
                <w:lang w:val="en-US"/>
              </w:rPr>
              <w:t>本项目的招标代理服务费由中标企业承担。根据国家计委《招标代理服务收费管理暂行办法》（计价格[2002]1980号）和中价协35号文件规定标准由中标企业</w:t>
            </w:r>
            <w:r>
              <w:rPr>
                <w:rFonts w:hint="eastAsia"/>
                <w:b/>
                <w:bCs/>
                <w:lang w:val="en-US" w:eastAsia="zh-CN"/>
              </w:rPr>
              <w:t>按中标价</w:t>
            </w:r>
            <w:r>
              <w:rPr>
                <w:rFonts w:hint="eastAsia"/>
                <w:b/>
                <w:bCs/>
                <w:lang w:val="en-US"/>
              </w:rPr>
              <w:t>向招标代理机构支付</w:t>
            </w:r>
            <w:r>
              <w:rPr>
                <w:rFonts w:hint="eastAsia"/>
                <w:b/>
                <w:bCs/>
                <w:lang w:val="en-US" w:eastAsia="zh-CN"/>
              </w:rPr>
              <w:t>，具体如下：</w:t>
            </w:r>
          </w:p>
          <w:p>
            <w:pPr>
              <w:adjustRightInd w:val="0"/>
              <w:spacing w:line="400" w:lineRule="exact"/>
              <w:textAlignment w:val="baseline"/>
              <w:rPr>
                <w:rFonts w:hint="eastAsia"/>
                <w:b/>
                <w:bCs/>
                <w:lang w:val="en-US" w:eastAsia="zh-CN"/>
              </w:rPr>
            </w:pPr>
            <w:r>
              <w:rPr>
                <w:rFonts w:hint="eastAsia"/>
                <w:b/>
                <w:bCs/>
                <w:lang w:val="en-US" w:eastAsia="zh-CN"/>
              </w:rPr>
              <w:t>代理费：中标金额100万元以下的部分,工程类采购费率1.0%</w:t>
            </w:r>
          </w:p>
          <w:p>
            <w:pPr>
              <w:adjustRightInd w:val="0"/>
              <w:spacing w:line="400" w:lineRule="exact"/>
              <w:textAlignment w:val="baseline"/>
              <w:rPr>
                <w:lang w:val="en-US"/>
              </w:rPr>
            </w:pPr>
            <w:r>
              <w:rPr>
                <w:rFonts w:hint="eastAsia"/>
                <w:b/>
                <w:bCs/>
                <w:lang w:val="en-US" w:eastAsia="zh-CN"/>
              </w:rPr>
              <w:t>工程量清单编制：中标金额≤200万元,工程类咨询费率5</w:t>
            </w:r>
            <w:r>
              <w:rPr>
                <w:rFonts w:hint="default" w:ascii="Arial" w:hAnsi="Arial" w:cs="Arial"/>
                <w:b/>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01" w:type="dxa"/>
            <w:vAlign w:val="center"/>
          </w:tcPr>
          <w:p>
            <w:pPr>
              <w:adjustRightInd w:val="0"/>
              <w:spacing w:line="400" w:lineRule="exact"/>
              <w:jc w:val="center"/>
              <w:textAlignment w:val="baseline"/>
              <w:rPr>
                <w:rFonts w:hint="default" w:ascii="Times New Roman" w:hAnsi="Times New Roman" w:eastAsia="宋体" w:cs="Times New Roman"/>
                <w:sz w:val="24"/>
                <w:szCs w:val="24"/>
                <w:lang w:val="en-US" w:eastAsia="zh-CN" w:bidi="ar-SA"/>
              </w:rPr>
            </w:pPr>
            <w:r>
              <w:rPr>
                <w:rFonts w:hint="eastAsia" w:cs="Times New Roman"/>
                <w:sz w:val="24"/>
                <w:szCs w:val="24"/>
                <w:lang w:val="en-US" w:eastAsia="zh-CN" w:bidi="ar-SA"/>
              </w:rPr>
              <w:t>36</w:t>
            </w:r>
          </w:p>
        </w:tc>
        <w:tc>
          <w:tcPr>
            <w:tcW w:w="2178" w:type="dxa"/>
            <w:gridSpan w:val="2"/>
            <w:vAlign w:val="center"/>
          </w:tcPr>
          <w:p>
            <w:pPr>
              <w:adjustRightInd w:val="0"/>
              <w:spacing w:line="400" w:lineRule="exact"/>
              <w:jc w:val="center"/>
              <w:textAlignment w:val="baseline"/>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解释权</w:t>
            </w:r>
          </w:p>
        </w:tc>
        <w:tc>
          <w:tcPr>
            <w:tcW w:w="6357" w:type="dxa"/>
            <w:vAlign w:val="center"/>
          </w:tcPr>
          <w:p>
            <w:pPr>
              <w:adjustRightInd w:val="0"/>
              <w:spacing w:line="400" w:lineRule="exact"/>
              <w:textAlignment w:val="baseline"/>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由采购人和招标代理机构负责解释。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01" w:type="dxa"/>
            <w:vAlign w:val="center"/>
          </w:tcPr>
          <w:p>
            <w:pPr>
              <w:widowControl w:val="0"/>
              <w:autoSpaceDE w:val="0"/>
              <w:autoSpaceDN w:val="0"/>
              <w:adjustRightInd w:val="0"/>
              <w:spacing w:line="400" w:lineRule="exact"/>
              <w:jc w:val="center"/>
              <w:rPr>
                <w:rFonts w:hint="default" w:ascii="宋体" w:hAnsi="宋体" w:eastAsia="宋体" w:cs="Times New Roman"/>
                <w:sz w:val="24"/>
                <w:szCs w:val="24"/>
                <w:lang w:val="en-US" w:eastAsia="zh-CN" w:bidi="ar-SA"/>
              </w:rPr>
            </w:pPr>
            <w:r>
              <w:rPr>
                <w:rFonts w:hint="eastAsia" w:cs="Times New Roman"/>
                <w:sz w:val="24"/>
                <w:szCs w:val="24"/>
                <w:lang w:val="en-US" w:eastAsia="zh-CN" w:bidi="ar-SA"/>
              </w:rPr>
              <w:t>37</w:t>
            </w:r>
          </w:p>
        </w:tc>
        <w:tc>
          <w:tcPr>
            <w:tcW w:w="2178" w:type="dxa"/>
            <w:gridSpan w:val="2"/>
            <w:vAlign w:val="center"/>
          </w:tcPr>
          <w:p>
            <w:pPr>
              <w:adjustRightInd w:val="0"/>
              <w:spacing w:line="312" w:lineRule="auto"/>
              <w:rPr>
                <w:rFonts w:ascii="宋体" w:hAnsi="Times New Roman" w:cs="宋体"/>
                <w:color w:val="000000"/>
                <w:sz w:val="24"/>
                <w:szCs w:val="21"/>
                <w:lang w:val="en-US" w:bidi="ar-SA"/>
              </w:rPr>
            </w:pPr>
            <w:r>
              <w:rPr>
                <w:rFonts w:hint="eastAsia" w:ascii="宋体" w:hAnsi="宋体" w:cs="宋体"/>
                <w:color w:val="000000"/>
                <w:sz w:val="24"/>
                <w:szCs w:val="21"/>
                <w:lang w:val="en-US" w:bidi="ar-SA"/>
              </w:rPr>
              <w:t>政府采购政策支持</w:t>
            </w:r>
          </w:p>
        </w:tc>
        <w:tc>
          <w:tcPr>
            <w:tcW w:w="6357" w:type="dxa"/>
          </w:tcPr>
          <w:p>
            <w:pPr>
              <w:adjustRightInd w:val="0"/>
              <w:snapToGrid w:val="0"/>
              <w:spacing w:line="440" w:lineRule="exact"/>
              <w:rPr>
                <w:rFonts w:hint="eastAsia" w:hAnsi="宋体"/>
                <w:b/>
                <w:lang w:val="en-US" w:eastAsia="zh-CN"/>
              </w:rPr>
            </w:pPr>
            <w:r>
              <w:rPr>
                <w:rFonts w:hint="eastAsia" w:hAnsi="宋体"/>
                <w:b/>
                <w:lang w:val="en-US" w:eastAsia="zh-CN"/>
              </w:rPr>
              <w:t>本项目为中小企业/小微企业预留</w:t>
            </w:r>
          </w:p>
          <w:p>
            <w:pPr>
              <w:adjustRightInd w:val="0"/>
              <w:snapToGrid w:val="0"/>
              <w:spacing w:line="440" w:lineRule="exact"/>
              <w:rPr>
                <w:rFonts w:ascii="宋体" w:hAnsi="宋体" w:eastAsia="宋体" w:cs="仿宋"/>
                <w:bCs/>
                <w:sz w:val="24"/>
                <w:szCs w:val="21"/>
                <w:lang w:val="en-US" w:bidi="ar-SA"/>
              </w:rPr>
            </w:pPr>
            <w:r>
              <w:rPr>
                <w:rFonts w:hint="eastAsia" w:ascii="宋体" w:hAnsi="宋体" w:eastAsia="宋体" w:cs="仿宋"/>
                <w:bCs/>
                <w:sz w:val="24"/>
                <w:szCs w:val="21"/>
                <w:lang w:val="en-US" w:bidi="ar-SA"/>
              </w:rPr>
              <w:t>（</w:t>
            </w:r>
            <w:r>
              <w:rPr>
                <w:rFonts w:ascii="宋体" w:hAnsi="宋体" w:eastAsia="宋体" w:cs="仿宋"/>
                <w:bCs/>
                <w:sz w:val="24"/>
                <w:szCs w:val="21"/>
                <w:lang w:val="en-US" w:bidi="ar-SA"/>
              </w:rPr>
              <w:t>1</w:t>
            </w:r>
            <w:r>
              <w:rPr>
                <w:rFonts w:hint="eastAsia" w:ascii="宋体" w:hAnsi="宋体" w:eastAsia="宋体" w:cs="仿宋"/>
                <w:bCs/>
                <w:sz w:val="24"/>
                <w:szCs w:val="21"/>
                <w:lang w:val="en-US" w:bidi="ar-SA"/>
              </w:rPr>
              <w:t>）促进中小企业发展政策：根据</w:t>
            </w:r>
            <w:r>
              <w:rPr>
                <w:rFonts w:hint="eastAsia" w:hAnsi="宋体"/>
              </w:rPr>
              <w:t>《</w:t>
            </w:r>
            <w:r>
              <w:rPr>
                <w:rFonts w:hint="eastAsia" w:ascii="宋体" w:hAnsi="宋体" w:eastAsia="宋体" w:cs="仿宋"/>
                <w:bCs/>
                <w:sz w:val="24"/>
                <w:szCs w:val="21"/>
                <w:lang w:val="en-US" w:bidi="ar-SA"/>
              </w:rPr>
              <w:t>政府采购促进中小企业发展管理办法》规定，本项目投标供应商为小型或微型企业且报价产品为小型或微型企业生产的，将对该报价产品的评标报价给予</w:t>
            </w:r>
            <w:r>
              <w:rPr>
                <w:rFonts w:hint="eastAsia" w:cs="仿宋"/>
                <w:bCs/>
                <w:sz w:val="24"/>
                <w:szCs w:val="21"/>
                <w:lang w:val="en-US" w:eastAsia="zh-CN" w:bidi="ar-SA"/>
              </w:rPr>
              <w:t>6</w:t>
            </w:r>
            <w:r>
              <w:rPr>
                <w:rFonts w:ascii="宋体" w:hAnsi="宋体" w:eastAsia="宋体" w:cs="仿宋"/>
                <w:bCs/>
                <w:sz w:val="24"/>
                <w:szCs w:val="21"/>
                <w:lang w:val="en-US" w:bidi="ar-SA"/>
              </w:rPr>
              <w:t>%</w:t>
            </w:r>
            <w:r>
              <w:rPr>
                <w:rFonts w:hint="eastAsia" w:ascii="宋体" w:hAnsi="宋体" w:eastAsia="宋体" w:cs="仿宋"/>
                <w:bCs/>
                <w:sz w:val="24"/>
                <w:szCs w:val="21"/>
                <w:lang w:val="en-US" w:bidi="ar-SA"/>
              </w:rPr>
              <w:t>的扣除。投标供应商和制造商应出具投标响应文件要求的《中小企业声明函》给予证明，否则评标时不予认可。投标供应商和制造商应对提交的中小企业声明函的真实性负责，提交的中小企业声明函不真实的，应承担相应的法律责任。</w:t>
            </w:r>
          </w:p>
          <w:p>
            <w:pPr>
              <w:adjustRightInd w:val="0"/>
              <w:snapToGrid w:val="0"/>
              <w:spacing w:line="440" w:lineRule="exact"/>
              <w:rPr>
                <w:rFonts w:ascii="宋体" w:hAnsi="宋体" w:eastAsia="宋体" w:cs="仿宋"/>
                <w:bCs/>
                <w:sz w:val="24"/>
                <w:szCs w:val="21"/>
                <w:lang w:val="en-US" w:bidi="ar-SA"/>
              </w:rPr>
            </w:pPr>
            <w:r>
              <w:rPr>
                <w:rFonts w:hint="eastAsia" w:ascii="宋体" w:hAnsi="宋体" w:eastAsia="宋体" w:cs="仿宋"/>
                <w:bCs/>
                <w:sz w:val="24"/>
                <w:szCs w:val="21"/>
                <w:lang w:val="en-US" w:bidi="ar-SA"/>
              </w:rPr>
              <w:t>（</w:t>
            </w:r>
            <w:r>
              <w:rPr>
                <w:rFonts w:ascii="宋体" w:hAnsi="宋体" w:eastAsia="宋体" w:cs="仿宋"/>
                <w:bCs/>
                <w:sz w:val="24"/>
                <w:szCs w:val="21"/>
                <w:lang w:val="en-US" w:bidi="ar-SA"/>
              </w:rPr>
              <w:t>2</w:t>
            </w:r>
            <w:r>
              <w:rPr>
                <w:rFonts w:hint="eastAsia" w:ascii="宋体" w:hAnsi="宋体" w:eastAsia="宋体" w:cs="仿宋"/>
                <w:bCs/>
                <w:sz w:val="24"/>
                <w:szCs w:val="21"/>
                <w:lang w:val="en-US" w:bidi="ar-SA"/>
              </w:rPr>
              <w:t>）监狱企业扶持政策：供应商如为监狱企业将视同小型或微型企业，且报价产品为小型或微型企业生产的，将对该产品的评标报价给予</w:t>
            </w:r>
            <w:r>
              <w:rPr>
                <w:rFonts w:ascii="宋体" w:hAnsi="宋体" w:eastAsia="宋体" w:cs="仿宋"/>
                <w:bCs/>
                <w:sz w:val="24"/>
                <w:szCs w:val="21"/>
                <w:lang w:val="en-US" w:bidi="ar-SA"/>
              </w:rPr>
              <w:t>6%</w:t>
            </w:r>
            <w:r>
              <w:rPr>
                <w:rFonts w:hint="eastAsia" w:ascii="宋体" w:hAnsi="宋体" w:eastAsia="宋体" w:cs="仿宋"/>
                <w:bCs/>
                <w:sz w:val="24"/>
                <w:szCs w:val="21"/>
                <w:lang w:val="en-US" w:bidi="ar-SA"/>
              </w:rPr>
              <w:t>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adjustRightInd w:val="0"/>
              <w:snapToGrid w:val="0"/>
              <w:spacing w:line="440" w:lineRule="exact"/>
              <w:rPr>
                <w:rFonts w:ascii="宋体" w:hAnsi="宋体" w:eastAsia="宋体" w:cs="仿宋"/>
                <w:bCs/>
                <w:sz w:val="24"/>
                <w:szCs w:val="21"/>
                <w:lang w:val="en-US" w:bidi="ar-SA"/>
              </w:rPr>
            </w:pPr>
            <w:r>
              <w:rPr>
                <w:rFonts w:hint="eastAsia" w:ascii="宋体" w:hAnsi="宋体" w:eastAsia="宋体" w:cs="仿宋"/>
                <w:bCs/>
                <w:sz w:val="24"/>
                <w:szCs w:val="21"/>
                <w:lang w:val="en-US" w:bidi="ar-SA"/>
              </w:rPr>
              <w:t>（</w:t>
            </w:r>
            <w:r>
              <w:rPr>
                <w:rFonts w:ascii="宋体" w:hAnsi="宋体" w:eastAsia="宋体" w:cs="仿宋"/>
                <w:bCs/>
                <w:sz w:val="24"/>
                <w:szCs w:val="21"/>
                <w:lang w:val="en-US" w:bidi="ar-SA"/>
              </w:rPr>
              <w:t>3</w:t>
            </w:r>
            <w:r>
              <w:rPr>
                <w:rFonts w:hint="eastAsia" w:ascii="宋体" w:hAnsi="宋体" w:eastAsia="宋体" w:cs="仿宋"/>
                <w:bCs/>
                <w:sz w:val="24"/>
                <w:szCs w:val="21"/>
                <w:lang w:val="en-US" w:bidi="ar-SA"/>
              </w:rPr>
              <w:t>）残疾人福利性单位视同小型、微型企业。不重复享受政策。</w:t>
            </w:r>
          </w:p>
          <w:p>
            <w:pPr>
              <w:adjustRightInd w:val="0"/>
              <w:spacing w:line="440" w:lineRule="exact"/>
              <w:rPr>
                <w:rFonts w:ascii="宋体" w:hAnsi="Times New Roman" w:cs="宋体"/>
                <w:color w:val="000000"/>
                <w:sz w:val="24"/>
                <w:szCs w:val="21"/>
                <w:lang w:val="en-US" w:bidi="ar-SA"/>
              </w:rPr>
            </w:pPr>
            <w:r>
              <w:rPr>
                <w:rFonts w:hint="eastAsia" w:ascii="宋体" w:hAnsi="宋体" w:eastAsia="宋体" w:cs="仿宋"/>
                <w:bCs/>
                <w:sz w:val="24"/>
                <w:szCs w:val="21"/>
                <w:lang w:val="en-US" w:bidi="ar-SA"/>
              </w:rPr>
              <w:t>（</w:t>
            </w:r>
            <w:r>
              <w:rPr>
                <w:rFonts w:ascii="宋体" w:hAnsi="宋体" w:eastAsia="宋体" w:cs="仿宋"/>
                <w:bCs/>
                <w:sz w:val="24"/>
                <w:szCs w:val="21"/>
                <w:lang w:val="en-US" w:bidi="ar-SA"/>
              </w:rPr>
              <w:t>4</w:t>
            </w:r>
            <w:r>
              <w:rPr>
                <w:rFonts w:hint="eastAsia" w:ascii="宋体" w:hAnsi="宋体" w:eastAsia="宋体" w:cs="仿宋"/>
                <w:bCs/>
                <w:sz w:val="24"/>
                <w:szCs w:val="21"/>
                <w:lang w:val="en-US" w:bidi="ar-SA"/>
              </w:rPr>
              <w:t>）列入财政部会同国务院有关部门发布的节能产品、环境标志产品品目清单，供应商应当提供国家确定的认证机构出具的、处于有效期之内的节能产品、环境标志产品认证证书。</w:t>
            </w:r>
          </w:p>
        </w:tc>
      </w:tr>
    </w:tbl>
    <w:p>
      <w:pPr>
        <w:widowControl w:val="0"/>
        <w:kinsoku w:val="0"/>
        <w:overflowPunct w:val="0"/>
        <w:autoSpaceDE w:val="0"/>
        <w:autoSpaceDN w:val="0"/>
        <w:adjustRightInd w:val="0"/>
        <w:spacing w:before="7" w:line="400" w:lineRule="exact"/>
        <w:jc w:val="both"/>
        <w:outlineLvl w:val="1"/>
        <w:rPr>
          <w:rFonts w:ascii="宋体" w:hAnsi="宋体" w:eastAsia="Times New Roman" w:cs="Times New Roman"/>
          <w:b/>
          <w:sz w:val="24"/>
          <w:szCs w:val="24"/>
          <w:lang w:val="en-US" w:eastAsia="zh-CN" w:bidi="ar-SA"/>
        </w:rPr>
      </w:pPr>
    </w:p>
    <w:p>
      <w:pPr>
        <w:widowControl w:val="0"/>
        <w:kinsoku w:val="0"/>
        <w:overflowPunct w:val="0"/>
        <w:autoSpaceDE w:val="0"/>
        <w:autoSpaceDN w:val="0"/>
        <w:adjustRightInd w:val="0"/>
        <w:spacing w:line="400" w:lineRule="exact"/>
        <w:ind w:left="0"/>
        <w:rPr>
          <w:rFonts w:ascii="宋体" w:hAnsi="宋体" w:eastAsia="Times New Roman" w:cs="Times New Roman"/>
          <w:sz w:val="24"/>
          <w:szCs w:val="24"/>
          <w:lang w:val="en-US" w:eastAsia="zh-CN" w:bidi="ar-SA"/>
        </w:rPr>
      </w:pPr>
    </w:p>
    <w:p>
      <w:pPr>
        <w:rPr>
          <w:rFonts w:hint="eastAsia" w:ascii="宋体" w:hAnsi="宋体" w:eastAsia="宋体" w:cs="Times New Roman"/>
          <w:b/>
          <w:sz w:val="30"/>
          <w:szCs w:val="24"/>
          <w:lang w:val="en-US" w:eastAsia="zh-CN" w:bidi="ar-SA"/>
        </w:rPr>
      </w:pPr>
      <w:r>
        <w:rPr>
          <w:rFonts w:hint="eastAsia" w:ascii="宋体" w:hAnsi="宋体" w:eastAsia="宋体" w:cs="Times New Roman"/>
          <w:b/>
          <w:sz w:val="30"/>
          <w:szCs w:val="24"/>
          <w:lang w:val="en-US" w:eastAsia="zh-CN" w:bidi="ar-SA"/>
        </w:rPr>
        <w:br w:type="page"/>
      </w:r>
    </w:p>
    <w:p>
      <w:pPr>
        <w:widowControl w:val="0"/>
        <w:kinsoku w:val="0"/>
        <w:overflowPunct w:val="0"/>
        <w:autoSpaceDE w:val="0"/>
        <w:autoSpaceDN w:val="0"/>
        <w:adjustRightInd w:val="0"/>
        <w:spacing w:before="7"/>
        <w:ind w:left="3596" w:right="3620"/>
        <w:jc w:val="center"/>
        <w:outlineLvl w:val="1"/>
        <w:rPr>
          <w:rFonts w:ascii="宋体" w:hAnsi="宋体" w:eastAsia="Times New Roman" w:cs="Times New Roman"/>
          <w:b w:val="0"/>
          <w:sz w:val="30"/>
          <w:szCs w:val="24"/>
          <w:lang w:val="en-US" w:eastAsia="zh-CN" w:bidi="ar-SA"/>
        </w:rPr>
      </w:pPr>
      <w:r>
        <w:rPr>
          <w:rFonts w:hint="eastAsia" w:ascii="宋体" w:hAnsi="宋体" w:eastAsia="宋体" w:cs="Times New Roman"/>
          <w:b/>
          <w:sz w:val="30"/>
          <w:szCs w:val="24"/>
          <w:lang w:val="en-US" w:eastAsia="zh-CN" w:bidi="ar-SA"/>
        </w:rPr>
        <w:t>二、磋商须知</w:t>
      </w:r>
    </w:p>
    <w:p>
      <w:pPr>
        <w:widowControl w:val="0"/>
        <w:kinsoku w:val="0"/>
        <w:overflowPunct w:val="0"/>
        <w:autoSpaceDE w:val="0"/>
        <w:autoSpaceDN w:val="0"/>
        <w:adjustRightInd w:val="0"/>
        <w:spacing w:before="236"/>
        <w:ind w:left="3596" w:right="3615"/>
        <w:jc w:val="center"/>
        <w:outlineLvl w:val="4"/>
        <w:rPr>
          <w:rFonts w:ascii="宋体" w:hAnsi="宋体" w:eastAsia="Times New Roman" w:cs="Times New Roman"/>
          <w:b w:val="0"/>
          <w:sz w:val="24"/>
          <w:szCs w:val="24"/>
          <w:lang w:val="en-US" w:eastAsia="zh-CN" w:bidi="ar-SA"/>
        </w:rPr>
      </w:pPr>
      <w:r>
        <w:rPr>
          <w:rFonts w:hint="eastAsia" w:ascii="宋体" w:hAnsi="宋体" w:eastAsia="宋体" w:cs="Times New Roman"/>
          <w:b/>
          <w:sz w:val="24"/>
          <w:szCs w:val="24"/>
          <w:lang w:val="en-US" w:eastAsia="zh-CN" w:bidi="ar-SA"/>
        </w:rPr>
        <w:t>（一）总则</w:t>
      </w:r>
    </w:p>
    <w:p>
      <w:pPr>
        <w:widowControl w:val="0"/>
        <w:kinsoku w:val="0"/>
        <w:overflowPunct w:val="0"/>
        <w:autoSpaceDE w:val="0"/>
        <w:autoSpaceDN w:val="0"/>
        <w:adjustRightInd w:val="0"/>
        <w:spacing w:before="10"/>
        <w:ind w:left="0"/>
        <w:rPr>
          <w:rFonts w:ascii="宋体" w:hAnsi="宋体" w:eastAsia="Times New Roman" w:cs="Times New Roman"/>
          <w:b/>
          <w:sz w:val="16"/>
          <w:szCs w:val="24"/>
          <w:lang w:val="en-US" w:eastAsia="zh-CN" w:bidi="ar-SA"/>
        </w:rPr>
      </w:pPr>
    </w:p>
    <w:p>
      <w:pPr>
        <w:widowControl w:val="0"/>
        <w:autoSpaceDE w:val="0"/>
        <w:autoSpaceDN w:val="0"/>
        <w:adjustRightInd w:val="0"/>
        <w:spacing w:before="0" w:line="440" w:lineRule="exact"/>
        <w:ind w:left="0" w:firstLine="482" w:firstLineChars="200"/>
        <w:jc w:val="both"/>
        <w:outlineLvl w:val="2"/>
        <w:rPr>
          <w:rFonts w:ascii="宋体" w:hAnsi="宋体" w:eastAsia="宋体" w:cs="Times New Roman"/>
          <w:b/>
          <w:kern w:val="2"/>
          <w:sz w:val="24"/>
          <w:szCs w:val="24"/>
          <w:lang w:val="en-US" w:eastAsia="zh-CN" w:bidi="ar-SA"/>
        </w:rPr>
      </w:pPr>
      <w:bookmarkStart w:id="0" w:name="_Toc152042306"/>
      <w:bookmarkStart w:id="1" w:name="_Toc179632547"/>
      <w:bookmarkStart w:id="2" w:name="_Toc325103231"/>
      <w:bookmarkStart w:id="3" w:name="_Toc324362060"/>
      <w:bookmarkStart w:id="4" w:name="_Toc324362191"/>
      <w:bookmarkStart w:id="5" w:name="_Toc144974498"/>
      <w:bookmarkStart w:id="6" w:name="_Toc152045530"/>
      <w:r>
        <w:rPr>
          <w:rFonts w:ascii="宋体" w:hAnsi="宋体" w:eastAsia="宋体" w:cs="Times New Roman"/>
          <w:b/>
          <w:kern w:val="2"/>
          <w:sz w:val="24"/>
          <w:szCs w:val="24"/>
          <w:lang w:val="en-US" w:eastAsia="zh-CN" w:bidi="ar-SA"/>
        </w:rPr>
        <w:t>1.</w:t>
      </w:r>
      <w:r>
        <w:rPr>
          <w:rFonts w:hint="eastAsia" w:ascii="宋体" w:hAnsi="宋体" w:eastAsia="宋体" w:cs="Times New Roman"/>
          <w:b/>
          <w:kern w:val="2"/>
          <w:sz w:val="24"/>
          <w:szCs w:val="24"/>
          <w:lang w:val="en-US" w:eastAsia="zh-CN" w:bidi="ar-SA"/>
        </w:rPr>
        <w:t>项目概况</w:t>
      </w:r>
      <w:bookmarkEnd w:id="0"/>
      <w:bookmarkEnd w:id="1"/>
      <w:bookmarkEnd w:id="2"/>
      <w:bookmarkEnd w:id="3"/>
      <w:bookmarkEnd w:id="4"/>
      <w:bookmarkEnd w:id="5"/>
      <w:bookmarkEnd w:id="6"/>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ascii="宋体" w:hAnsi="宋体" w:cs="Times New Roman"/>
          <w:sz w:val="24"/>
          <w:szCs w:val="24"/>
          <w:lang w:val="en-US" w:bidi="ar-SA"/>
        </w:rPr>
        <w:t xml:space="preserve">1.1 </w:t>
      </w:r>
      <w:r>
        <w:rPr>
          <w:rFonts w:hint="eastAsia" w:ascii="Times New Roman" w:hAnsi="Times New Roman" w:cs="Times New Roman"/>
          <w:sz w:val="24"/>
          <w:szCs w:val="24"/>
          <w:lang w:val="en-US" w:bidi="ar-SA"/>
        </w:rPr>
        <w:t>本项目按照有关法律、法规和规章，通过竞争性磋商方式，择优选定施工企业。</w:t>
      </w:r>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ascii="宋体" w:hAnsi="宋体" w:cs="Times New Roman"/>
          <w:sz w:val="24"/>
          <w:szCs w:val="24"/>
          <w:lang w:val="en-US" w:bidi="ar-SA"/>
        </w:rPr>
        <w:t xml:space="preserve">1.2 </w:t>
      </w:r>
      <w:r>
        <w:rPr>
          <w:rFonts w:hint="eastAsia" w:ascii="宋体" w:hAnsi="宋体" w:cs="Times New Roman"/>
          <w:sz w:val="24"/>
          <w:szCs w:val="24"/>
          <w:lang w:val="en-US" w:bidi="ar-SA"/>
        </w:rPr>
        <w:t>本项目采购人：见磋商须知前附表。</w:t>
      </w:r>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ascii="宋体" w:hAnsi="宋体" w:cs="Times New Roman"/>
          <w:sz w:val="24"/>
          <w:szCs w:val="24"/>
          <w:lang w:val="en-US" w:bidi="ar-SA"/>
        </w:rPr>
        <w:t xml:space="preserve">1.3 </w:t>
      </w:r>
      <w:r>
        <w:rPr>
          <w:rFonts w:hint="eastAsia" w:ascii="宋体" w:hAnsi="宋体" w:cs="Times New Roman"/>
          <w:sz w:val="24"/>
          <w:szCs w:val="24"/>
          <w:lang w:val="en-US" w:bidi="ar-SA"/>
        </w:rPr>
        <w:t>本项目招标代理机构：见磋商须知前附表。</w:t>
      </w:r>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ascii="宋体" w:hAnsi="宋体" w:cs="Times New Roman"/>
          <w:sz w:val="24"/>
          <w:szCs w:val="24"/>
          <w:lang w:val="en-US" w:bidi="ar-SA"/>
        </w:rPr>
        <w:t xml:space="preserve">1.4 </w:t>
      </w:r>
      <w:r>
        <w:rPr>
          <w:rFonts w:hint="eastAsia" w:ascii="宋体" w:hAnsi="宋体" w:cs="Times New Roman"/>
          <w:sz w:val="24"/>
          <w:szCs w:val="24"/>
          <w:lang w:val="en-US" w:bidi="ar-SA"/>
        </w:rPr>
        <w:t>本项目名称：见磋商须知前附表。</w:t>
      </w:r>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ascii="宋体" w:hAnsi="宋体" w:cs="Times New Roman"/>
          <w:sz w:val="24"/>
          <w:szCs w:val="24"/>
          <w:lang w:val="en-US" w:bidi="ar-SA"/>
        </w:rPr>
        <w:t xml:space="preserve">1.5 </w:t>
      </w:r>
      <w:r>
        <w:rPr>
          <w:rFonts w:hint="eastAsia" w:ascii="宋体" w:hAnsi="宋体" w:cs="Times New Roman"/>
          <w:sz w:val="24"/>
          <w:szCs w:val="24"/>
          <w:lang w:val="en-US" w:bidi="ar-SA"/>
        </w:rPr>
        <w:t>本项目建设地点：见磋商须知前附表。</w:t>
      </w:r>
    </w:p>
    <w:p>
      <w:pPr>
        <w:widowControl w:val="0"/>
        <w:autoSpaceDE w:val="0"/>
        <w:autoSpaceDN w:val="0"/>
        <w:adjustRightInd w:val="0"/>
        <w:spacing w:before="0" w:line="440" w:lineRule="exact"/>
        <w:ind w:left="0" w:firstLine="482" w:firstLineChars="200"/>
        <w:jc w:val="both"/>
        <w:outlineLvl w:val="2"/>
        <w:rPr>
          <w:rFonts w:ascii="宋体" w:hAnsi="宋体" w:eastAsia="宋体" w:cs="Times New Roman"/>
          <w:b/>
          <w:kern w:val="2"/>
          <w:sz w:val="24"/>
          <w:szCs w:val="24"/>
          <w:lang w:val="en-US" w:eastAsia="zh-CN" w:bidi="ar-SA"/>
        </w:rPr>
      </w:pPr>
      <w:bookmarkStart w:id="7" w:name="_Toc325103232"/>
      <w:bookmarkStart w:id="8" w:name="_Toc152042307"/>
      <w:bookmarkStart w:id="9" w:name="_Toc152045531"/>
      <w:bookmarkStart w:id="10" w:name="_Toc179632548"/>
      <w:bookmarkStart w:id="11" w:name="_Toc144974499"/>
      <w:bookmarkStart w:id="12" w:name="_Toc324362061"/>
      <w:bookmarkStart w:id="13" w:name="_Toc324362192"/>
      <w:r>
        <w:rPr>
          <w:rFonts w:ascii="宋体" w:hAnsi="宋体" w:eastAsia="宋体" w:cs="Times New Roman"/>
          <w:b/>
          <w:kern w:val="2"/>
          <w:sz w:val="24"/>
          <w:szCs w:val="24"/>
          <w:lang w:val="en-US" w:eastAsia="zh-CN" w:bidi="ar-SA"/>
        </w:rPr>
        <w:t xml:space="preserve">2. </w:t>
      </w:r>
      <w:r>
        <w:rPr>
          <w:rFonts w:hint="eastAsia" w:ascii="宋体" w:hAnsi="宋体" w:eastAsia="宋体" w:cs="Times New Roman"/>
          <w:b/>
          <w:kern w:val="2"/>
          <w:sz w:val="24"/>
          <w:szCs w:val="24"/>
          <w:lang w:val="en-US" w:eastAsia="zh-CN" w:bidi="ar-SA"/>
        </w:rPr>
        <w:t>资金来源和落实情况</w:t>
      </w:r>
      <w:bookmarkEnd w:id="7"/>
      <w:bookmarkEnd w:id="8"/>
      <w:bookmarkEnd w:id="9"/>
      <w:bookmarkEnd w:id="10"/>
      <w:bookmarkEnd w:id="11"/>
      <w:bookmarkEnd w:id="12"/>
      <w:bookmarkEnd w:id="13"/>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ascii="宋体" w:hAnsi="宋体" w:cs="Times New Roman"/>
          <w:sz w:val="24"/>
          <w:szCs w:val="24"/>
          <w:lang w:val="en-US" w:bidi="ar-SA"/>
        </w:rPr>
        <w:t xml:space="preserve">2.1 </w:t>
      </w:r>
      <w:r>
        <w:rPr>
          <w:rFonts w:hint="eastAsia" w:ascii="宋体" w:hAnsi="宋体" w:cs="Times New Roman"/>
          <w:sz w:val="24"/>
          <w:szCs w:val="24"/>
          <w:lang w:val="en-US" w:bidi="ar-SA"/>
        </w:rPr>
        <w:t>本项目的资金来源：见磋商须知前附表。</w:t>
      </w:r>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ascii="宋体" w:hAnsi="宋体" w:cs="Times New Roman"/>
          <w:sz w:val="24"/>
          <w:szCs w:val="24"/>
          <w:lang w:val="en-US" w:bidi="ar-SA"/>
        </w:rPr>
        <w:t xml:space="preserve">2.2 </w:t>
      </w:r>
      <w:r>
        <w:rPr>
          <w:rFonts w:hint="eastAsia" w:ascii="宋体" w:hAnsi="宋体" w:cs="Times New Roman"/>
          <w:sz w:val="24"/>
          <w:szCs w:val="24"/>
          <w:lang w:val="en-US" w:bidi="ar-SA"/>
        </w:rPr>
        <w:t>本项目的出资比例：见磋商须知前附表。</w:t>
      </w:r>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ascii="宋体" w:hAnsi="宋体" w:cs="Times New Roman"/>
          <w:sz w:val="24"/>
          <w:szCs w:val="24"/>
          <w:lang w:val="en-US" w:bidi="ar-SA"/>
        </w:rPr>
        <w:t xml:space="preserve">2.3 </w:t>
      </w:r>
      <w:r>
        <w:rPr>
          <w:rFonts w:hint="eastAsia" w:ascii="宋体" w:hAnsi="宋体" w:cs="Times New Roman"/>
          <w:sz w:val="24"/>
          <w:szCs w:val="24"/>
          <w:lang w:val="en-US" w:bidi="ar-SA"/>
        </w:rPr>
        <w:t>本项目的资金落实情况：见磋商须知前附表。</w:t>
      </w:r>
    </w:p>
    <w:p>
      <w:pPr>
        <w:widowControl w:val="0"/>
        <w:autoSpaceDE w:val="0"/>
        <w:autoSpaceDN w:val="0"/>
        <w:adjustRightInd w:val="0"/>
        <w:spacing w:before="0" w:line="440" w:lineRule="exact"/>
        <w:ind w:left="0" w:firstLine="482" w:firstLineChars="200"/>
        <w:jc w:val="both"/>
        <w:outlineLvl w:val="2"/>
        <w:rPr>
          <w:rFonts w:ascii="宋体" w:hAnsi="宋体" w:eastAsia="宋体" w:cs="Times New Roman"/>
          <w:b/>
          <w:kern w:val="2"/>
          <w:sz w:val="24"/>
          <w:szCs w:val="24"/>
          <w:lang w:val="en-US" w:eastAsia="zh-CN" w:bidi="ar-SA"/>
        </w:rPr>
      </w:pPr>
      <w:bookmarkStart w:id="14" w:name="_Toc324362193"/>
      <w:bookmarkStart w:id="15" w:name="_Toc324362062"/>
      <w:bookmarkStart w:id="16" w:name="_Toc152042308"/>
      <w:bookmarkStart w:id="17" w:name="_Toc144974500"/>
      <w:bookmarkStart w:id="18" w:name="_Toc179632549"/>
      <w:bookmarkStart w:id="19" w:name="_Toc325103233"/>
      <w:bookmarkStart w:id="20" w:name="_Toc152045532"/>
      <w:r>
        <w:rPr>
          <w:rFonts w:ascii="宋体" w:hAnsi="宋体" w:eastAsia="宋体" w:cs="Times New Roman"/>
          <w:b/>
          <w:kern w:val="2"/>
          <w:sz w:val="24"/>
          <w:szCs w:val="24"/>
          <w:lang w:val="en-US" w:eastAsia="zh-CN" w:bidi="ar-SA"/>
        </w:rPr>
        <w:t xml:space="preserve">3. </w:t>
      </w:r>
      <w:r>
        <w:rPr>
          <w:rFonts w:hint="eastAsia" w:ascii="宋体" w:hAnsi="宋体" w:eastAsia="宋体" w:cs="Times New Roman"/>
          <w:b/>
          <w:kern w:val="2"/>
          <w:sz w:val="24"/>
          <w:szCs w:val="24"/>
          <w:lang w:val="en-US" w:eastAsia="zh-CN" w:bidi="ar-SA"/>
        </w:rPr>
        <w:t>招标范围</w:t>
      </w:r>
      <w:bookmarkEnd w:id="14"/>
      <w:bookmarkEnd w:id="15"/>
      <w:bookmarkEnd w:id="16"/>
      <w:bookmarkEnd w:id="17"/>
      <w:bookmarkEnd w:id="18"/>
      <w:bookmarkEnd w:id="19"/>
      <w:bookmarkEnd w:id="20"/>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ascii="宋体" w:hAnsi="宋体" w:cs="Times New Roman"/>
          <w:sz w:val="24"/>
          <w:szCs w:val="24"/>
          <w:lang w:val="en-US" w:bidi="ar-SA"/>
        </w:rPr>
        <w:t xml:space="preserve">3.1 </w:t>
      </w:r>
      <w:r>
        <w:rPr>
          <w:rFonts w:hint="eastAsia" w:ascii="宋体" w:hAnsi="宋体" w:cs="Times New Roman"/>
          <w:sz w:val="24"/>
          <w:szCs w:val="24"/>
          <w:lang w:val="en-US" w:bidi="ar-SA"/>
        </w:rPr>
        <w:t>本次招标范围：见磋商须知前附表。</w:t>
      </w:r>
    </w:p>
    <w:p>
      <w:pPr>
        <w:widowControl w:val="0"/>
        <w:autoSpaceDE w:val="0"/>
        <w:autoSpaceDN w:val="0"/>
        <w:adjustRightInd w:val="0"/>
        <w:spacing w:before="0" w:line="440" w:lineRule="exact"/>
        <w:ind w:left="0" w:firstLine="482" w:firstLineChars="200"/>
        <w:jc w:val="both"/>
        <w:outlineLvl w:val="2"/>
        <w:rPr>
          <w:rFonts w:ascii="宋体" w:hAnsi="宋体" w:eastAsia="宋体" w:cs="Times New Roman"/>
          <w:b/>
          <w:kern w:val="2"/>
          <w:sz w:val="24"/>
          <w:szCs w:val="24"/>
          <w:lang w:val="en-US" w:eastAsia="zh-CN" w:bidi="ar-SA"/>
        </w:rPr>
      </w:pPr>
      <w:bookmarkStart w:id="21" w:name="_Toc152042310"/>
      <w:bookmarkStart w:id="22" w:name="_Toc152045534"/>
      <w:bookmarkStart w:id="23" w:name="_Toc325103234"/>
      <w:bookmarkStart w:id="24" w:name="_Toc144974502"/>
      <w:bookmarkStart w:id="25" w:name="_Toc324362063"/>
      <w:bookmarkStart w:id="26" w:name="_Toc324362194"/>
      <w:bookmarkStart w:id="27" w:name="_Toc179632551"/>
      <w:r>
        <w:rPr>
          <w:rFonts w:ascii="宋体" w:hAnsi="宋体" w:eastAsia="宋体" w:cs="Times New Roman"/>
          <w:b/>
          <w:kern w:val="2"/>
          <w:sz w:val="24"/>
          <w:szCs w:val="24"/>
          <w:lang w:val="en-US" w:eastAsia="zh-CN" w:bidi="ar-SA"/>
        </w:rPr>
        <w:t xml:space="preserve">4. </w:t>
      </w:r>
      <w:r>
        <w:rPr>
          <w:rFonts w:hint="eastAsia" w:ascii="宋体" w:hAnsi="宋体" w:eastAsia="宋体" w:cs="Times New Roman"/>
          <w:b/>
          <w:kern w:val="2"/>
          <w:sz w:val="24"/>
          <w:szCs w:val="24"/>
          <w:lang w:val="en-US" w:eastAsia="zh-CN" w:bidi="ar-SA"/>
        </w:rPr>
        <w:t>供应商资格要求</w:t>
      </w:r>
      <w:bookmarkEnd w:id="21"/>
      <w:bookmarkEnd w:id="22"/>
      <w:bookmarkEnd w:id="23"/>
      <w:bookmarkEnd w:id="24"/>
      <w:bookmarkEnd w:id="25"/>
      <w:bookmarkEnd w:id="26"/>
      <w:bookmarkEnd w:id="27"/>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ascii="宋体" w:hAnsi="宋体" w:cs="Times New Roman"/>
          <w:sz w:val="24"/>
          <w:szCs w:val="24"/>
          <w:lang w:val="en-US" w:bidi="ar-SA"/>
        </w:rPr>
        <w:t xml:space="preserve">4.1 </w:t>
      </w:r>
      <w:r>
        <w:rPr>
          <w:rFonts w:hint="eastAsia" w:ascii="宋体" w:hAnsi="宋体" w:cs="Times New Roman"/>
          <w:sz w:val="24"/>
          <w:szCs w:val="24"/>
          <w:lang w:val="en-US" w:bidi="ar-SA"/>
        </w:rPr>
        <w:t>供应商应具备的资质条件、能力和信誉：见磋商须知前附表。</w:t>
      </w:r>
    </w:p>
    <w:p>
      <w:pPr>
        <w:widowControl w:val="0"/>
        <w:autoSpaceDE w:val="0"/>
        <w:autoSpaceDN w:val="0"/>
        <w:adjustRightInd w:val="0"/>
        <w:spacing w:before="0" w:line="440" w:lineRule="exact"/>
        <w:ind w:left="0" w:firstLine="482" w:firstLineChars="200"/>
        <w:jc w:val="both"/>
        <w:outlineLvl w:val="2"/>
        <w:rPr>
          <w:rFonts w:ascii="宋体" w:hAnsi="宋体" w:eastAsia="宋体" w:cs="Times New Roman"/>
          <w:b/>
          <w:kern w:val="2"/>
          <w:sz w:val="24"/>
          <w:szCs w:val="24"/>
          <w:lang w:val="en-US" w:eastAsia="zh-CN" w:bidi="ar-SA"/>
        </w:rPr>
      </w:pPr>
      <w:bookmarkStart w:id="28" w:name="_Toc325103235"/>
      <w:bookmarkStart w:id="29" w:name="_Toc324362195"/>
      <w:bookmarkStart w:id="30" w:name="_Toc152042311"/>
      <w:bookmarkStart w:id="31" w:name="_Toc179632552"/>
      <w:bookmarkStart w:id="32" w:name="_Toc144974503"/>
      <w:bookmarkStart w:id="33" w:name="_Toc324362064"/>
      <w:bookmarkStart w:id="34" w:name="_Toc152045535"/>
      <w:r>
        <w:rPr>
          <w:rFonts w:ascii="宋体" w:hAnsi="宋体" w:eastAsia="宋体" w:cs="Times New Roman"/>
          <w:b/>
          <w:kern w:val="2"/>
          <w:sz w:val="24"/>
          <w:szCs w:val="24"/>
          <w:lang w:val="en-US" w:eastAsia="zh-CN" w:bidi="ar-SA"/>
        </w:rPr>
        <w:t xml:space="preserve">5. </w:t>
      </w:r>
      <w:r>
        <w:rPr>
          <w:rFonts w:hint="eastAsia" w:ascii="宋体" w:hAnsi="宋体" w:eastAsia="宋体" w:cs="Times New Roman"/>
          <w:b/>
          <w:kern w:val="2"/>
          <w:sz w:val="24"/>
          <w:szCs w:val="24"/>
          <w:lang w:val="en-US" w:eastAsia="zh-CN" w:bidi="ar-SA"/>
        </w:rPr>
        <w:t>费用承担</w:t>
      </w:r>
      <w:bookmarkEnd w:id="28"/>
      <w:bookmarkEnd w:id="29"/>
      <w:bookmarkEnd w:id="30"/>
      <w:bookmarkEnd w:id="31"/>
      <w:bookmarkEnd w:id="32"/>
      <w:bookmarkEnd w:id="33"/>
      <w:bookmarkEnd w:id="34"/>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供应商准备和参加投标活动发生的费用自理。</w:t>
      </w:r>
    </w:p>
    <w:p>
      <w:pPr>
        <w:widowControl w:val="0"/>
        <w:autoSpaceDE w:val="0"/>
        <w:autoSpaceDN w:val="0"/>
        <w:adjustRightInd w:val="0"/>
        <w:spacing w:before="0" w:line="440" w:lineRule="exact"/>
        <w:ind w:left="0" w:firstLine="482" w:firstLineChars="200"/>
        <w:jc w:val="both"/>
        <w:outlineLvl w:val="2"/>
        <w:rPr>
          <w:rFonts w:ascii="宋体" w:hAnsi="宋体" w:eastAsia="宋体" w:cs="Times New Roman"/>
          <w:b/>
          <w:kern w:val="2"/>
          <w:sz w:val="24"/>
          <w:szCs w:val="24"/>
          <w:lang w:val="en-US" w:eastAsia="zh-CN" w:bidi="ar-SA"/>
        </w:rPr>
      </w:pPr>
      <w:bookmarkStart w:id="35" w:name="_Toc324362196"/>
      <w:bookmarkStart w:id="36" w:name="_Toc152045536"/>
      <w:bookmarkStart w:id="37" w:name="_Toc179632553"/>
      <w:bookmarkStart w:id="38" w:name="_Toc325103236"/>
      <w:bookmarkStart w:id="39" w:name="_Toc144974504"/>
      <w:bookmarkStart w:id="40" w:name="_Toc152042312"/>
      <w:bookmarkStart w:id="41" w:name="_Toc324362065"/>
      <w:r>
        <w:rPr>
          <w:rFonts w:ascii="宋体" w:hAnsi="宋体" w:eastAsia="宋体" w:cs="Times New Roman"/>
          <w:b/>
          <w:kern w:val="2"/>
          <w:sz w:val="24"/>
          <w:szCs w:val="24"/>
          <w:lang w:val="en-US" w:eastAsia="zh-CN" w:bidi="ar-SA"/>
        </w:rPr>
        <w:t xml:space="preserve">6. </w:t>
      </w:r>
      <w:r>
        <w:rPr>
          <w:rFonts w:hint="eastAsia" w:ascii="宋体" w:hAnsi="宋体" w:eastAsia="宋体" w:cs="Times New Roman"/>
          <w:b/>
          <w:kern w:val="2"/>
          <w:sz w:val="24"/>
          <w:szCs w:val="24"/>
          <w:lang w:val="en-US" w:eastAsia="zh-CN" w:bidi="ar-SA"/>
        </w:rPr>
        <w:t>保密</w:t>
      </w:r>
      <w:bookmarkEnd w:id="35"/>
      <w:bookmarkEnd w:id="36"/>
      <w:bookmarkEnd w:id="37"/>
      <w:bookmarkEnd w:id="38"/>
      <w:bookmarkEnd w:id="39"/>
      <w:bookmarkEnd w:id="40"/>
      <w:bookmarkEnd w:id="41"/>
    </w:p>
    <w:p>
      <w:pPr>
        <w:adjustRightInd w:val="0"/>
        <w:spacing w:line="440" w:lineRule="exact"/>
        <w:ind w:firstLine="480" w:firstLineChars="200"/>
        <w:rPr>
          <w:rFonts w:ascii="宋体" w:hAnsi="宋体" w:cs="Times New Roman"/>
          <w:sz w:val="24"/>
          <w:szCs w:val="24"/>
          <w:lang w:val="en-US" w:bidi="ar-SA"/>
        </w:rPr>
      </w:pPr>
      <w:r>
        <w:rPr>
          <w:rFonts w:hint="eastAsia" w:ascii="宋体" w:hAnsi="宋体" w:cs="Times New Roman"/>
          <w:sz w:val="24"/>
          <w:szCs w:val="24"/>
          <w:lang w:val="en-US" w:bidi="ar-SA"/>
        </w:rPr>
        <w:t>参与招标投标活动的各方应对磋商文件和响应文件中的商业和技术等秘密保密，违者应对由此造成的后果承担法律责任。</w:t>
      </w:r>
    </w:p>
    <w:p>
      <w:pPr>
        <w:widowControl w:val="0"/>
        <w:autoSpaceDE w:val="0"/>
        <w:autoSpaceDN w:val="0"/>
        <w:adjustRightInd w:val="0"/>
        <w:spacing w:before="0" w:line="440" w:lineRule="exact"/>
        <w:ind w:left="0" w:firstLine="482" w:firstLineChars="200"/>
        <w:jc w:val="both"/>
        <w:outlineLvl w:val="2"/>
        <w:rPr>
          <w:rFonts w:ascii="宋体" w:hAnsi="宋体" w:eastAsia="宋体" w:cs="Times New Roman"/>
          <w:b/>
          <w:kern w:val="2"/>
          <w:sz w:val="24"/>
          <w:szCs w:val="24"/>
          <w:lang w:val="en-US" w:eastAsia="zh-CN" w:bidi="ar-SA"/>
        </w:rPr>
      </w:pPr>
      <w:bookmarkStart w:id="42" w:name="_Toc144974505"/>
      <w:bookmarkStart w:id="43" w:name="_Toc179632554"/>
      <w:bookmarkStart w:id="44" w:name="_Toc325103237"/>
      <w:bookmarkStart w:id="45" w:name="_Toc152042313"/>
      <w:bookmarkStart w:id="46" w:name="_Toc324362197"/>
      <w:bookmarkStart w:id="47" w:name="_Toc152045537"/>
      <w:bookmarkStart w:id="48" w:name="_Toc324362066"/>
      <w:r>
        <w:rPr>
          <w:rFonts w:ascii="宋体" w:hAnsi="宋体" w:eastAsia="宋体" w:cs="Times New Roman"/>
          <w:b/>
          <w:kern w:val="2"/>
          <w:sz w:val="24"/>
          <w:szCs w:val="24"/>
          <w:lang w:val="en-US" w:eastAsia="zh-CN" w:bidi="ar-SA"/>
        </w:rPr>
        <w:t xml:space="preserve">7. </w:t>
      </w:r>
      <w:r>
        <w:rPr>
          <w:rFonts w:hint="eastAsia" w:ascii="宋体" w:hAnsi="宋体" w:eastAsia="宋体" w:cs="Times New Roman"/>
          <w:b/>
          <w:kern w:val="2"/>
          <w:sz w:val="24"/>
          <w:szCs w:val="24"/>
          <w:lang w:val="en-US" w:eastAsia="zh-CN" w:bidi="ar-SA"/>
        </w:rPr>
        <w:t>语言</w:t>
      </w:r>
      <w:bookmarkEnd w:id="42"/>
      <w:r>
        <w:rPr>
          <w:rFonts w:hint="eastAsia" w:ascii="宋体" w:hAnsi="宋体" w:eastAsia="宋体" w:cs="Times New Roman"/>
          <w:b/>
          <w:kern w:val="2"/>
          <w:sz w:val="24"/>
          <w:szCs w:val="24"/>
          <w:lang w:val="en-US" w:eastAsia="zh-CN" w:bidi="ar-SA"/>
        </w:rPr>
        <w:t>文字</w:t>
      </w:r>
      <w:bookmarkEnd w:id="43"/>
      <w:bookmarkEnd w:id="44"/>
      <w:bookmarkEnd w:id="45"/>
      <w:bookmarkEnd w:id="46"/>
      <w:bookmarkEnd w:id="47"/>
      <w:bookmarkEnd w:id="48"/>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除专用术语外，与招标投标有关的语言均使用中文。必要时专用术语应附有中文注释。</w:t>
      </w:r>
    </w:p>
    <w:p>
      <w:pPr>
        <w:widowControl w:val="0"/>
        <w:autoSpaceDE w:val="0"/>
        <w:autoSpaceDN w:val="0"/>
        <w:adjustRightInd w:val="0"/>
        <w:spacing w:before="0" w:line="440" w:lineRule="exact"/>
        <w:ind w:left="0" w:firstLine="482" w:firstLineChars="200"/>
        <w:jc w:val="both"/>
        <w:outlineLvl w:val="2"/>
        <w:rPr>
          <w:rFonts w:ascii="宋体" w:hAnsi="宋体" w:eastAsia="宋体" w:cs="Times New Roman"/>
          <w:b/>
          <w:kern w:val="2"/>
          <w:sz w:val="24"/>
          <w:szCs w:val="24"/>
          <w:lang w:val="en-US" w:eastAsia="zh-CN" w:bidi="ar-SA"/>
        </w:rPr>
      </w:pPr>
      <w:bookmarkStart w:id="49" w:name="_Toc325103238"/>
      <w:bookmarkStart w:id="50" w:name="_Toc144974506"/>
      <w:bookmarkStart w:id="51" w:name="_Toc152042314"/>
      <w:bookmarkStart w:id="52" w:name="_Toc324362198"/>
      <w:bookmarkStart w:id="53" w:name="_Toc179632555"/>
      <w:bookmarkStart w:id="54" w:name="_Toc152045538"/>
      <w:bookmarkStart w:id="55" w:name="_Toc324362067"/>
      <w:r>
        <w:rPr>
          <w:rFonts w:ascii="宋体" w:hAnsi="宋体" w:eastAsia="宋体" w:cs="Times New Roman"/>
          <w:b/>
          <w:kern w:val="2"/>
          <w:sz w:val="24"/>
          <w:szCs w:val="24"/>
          <w:lang w:val="en-US" w:eastAsia="zh-CN" w:bidi="ar-SA"/>
        </w:rPr>
        <w:t>8.</w:t>
      </w:r>
      <w:r>
        <w:rPr>
          <w:rFonts w:hint="eastAsia" w:ascii="宋体" w:hAnsi="宋体" w:eastAsia="宋体" w:cs="Times New Roman"/>
          <w:b/>
          <w:kern w:val="2"/>
          <w:sz w:val="24"/>
          <w:szCs w:val="24"/>
          <w:lang w:val="en-US" w:eastAsia="zh-CN" w:bidi="ar-SA"/>
        </w:rPr>
        <w:t>计量单位</w:t>
      </w:r>
      <w:bookmarkEnd w:id="49"/>
      <w:bookmarkEnd w:id="50"/>
      <w:bookmarkEnd w:id="51"/>
      <w:bookmarkEnd w:id="52"/>
      <w:bookmarkEnd w:id="53"/>
      <w:bookmarkEnd w:id="54"/>
      <w:bookmarkEnd w:id="55"/>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所有计量均采用中华人民共和国法定计量单位。</w:t>
      </w:r>
    </w:p>
    <w:p>
      <w:pPr>
        <w:widowControl w:val="0"/>
        <w:autoSpaceDE w:val="0"/>
        <w:autoSpaceDN w:val="0"/>
        <w:adjustRightInd w:val="0"/>
        <w:spacing w:before="0" w:line="440" w:lineRule="exact"/>
        <w:ind w:left="0" w:firstLine="482" w:firstLineChars="200"/>
        <w:jc w:val="both"/>
        <w:outlineLvl w:val="2"/>
        <w:rPr>
          <w:rFonts w:ascii="宋体" w:hAnsi="宋体" w:eastAsia="宋体" w:cs="Times New Roman"/>
          <w:b/>
          <w:kern w:val="2"/>
          <w:sz w:val="24"/>
          <w:szCs w:val="24"/>
          <w:lang w:val="en-US" w:eastAsia="zh-CN" w:bidi="ar-SA"/>
        </w:rPr>
      </w:pPr>
      <w:bookmarkStart w:id="56" w:name="_Toc144974508"/>
      <w:bookmarkStart w:id="57" w:name="_Toc152042316"/>
      <w:bookmarkStart w:id="58" w:name="_Toc152045540"/>
      <w:bookmarkStart w:id="59" w:name="_Toc324362200"/>
      <w:bookmarkStart w:id="60" w:name="_Toc325103240"/>
      <w:bookmarkStart w:id="61" w:name="_Toc324362069"/>
      <w:bookmarkStart w:id="62" w:name="_Toc179632557"/>
      <w:r>
        <w:rPr>
          <w:rFonts w:ascii="宋体" w:hAnsi="宋体" w:eastAsia="宋体" w:cs="Times New Roman"/>
          <w:b/>
          <w:kern w:val="2"/>
          <w:sz w:val="24"/>
          <w:szCs w:val="24"/>
          <w:lang w:val="en-US" w:eastAsia="zh-CN" w:bidi="ar-SA"/>
        </w:rPr>
        <w:t xml:space="preserve">9. </w:t>
      </w:r>
      <w:bookmarkEnd w:id="56"/>
      <w:bookmarkEnd w:id="57"/>
      <w:bookmarkEnd w:id="58"/>
      <w:bookmarkEnd w:id="59"/>
      <w:bookmarkEnd w:id="60"/>
      <w:bookmarkEnd w:id="61"/>
      <w:bookmarkEnd w:id="62"/>
      <w:r>
        <w:rPr>
          <w:rFonts w:hint="eastAsia" w:ascii="宋体" w:hAnsi="宋体" w:eastAsia="宋体" w:cs="Times New Roman"/>
          <w:b/>
          <w:kern w:val="2"/>
          <w:sz w:val="24"/>
          <w:szCs w:val="24"/>
          <w:lang w:val="en-US" w:eastAsia="zh-CN" w:bidi="ar-SA"/>
        </w:rPr>
        <w:t>投标答疑</w:t>
      </w:r>
    </w:p>
    <w:p>
      <w:pPr>
        <w:adjustRightInd w:val="0"/>
        <w:spacing w:line="440" w:lineRule="exact"/>
        <w:ind w:firstLine="480" w:firstLineChars="200"/>
        <w:rPr>
          <w:rFonts w:ascii="Times New Roman" w:hAnsi="Times New Roman" w:eastAsia="Times New Roman" w:cs="Times New Roman"/>
          <w:sz w:val="24"/>
          <w:szCs w:val="24"/>
          <w:lang w:val="en-US" w:bidi="ar-SA"/>
        </w:rPr>
      </w:pPr>
      <w:bookmarkStart w:id="63" w:name="_Toc179632558"/>
      <w:bookmarkStart w:id="64" w:name="_Toc324362201"/>
      <w:bookmarkStart w:id="65" w:name="_Toc324362070"/>
      <w:bookmarkStart w:id="66" w:name="_Toc144974509"/>
      <w:bookmarkStart w:id="67" w:name="_Toc325103241"/>
      <w:bookmarkStart w:id="68" w:name="_Toc152045541"/>
      <w:bookmarkStart w:id="69" w:name="_Toc152042317"/>
      <w:r>
        <w:rPr>
          <w:rFonts w:hint="eastAsia" w:ascii="宋体" w:hAnsi="宋体" w:cs="Times New Roman"/>
          <w:sz w:val="24"/>
          <w:szCs w:val="24"/>
          <w:lang w:val="en-US" w:bidi="ar-SA"/>
        </w:rPr>
        <w:t>供应商应在磋商须知前附表规定的时间前，以书面形式将提出的问题送达采购人，采购人在磋商须知前附表规定的时间内，将对供应商所提问题的澄清，以书面方式通知所有购买磋商文件的供应商。</w:t>
      </w:r>
    </w:p>
    <w:bookmarkEnd w:id="63"/>
    <w:bookmarkEnd w:id="64"/>
    <w:bookmarkEnd w:id="65"/>
    <w:bookmarkEnd w:id="66"/>
    <w:bookmarkEnd w:id="67"/>
    <w:bookmarkEnd w:id="68"/>
    <w:bookmarkEnd w:id="69"/>
    <w:p>
      <w:pPr>
        <w:widowControl w:val="0"/>
        <w:kinsoku w:val="0"/>
        <w:overflowPunct w:val="0"/>
        <w:autoSpaceDE w:val="0"/>
        <w:autoSpaceDN w:val="0"/>
        <w:adjustRightInd w:val="0"/>
        <w:spacing w:before="57" w:line="440" w:lineRule="exact"/>
        <w:ind w:left="591"/>
        <w:rPr>
          <w:rFonts w:ascii="宋体" w:hAnsi="宋体" w:eastAsia="Times New Roman" w:cs="Times New Roman"/>
          <w:b/>
          <w:sz w:val="24"/>
          <w:szCs w:val="24"/>
          <w:lang w:val="en-US" w:eastAsia="zh-CN" w:bidi="ar-SA"/>
        </w:rPr>
      </w:pPr>
      <w:r>
        <w:rPr>
          <w:rFonts w:ascii="宋体" w:hAnsi="宋体" w:eastAsia="宋体" w:cs="Times New Roman"/>
          <w:b/>
          <w:sz w:val="24"/>
          <w:szCs w:val="24"/>
          <w:lang w:val="en-US" w:eastAsia="zh-CN" w:bidi="ar-SA"/>
        </w:rPr>
        <w:t>10</w:t>
      </w:r>
      <w:r>
        <w:rPr>
          <w:rFonts w:hint="eastAsia" w:ascii="宋体" w:hAnsi="宋体" w:eastAsia="宋体" w:cs="Times New Roman"/>
          <w:b/>
          <w:sz w:val="24"/>
          <w:szCs w:val="24"/>
          <w:lang w:val="en-US" w:eastAsia="zh-CN" w:bidi="ar-SA"/>
        </w:rPr>
        <w:t>、踏勘现场</w:t>
      </w:r>
    </w:p>
    <w:p>
      <w:pPr>
        <w:pStyle w:val="10"/>
        <w:kinsoku w:val="0"/>
        <w:overflowPunct w:val="0"/>
        <w:spacing w:line="440" w:lineRule="exact"/>
        <w:ind w:left="111" w:right="110" w:firstLine="480"/>
        <w:rPr>
          <w:rFonts w:ascii="宋体" w:hAnsi="宋体" w:eastAsia="Times New Roman" w:cs="Times New Roman"/>
          <w:spacing w:val="-4"/>
          <w:sz w:val="24"/>
          <w:szCs w:val="24"/>
          <w:lang w:val="en-US" w:eastAsia="zh-CN" w:bidi="ar-SA"/>
        </w:rPr>
      </w:pPr>
      <w:r>
        <w:rPr>
          <w:rFonts w:ascii="宋体" w:hAnsi="宋体" w:eastAsia="宋体" w:cs="Times New Roman"/>
          <w:sz w:val="24"/>
          <w:szCs w:val="24"/>
          <w:lang w:val="en-US" w:eastAsia="zh-CN" w:bidi="ar-SA"/>
        </w:rPr>
        <w:t>10.1</w:t>
      </w:r>
      <w:r>
        <w:rPr>
          <w:rFonts w:hint="eastAsia" w:ascii="宋体" w:hAnsi="宋体" w:eastAsia="宋体" w:cs="Times New Roman"/>
          <w:sz w:val="24"/>
          <w:szCs w:val="24"/>
          <w:lang w:val="en-US" w:eastAsia="zh-CN" w:bidi="ar-SA"/>
        </w:rPr>
        <w:t xml:space="preserve"> </w:t>
      </w:r>
      <w:r>
        <w:rPr>
          <w:rFonts w:hint="eastAsia"/>
        </w:rPr>
        <w:t>各投标供应商应认真踏勘施工现场，了解工程建设地点的地形位置，材料运输储存条件，掌握有关可能影响投标报价的因素和情况，投标人一旦中标后不得以不完全了解现场情况为借口而增加造价和延长工期。</w:t>
      </w:r>
    </w:p>
    <w:p>
      <w:pPr>
        <w:widowControl w:val="0"/>
        <w:kinsoku w:val="0"/>
        <w:overflowPunct w:val="0"/>
        <w:autoSpaceDE w:val="0"/>
        <w:autoSpaceDN w:val="0"/>
        <w:adjustRightInd w:val="0"/>
        <w:spacing w:before="60" w:line="440" w:lineRule="exact"/>
        <w:ind w:left="111" w:right="110" w:firstLine="480"/>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10.2</w:t>
      </w:r>
      <w:r>
        <w:rPr>
          <w:rFonts w:hint="eastAsia" w:ascii="宋体" w:hAnsi="宋体" w:eastAsia="宋体" w:cs="Times New Roman"/>
          <w:sz w:val="24"/>
          <w:szCs w:val="24"/>
          <w:lang w:val="en-US" w:eastAsia="zh-CN" w:bidi="ar-SA"/>
        </w:rPr>
        <w:t xml:space="preserve"> 采购人向供应商提供的有关现场的数据和资料，是采购人现有的能被供应商利用的资料，采购人对供应商做出的任何推论、理解和结论均不负责任。</w:t>
      </w:r>
    </w:p>
    <w:p>
      <w:pPr>
        <w:widowControl w:val="0"/>
        <w:kinsoku w:val="0"/>
        <w:overflowPunct w:val="0"/>
        <w:autoSpaceDE w:val="0"/>
        <w:autoSpaceDN w:val="0"/>
        <w:adjustRightInd w:val="0"/>
        <w:spacing w:before="57" w:line="440" w:lineRule="exact"/>
        <w:ind w:left="111" w:right="110" w:firstLine="480"/>
        <w:rPr>
          <w:rFonts w:ascii="宋体" w:hAnsi="宋体" w:eastAsia="Times New Roman" w:cs="Times New Roman"/>
          <w:b/>
          <w:sz w:val="24"/>
          <w:szCs w:val="24"/>
          <w:lang w:val="en-US" w:eastAsia="zh-CN" w:bidi="ar-SA"/>
        </w:rPr>
      </w:pPr>
      <w:r>
        <w:rPr>
          <w:rFonts w:ascii="宋体" w:hAnsi="宋体" w:eastAsia="宋体" w:cs="Times New Roman"/>
          <w:sz w:val="24"/>
          <w:szCs w:val="24"/>
          <w:lang w:val="en-US" w:eastAsia="zh-CN" w:bidi="ar-SA"/>
        </w:rPr>
        <w:t>10.3</w:t>
      </w:r>
      <w:r>
        <w:rPr>
          <w:rFonts w:hint="eastAsia" w:ascii="宋体" w:hAnsi="宋体" w:eastAsia="宋体" w:cs="Times New Roman"/>
          <w:sz w:val="24"/>
          <w:szCs w:val="24"/>
          <w:lang w:val="en-US" w:eastAsia="zh-CN" w:bidi="ar-SA"/>
        </w:rPr>
        <w:t xml:space="preserve"> 经采购人允许，供应商可为踏勘目的进入采购人的项目现场，但供应商不得因此使采购人承担有关的责任和蒙受损失。供应商应承担踏勘现场的责任和风险。</w:t>
      </w:r>
    </w:p>
    <w:p>
      <w:pPr>
        <w:widowControl w:val="0"/>
        <w:kinsoku w:val="0"/>
        <w:overflowPunct w:val="0"/>
        <w:autoSpaceDE w:val="0"/>
        <w:autoSpaceDN w:val="0"/>
        <w:adjustRightInd w:val="0"/>
        <w:spacing w:before="178"/>
        <w:ind w:left="0" w:right="59"/>
        <w:jc w:val="center"/>
        <w:rPr>
          <w:rFonts w:ascii="宋体" w:hAnsi="宋体" w:eastAsia="Times New Roman" w:cs="Times New Roman"/>
          <w:b/>
          <w:sz w:val="24"/>
          <w:szCs w:val="24"/>
          <w:lang w:val="en-US" w:eastAsia="zh-CN" w:bidi="ar-SA"/>
        </w:rPr>
      </w:pPr>
    </w:p>
    <w:p>
      <w:pPr>
        <w:widowControl w:val="0"/>
        <w:kinsoku w:val="0"/>
        <w:overflowPunct w:val="0"/>
        <w:autoSpaceDE w:val="0"/>
        <w:autoSpaceDN w:val="0"/>
        <w:adjustRightInd w:val="0"/>
        <w:spacing w:before="178"/>
        <w:ind w:left="0" w:right="59"/>
        <w:jc w:val="center"/>
        <w:rPr>
          <w:rFonts w:ascii="宋体" w:hAnsi="宋体" w:eastAsia="Times New Roman" w:cs="Times New Roman"/>
          <w:sz w:val="24"/>
          <w:szCs w:val="24"/>
          <w:lang w:val="en-US" w:eastAsia="zh-CN" w:bidi="ar-SA"/>
        </w:rPr>
      </w:pPr>
      <w:r>
        <w:rPr>
          <w:rFonts w:hint="eastAsia" w:ascii="宋体" w:hAnsi="宋体" w:eastAsia="宋体" w:cs="Times New Roman"/>
          <w:b/>
          <w:sz w:val="24"/>
          <w:szCs w:val="24"/>
          <w:lang w:val="en-US" w:eastAsia="zh-CN" w:bidi="ar-SA"/>
        </w:rPr>
        <w:t>（二）磋商文件</w:t>
      </w:r>
    </w:p>
    <w:p>
      <w:pPr>
        <w:widowControl w:val="0"/>
        <w:kinsoku w:val="0"/>
        <w:overflowPunct w:val="0"/>
        <w:autoSpaceDE w:val="0"/>
        <w:autoSpaceDN w:val="0"/>
        <w:adjustRightInd w:val="0"/>
        <w:spacing w:before="10"/>
        <w:ind w:left="0"/>
        <w:rPr>
          <w:rFonts w:ascii="宋体" w:hAnsi="宋体" w:eastAsia="Times New Roman" w:cs="Times New Roman"/>
          <w:b/>
          <w:sz w:val="18"/>
          <w:szCs w:val="24"/>
          <w:lang w:val="en-US" w:eastAsia="zh-CN" w:bidi="ar-SA"/>
        </w:rPr>
      </w:pPr>
    </w:p>
    <w:p>
      <w:pPr>
        <w:widowControl w:val="0"/>
        <w:kinsoku w:val="0"/>
        <w:overflowPunct w:val="0"/>
        <w:autoSpaceDE w:val="0"/>
        <w:autoSpaceDN w:val="0"/>
        <w:adjustRightInd w:val="0"/>
        <w:spacing w:line="440" w:lineRule="exact"/>
        <w:ind w:left="591"/>
        <w:rPr>
          <w:rFonts w:ascii="宋体" w:hAnsi="宋体" w:eastAsia="Times New Roman" w:cs="Times New Roman"/>
          <w:b/>
          <w:sz w:val="24"/>
          <w:szCs w:val="24"/>
          <w:lang w:val="en-US" w:eastAsia="zh-CN" w:bidi="ar-SA"/>
        </w:rPr>
      </w:pPr>
      <w:r>
        <w:rPr>
          <w:rFonts w:ascii="宋体" w:hAnsi="宋体" w:eastAsia="宋体" w:cs="Times New Roman"/>
          <w:b/>
          <w:sz w:val="24"/>
          <w:szCs w:val="24"/>
          <w:lang w:val="en-US" w:eastAsia="zh-CN" w:bidi="ar-SA"/>
        </w:rPr>
        <w:t>11</w:t>
      </w:r>
      <w:r>
        <w:rPr>
          <w:rFonts w:hint="eastAsia" w:ascii="宋体" w:hAnsi="宋体" w:eastAsia="宋体" w:cs="Times New Roman"/>
          <w:b/>
          <w:sz w:val="24"/>
          <w:szCs w:val="24"/>
          <w:lang w:val="en-US" w:eastAsia="zh-CN" w:bidi="ar-SA"/>
        </w:rPr>
        <w:t>、磋商文件的组成</w:t>
      </w:r>
    </w:p>
    <w:p>
      <w:pPr>
        <w:widowControl w:val="0"/>
        <w:kinsoku w:val="0"/>
        <w:overflowPunct w:val="0"/>
        <w:autoSpaceDE w:val="0"/>
        <w:autoSpaceDN w:val="0"/>
        <w:adjustRightInd w:val="0"/>
        <w:spacing w:line="440" w:lineRule="exact"/>
        <w:ind w:left="591" w:right="4672"/>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11.1</w:t>
      </w:r>
      <w:r>
        <w:rPr>
          <w:rFonts w:hint="eastAsia" w:ascii="宋体" w:hAnsi="宋体" w:eastAsia="宋体" w:cs="Times New Roman"/>
          <w:sz w:val="24"/>
          <w:szCs w:val="24"/>
          <w:lang w:val="en-US" w:eastAsia="zh-CN" w:bidi="ar-SA"/>
        </w:rPr>
        <w:t>磋商文件包括下列内容：</w:t>
      </w:r>
    </w:p>
    <w:p>
      <w:pPr>
        <w:widowControl w:val="0"/>
        <w:kinsoku w:val="0"/>
        <w:overflowPunct w:val="0"/>
        <w:autoSpaceDE w:val="0"/>
        <w:autoSpaceDN w:val="0"/>
        <w:adjustRightInd w:val="0"/>
        <w:spacing w:before="60" w:line="440" w:lineRule="exact"/>
        <w:ind w:left="111" w:right="110" w:firstLine="480"/>
        <w:rPr>
          <w:rFonts w:ascii="宋体" w:hAnsi="宋体" w:eastAsia="Times New Roman" w:cs="Times New Roman"/>
          <w:sz w:val="24"/>
          <w:szCs w:val="24"/>
          <w:lang w:val="en-US" w:eastAsia="zh-CN" w:bidi="ar-SA"/>
        </w:rPr>
      </w:pPr>
      <w:r>
        <w:rPr>
          <w:rFonts w:hint="eastAsia" w:ascii="宋体" w:hAnsi="宋体" w:eastAsia="宋体" w:cs="Times New Roman"/>
          <w:sz w:val="24"/>
          <w:szCs w:val="24"/>
          <w:lang w:val="en-US" w:eastAsia="zh-CN" w:bidi="ar-SA"/>
        </w:rPr>
        <w:t>竞争性磋商公告</w:t>
      </w:r>
    </w:p>
    <w:p>
      <w:pPr>
        <w:widowControl w:val="0"/>
        <w:numPr>
          <w:ilvl w:val="0"/>
          <w:numId w:val="3"/>
        </w:numPr>
        <w:kinsoku w:val="0"/>
        <w:overflowPunct w:val="0"/>
        <w:autoSpaceDE w:val="0"/>
        <w:autoSpaceDN w:val="0"/>
        <w:adjustRightInd w:val="0"/>
        <w:spacing w:before="60" w:line="440" w:lineRule="exact"/>
        <w:ind w:left="111" w:right="110" w:firstLine="480"/>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磋商须知前附表及磋商须知</w:t>
      </w:r>
    </w:p>
    <w:p>
      <w:pPr>
        <w:widowControl w:val="0"/>
        <w:numPr>
          <w:ilvl w:val="0"/>
          <w:numId w:val="3"/>
        </w:numPr>
        <w:kinsoku w:val="0"/>
        <w:overflowPunct w:val="0"/>
        <w:autoSpaceDE w:val="0"/>
        <w:autoSpaceDN w:val="0"/>
        <w:adjustRightInd w:val="0"/>
        <w:spacing w:before="60" w:line="440" w:lineRule="exact"/>
        <w:ind w:left="111" w:right="110" w:firstLine="480"/>
        <w:rPr>
          <w:rFonts w:ascii="宋体" w:hAnsi="宋体" w:eastAsia="Times New Roman" w:cs="Times New Roman"/>
          <w:sz w:val="24"/>
          <w:szCs w:val="24"/>
          <w:lang w:val="en-US" w:eastAsia="zh-CN" w:bidi="ar-SA"/>
        </w:rPr>
      </w:pPr>
      <w:r>
        <w:rPr>
          <w:rFonts w:hint="eastAsia" w:ascii="宋体" w:hAnsi="宋体" w:eastAsia="宋体" w:cs="Times New Roman"/>
          <w:sz w:val="24"/>
          <w:szCs w:val="24"/>
          <w:lang w:val="en-US" w:eastAsia="zh-CN" w:bidi="ar-SA"/>
        </w:rPr>
        <w:t>合同</w:t>
      </w:r>
      <w:r>
        <w:rPr>
          <w:rFonts w:hint="eastAsia" w:cs="Times New Roman"/>
          <w:sz w:val="24"/>
          <w:szCs w:val="24"/>
          <w:lang w:val="en-US" w:eastAsia="zh-CN" w:bidi="ar-SA"/>
        </w:rPr>
        <w:t>条款及</w:t>
      </w:r>
      <w:r>
        <w:rPr>
          <w:rFonts w:hint="eastAsia" w:ascii="宋体" w:hAnsi="宋体" w:eastAsia="宋体" w:cs="Times New Roman"/>
          <w:sz w:val="24"/>
          <w:szCs w:val="24"/>
          <w:lang w:val="en-US" w:eastAsia="zh-CN" w:bidi="ar-SA"/>
        </w:rPr>
        <w:t>格式</w:t>
      </w:r>
    </w:p>
    <w:p>
      <w:pPr>
        <w:widowControl w:val="0"/>
        <w:kinsoku w:val="0"/>
        <w:overflowPunct w:val="0"/>
        <w:autoSpaceDE w:val="0"/>
        <w:autoSpaceDN w:val="0"/>
        <w:adjustRightInd w:val="0"/>
        <w:spacing w:before="60" w:line="440" w:lineRule="exact"/>
        <w:ind w:left="111" w:right="110" w:firstLine="480"/>
        <w:rPr>
          <w:rFonts w:ascii="宋体" w:hAnsi="宋体" w:eastAsia="Times New Roman" w:cs="Times New Roman"/>
          <w:sz w:val="24"/>
          <w:szCs w:val="24"/>
          <w:lang w:val="en-US" w:eastAsia="zh-CN" w:bidi="ar-SA"/>
        </w:rPr>
      </w:pPr>
      <w:r>
        <w:rPr>
          <w:rFonts w:hint="eastAsia" w:ascii="宋体" w:hAnsi="宋体" w:eastAsia="宋体" w:cs="Times New Roman"/>
          <w:sz w:val="24"/>
          <w:szCs w:val="24"/>
          <w:lang w:val="en-US" w:eastAsia="zh-CN" w:bidi="ar-SA"/>
        </w:rPr>
        <w:t>第三章</w:t>
      </w:r>
      <w:r>
        <w:rPr>
          <w:rFonts w:ascii="宋体" w:hAnsi="宋体" w:eastAsia="Times New Roman" w:cs="Times New Roman"/>
          <w:sz w:val="24"/>
          <w:szCs w:val="24"/>
          <w:lang w:val="en-US" w:eastAsia="zh-CN" w:bidi="ar-SA"/>
        </w:rPr>
        <w:tab/>
      </w:r>
      <w:r>
        <w:rPr>
          <w:rFonts w:hint="eastAsia" w:cs="Times New Roman"/>
          <w:sz w:val="24"/>
          <w:szCs w:val="24"/>
          <w:lang w:val="en-US" w:eastAsia="zh-CN" w:bidi="ar-SA"/>
        </w:rPr>
        <w:t>工程量清单</w:t>
      </w:r>
    </w:p>
    <w:p>
      <w:pPr>
        <w:widowControl w:val="0"/>
        <w:kinsoku w:val="0"/>
        <w:overflowPunct w:val="0"/>
        <w:autoSpaceDE w:val="0"/>
        <w:autoSpaceDN w:val="0"/>
        <w:adjustRightInd w:val="0"/>
        <w:spacing w:before="60" w:line="440" w:lineRule="exact"/>
        <w:ind w:left="111" w:right="110" w:firstLine="480"/>
        <w:rPr>
          <w:rFonts w:ascii="宋体" w:hAnsi="宋体" w:eastAsia="Times New Roman" w:cs="Times New Roman"/>
          <w:sz w:val="24"/>
          <w:szCs w:val="24"/>
          <w:lang w:val="en-US" w:eastAsia="zh-CN" w:bidi="ar-SA"/>
        </w:rPr>
      </w:pPr>
      <w:r>
        <w:rPr>
          <w:rFonts w:hint="eastAsia" w:ascii="宋体" w:hAnsi="宋体" w:eastAsia="宋体" w:cs="Times New Roman"/>
          <w:sz w:val="24"/>
          <w:szCs w:val="24"/>
          <w:lang w:val="en-US" w:eastAsia="zh-CN" w:bidi="ar-SA"/>
        </w:rPr>
        <w:t>第四章</w:t>
      </w:r>
      <w:r>
        <w:rPr>
          <w:rFonts w:ascii="宋体" w:hAnsi="宋体" w:eastAsia="Times New Roman" w:cs="Times New Roman"/>
          <w:sz w:val="24"/>
          <w:szCs w:val="24"/>
          <w:lang w:val="en-US" w:eastAsia="zh-CN" w:bidi="ar-SA"/>
        </w:rPr>
        <w:tab/>
      </w:r>
      <w:r>
        <w:rPr>
          <w:rFonts w:hint="eastAsia" w:cs="Times New Roman"/>
          <w:sz w:val="24"/>
          <w:szCs w:val="24"/>
          <w:lang w:val="en-US" w:eastAsia="zh-CN" w:bidi="ar-SA"/>
        </w:rPr>
        <w:t>图纸（另卷）</w:t>
      </w:r>
    </w:p>
    <w:p>
      <w:pPr>
        <w:widowControl w:val="0"/>
        <w:kinsoku w:val="0"/>
        <w:overflowPunct w:val="0"/>
        <w:autoSpaceDE w:val="0"/>
        <w:autoSpaceDN w:val="0"/>
        <w:adjustRightInd w:val="0"/>
        <w:spacing w:before="60" w:line="440" w:lineRule="exact"/>
        <w:ind w:left="111" w:right="110" w:firstLine="480"/>
        <w:rPr>
          <w:rFonts w:hint="eastAsia" w:eastAsia="Times New Roman" w:cs="Times New Roman"/>
          <w:sz w:val="24"/>
          <w:szCs w:val="24"/>
          <w:lang w:val="en-US" w:eastAsia="zh-CN" w:bidi="ar-SA"/>
        </w:rPr>
      </w:pPr>
      <w:r>
        <w:rPr>
          <w:rFonts w:hint="eastAsia" w:ascii="宋体" w:hAnsi="宋体" w:eastAsia="宋体" w:cs="Times New Roman"/>
          <w:sz w:val="24"/>
          <w:szCs w:val="24"/>
          <w:lang w:val="en-US" w:eastAsia="zh-CN" w:bidi="ar-SA"/>
        </w:rPr>
        <w:t>第五章</w:t>
      </w:r>
      <w:r>
        <w:rPr>
          <w:rFonts w:ascii="宋体" w:hAnsi="宋体" w:eastAsia="Times New Roman" w:cs="Times New Roman"/>
          <w:sz w:val="24"/>
          <w:szCs w:val="24"/>
          <w:lang w:val="en-US" w:eastAsia="zh-CN" w:bidi="ar-SA"/>
        </w:rPr>
        <w:tab/>
      </w:r>
      <w:r>
        <w:rPr>
          <w:rFonts w:hint="eastAsia" w:eastAsia="Times New Roman" w:cs="Times New Roman"/>
          <w:sz w:val="24"/>
          <w:szCs w:val="24"/>
          <w:lang w:val="en-US" w:eastAsia="zh-CN" w:bidi="ar-SA"/>
        </w:rPr>
        <w:t>技术规范</w:t>
      </w:r>
    </w:p>
    <w:p>
      <w:pPr>
        <w:widowControl w:val="0"/>
        <w:kinsoku w:val="0"/>
        <w:overflowPunct w:val="0"/>
        <w:autoSpaceDE w:val="0"/>
        <w:autoSpaceDN w:val="0"/>
        <w:adjustRightInd w:val="0"/>
        <w:spacing w:before="60" w:line="440" w:lineRule="exact"/>
        <w:ind w:left="111" w:right="110" w:firstLine="480"/>
        <w:rPr>
          <w:rFonts w:hint="eastAsia" w:cs="Times New Roman"/>
          <w:sz w:val="24"/>
          <w:szCs w:val="24"/>
          <w:lang w:val="en-US" w:eastAsia="zh-CN" w:bidi="ar-SA"/>
        </w:rPr>
      </w:pPr>
      <w:r>
        <w:rPr>
          <w:rFonts w:hint="eastAsia" w:ascii="宋体" w:hAnsi="宋体" w:eastAsia="宋体" w:cs="Times New Roman"/>
          <w:sz w:val="24"/>
          <w:szCs w:val="24"/>
          <w:lang w:val="en-US" w:eastAsia="zh-CN" w:bidi="ar-SA"/>
        </w:rPr>
        <w:t xml:space="preserve">第六章 </w:t>
      </w:r>
      <w:r>
        <w:rPr>
          <w:rFonts w:hint="eastAsia" w:cs="Times New Roman"/>
          <w:sz w:val="24"/>
          <w:szCs w:val="24"/>
          <w:lang w:val="en-US" w:eastAsia="zh-CN" w:bidi="ar-SA"/>
        </w:rPr>
        <w:t xml:space="preserve">  工程量清单计量规则</w:t>
      </w:r>
    </w:p>
    <w:p>
      <w:pPr>
        <w:widowControl w:val="0"/>
        <w:kinsoku w:val="0"/>
        <w:overflowPunct w:val="0"/>
        <w:autoSpaceDE w:val="0"/>
        <w:autoSpaceDN w:val="0"/>
        <w:adjustRightInd w:val="0"/>
        <w:spacing w:before="60" w:line="440" w:lineRule="exact"/>
        <w:ind w:left="111" w:right="110" w:firstLine="480"/>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第</w:t>
      </w:r>
      <w:r>
        <w:rPr>
          <w:rFonts w:hint="eastAsia" w:cs="Times New Roman"/>
          <w:sz w:val="24"/>
          <w:szCs w:val="24"/>
          <w:lang w:val="en-US" w:eastAsia="zh-CN" w:bidi="ar-SA"/>
        </w:rPr>
        <w:t>七</w:t>
      </w:r>
      <w:r>
        <w:rPr>
          <w:rFonts w:hint="eastAsia" w:ascii="宋体" w:hAnsi="宋体" w:eastAsia="宋体" w:cs="Times New Roman"/>
          <w:sz w:val="24"/>
          <w:szCs w:val="24"/>
          <w:lang w:val="en-US" w:eastAsia="zh-CN" w:bidi="ar-SA"/>
        </w:rPr>
        <w:t xml:space="preserve">章 </w:t>
      </w:r>
      <w:r>
        <w:rPr>
          <w:rFonts w:hint="eastAsia" w:cs="Times New Roman"/>
          <w:sz w:val="24"/>
          <w:szCs w:val="24"/>
          <w:lang w:val="en-US" w:eastAsia="zh-CN" w:bidi="ar-SA"/>
        </w:rPr>
        <w:t xml:space="preserve">  </w:t>
      </w:r>
      <w:r>
        <w:rPr>
          <w:rFonts w:hint="eastAsia" w:ascii="宋体" w:hAnsi="宋体" w:eastAsia="宋体" w:cs="Times New Roman"/>
          <w:sz w:val="24"/>
          <w:szCs w:val="24"/>
          <w:lang w:val="en-US" w:eastAsia="zh-CN" w:bidi="ar-SA"/>
        </w:rPr>
        <w:t>响应文件格式</w:t>
      </w:r>
    </w:p>
    <w:p>
      <w:pPr>
        <w:widowControl w:val="0"/>
        <w:kinsoku w:val="0"/>
        <w:overflowPunct w:val="0"/>
        <w:autoSpaceDE w:val="0"/>
        <w:autoSpaceDN w:val="0"/>
        <w:adjustRightInd w:val="0"/>
        <w:spacing w:before="60" w:line="440" w:lineRule="exact"/>
        <w:ind w:left="111" w:right="110" w:firstLine="480"/>
        <w:rPr>
          <w:rFonts w:ascii="宋体" w:hAnsi="宋体" w:eastAsia="Times New Roman" w:cs="Times New Roman"/>
          <w:sz w:val="24"/>
          <w:szCs w:val="24"/>
          <w:lang w:val="en-US" w:eastAsia="zh-CN" w:bidi="ar-SA"/>
        </w:rPr>
      </w:pPr>
      <w:r>
        <w:rPr>
          <w:rFonts w:hint="eastAsia" w:ascii="宋体" w:hAnsi="宋体" w:eastAsia="宋体" w:cs="Times New Roman"/>
          <w:sz w:val="24"/>
          <w:szCs w:val="24"/>
          <w:lang w:val="en-US" w:eastAsia="zh-CN" w:bidi="ar-SA"/>
        </w:rPr>
        <w:t>第</w:t>
      </w:r>
      <w:r>
        <w:rPr>
          <w:rFonts w:hint="eastAsia" w:cs="Times New Roman"/>
          <w:sz w:val="24"/>
          <w:szCs w:val="24"/>
          <w:lang w:val="en-US" w:eastAsia="zh-CN" w:bidi="ar-SA"/>
        </w:rPr>
        <w:t>八</w:t>
      </w:r>
      <w:r>
        <w:rPr>
          <w:rFonts w:hint="eastAsia" w:ascii="宋体" w:hAnsi="宋体" w:eastAsia="宋体" w:cs="Times New Roman"/>
          <w:sz w:val="24"/>
          <w:szCs w:val="24"/>
          <w:lang w:val="en-US" w:eastAsia="zh-CN" w:bidi="ar-SA"/>
        </w:rPr>
        <w:t xml:space="preserve">章 </w:t>
      </w:r>
      <w:r>
        <w:rPr>
          <w:rFonts w:hint="eastAsia" w:cs="Times New Roman"/>
          <w:sz w:val="24"/>
          <w:szCs w:val="24"/>
          <w:lang w:val="en-US" w:eastAsia="zh-CN" w:bidi="ar-SA"/>
        </w:rPr>
        <w:t xml:space="preserve">  </w:t>
      </w:r>
      <w:r>
        <w:rPr>
          <w:rFonts w:hint="eastAsia" w:ascii="宋体" w:hAnsi="宋体" w:eastAsia="宋体" w:cs="Times New Roman"/>
          <w:sz w:val="24"/>
          <w:szCs w:val="24"/>
          <w:lang w:val="en-US" w:eastAsia="zh-CN" w:bidi="ar-SA"/>
        </w:rPr>
        <w:t>评审方法及标准</w:t>
      </w:r>
    </w:p>
    <w:p>
      <w:pPr>
        <w:widowControl w:val="0"/>
        <w:kinsoku w:val="0"/>
        <w:overflowPunct w:val="0"/>
        <w:autoSpaceDE w:val="0"/>
        <w:autoSpaceDN w:val="0"/>
        <w:adjustRightInd w:val="0"/>
        <w:spacing w:before="57" w:line="440" w:lineRule="exact"/>
        <w:ind w:left="0" w:firstLine="600" w:firstLineChars="250"/>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供应商应详细阅读采购文件中的所有条款内容、格式、表格和所涉及的相关规范。如果供应商不按磋商文件的要求提交响应性文件和资料的，或者响应性文件没有对磋商文件提出的实质性要求和条件作出响应，将导致响应性文件不被接受，其后果由供应商自己负责。</w:t>
      </w:r>
    </w:p>
    <w:p>
      <w:pPr>
        <w:widowControl w:val="0"/>
        <w:kinsoku w:val="0"/>
        <w:overflowPunct w:val="0"/>
        <w:autoSpaceDE w:val="0"/>
        <w:autoSpaceDN w:val="0"/>
        <w:adjustRightInd w:val="0"/>
        <w:spacing w:line="440" w:lineRule="exact"/>
        <w:ind w:left="591" w:right="112"/>
        <w:jc w:val="both"/>
        <w:rPr>
          <w:rFonts w:ascii="宋体" w:hAnsi="宋体" w:eastAsia="Times New Roman" w:cs="Times New Roman"/>
          <w:sz w:val="24"/>
          <w:szCs w:val="24"/>
          <w:lang w:val="en-US" w:eastAsia="zh-CN" w:bidi="ar-SA"/>
        </w:rPr>
      </w:pPr>
      <w:r>
        <w:rPr>
          <w:rFonts w:ascii="宋体" w:hAnsi="宋体" w:eastAsia="宋体" w:cs="Times New Roman"/>
          <w:b/>
          <w:sz w:val="24"/>
          <w:szCs w:val="24"/>
          <w:lang w:val="en-US" w:eastAsia="zh-CN" w:bidi="ar-SA"/>
        </w:rPr>
        <w:t>12</w:t>
      </w:r>
      <w:r>
        <w:rPr>
          <w:rFonts w:hint="eastAsia" w:ascii="宋体" w:hAnsi="宋体" w:eastAsia="宋体" w:cs="Times New Roman"/>
          <w:b/>
          <w:sz w:val="24"/>
          <w:szCs w:val="24"/>
          <w:lang w:val="en-US" w:eastAsia="zh-CN" w:bidi="ar-SA"/>
        </w:rPr>
        <w:t>、磋商文件的澄清</w:t>
      </w:r>
    </w:p>
    <w:p>
      <w:pPr>
        <w:widowControl w:val="0"/>
        <w:kinsoku w:val="0"/>
        <w:overflowPunct w:val="0"/>
        <w:autoSpaceDE w:val="0"/>
        <w:autoSpaceDN w:val="0"/>
        <w:adjustRightInd w:val="0"/>
        <w:spacing w:before="57" w:line="440" w:lineRule="exact"/>
        <w:ind w:left="0" w:firstLine="600" w:firstLineChars="250"/>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 xml:space="preserve">12.1 </w:t>
      </w:r>
      <w:r>
        <w:rPr>
          <w:rFonts w:hint="eastAsia" w:ascii="宋体" w:hAnsi="宋体" w:eastAsia="宋体" w:cs="Times New Roman"/>
          <w:sz w:val="24"/>
          <w:szCs w:val="24"/>
          <w:lang w:val="en-US" w:eastAsia="zh-CN" w:bidi="ar-SA"/>
        </w:rPr>
        <w:t>若磋商供应商对采购文件有疑点或异议，可在知道或应知其权益受到损害之日起</w:t>
      </w:r>
      <w:r>
        <w:rPr>
          <w:rFonts w:ascii="宋体" w:hAnsi="宋体" w:eastAsia="宋体" w:cs="Times New Roman"/>
          <w:sz w:val="24"/>
          <w:szCs w:val="24"/>
          <w:lang w:val="en-US" w:eastAsia="zh-CN" w:bidi="ar-SA"/>
        </w:rPr>
        <w:t xml:space="preserve"> 7 </w:t>
      </w:r>
      <w:r>
        <w:rPr>
          <w:rFonts w:hint="eastAsia" w:ascii="宋体" w:hAnsi="宋体" w:eastAsia="宋体" w:cs="Times New Roman"/>
          <w:sz w:val="24"/>
          <w:szCs w:val="24"/>
          <w:lang w:val="en-US" w:eastAsia="zh-CN" w:bidi="ar-SA"/>
        </w:rPr>
        <w:t>个工作日内，将质疑书原件送达采购人或采购代理机构，采购人将视情况确定采用适当方式予以澄清或以书面形式予以答复。</w:t>
      </w:r>
    </w:p>
    <w:p>
      <w:pPr>
        <w:widowControl w:val="0"/>
        <w:kinsoku w:val="0"/>
        <w:overflowPunct w:val="0"/>
        <w:autoSpaceDE w:val="0"/>
        <w:autoSpaceDN w:val="0"/>
        <w:adjustRightInd w:val="0"/>
        <w:spacing w:before="57" w:line="440" w:lineRule="exact"/>
        <w:ind w:left="0" w:firstLine="600" w:firstLineChars="250"/>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 xml:space="preserve">12.2 </w:t>
      </w:r>
      <w:r>
        <w:rPr>
          <w:rFonts w:hint="eastAsia" w:ascii="宋体" w:hAnsi="宋体" w:eastAsia="宋体" w:cs="Times New Roman"/>
          <w:sz w:val="24"/>
          <w:szCs w:val="24"/>
          <w:lang w:val="en-US" w:eastAsia="zh-CN" w:bidi="ar-SA"/>
        </w:rPr>
        <w:t>在首次提交响应文件截止时间前，采购代理机构可以对采购文件进行澄清或者修改，澄清或者修改的内容作为采购文件的组成部分。澄清或者修改的内容可能影响响应文件编制的，将按国家法律规定顺延提交首次响应文件截止时间。</w:t>
      </w:r>
    </w:p>
    <w:p>
      <w:pPr>
        <w:widowControl w:val="0"/>
        <w:kinsoku w:val="0"/>
        <w:overflowPunct w:val="0"/>
        <w:autoSpaceDE w:val="0"/>
        <w:autoSpaceDN w:val="0"/>
        <w:adjustRightInd w:val="0"/>
        <w:spacing w:before="57" w:line="440" w:lineRule="exact"/>
        <w:ind w:left="0" w:firstLine="600" w:firstLineChars="250"/>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 xml:space="preserve">12.3 </w:t>
      </w:r>
      <w:r>
        <w:rPr>
          <w:rFonts w:hint="eastAsia" w:ascii="宋体" w:hAnsi="宋体" w:eastAsia="宋体" w:cs="Times New Roman"/>
          <w:sz w:val="24"/>
          <w:szCs w:val="24"/>
          <w:lang w:val="en-US" w:eastAsia="zh-CN" w:bidi="ar-SA"/>
        </w:rPr>
        <w:t>更正或补充文件将作为采购文件的组成部分，对所有磋商供应商有约束力。当采购文件与更正或补充文件相矛盾时，以采购人最后发出的更正或补充文件为准。</w:t>
      </w:r>
    </w:p>
    <w:p>
      <w:pPr>
        <w:widowControl w:val="0"/>
        <w:kinsoku w:val="0"/>
        <w:overflowPunct w:val="0"/>
        <w:autoSpaceDE w:val="0"/>
        <w:autoSpaceDN w:val="0"/>
        <w:adjustRightInd w:val="0"/>
        <w:spacing w:before="57" w:line="440" w:lineRule="exact"/>
        <w:ind w:left="0" w:firstLine="600" w:firstLineChars="250"/>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 xml:space="preserve">12.4 </w:t>
      </w:r>
      <w:r>
        <w:rPr>
          <w:rFonts w:hint="eastAsia" w:ascii="宋体" w:hAnsi="宋体" w:eastAsia="宋体" w:cs="Times New Roman"/>
          <w:sz w:val="24"/>
          <w:szCs w:val="24"/>
          <w:lang w:val="en-US" w:eastAsia="zh-CN" w:bidi="ar-SA"/>
        </w:rPr>
        <w:t>供应商在规定的时间内未对采购文件澄清或提出疑问的，采购代理机构将视其为同意。</w:t>
      </w:r>
    </w:p>
    <w:p>
      <w:pPr>
        <w:widowControl w:val="0"/>
        <w:kinsoku w:val="0"/>
        <w:overflowPunct w:val="0"/>
        <w:autoSpaceDE w:val="0"/>
        <w:autoSpaceDN w:val="0"/>
        <w:adjustRightInd w:val="0"/>
        <w:spacing w:before="57" w:line="440" w:lineRule="exact"/>
        <w:ind w:left="591"/>
        <w:outlineLvl w:val="4"/>
        <w:rPr>
          <w:rFonts w:ascii="宋体" w:hAnsi="宋体" w:eastAsia="Times New Roman" w:cs="Times New Roman"/>
          <w:b/>
          <w:sz w:val="24"/>
          <w:szCs w:val="24"/>
          <w:lang w:val="en-US" w:eastAsia="zh-CN" w:bidi="ar-SA"/>
        </w:rPr>
      </w:pPr>
      <w:r>
        <w:rPr>
          <w:rFonts w:ascii="宋体" w:hAnsi="宋体" w:eastAsia="宋体" w:cs="Times New Roman"/>
          <w:b/>
          <w:sz w:val="24"/>
          <w:szCs w:val="24"/>
          <w:lang w:val="en-US" w:eastAsia="zh-CN" w:bidi="ar-SA"/>
        </w:rPr>
        <w:t>13</w:t>
      </w:r>
      <w:r>
        <w:rPr>
          <w:rFonts w:hint="eastAsia" w:ascii="宋体" w:hAnsi="宋体" w:eastAsia="宋体" w:cs="Times New Roman"/>
          <w:b/>
          <w:sz w:val="24"/>
          <w:szCs w:val="24"/>
          <w:lang w:val="en-US" w:eastAsia="zh-CN" w:bidi="ar-SA"/>
        </w:rPr>
        <w:t>、磋商文件的修改</w:t>
      </w:r>
    </w:p>
    <w:p>
      <w:pPr>
        <w:widowControl w:val="0"/>
        <w:kinsoku w:val="0"/>
        <w:overflowPunct w:val="0"/>
        <w:autoSpaceDE w:val="0"/>
        <w:autoSpaceDN w:val="0"/>
        <w:adjustRightInd w:val="0"/>
        <w:spacing w:line="440" w:lineRule="exact"/>
        <w:ind w:left="111" w:right="110" w:firstLine="480"/>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13.1</w:t>
      </w:r>
      <w:r>
        <w:rPr>
          <w:rFonts w:hint="eastAsia" w:ascii="宋体" w:hAnsi="宋体" w:eastAsia="宋体" w:cs="Times New Roman"/>
          <w:sz w:val="24"/>
          <w:szCs w:val="24"/>
          <w:lang w:val="en-US" w:eastAsia="zh-CN" w:bidi="ar-SA"/>
        </w:rPr>
        <w:t>磋商文件发出后</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在提交响应文件截止时间</w:t>
      </w:r>
      <w:r>
        <w:rPr>
          <w:rFonts w:ascii="宋体" w:hAnsi="宋体" w:eastAsia="宋体" w:cs="Times New Roman"/>
          <w:sz w:val="24"/>
          <w:szCs w:val="24"/>
          <w:lang w:val="en-US" w:eastAsia="zh-CN" w:bidi="ar-SA"/>
        </w:rPr>
        <w:t>5</w:t>
      </w:r>
      <w:r>
        <w:rPr>
          <w:rFonts w:hint="eastAsia" w:ascii="宋体" w:hAnsi="宋体" w:eastAsia="宋体" w:cs="Times New Roman"/>
          <w:sz w:val="24"/>
          <w:szCs w:val="24"/>
          <w:lang w:val="en-US" w:eastAsia="zh-CN" w:bidi="ar-SA"/>
        </w:rPr>
        <w:t>日前</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采购人可对磋商文件进行必要的澄清或修改。</w:t>
      </w:r>
    </w:p>
    <w:p>
      <w:pPr>
        <w:widowControl w:val="0"/>
        <w:kinsoku w:val="0"/>
        <w:overflowPunct w:val="0"/>
        <w:autoSpaceDE w:val="0"/>
        <w:autoSpaceDN w:val="0"/>
        <w:adjustRightInd w:val="0"/>
        <w:spacing w:before="56" w:line="440" w:lineRule="exact"/>
        <w:ind w:left="591"/>
        <w:rPr>
          <w:rFonts w:ascii="宋体" w:hAnsi="宋体" w:eastAsia="宋体" w:cs="Times New Roman"/>
          <w:sz w:val="24"/>
          <w:szCs w:val="24"/>
          <w:u w:val="single"/>
          <w:lang w:val="en-US" w:eastAsia="zh-CN" w:bidi="ar-SA"/>
        </w:rPr>
      </w:pPr>
      <w:r>
        <w:rPr>
          <w:rFonts w:ascii="宋体" w:hAnsi="宋体" w:eastAsia="宋体" w:cs="Times New Roman"/>
          <w:sz w:val="24"/>
          <w:szCs w:val="24"/>
          <w:lang w:val="en-US" w:eastAsia="zh-CN" w:bidi="ar-SA"/>
        </w:rPr>
        <w:t>13.2</w:t>
      </w:r>
      <w:r>
        <w:rPr>
          <w:rFonts w:hint="eastAsia" w:ascii="宋体" w:hAnsi="宋体" w:eastAsia="宋体" w:cs="Times New Roman"/>
          <w:sz w:val="24"/>
          <w:szCs w:val="24"/>
          <w:lang w:val="en-US" w:eastAsia="zh-CN" w:bidi="ar-SA"/>
        </w:rPr>
        <w:t>磋商文件的修改将以书面形式发送给所有供应商</w:t>
      </w:r>
      <w:r>
        <w:rPr>
          <w:rFonts w:hint="eastAsia" w:ascii="宋体" w:hAnsi="宋体" w:eastAsia="宋体" w:cs="Times New Roman"/>
          <w:spacing w:val="-120"/>
          <w:sz w:val="24"/>
          <w:szCs w:val="24"/>
          <w:lang w:val="en-US" w:eastAsia="zh-CN" w:bidi="ar-SA"/>
        </w:rPr>
        <w:t>，</w:t>
      </w:r>
      <w:r>
        <w:rPr>
          <w:rFonts w:hint="eastAsia" w:ascii="宋体" w:hAnsi="宋体" w:eastAsia="宋体" w:cs="Times New Roman"/>
          <w:sz w:val="24"/>
          <w:szCs w:val="24"/>
          <w:lang w:val="en-US" w:eastAsia="zh-CN" w:bidi="ar-SA"/>
        </w:rPr>
        <w:t>供应商应于收到该修改文件后</w:t>
      </w:r>
      <w:r>
        <w:rPr>
          <w:rFonts w:ascii="宋体" w:hAnsi="宋体" w:eastAsia="宋体" w:cs="Times New Roman"/>
          <w:sz w:val="24"/>
          <w:szCs w:val="24"/>
          <w:u w:val="single"/>
          <w:lang w:val="en-US" w:eastAsia="zh-CN" w:bidi="ar-SA"/>
        </w:rPr>
        <w:t>1</w:t>
      </w:r>
    </w:p>
    <w:p>
      <w:pPr>
        <w:widowControl w:val="0"/>
        <w:kinsoku w:val="0"/>
        <w:overflowPunct w:val="0"/>
        <w:autoSpaceDE w:val="0"/>
        <w:autoSpaceDN w:val="0"/>
        <w:adjustRightInd w:val="0"/>
        <w:spacing w:before="56" w:line="440" w:lineRule="exact"/>
        <w:rPr>
          <w:rFonts w:ascii="宋体" w:hAnsi="宋体" w:eastAsia="Times New Roman" w:cs="Times New Roman"/>
          <w:sz w:val="24"/>
          <w:szCs w:val="24"/>
          <w:lang w:val="en-US" w:eastAsia="zh-CN" w:bidi="ar-SA"/>
        </w:rPr>
      </w:pPr>
      <w:r>
        <w:rPr>
          <w:rFonts w:hint="eastAsia" w:ascii="宋体" w:hAnsi="宋体" w:eastAsia="宋体" w:cs="Times New Roman"/>
          <w:sz w:val="24"/>
          <w:szCs w:val="24"/>
          <w:lang w:val="en-US" w:eastAsia="zh-CN" w:bidi="ar-SA"/>
        </w:rPr>
        <w:t>日内以书面形式给予确认</w:t>
      </w:r>
      <w:r>
        <w:rPr>
          <w:rFonts w:hint="eastAsia" w:ascii="宋体" w:hAnsi="宋体" w:eastAsia="宋体" w:cs="Times New Roman"/>
          <w:spacing w:val="-32"/>
          <w:sz w:val="24"/>
          <w:szCs w:val="24"/>
          <w:lang w:val="en-US" w:eastAsia="zh-CN" w:bidi="ar-SA"/>
        </w:rPr>
        <w:t>。</w:t>
      </w:r>
      <w:r>
        <w:rPr>
          <w:rFonts w:hint="eastAsia" w:ascii="宋体" w:hAnsi="宋体" w:eastAsia="宋体" w:cs="Times New Roman"/>
          <w:sz w:val="24"/>
          <w:szCs w:val="24"/>
          <w:lang w:val="en-US" w:eastAsia="zh-CN" w:bidi="ar-SA"/>
        </w:rPr>
        <w:t>磋商文件的修改内容作为磋商文件的组成部</w:t>
      </w:r>
      <w:r>
        <w:rPr>
          <w:rFonts w:hint="eastAsia" w:ascii="宋体" w:hAnsi="宋体" w:eastAsia="宋体" w:cs="Times New Roman"/>
          <w:spacing w:val="2"/>
          <w:sz w:val="24"/>
          <w:szCs w:val="24"/>
          <w:lang w:val="en-US" w:eastAsia="zh-CN" w:bidi="ar-SA"/>
        </w:rPr>
        <w:t>分</w:t>
      </w:r>
      <w:r>
        <w:rPr>
          <w:rFonts w:hint="eastAsia" w:ascii="宋体" w:hAnsi="宋体" w:eastAsia="宋体" w:cs="Times New Roman"/>
          <w:spacing w:val="-32"/>
          <w:sz w:val="24"/>
          <w:szCs w:val="24"/>
          <w:lang w:val="en-US" w:eastAsia="zh-CN" w:bidi="ar-SA"/>
        </w:rPr>
        <w:t>，</w:t>
      </w:r>
      <w:r>
        <w:rPr>
          <w:rFonts w:hint="eastAsia" w:ascii="宋体" w:hAnsi="宋体" w:eastAsia="宋体" w:cs="Times New Roman"/>
          <w:sz w:val="24"/>
          <w:szCs w:val="24"/>
          <w:lang w:val="en-US" w:eastAsia="zh-CN" w:bidi="ar-SA"/>
        </w:rPr>
        <w:t>具有约束作用。</w:t>
      </w:r>
    </w:p>
    <w:p>
      <w:pPr>
        <w:widowControl w:val="0"/>
        <w:kinsoku w:val="0"/>
        <w:overflowPunct w:val="0"/>
        <w:autoSpaceDE w:val="0"/>
        <w:autoSpaceDN w:val="0"/>
        <w:adjustRightInd w:val="0"/>
        <w:spacing w:before="56" w:line="440" w:lineRule="exact"/>
        <w:ind w:left="111" w:right="232" w:firstLine="480"/>
        <w:jc w:val="both"/>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13.3</w:t>
      </w:r>
      <w:r>
        <w:rPr>
          <w:rFonts w:hint="eastAsia" w:ascii="宋体" w:hAnsi="宋体" w:eastAsia="宋体" w:cs="Times New Roman"/>
          <w:sz w:val="24"/>
          <w:szCs w:val="24"/>
          <w:lang w:val="en-US" w:eastAsia="zh-CN" w:bidi="ar-SA"/>
        </w:rPr>
        <w:t>磋商文件的澄清</w:t>
      </w:r>
      <w:r>
        <w:rPr>
          <w:rFonts w:hint="eastAsia" w:ascii="宋体" w:hAnsi="宋体" w:eastAsia="宋体" w:cs="Times New Roman"/>
          <w:spacing w:val="-41"/>
          <w:sz w:val="24"/>
          <w:szCs w:val="24"/>
          <w:lang w:val="en-US" w:eastAsia="zh-CN" w:bidi="ar-SA"/>
        </w:rPr>
        <w:t>、</w:t>
      </w:r>
      <w:r>
        <w:rPr>
          <w:rFonts w:hint="eastAsia" w:ascii="宋体" w:hAnsi="宋体" w:eastAsia="宋体" w:cs="Times New Roman"/>
          <w:sz w:val="24"/>
          <w:szCs w:val="24"/>
          <w:lang w:val="en-US" w:eastAsia="zh-CN" w:bidi="ar-SA"/>
        </w:rPr>
        <w:t>修改</w:t>
      </w:r>
      <w:r>
        <w:rPr>
          <w:rFonts w:hint="eastAsia" w:ascii="宋体" w:hAnsi="宋体" w:eastAsia="宋体" w:cs="Times New Roman"/>
          <w:spacing w:val="-39"/>
          <w:sz w:val="24"/>
          <w:szCs w:val="24"/>
          <w:lang w:val="en-US" w:eastAsia="zh-CN" w:bidi="ar-SA"/>
        </w:rPr>
        <w:t>、</w:t>
      </w:r>
      <w:r>
        <w:rPr>
          <w:rFonts w:hint="eastAsia" w:ascii="宋体" w:hAnsi="宋体" w:eastAsia="宋体" w:cs="Times New Roman"/>
          <w:sz w:val="24"/>
          <w:szCs w:val="24"/>
          <w:lang w:val="en-US" w:eastAsia="zh-CN" w:bidi="ar-SA"/>
        </w:rPr>
        <w:t>补充等内容均以书面形式明确的内容为准</w:t>
      </w:r>
      <w:r>
        <w:rPr>
          <w:rFonts w:hint="eastAsia" w:ascii="宋体" w:hAnsi="宋体" w:eastAsia="宋体" w:cs="Times New Roman"/>
          <w:spacing w:val="-41"/>
          <w:sz w:val="24"/>
          <w:szCs w:val="24"/>
          <w:lang w:val="en-US" w:eastAsia="zh-CN" w:bidi="ar-SA"/>
        </w:rPr>
        <w:t>。</w:t>
      </w:r>
      <w:r>
        <w:rPr>
          <w:rFonts w:hint="eastAsia" w:ascii="宋体" w:hAnsi="宋体" w:eastAsia="宋体" w:cs="Times New Roman"/>
          <w:sz w:val="24"/>
          <w:szCs w:val="24"/>
          <w:lang w:val="en-US" w:eastAsia="zh-CN" w:bidi="ar-SA"/>
        </w:rPr>
        <w:t>当磋商</w:t>
      </w:r>
      <w:r>
        <w:rPr>
          <w:rFonts w:hint="eastAsia" w:ascii="宋体" w:hAnsi="宋体" w:eastAsia="宋体" w:cs="Times New Roman"/>
          <w:spacing w:val="-2"/>
          <w:sz w:val="24"/>
          <w:szCs w:val="24"/>
          <w:lang w:val="en-US" w:eastAsia="zh-CN" w:bidi="ar-SA"/>
        </w:rPr>
        <w:t>文件、磋商文件的澄清、修改、补充等在同一内容的表述上不一致时，以最后发出的</w:t>
      </w:r>
      <w:r>
        <w:rPr>
          <w:rFonts w:hint="eastAsia" w:ascii="宋体" w:hAnsi="宋体" w:eastAsia="宋体" w:cs="Times New Roman"/>
          <w:sz w:val="24"/>
          <w:szCs w:val="24"/>
          <w:lang w:val="en-US" w:eastAsia="zh-CN" w:bidi="ar-SA"/>
        </w:rPr>
        <w:t>书面文件为准。</w:t>
      </w:r>
    </w:p>
    <w:p>
      <w:pPr>
        <w:widowControl w:val="0"/>
        <w:kinsoku w:val="0"/>
        <w:overflowPunct w:val="0"/>
        <w:autoSpaceDE w:val="0"/>
        <w:autoSpaceDN w:val="0"/>
        <w:adjustRightInd w:val="0"/>
        <w:spacing w:before="57" w:line="440" w:lineRule="exact"/>
        <w:ind w:left="111" w:right="232" w:firstLine="480"/>
        <w:jc w:val="both"/>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13.4</w:t>
      </w:r>
      <w:r>
        <w:rPr>
          <w:rFonts w:hint="eastAsia" w:ascii="宋体" w:hAnsi="宋体" w:eastAsia="宋体" w:cs="Times New Roman"/>
          <w:sz w:val="24"/>
          <w:szCs w:val="24"/>
          <w:lang w:val="en-US" w:eastAsia="zh-CN" w:bidi="ar-SA"/>
        </w:rPr>
        <w:t>为使供应商在编制响应文件时有充分时间对磋商文件的澄清</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修改</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补充等内容进行研究</w:t>
      </w:r>
      <w:r>
        <w:rPr>
          <w:rFonts w:hint="eastAsia" w:ascii="宋体" w:hAnsi="宋体" w:eastAsia="宋体" w:cs="Times New Roman"/>
          <w:spacing w:val="-32"/>
          <w:sz w:val="24"/>
          <w:szCs w:val="24"/>
          <w:lang w:val="en-US" w:eastAsia="zh-CN" w:bidi="ar-SA"/>
        </w:rPr>
        <w:t>，</w:t>
      </w:r>
      <w:r>
        <w:rPr>
          <w:rFonts w:hint="eastAsia" w:ascii="宋体" w:hAnsi="宋体" w:eastAsia="宋体" w:cs="Times New Roman"/>
          <w:sz w:val="24"/>
          <w:szCs w:val="24"/>
          <w:lang w:val="en-US" w:eastAsia="zh-CN" w:bidi="ar-SA"/>
        </w:rPr>
        <w:t>采购人将酌情延长提交响应文件的截止时</w:t>
      </w:r>
      <w:r>
        <w:rPr>
          <w:rFonts w:hint="eastAsia" w:ascii="宋体" w:hAnsi="宋体" w:eastAsia="宋体" w:cs="Times New Roman"/>
          <w:spacing w:val="2"/>
          <w:sz w:val="24"/>
          <w:szCs w:val="24"/>
          <w:lang w:val="en-US" w:eastAsia="zh-CN" w:bidi="ar-SA"/>
        </w:rPr>
        <w:t>间</w:t>
      </w:r>
      <w:r>
        <w:rPr>
          <w:rFonts w:hint="eastAsia" w:ascii="宋体" w:hAnsi="宋体" w:eastAsia="宋体" w:cs="Times New Roman"/>
          <w:spacing w:val="-32"/>
          <w:sz w:val="24"/>
          <w:szCs w:val="24"/>
          <w:lang w:val="en-US" w:eastAsia="zh-CN" w:bidi="ar-SA"/>
        </w:rPr>
        <w:t>，</w:t>
      </w:r>
      <w:r>
        <w:rPr>
          <w:rFonts w:hint="eastAsia" w:ascii="宋体" w:hAnsi="宋体" w:eastAsia="宋体" w:cs="Times New Roman"/>
          <w:sz w:val="24"/>
          <w:szCs w:val="24"/>
          <w:lang w:val="en-US" w:eastAsia="zh-CN" w:bidi="ar-SA"/>
        </w:rPr>
        <w:t>具体时间将在磋商文件的修改、补充通知中予以明确。</w:t>
      </w:r>
    </w:p>
    <w:p>
      <w:pPr>
        <w:widowControl w:val="0"/>
        <w:kinsoku w:val="0"/>
        <w:overflowPunct w:val="0"/>
        <w:autoSpaceDE w:val="0"/>
        <w:autoSpaceDN w:val="0"/>
        <w:adjustRightInd w:val="0"/>
        <w:spacing w:before="57" w:line="440" w:lineRule="exact"/>
        <w:ind w:left="111" w:right="232" w:firstLine="480"/>
        <w:jc w:val="both"/>
        <w:rPr>
          <w:rFonts w:ascii="宋体" w:hAnsi="宋体" w:eastAsia="Times New Roman" w:cs="Times New Roman"/>
          <w:sz w:val="24"/>
          <w:szCs w:val="24"/>
          <w:lang w:val="en-US" w:eastAsia="zh-CN" w:bidi="ar-SA"/>
        </w:rPr>
      </w:pPr>
    </w:p>
    <w:p>
      <w:pPr>
        <w:widowControl w:val="0"/>
        <w:kinsoku w:val="0"/>
        <w:overflowPunct w:val="0"/>
        <w:autoSpaceDE w:val="0"/>
        <w:autoSpaceDN w:val="0"/>
        <w:adjustRightInd w:val="0"/>
        <w:ind w:left="0"/>
        <w:rPr>
          <w:rFonts w:ascii="宋体" w:hAnsi="宋体" w:eastAsia="Times New Roman" w:cs="Times New Roman"/>
          <w:sz w:val="24"/>
          <w:szCs w:val="24"/>
          <w:lang w:val="en-US" w:eastAsia="zh-CN" w:bidi="ar-SA"/>
        </w:rPr>
      </w:pPr>
    </w:p>
    <w:p>
      <w:pPr>
        <w:widowControl w:val="0"/>
        <w:numPr>
          <w:ilvl w:val="0"/>
          <w:numId w:val="4"/>
        </w:numPr>
        <w:kinsoku w:val="0"/>
        <w:overflowPunct w:val="0"/>
        <w:autoSpaceDE w:val="0"/>
        <w:autoSpaceDN w:val="0"/>
        <w:adjustRightInd w:val="0"/>
        <w:spacing w:before="0" w:line="429" w:lineRule="auto"/>
        <w:ind w:left="591" w:right="110"/>
        <w:jc w:val="center"/>
        <w:outlineLvl w:val="4"/>
        <w:rPr>
          <w:rFonts w:ascii="宋体" w:hAnsi="宋体" w:eastAsia="Times New Roman" w:cs="Times New Roman"/>
          <w:b/>
          <w:spacing w:val="28"/>
          <w:w w:val="99"/>
          <w:sz w:val="24"/>
          <w:szCs w:val="24"/>
          <w:lang w:val="en-US" w:eastAsia="zh-CN" w:bidi="ar-SA"/>
        </w:rPr>
      </w:pPr>
      <w:r>
        <w:rPr>
          <w:rFonts w:hint="eastAsia" w:ascii="宋体" w:hAnsi="宋体" w:eastAsia="宋体" w:cs="Times New Roman"/>
          <w:b/>
          <w:w w:val="95"/>
          <w:sz w:val="24"/>
          <w:szCs w:val="24"/>
          <w:lang w:val="en-US" w:eastAsia="zh-CN" w:bidi="ar-SA"/>
        </w:rPr>
        <w:t>响应文件的编制</w:t>
      </w:r>
    </w:p>
    <w:p>
      <w:pPr>
        <w:widowControl w:val="0"/>
        <w:kinsoku w:val="0"/>
        <w:overflowPunct w:val="0"/>
        <w:autoSpaceDE w:val="0"/>
        <w:autoSpaceDN w:val="0"/>
        <w:adjustRightInd w:val="0"/>
        <w:spacing w:before="0" w:line="440" w:lineRule="exact"/>
        <w:ind w:left="0" w:right="110" w:firstLine="482" w:firstLineChars="200"/>
        <w:outlineLvl w:val="4"/>
        <w:rPr>
          <w:rFonts w:ascii="宋体" w:hAnsi="宋体" w:eastAsia="Times New Roman" w:cs="Times New Roman"/>
          <w:b w:val="0"/>
          <w:sz w:val="24"/>
          <w:szCs w:val="24"/>
          <w:lang w:val="en-US" w:eastAsia="zh-CN" w:bidi="ar-SA"/>
        </w:rPr>
      </w:pPr>
      <w:r>
        <w:rPr>
          <w:rFonts w:ascii="宋体" w:hAnsi="宋体" w:eastAsia="宋体" w:cs="Times New Roman"/>
          <w:b/>
          <w:sz w:val="24"/>
          <w:szCs w:val="24"/>
          <w:lang w:val="en-US" w:eastAsia="zh-CN" w:bidi="ar-SA"/>
        </w:rPr>
        <w:t>14</w:t>
      </w:r>
      <w:r>
        <w:rPr>
          <w:rFonts w:hint="eastAsia" w:ascii="宋体" w:hAnsi="宋体" w:eastAsia="宋体" w:cs="Times New Roman"/>
          <w:b/>
          <w:sz w:val="24"/>
          <w:szCs w:val="24"/>
          <w:lang w:val="en-US" w:eastAsia="zh-CN" w:bidi="ar-SA"/>
        </w:rPr>
        <w:t>、响应文件的语言及度量衡单位</w:t>
      </w:r>
    </w:p>
    <w:p>
      <w:pPr>
        <w:widowControl w:val="0"/>
        <w:kinsoku w:val="0"/>
        <w:overflowPunct w:val="0"/>
        <w:autoSpaceDE w:val="0"/>
        <w:autoSpaceDN w:val="0"/>
        <w:adjustRightInd w:val="0"/>
        <w:spacing w:before="56" w:line="440" w:lineRule="exact"/>
        <w:ind w:left="591"/>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14.1</w:t>
      </w:r>
      <w:r>
        <w:rPr>
          <w:rFonts w:hint="eastAsia" w:ascii="宋体" w:hAnsi="宋体" w:eastAsia="宋体" w:cs="Times New Roman"/>
          <w:spacing w:val="-1"/>
          <w:sz w:val="24"/>
          <w:szCs w:val="24"/>
          <w:lang w:val="en-US" w:eastAsia="zh-CN" w:bidi="ar-SA"/>
        </w:rPr>
        <w:t>响应文件和与磋商有关的所有文件均应使用</w:t>
      </w:r>
      <w:r>
        <w:rPr>
          <w:rFonts w:hint="eastAsia" w:ascii="宋体" w:hAnsi="宋体" w:eastAsia="宋体" w:cs="Times New Roman"/>
          <w:sz w:val="24"/>
          <w:szCs w:val="24"/>
          <w:u w:val="single"/>
          <w:lang w:val="en-US" w:eastAsia="zh-CN" w:bidi="ar-SA"/>
        </w:rPr>
        <w:t>中文</w:t>
      </w:r>
      <w:r>
        <w:rPr>
          <w:rFonts w:hint="eastAsia" w:ascii="宋体" w:hAnsi="宋体" w:eastAsia="宋体" w:cs="Times New Roman"/>
          <w:sz w:val="24"/>
          <w:szCs w:val="24"/>
          <w:lang w:val="en-US" w:eastAsia="zh-CN" w:bidi="ar-SA"/>
        </w:rPr>
        <w:t>。</w:t>
      </w:r>
    </w:p>
    <w:p>
      <w:pPr>
        <w:widowControl w:val="0"/>
        <w:kinsoku w:val="0"/>
        <w:overflowPunct w:val="0"/>
        <w:autoSpaceDE w:val="0"/>
        <w:autoSpaceDN w:val="0"/>
        <w:adjustRightInd w:val="0"/>
        <w:spacing w:line="440" w:lineRule="exact"/>
        <w:ind w:left="591"/>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14.2</w:t>
      </w:r>
      <w:r>
        <w:rPr>
          <w:rFonts w:hint="eastAsia" w:ascii="宋体" w:hAnsi="宋体" w:eastAsia="宋体" w:cs="Times New Roman"/>
          <w:sz w:val="24"/>
          <w:szCs w:val="24"/>
          <w:lang w:val="en-US" w:eastAsia="zh-CN" w:bidi="ar-SA"/>
        </w:rPr>
        <w:t>除工程规范另有规定外</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响应文件使用的度量衡单位</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均采用中华人民共和</w:t>
      </w:r>
    </w:p>
    <w:p>
      <w:pPr>
        <w:widowControl w:val="0"/>
        <w:kinsoku w:val="0"/>
        <w:overflowPunct w:val="0"/>
        <w:autoSpaceDE w:val="0"/>
        <w:autoSpaceDN w:val="0"/>
        <w:adjustRightInd w:val="0"/>
        <w:spacing w:before="26" w:line="440" w:lineRule="exact"/>
        <w:ind w:left="591" w:right="5091" w:hanging="480"/>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国法定计量单位。</w:t>
      </w:r>
    </w:p>
    <w:p>
      <w:pPr>
        <w:widowControl w:val="0"/>
        <w:kinsoku w:val="0"/>
        <w:overflowPunct w:val="0"/>
        <w:autoSpaceDE w:val="0"/>
        <w:autoSpaceDN w:val="0"/>
        <w:adjustRightInd w:val="0"/>
        <w:spacing w:before="26" w:line="440" w:lineRule="exact"/>
        <w:ind w:left="541" w:leftChars="246" w:right="5091"/>
        <w:rPr>
          <w:rFonts w:ascii="宋体" w:hAnsi="宋体" w:eastAsia="宋体" w:cs="Times New Roman"/>
          <w:b/>
          <w:w w:val="95"/>
          <w:sz w:val="24"/>
          <w:szCs w:val="24"/>
          <w:lang w:val="en-US" w:eastAsia="zh-CN" w:bidi="ar-SA"/>
        </w:rPr>
      </w:pPr>
      <w:r>
        <w:rPr>
          <w:rFonts w:ascii="宋体" w:hAnsi="宋体" w:eastAsia="宋体" w:cs="Times New Roman"/>
          <w:b/>
          <w:w w:val="95"/>
          <w:sz w:val="24"/>
          <w:szCs w:val="24"/>
          <w:lang w:val="en-US" w:eastAsia="zh-CN" w:bidi="ar-SA"/>
        </w:rPr>
        <w:t>15</w:t>
      </w:r>
      <w:r>
        <w:rPr>
          <w:rFonts w:hint="eastAsia" w:ascii="宋体" w:hAnsi="宋体" w:eastAsia="宋体" w:cs="Times New Roman"/>
          <w:b/>
          <w:w w:val="95"/>
          <w:sz w:val="24"/>
          <w:szCs w:val="24"/>
          <w:lang w:val="en-US" w:eastAsia="zh-CN" w:bidi="ar-SA"/>
        </w:rPr>
        <w:t>、响应文件的组成</w:t>
      </w:r>
    </w:p>
    <w:p>
      <w:pPr>
        <w:widowControl w:val="0"/>
        <w:kinsoku w:val="0"/>
        <w:overflowPunct w:val="0"/>
        <w:autoSpaceDE w:val="0"/>
        <w:autoSpaceDN w:val="0"/>
        <w:adjustRightInd w:val="0"/>
        <w:spacing w:line="440" w:lineRule="exact"/>
        <w:ind w:left="591"/>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供应商投标时须提供加密的电子响应文件，按政采云平台供应商项目采购</w:t>
      </w:r>
      <w:r>
        <w:rPr>
          <w:rFonts w:ascii="宋体" w:hAnsi="宋体" w:eastAsia="宋体" w:cs="Times New Roman"/>
          <w:sz w:val="24"/>
          <w:szCs w:val="24"/>
          <w:lang w:val="en-US" w:eastAsia="zh-CN" w:bidi="ar-SA"/>
        </w:rPr>
        <w:t>-</w:t>
      </w:r>
      <w:r>
        <w:rPr>
          <w:rFonts w:hint="eastAsia" w:ascii="宋体" w:hAnsi="宋体" w:eastAsia="宋体" w:cs="Times New Roman"/>
          <w:sz w:val="24"/>
          <w:szCs w:val="24"/>
          <w:lang w:val="en-US" w:eastAsia="zh-CN" w:bidi="ar-SA"/>
        </w:rPr>
        <w:t>电子招</w:t>
      </w:r>
    </w:p>
    <w:p>
      <w:pPr>
        <w:widowControl w:val="0"/>
        <w:kinsoku w:val="0"/>
        <w:overflowPunct w:val="0"/>
        <w:autoSpaceDE w:val="0"/>
        <w:autoSpaceDN w:val="0"/>
        <w:adjustRightInd w:val="0"/>
        <w:spacing w:line="440" w:lineRule="exact"/>
        <w:ind w:left="0"/>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投标操作指南</w:t>
      </w:r>
      <w:r>
        <w:rPr>
          <w:rFonts w:ascii="宋体" w:hAnsi="宋体" w:eastAsia="宋体" w:cs="Times New Roman"/>
          <w:sz w:val="24"/>
          <w:szCs w:val="24"/>
          <w:lang w:val="en-US" w:eastAsia="zh-CN" w:bidi="ar-SA"/>
        </w:rPr>
        <w:t>(www.zcygov.cn)</w:t>
      </w:r>
      <w:r>
        <w:rPr>
          <w:rFonts w:hint="eastAsia" w:ascii="宋体" w:hAnsi="宋体" w:eastAsia="宋体" w:cs="Times New Roman"/>
          <w:sz w:val="24"/>
          <w:szCs w:val="24"/>
          <w:lang w:val="en-US" w:eastAsia="zh-CN" w:bidi="ar-SA"/>
        </w:rPr>
        <w:t>及本磋商文件要求编制、提交。</w:t>
      </w:r>
    </w:p>
    <w:p>
      <w:pPr>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591"/>
        <w:textAlignment w:val="auto"/>
        <w:outlineLvl w:val="4"/>
        <w:rPr>
          <w:rFonts w:hint="eastAsia" w:ascii="宋体" w:hAnsi="宋体" w:eastAsia="宋体" w:cs="宋体"/>
          <w:b/>
          <w:spacing w:val="2"/>
          <w:w w:val="95"/>
          <w:sz w:val="24"/>
          <w:szCs w:val="24"/>
          <w:lang w:val="en-US" w:eastAsia="zh-CN" w:bidi="ar-SA"/>
        </w:rPr>
      </w:pPr>
      <w:r>
        <w:rPr>
          <w:rFonts w:hint="eastAsia" w:ascii="宋体" w:hAnsi="宋体" w:eastAsia="宋体" w:cs="宋体"/>
          <w:b/>
          <w:w w:val="95"/>
          <w:sz w:val="24"/>
          <w:szCs w:val="24"/>
          <w:lang w:val="en-US" w:eastAsia="zh-CN" w:bidi="ar-SA"/>
        </w:rPr>
        <w:t xml:space="preserve">15.1 </w:t>
      </w:r>
      <w:r>
        <w:rPr>
          <w:rFonts w:hint="eastAsia" w:ascii="宋体" w:hAnsi="宋体" w:eastAsia="宋体" w:cs="宋体"/>
          <w:b/>
          <w:spacing w:val="2"/>
          <w:w w:val="95"/>
          <w:sz w:val="24"/>
          <w:szCs w:val="24"/>
          <w:lang w:val="en-US" w:eastAsia="zh-CN" w:bidi="ar-SA"/>
        </w:rPr>
        <w:t>响应文件由商务及技术文件、报价文件构成。</w:t>
      </w:r>
    </w:p>
    <w:p>
      <w:pPr>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591"/>
        <w:textAlignment w:val="auto"/>
        <w:outlineLvl w:val="4"/>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15.2 商务及技术文件</w:t>
      </w:r>
      <w:r>
        <w:rPr>
          <w:rFonts w:hint="eastAsia" w:ascii="宋体" w:hAnsi="宋体" w:eastAsia="宋体" w:cs="宋体"/>
          <w:b/>
          <w:spacing w:val="-9"/>
          <w:sz w:val="24"/>
          <w:szCs w:val="24"/>
          <w:lang w:val="en-US" w:eastAsia="zh-CN" w:bidi="ar-SA"/>
        </w:rPr>
        <w:t>：</w:t>
      </w:r>
    </w:p>
    <w:p>
      <w:pPr>
        <w:keepNext w:val="0"/>
        <w:keepLines w:val="0"/>
        <w:pageBreakBefore w:val="0"/>
        <w:widowControl w:val="0"/>
        <w:numPr>
          <w:ilvl w:val="0"/>
          <w:numId w:val="0"/>
        </w:numPr>
        <w:tabs>
          <w:tab w:val="left" w:pos="1410"/>
        </w:tabs>
        <w:wordWrap/>
        <w:topLinePunct w:val="0"/>
        <w:autoSpaceDE/>
        <w:autoSpaceDN/>
        <w:bidi w:val="0"/>
        <w:adjustRightInd/>
        <w:snapToGrid/>
        <w:spacing w:line="44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（1）投标函及投标函附录；</w:t>
      </w:r>
    </w:p>
    <w:p>
      <w:pPr>
        <w:keepNext w:val="0"/>
        <w:keepLines w:val="0"/>
        <w:pageBreakBefore w:val="0"/>
        <w:widowControl w:val="0"/>
        <w:numPr>
          <w:ilvl w:val="0"/>
          <w:numId w:val="0"/>
        </w:numPr>
        <w:tabs>
          <w:tab w:val="left" w:pos="1410"/>
        </w:tabs>
        <w:wordWrap/>
        <w:topLinePunct w:val="0"/>
        <w:autoSpaceDE/>
        <w:autoSpaceDN/>
        <w:bidi w:val="0"/>
        <w:adjustRightInd/>
        <w:snapToGrid/>
        <w:spacing w:before="93" w:line="44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（2）授权委托书或法定代表人身份证明；</w:t>
      </w:r>
    </w:p>
    <w:p>
      <w:pPr>
        <w:keepNext w:val="0"/>
        <w:keepLines w:val="0"/>
        <w:pageBreakBefore w:val="0"/>
        <w:widowControl w:val="0"/>
        <w:wordWrap/>
        <w:topLinePunct w:val="0"/>
        <w:bidi w:val="0"/>
        <w:snapToGrid/>
        <w:spacing w:line="440" w:lineRule="exact"/>
        <w:textAlignment w:val="auto"/>
        <w:rPr>
          <w:rFonts w:hint="eastAsia" w:ascii="宋体" w:hAnsi="宋体" w:eastAsia="宋体" w:cs="宋体"/>
          <w:sz w:val="24"/>
        </w:rPr>
        <w:sectPr>
          <w:footerReference r:id="rId5" w:type="default"/>
          <w:pgSz w:w="11910" w:h="16840"/>
          <w:pgMar w:top="1360" w:right="1120" w:bottom="1040" w:left="1260" w:header="882" w:footer="847" w:gutter="0"/>
          <w:cols w:space="720" w:num="1"/>
        </w:sectPr>
      </w:pPr>
    </w:p>
    <w:p>
      <w:pPr>
        <w:keepNext w:val="0"/>
        <w:keepLines w:val="0"/>
        <w:pageBreakBefore w:val="0"/>
        <w:widowControl w:val="0"/>
        <w:numPr>
          <w:ilvl w:val="0"/>
          <w:numId w:val="0"/>
        </w:numPr>
        <w:tabs>
          <w:tab w:val="left" w:pos="1410"/>
        </w:tabs>
        <w:wordWrap/>
        <w:topLinePunct w:val="0"/>
        <w:autoSpaceDE/>
        <w:autoSpaceDN/>
        <w:bidi w:val="0"/>
        <w:adjustRightInd/>
        <w:snapToGrid/>
        <w:spacing w:before="74" w:line="44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（3）投标保证金；</w:t>
      </w:r>
    </w:p>
    <w:p>
      <w:pPr>
        <w:keepNext w:val="0"/>
        <w:keepLines w:val="0"/>
        <w:pageBreakBefore w:val="0"/>
        <w:widowControl w:val="0"/>
        <w:numPr>
          <w:ilvl w:val="0"/>
          <w:numId w:val="0"/>
        </w:numPr>
        <w:tabs>
          <w:tab w:val="left" w:pos="1410"/>
        </w:tabs>
        <w:wordWrap/>
        <w:topLinePunct w:val="0"/>
        <w:autoSpaceDE/>
        <w:autoSpaceDN/>
        <w:bidi w:val="0"/>
        <w:adjustRightInd/>
        <w:snapToGrid/>
        <w:spacing w:before="93" w:line="44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（4）施工组织设计；</w:t>
      </w:r>
    </w:p>
    <w:p>
      <w:pPr>
        <w:keepNext w:val="0"/>
        <w:keepLines w:val="0"/>
        <w:pageBreakBefore w:val="0"/>
        <w:widowControl w:val="0"/>
        <w:numPr>
          <w:ilvl w:val="0"/>
          <w:numId w:val="0"/>
        </w:numPr>
        <w:tabs>
          <w:tab w:val="left" w:pos="1410"/>
        </w:tabs>
        <w:kinsoku/>
        <w:wordWrap/>
        <w:overflowPunct/>
        <w:topLinePunct w:val="0"/>
        <w:autoSpaceDE/>
        <w:autoSpaceDN/>
        <w:bidi w:val="0"/>
        <w:adjustRightInd/>
        <w:snapToGrid/>
        <w:spacing w:before="91" w:line="44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（5）项目管理机构；</w:t>
      </w:r>
    </w:p>
    <w:p>
      <w:pPr>
        <w:keepNext w:val="0"/>
        <w:keepLines w:val="0"/>
        <w:pageBreakBefore w:val="0"/>
        <w:widowControl w:val="0"/>
        <w:numPr>
          <w:ilvl w:val="0"/>
          <w:numId w:val="0"/>
        </w:numPr>
        <w:tabs>
          <w:tab w:val="left" w:pos="1410"/>
        </w:tabs>
        <w:kinsoku/>
        <w:wordWrap/>
        <w:overflowPunct/>
        <w:topLinePunct w:val="0"/>
        <w:autoSpaceDE/>
        <w:autoSpaceDN/>
        <w:bidi w:val="0"/>
        <w:adjustRightInd/>
        <w:snapToGrid/>
        <w:spacing w:before="94" w:line="44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（6）拟分包项目情况表；</w:t>
      </w:r>
    </w:p>
    <w:p>
      <w:pPr>
        <w:keepNext w:val="0"/>
        <w:keepLines w:val="0"/>
        <w:pageBreakBefore w:val="0"/>
        <w:widowControl w:val="0"/>
        <w:numPr>
          <w:ilvl w:val="0"/>
          <w:numId w:val="0"/>
        </w:numPr>
        <w:tabs>
          <w:tab w:val="left" w:pos="1410"/>
        </w:tabs>
        <w:kinsoku/>
        <w:wordWrap/>
        <w:overflowPunct/>
        <w:topLinePunct w:val="0"/>
        <w:autoSpaceDE/>
        <w:autoSpaceDN/>
        <w:bidi w:val="0"/>
        <w:adjustRightInd/>
        <w:snapToGrid/>
        <w:spacing w:before="93" w:line="44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（7）资格审查资料；</w:t>
      </w:r>
    </w:p>
    <w:p>
      <w:pPr>
        <w:keepNext w:val="0"/>
        <w:keepLines w:val="0"/>
        <w:pageBreakBefore w:val="0"/>
        <w:widowControl w:val="0"/>
        <w:numPr>
          <w:ilvl w:val="0"/>
          <w:numId w:val="0"/>
        </w:numPr>
        <w:tabs>
          <w:tab w:val="left" w:pos="1410"/>
        </w:tabs>
        <w:kinsoku/>
        <w:wordWrap/>
        <w:overflowPunct/>
        <w:topLinePunct w:val="0"/>
        <w:autoSpaceDE/>
        <w:autoSpaceDN/>
        <w:bidi w:val="0"/>
        <w:adjustRightInd/>
        <w:snapToGrid/>
        <w:spacing w:before="91" w:line="440" w:lineRule="exact"/>
        <w:ind w:right="4276" w:rightChars="0" w:firstLine="472" w:firstLineChars="200"/>
        <w:jc w:val="both"/>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（8）投标人须知前附表规定的其他资料。</w:t>
      </w:r>
    </w:p>
    <w:p>
      <w:pPr>
        <w:keepNext w:val="0"/>
        <w:keepLines w:val="0"/>
        <w:pageBreakBefore w:val="0"/>
        <w:widowControl w:val="0"/>
        <w:numPr>
          <w:ilvl w:val="0"/>
          <w:numId w:val="0"/>
        </w:numPr>
        <w:tabs>
          <w:tab w:val="left" w:pos="1410"/>
        </w:tabs>
        <w:kinsoku/>
        <w:wordWrap/>
        <w:overflowPunct/>
        <w:topLinePunct w:val="0"/>
        <w:autoSpaceDE/>
        <w:autoSpaceDN/>
        <w:bidi w:val="0"/>
        <w:adjustRightInd/>
        <w:snapToGrid/>
        <w:spacing w:before="91" w:line="440" w:lineRule="exact"/>
        <w:ind w:right="4276" w:rightChars="0" w:firstLine="474" w:firstLineChars="200"/>
        <w:jc w:val="both"/>
        <w:textAlignment w:val="auto"/>
        <w:rPr>
          <w:rFonts w:hint="eastAsia" w:ascii="宋体" w:hAnsi="宋体" w:eastAsia="宋体" w:cs="宋体"/>
          <w:b/>
          <w:bCs/>
          <w:spacing w:val="-2"/>
          <w:kern w:val="2"/>
          <w:sz w:val="24"/>
          <w:szCs w:val="24"/>
          <w:lang w:val="en-US" w:eastAsia="zh-CN" w:bidi="ar-SA"/>
        </w:rPr>
      </w:pPr>
      <w:r>
        <w:rPr>
          <w:rFonts w:hint="eastAsia" w:ascii="宋体" w:hAnsi="宋体" w:eastAsia="宋体" w:cs="宋体"/>
          <w:b/>
          <w:bCs/>
          <w:spacing w:val="-2"/>
          <w:kern w:val="2"/>
          <w:sz w:val="24"/>
          <w:szCs w:val="24"/>
          <w:lang w:val="en-US" w:eastAsia="zh-CN" w:bidi="ar-SA"/>
        </w:rPr>
        <w:t>15.3 报价文件：</w:t>
      </w:r>
    </w:p>
    <w:p>
      <w:pPr>
        <w:keepNext w:val="0"/>
        <w:keepLines w:val="0"/>
        <w:pageBreakBefore w:val="0"/>
        <w:widowControl w:val="0"/>
        <w:numPr>
          <w:ilvl w:val="0"/>
          <w:numId w:val="0"/>
        </w:numPr>
        <w:tabs>
          <w:tab w:val="left" w:pos="1410"/>
        </w:tabs>
        <w:kinsoku/>
        <w:wordWrap/>
        <w:overflowPunct/>
        <w:topLinePunct w:val="0"/>
        <w:autoSpaceDE/>
        <w:autoSpaceDN/>
        <w:bidi w:val="0"/>
        <w:adjustRightInd/>
        <w:snapToGrid/>
        <w:spacing w:before="2" w:line="440" w:lineRule="exact"/>
        <w:ind w:firstLine="480" w:firstLineChars="200"/>
        <w:jc w:val="both"/>
        <w:textAlignment w:val="auto"/>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（1）投标函；</w:t>
      </w:r>
    </w:p>
    <w:p>
      <w:pPr>
        <w:keepNext w:val="0"/>
        <w:keepLines w:val="0"/>
        <w:pageBreakBefore w:val="0"/>
        <w:widowControl w:val="0"/>
        <w:numPr>
          <w:ilvl w:val="0"/>
          <w:numId w:val="0"/>
        </w:numPr>
        <w:tabs>
          <w:tab w:val="left" w:pos="1410"/>
        </w:tabs>
        <w:kinsoku/>
        <w:wordWrap/>
        <w:overflowPunct/>
        <w:topLinePunct w:val="0"/>
        <w:autoSpaceDE/>
        <w:autoSpaceDN/>
        <w:bidi w:val="0"/>
        <w:adjustRightInd/>
        <w:snapToGrid/>
        <w:spacing w:before="91" w:line="440" w:lineRule="exact"/>
        <w:ind w:firstLine="480" w:firstLineChars="200"/>
        <w:jc w:val="both"/>
        <w:textAlignment w:val="auto"/>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（2）已标价工程量清单（含工程量固化清单电子文件）；</w:t>
      </w:r>
    </w:p>
    <w:p>
      <w:pPr>
        <w:keepNext w:val="0"/>
        <w:keepLines w:val="0"/>
        <w:pageBreakBefore w:val="0"/>
        <w:widowControl w:val="0"/>
        <w:numPr>
          <w:ilvl w:val="0"/>
          <w:numId w:val="0"/>
        </w:numPr>
        <w:tabs>
          <w:tab w:val="left" w:pos="1410"/>
        </w:tabs>
        <w:kinsoku/>
        <w:wordWrap/>
        <w:overflowPunct/>
        <w:topLinePunct w:val="0"/>
        <w:autoSpaceDE/>
        <w:autoSpaceDN/>
        <w:bidi w:val="0"/>
        <w:adjustRightInd/>
        <w:snapToGrid/>
        <w:spacing w:before="93" w:line="440" w:lineRule="exact"/>
        <w:ind w:firstLine="480" w:firstLineChars="200"/>
        <w:jc w:val="both"/>
        <w:textAlignment w:val="auto"/>
        <w:rPr>
          <w:rFonts w:hint="eastAsia" w:ascii="Calibri" w:hAnsi="Calibri"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（3）合同用款估算表</w:t>
      </w:r>
      <w:r>
        <w:rPr>
          <w:rFonts w:hint="eastAsia" w:ascii="Calibri" w:hAnsi="Calibri" w:cs="Times New Roman"/>
          <w:kern w:val="2"/>
          <w:sz w:val="24"/>
          <w:szCs w:val="24"/>
          <w:lang w:val="en-US" w:eastAsia="zh-CN" w:bidi="ar-SA"/>
        </w:rPr>
        <w:t>；</w:t>
      </w:r>
    </w:p>
    <w:p>
      <w:pPr>
        <w:keepNext w:val="0"/>
        <w:keepLines w:val="0"/>
        <w:pageBreakBefore w:val="0"/>
        <w:widowControl w:val="0"/>
        <w:numPr>
          <w:ilvl w:val="0"/>
          <w:numId w:val="0"/>
        </w:numPr>
        <w:tabs>
          <w:tab w:val="left" w:pos="1410"/>
        </w:tabs>
        <w:kinsoku/>
        <w:wordWrap/>
        <w:overflowPunct/>
        <w:topLinePunct w:val="0"/>
        <w:autoSpaceDE/>
        <w:autoSpaceDN/>
        <w:bidi w:val="0"/>
        <w:adjustRightInd/>
        <w:snapToGrid/>
        <w:spacing w:before="93" w:line="440" w:lineRule="exact"/>
        <w:ind w:firstLine="480" w:firstLineChars="200"/>
        <w:jc w:val="both"/>
        <w:textAlignment w:val="auto"/>
        <w:rPr>
          <w:rFonts w:hint="default"/>
          <w:lang w:val="en-US" w:eastAsia="zh-CN"/>
        </w:rPr>
      </w:pPr>
      <w:r>
        <w:rPr>
          <w:rFonts w:hint="eastAsia" w:ascii="Calibri" w:hAnsi="Calibri" w:eastAsia="宋体" w:cs="Times New Roman"/>
          <w:kern w:val="2"/>
          <w:sz w:val="24"/>
          <w:szCs w:val="24"/>
          <w:lang w:val="en-US" w:eastAsia="zh-CN" w:bidi="ar-SA"/>
        </w:rPr>
        <w:t>（4）最终报价单</w:t>
      </w:r>
      <w:r>
        <w:rPr>
          <w:rFonts w:hint="eastAsia" w:ascii="Calibri" w:hAnsi="Calibri" w:cs="Times New Roman"/>
          <w:kern w:val="2"/>
          <w:sz w:val="24"/>
          <w:szCs w:val="24"/>
          <w:lang w:val="en-US" w:eastAsia="zh-CN" w:bidi="ar-SA"/>
        </w:rPr>
        <w:t>。</w:t>
      </w:r>
    </w:p>
    <w:p>
      <w:pPr>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0" w:leftChars="0" w:right="232" w:firstLine="480" w:firstLineChars="200"/>
        <w:jc w:val="both"/>
        <w:textAlignment w:val="auto"/>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15.4 开标后各投标供应商需在公示期满后，另行提交纸质版响应文件（正本一份、副本二份）。须与电子版响应文件内容一致，纸质响应文件需留存备案将一律不予退还。</w:t>
      </w:r>
    </w:p>
    <w:p>
      <w:pPr>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480"/>
        <w:jc w:val="both"/>
        <w:textAlignment w:val="auto"/>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纸质版标书邮寄地址：新疆新疆巴州库尔勒市团结辖区兰干路18号吉恒大厦1栋1层01商铺（新疆汇力赋能项目管理有限责任公司）</w:t>
      </w:r>
    </w:p>
    <w:p>
      <w:pPr>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480"/>
        <w:jc w:val="both"/>
        <w:textAlignment w:val="auto"/>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收件人：方桦柯珺  联系电话：0996-2118336</w:t>
      </w:r>
    </w:p>
    <w:p>
      <w:pPr>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01" w:leftChars="46" w:right="232" w:firstLine="240" w:firstLineChars="100"/>
        <w:jc w:val="both"/>
        <w:textAlignment w:val="auto"/>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15.</w:t>
      </w:r>
      <w:r>
        <w:rPr>
          <w:rFonts w:hint="eastAsia" w:ascii="宋体" w:hAnsi="宋体" w:eastAsia="宋体" w:cs="Times New Roman"/>
          <w:sz w:val="24"/>
          <w:szCs w:val="24"/>
          <w:lang w:val="en-US" w:eastAsia="zh-CN" w:bidi="ar-SA"/>
        </w:rPr>
        <w:t>5</w:t>
      </w:r>
      <w:r>
        <w:rPr>
          <w:rFonts w:ascii="宋体" w:hAnsi="宋体" w:eastAsia="宋体" w:cs="Times New Roman"/>
          <w:sz w:val="24"/>
          <w:szCs w:val="24"/>
          <w:lang w:val="en-US" w:eastAsia="zh-CN" w:bidi="ar-SA"/>
        </w:rPr>
        <w:t xml:space="preserve"> </w:t>
      </w:r>
      <w:r>
        <w:rPr>
          <w:rFonts w:hint="eastAsia" w:ascii="宋体" w:hAnsi="宋体" w:eastAsia="宋体" w:cs="Times New Roman"/>
          <w:sz w:val="24"/>
          <w:szCs w:val="24"/>
          <w:lang w:val="en-US" w:eastAsia="zh-CN" w:bidi="ar-SA"/>
        </w:rPr>
        <w:t>若磋商供应商未按采购文件的要求提供资料，或未对采购文件做出实质性响应，将作为无效响应文件。</w:t>
      </w:r>
    </w:p>
    <w:p>
      <w:pPr>
        <w:widowControl w:val="0"/>
        <w:kinsoku w:val="0"/>
        <w:overflowPunct w:val="0"/>
        <w:autoSpaceDE w:val="0"/>
        <w:autoSpaceDN w:val="0"/>
        <w:adjustRightInd w:val="0"/>
        <w:spacing w:before="57" w:line="440" w:lineRule="exact"/>
        <w:ind w:left="0" w:right="232" w:firstLine="360" w:firstLineChars="150"/>
        <w:jc w:val="both"/>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15.</w:t>
      </w:r>
      <w:r>
        <w:rPr>
          <w:rFonts w:hint="eastAsia" w:ascii="宋体" w:hAnsi="宋体" w:eastAsia="宋体" w:cs="Times New Roman"/>
          <w:sz w:val="24"/>
          <w:szCs w:val="24"/>
          <w:lang w:val="en-US" w:eastAsia="zh-CN" w:bidi="ar-SA"/>
        </w:rPr>
        <w:t>6</w:t>
      </w:r>
      <w:r>
        <w:rPr>
          <w:rFonts w:ascii="宋体" w:hAnsi="宋体" w:eastAsia="宋体" w:cs="Times New Roman"/>
          <w:sz w:val="24"/>
          <w:szCs w:val="24"/>
          <w:lang w:val="en-US" w:eastAsia="zh-CN" w:bidi="ar-SA"/>
        </w:rPr>
        <w:t xml:space="preserve"> </w:t>
      </w:r>
      <w:r>
        <w:rPr>
          <w:rFonts w:hint="eastAsia" w:ascii="宋体" w:hAnsi="宋体" w:eastAsia="宋体" w:cs="Times New Roman"/>
          <w:sz w:val="24"/>
          <w:szCs w:val="24"/>
          <w:lang w:val="en-US" w:eastAsia="zh-CN" w:bidi="ar-SA"/>
        </w:rPr>
        <w:t>磋商响应文件出现下列情形之一的，采购人不予受理或被政采云平台拒收：</w:t>
      </w:r>
    </w:p>
    <w:p>
      <w:pPr>
        <w:widowControl w:val="0"/>
        <w:kinsoku w:val="0"/>
        <w:overflowPunct w:val="0"/>
        <w:autoSpaceDE w:val="0"/>
        <w:autoSpaceDN w:val="0"/>
        <w:adjustRightInd w:val="0"/>
        <w:spacing w:before="57" w:line="440" w:lineRule="exact"/>
        <w:ind w:left="111" w:right="232" w:firstLine="480"/>
        <w:jc w:val="both"/>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w:t>
      </w:r>
      <w:r>
        <w:rPr>
          <w:rFonts w:ascii="宋体" w:hAnsi="宋体" w:eastAsia="宋体" w:cs="Times New Roman"/>
          <w:sz w:val="24"/>
          <w:szCs w:val="24"/>
          <w:lang w:val="en-US" w:eastAsia="zh-CN" w:bidi="ar-SA"/>
        </w:rPr>
        <w:t>1</w:t>
      </w:r>
      <w:r>
        <w:rPr>
          <w:rFonts w:hint="eastAsia" w:ascii="宋体" w:hAnsi="宋体" w:eastAsia="宋体" w:cs="Times New Roman"/>
          <w:sz w:val="24"/>
          <w:szCs w:val="24"/>
          <w:lang w:val="en-US" w:eastAsia="zh-CN" w:bidi="ar-SA"/>
        </w:rPr>
        <w:t>）电子磋商响应文件未按磋商文件要求上传的；</w:t>
      </w:r>
    </w:p>
    <w:p>
      <w:pPr>
        <w:widowControl w:val="0"/>
        <w:kinsoku w:val="0"/>
        <w:overflowPunct w:val="0"/>
        <w:autoSpaceDE w:val="0"/>
        <w:autoSpaceDN w:val="0"/>
        <w:adjustRightInd w:val="0"/>
        <w:spacing w:before="57" w:line="440" w:lineRule="exact"/>
        <w:ind w:left="111" w:right="232" w:firstLine="480"/>
        <w:jc w:val="both"/>
        <w:rPr>
          <w:rFonts w:ascii="宋体" w:hAnsi="Times New Roman" w:eastAsia="Times New Roman" w:cs="Times New Roman"/>
          <w:sz w:val="24"/>
          <w:szCs w:val="24"/>
          <w:lang w:val="en-US" w:bidi="ar-SA"/>
        </w:rPr>
      </w:pPr>
      <w:r>
        <w:rPr>
          <w:rFonts w:hint="eastAsia" w:ascii="宋体" w:hAnsi="宋体" w:eastAsia="宋体" w:cs="Times New Roman"/>
          <w:sz w:val="24"/>
          <w:szCs w:val="24"/>
          <w:lang w:val="en-US" w:eastAsia="zh-CN" w:bidi="ar-SA"/>
        </w:rPr>
        <w:t>（</w:t>
      </w:r>
      <w:r>
        <w:rPr>
          <w:rFonts w:ascii="宋体" w:hAnsi="宋体" w:eastAsia="宋体" w:cs="Times New Roman"/>
          <w:sz w:val="24"/>
          <w:szCs w:val="24"/>
          <w:lang w:val="en-US" w:eastAsia="zh-CN" w:bidi="ar-SA"/>
        </w:rPr>
        <w:t>2</w:t>
      </w:r>
      <w:r>
        <w:rPr>
          <w:rFonts w:hint="eastAsia" w:ascii="宋体" w:hAnsi="宋体" w:eastAsia="宋体" w:cs="Times New Roman"/>
          <w:sz w:val="24"/>
          <w:szCs w:val="24"/>
          <w:lang w:val="en-US" w:eastAsia="zh-CN" w:bidi="ar-SA"/>
        </w:rPr>
        <w:t>）供应商未按照须知前附表规定的时间解密电子磋商响应文件，或解密失败又未提交备份响应文件的。</w:t>
      </w:r>
    </w:p>
    <w:p>
      <w:pPr>
        <w:adjustRightInd w:val="0"/>
        <w:spacing w:line="440" w:lineRule="exact"/>
        <w:ind w:firstLine="480" w:firstLineChars="200"/>
        <w:rPr>
          <w:rFonts w:ascii="宋体" w:hAnsi="Times New Roman" w:eastAsia="Times New Roman" w:cs="Times New Roman"/>
          <w:sz w:val="24"/>
          <w:szCs w:val="24"/>
          <w:lang w:val="en-US" w:bidi="ar-SA"/>
        </w:rPr>
      </w:pPr>
      <w:r>
        <w:rPr>
          <w:rFonts w:ascii="宋体" w:hAnsi="宋体" w:cs="Times New Roman"/>
          <w:sz w:val="24"/>
          <w:szCs w:val="24"/>
          <w:lang w:val="en-US" w:bidi="ar-SA"/>
        </w:rPr>
        <w:t>15.</w:t>
      </w:r>
      <w:r>
        <w:rPr>
          <w:rFonts w:hint="eastAsia" w:cs="Times New Roman"/>
          <w:sz w:val="24"/>
          <w:szCs w:val="24"/>
          <w:lang w:val="en-US" w:eastAsia="zh-CN" w:bidi="ar-SA"/>
        </w:rPr>
        <w:t>7</w:t>
      </w:r>
      <w:r>
        <w:rPr>
          <w:rFonts w:ascii="宋体" w:hAnsi="宋体" w:cs="Times New Roman"/>
          <w:sz w:val="24"/>
          <w:szCs w:val="24"/>
          <w:lang w:val="en-US" w:bidi="ar-SA"/>
        </w:rPr>
        <w:t xml:space="preserve"> </w:t>
      </w:r>
      <w:r>
        <w:rPr>
          <w:rFonts w:hint="eastAsia" w:ascii="宋体" w:hAnsi="宋体" w:cs="Times New Roman"/>
          <w:sz w:val="24"/>
          <w:szCs w:val="24"/>
          <w:lang w:val="en-US" w:bidi="ar-SA"/>
        </w:rPr>
        <w:t>响应文件封面要求</w:t>
      </w:r>
    </w:p>
    <w:p>
      <w:pPr>
        <w:adjustRightInd w:val="0"/>
        <w:spacing w:line="440" w:lineRule="exact"/>
        <w:ind w:firstLine="480" w:firstLineChars="200"/>
        <w:rPr>
          <w:rFonts w:ascii="宋体" w:hAnsi="Times New Roman" w:eastAsia="Times New Roman" w:cs="Times New Roman"/>
          <w:sz w:val="24"/>
          <w:szCs w:val="24"/>
          <w:lang w:val="en-US" w:bidi="ar-SA"/>
        </w:rPr>
      </w:pPr>
      <w:r>
        <w:rPr>
          <w:rFonts w:ascii="宋体" w:hAnsi="宋体" w:cs="Times New Roman"/>
          <w:sz w:val="24"/>
          <w:szCs w:val="24"/>
          <w:lang w:val="en-US" w:bidi="ar-SA"/>
        </w:rPr>
        <w:t>15.</w:t>
      </w:r>
      <w:r>
        <w:rPr>
          <w:rFonts w:hint="eastAsia" w:cs="Times New Roman"/>
          <w:sz w:val="24"/>
          <w:szCs w:val="24"/>
          <w:lang w:val="en-US" w:eastAsia="zh-CN" w:bidi="ar-SA"/>
        </w:rPr>
        <w:t>7</w:t>
      </w:r>
      <w:r>
        <w:rPr>
          <w:rFonts w:ascii="宋体" w:hAnsi="宋体" w:cs="Times New Roman"/>
          <w:sz w:val="24"/>
          <w:szCs w:val="24"/>
          <w:lang w:val="en-US" w:bidi="ar-SA"/>
        </w:rPr>
        <w:t xml:space="preserve">.1 </w:t>
      </w:r>
      <w:r>
        <w:rPr>
          <w:rFonts w:hint="eastAsia" w:ascii="宋体" w:hAnsi="宋体" w:cs="Times New Roman"/>
          <w:sz w:val="24"/>
          <w:szCs w:val="24"/>
          <w:lang w:val="en-US" w:eastAsia="zh-CN" w:bidi="ar-SA"/>
        </w:rPr>
        <w:t>响应文件</w:t>
      </w:r>
      <w:r>
        <w:rPr>
          <w:rFonts w:hint="eastAsia" w:ascii="宋体" w:hAnsi="宋体" w:cs="Times New Roman"/>
          <w:sz w:val="24"/>
          <w:szCs w:val="24"/>
          <w:lang w:val="en-US" w:bidi="ar-SA"/>
        </w:rPr>
        <w:t>封面应按磋商文件规定格式编制。</w:t>
      </w:r>
    </w:p>
    <w:p>
      <w:pPr>
        <w:adjustRightInd w:val="0"/>
        <w:spacing w:line="440" w:lineRule="exact"/>
        <w:ind w:firstLine="480" w:firstLineChars="200"/>
        <w:rPr>
          <w:rFonts w:ascii="宋体" w:hAnsi="Times New Roman" w:eastAsia="Times New Roman" w:cs="Times New Roman"/>
          <w:sz w:val="24"/>
          <w:szCs w:val="24"/>
          <w:lang w:val="en-US" w:bidi="ar-SA"/>
        </w:rPr>
      </w:pPr>
      <w:r>
        <w:rPr>
          <w:rFonts w:ascii="宋体" w:hAnsi="宋体" w:cs="Times New Roman"/>
          <w:sz w:val="24"/>
          <w:szCs w:val="24"/>
          <w:lang w:val="en-US" w:bidi="ar-SA"/>
        </w:rPr>
        <w:t>15.</w:t>
      </w:r>
      <w:r>
        <w:rPr>
          <w:rFonts w:hint="eastAsia" w:cs="Times New Roman"/>
          <w:sz w:val="24"/>
          <w:szCs w:val="24"/>
          <w:lang w:val="en-US" w:eastAsia="zh-CN" w:bidi="ar-SA"/>
        </w:rPr>
        <w:t>8</w:t>
      </w:r>
      <w:r>
        <w:rPr>
          <w:rFonts w:ascii="宋体" w:hAnsi="宋体" w:cs="Times New Roman"/>
          <w:sz w:val="24"/>
          <w:szCs w:val="24"/>
          <w:lang w:val="en-US" w:bidi="ar-SA"/>
        </w:rPr>
        <w:t xml:space="preserve"> </w:t>
      </w:r>
      <w:r>
        <w:rPr>
          <w:rFonts w:hint="eastAsia" w:ascii="宋体" w:hAnsi="宋体" w:cs="Times New Roman"/>
          <w:sz w:val="24"/>
          <w:szCs w:val="24"/>
          <w:lang w:val="en-US" w:bidi="ar-SA"/>
        </w:rPr>
        <w:t>响应文件目录要求</w:t>
      </w:r>
    </w:p>
    <w:p>
      <w:pPr>
        <w:adjustRightInd w:val="0"/>
        <w:spacing w:line="440" w:lineRule="exact"/>
        <w:ind w:firstLine="480" w:firstLineChars="200"/>
        <w:rPr>
          <w:rFonts w:ascii="宋体" w:hAnsi="Times New Roman" w:eastAsia="Times New Roman" w:cs="Times New Roman"/>
          <w:sz w:val="24"/>
          <w:szCs w:val="24"/>
          <w:lang w:val="en-US" w:bidi="ar-SA"/>
        </w:rPr>
      </w:pPr>
      <w:r>
        <w:rPr>
          <w:rFonts w:ascii="宋体" w:hAnsi="宋体" w:cs="Times New Roman"/>
          <w:sz w:val="24"/>
          <w:szCs w:val="24"/>
          <w:lang w:val="en-US" w:bidi="ar-SA"/>
        </w:rPr>
        <w:t>15.</w:t>
      </w:r>
      <w:r>
        <w:rPr>
          <w:rFonts w:hint="eastAsia" w:cs="Times New Roman"/>
          <w:sz w:val="24"/>
          <w:szCs w:val="24"/>
          <w:lang w:val="en-US" w:eastAsia="zh-CN" w:bidi="ar-SA"/>
        </w:rPr>
        <w:t>8</w:t>
      </w:r>
      <w:r>
        <w:rPr>
          <w:rFonts w:ascii="宋体" w:hAnsi="宋体" w:cs="Times New Roman"/>
          <w:sz w:val="24"/>
          <w:szCs w:val="24"/>
          <w:lang w:val="en-US" w:bidi="ar-SA"/>
        </w:rPr>
        <w:t xml:space="preserve">.1 </w:t>
      </w:r>
      <w:r>
        <w:rPr>
          <w:rFonts w:hint="eastAsia" w:ascii="宋体" w:hAnsi="宋体" w:cs="Times New Roman"/>
          <w:sz w:val="24"/>
          <w:szCs w:val="24"/>
          <w:lang w:val="en-US" w:bidi="ar-SA"/>
        </w:rPr>
        <w:t>为便于评审，</w:t>
      </w:r>
      <w:r>
        <w:rPr>
          <w:rFonts w:hint="eastAsia" w:ascii="宋体" w:hAnsi="宋体" w:cs="Times New Roman"/>
          <w:sz w:val="24"/>
          <w:szCs w:val="24"/>
          <w:lang w:val="en-US" w:eastAsia="zh-CN" w:bidi="ar-SA"/>
        </w:rPr>
        <w:t>响应文件</w:t>
      </w:r>
      <w:r>
        <w:rPr>
          <w:rFonts w:hint="eastAsia" w:ascii="宋体" w:hAnsi="宋体" w:cs="Times New Roman"/>
          <w:sz w:val="24"/>
          <w:szCs w:val="24"/>
          <w:lang w:val="en-US" w:bidi="ar-SA"/>
        </w:rPr>
        <w:t>目录宜按本磋商文件相关内容先后顺序编排。</w:t>
      </w:r>
    </w:p>
    <w:p>
      <w:pPr>
        <w:widowControl w:val="0"/>
        <w:kinsoku w:val="0"/>
        <w:overflowPunct w:val="0"/>
        <w:autoSpaceDE w:val="0"/>
        <w:autoSpaceDN w:val="0"/>
        <w:adjustRightInd w:val="0"/>
        <w:spacing w:line="440" w:lineRule="exact"/>
        <w:ind w:left="591" w:right="5091"/>
        <w:rPr>
          <w:rFonts w:ascii="宋体" w:hAnsi="宋体" w:eastAsia="Times New Roman" w:cs="Times New Roman"/>
          <w:sz w:val="24"/>
          <w:szCs w:val="24"/>
          <w:lang w:val="en-US" w:eastAsia="zh-CN" w:bidi="ar-SA"/>
        </w:rPr>
      </w:pPr>
      <w:r>
        <w:rPr>
          <w:rFonts w:ascii="宋体" w:hAnsi="宋体" w:eastAsia="宋体" w:cs="Times New Roman"/>
          <w:b/>
          <w:sz w:val="24"/>
          <w:szCs w:val="24"/>
          <w:lang w:val="en-US" w:eastAsia="zh-CN" w:bidi="ar-SA"/>
        </w:rPr>
        <w:t>16</w:t>
      </w:r>
      <w:r>
        <w:rPr>
          <w:rFonts w:hint="eastAsia" w:ascii="宋体" w:hAnsi="宋体" w:eastAsia="宋体" w:cs="Times New Roman"/>
          <w:b/>
          <w:sz w:val="24"/>
          <w:szCs w:val="24"/>
          <w:lang w:val="en-US" w:eastAsia="zh-CN" w:bidi="ar-SA"/>
        </w:rPr>
        <w:t>、响应文件格式</w:t>
      </w:r>
    </w:p>
    <w:p>
      <w:pPr>
        <w:widowControl w:val="0"/>
        <w:kinsoku w:val="0"/>
        <w:overflowPunct w:val="0"/>
        <w:autoSpaceDE w:val="0"/>
        <w:autoSpaceDN w:val="0"/>
        <w:adjustRightInd w:val="0"/>
        <w:spacing w:before="57" w:line="440" w:lineRule="exact"/>
        <w:ind w:left="111" w:right="232" w:firstLine="480"/>
        <w:jc w:val="both"/>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16.1</w:t>
      </w:r>
      <w:r>
        <w:rPr>
          <w:rFonts w:hint="eastAsia" w:ascii="宋体" w:hAnsi="宋体" w:eastAsia="宋体" w:cs="Times New Roman"/>
          <w:sz w:val="24"/>
          <w:szCs w:val="24"/>
          <w:lang w:val="en-US" w:eastAsia="zh-CN" w:bidi="ar-SA"/>
        </w:rPr>
        <w:t>响应文件包括本须知第</w:t>
      </w:r>
      <w:r>
        <w:rPr>
          <w:rFonts w:ascii="宋体" w:hAnsi="宋体" w:eastAsia="宋体" w:cs="Times New Roman"/>
          <w:sz w:val="24"/>
          <w:szCs w:val="24"/>
          <w:lang w:val="en-US" w:eastAsia="zh-CN" w:bidi="ar-SA"/>
        </w:rPr>
        <w:t>15</w:t>
      </w:r>
      <w:r>
        <w:rPr>
          <w:rFonts w:hint="eastAsia" w:ascii="宋体" w:hAnsi="宋体" w:eastAsia="宋体" w:cs="Times New Roman"/>
          <w:sz w:val="24"/>
          <w:szCs w:val="24"/>
          <w:lang w:val="en-US" w:eastAsia="zh-CN" w:bidi="ar-SA"/>
        </w:rPr>
        <w:t>条中规定的内容，供应商提交的响应文件应当使用磋商文件所提供的响应文件全部格式（表格可以按同样格式扩展）。</w:t>
      </w:r>
    </w:p>
    <w:p>
      <w:pPr>
        <w:widowControl w:val="0"/>
        <w:kinsoku w:val="0"/>
        <w:overflowPunct w:val="0"/>
        <w:autoSpaceDE w:val="0"/>
        <w:autoSpaceDN w:val="0"/>
        <w:adjustRightInd w:val="0"/>
        <w:spacing w:before="56" w:line="440" w:lineRule="exact"/>
        <w:ind w:left="591"/>
        <w:outlineLvl w:val="4"/>
        <w:rPr>
          <w:rFonts w:ascii="宋体" w:hAnsi="宋体" w:eastAsia="Times New Roman" w:cs="Times New Roman"/>
          <w:b/>
          <w:sz w:val="24"/>
          <w:szCs w:val="24"/>
          <w:lang w:val="en-US" w:eastAsia="zh-CN" w:bidi="ar-SA"/>
        </w:rPr>
      </w:pPr>
      <w:r>
        <w:rPr>
          <w:rFonts w:ascii="宋体" w:hAnsi="宋体" w:eastAsia="宋体" w:cs="Times New Roman"/>
          <w:b/>
          <w:sz w:val="24"/>
          <w:szCs w:val="24"/>
          <w:lang w:val="en-US" w:eastAsia="zh-CN" w:bidi="ar-SA"/>
        </w:rPr>
        <w:t>17</w:t>
      </w:r>
      <w:r>
        <w:rPr>
          <w:rFonts w:hint="eastAsia" w:ascii="宋体" w:hAnsi="宋体" w:eastAsia="宋体" w:cs="Times New Roman"/>
          <w:b/>
          <w:sz w:val="24"/>
          <w:szCs w:val="24"/>
          <w:lang w:val="en-US" w:eastAsia="zh-CN" w:bidi="ar-SA"/>
        </w:rPr>
        <w:t>、投标报价</w:t>
      </w:r>
    </w:p>
    <w:p>
      <w:pPr>
        <w:keepNext w:val="0"/>
        <w:keepLines w:val="0"/>
        <w:pageBreakBefore w:val="0"/>
        <w:widowControl w:val="0"/>
        <w:numPr>
          <w:ilvl w:val="0"/>
          <w:numId w:val="0"/>
        </w:numPr>
        <w:tabs>
          <w:tab w:val="left" w:pos="1409"/>
        </w:tabs>
        <w:wordWrap/>
        <w:topLinePunct w:val="0"/>
        <w:autoSpaceDE/>
        <w:autoSpaceDN/>
        <w:bidi w:val="0"/>
        <w:adjustRightInd/>
        <w:snapToGrid/>
        <w:spacing w:before="1" w:line="440" w:lineRule="exact"/>
        <w:ind w:right="289" w:rightChars="0" w:firstLine="678" w:firstLineChars="3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7"/>
          <w:kern w:val="2"/>
          <w:sz w:val="24"/>
          <w:szCs w:val="24"/>
          <w:lang w:val="en-US" w:eastAsia="zh-CN" w:bidi="ar-SA"/>
        </w:rPr>
        <w:t>17.1投标报价应包括国家规定的增值税税金，除磋商须知前附表另有规定外，</w:t>
      </w:r>
      <w:r>
        <w:rPr>
          <w:rFonts w:hint="eastAsia" w:ascii="宋体" w:hAnsi="宋体" w:eastAsia="宋体" w:cs="宋体"/>
          <w:spacing w:val="-5"/>
          <w:kern w:val="2"/>
          <w:sz w:val="24"/>
          <w:szCs w:val="24"/>
          <w:lang w:val="en-US" w:eastAsia="zh-CN" w:bidi="ar-SA"/>
        </w:rPr>
        <w:t>发票类型要求为增值税专用发票。投标供应商应按第</w:t>
      </w:r>
      <w:r>
        <w:rPr>
          <w:rFonts w:hint="eastAsia" w:cs="宋体"/>
          <w:spacing w:val="-5"/>
          <w:kern w:val="2"/>
          <w:sz w:val="24"/>
          <w:szCs w:val="24"/>
          <w:lang w:val="en-US" w:eastAsia="zh-CN" w:bidi="ar-SA"/>
        </w:rPr>
        <w:t>七</w:t>
      </w:r>
      <w:r>
        <w:rPr>
          <w:rFonts w:hint="eastAsia" w:ascii="宋体" w:hAnsi="宋体" w:eastAsia="宋体" w:cs="宋体"/>
          <w:spacing w:val="-5"/>
          <w:kern w:val="2"/>
          <w:sz w:val="24"/>
          <w:szCs w:val="24"/>
          <w:lang w:val="en-US" w:eastAsia="zh-CN" w:bidi="ar-SA"/>
        </w:rPr>
        <w:t>章</w:t>
      </w:r>
      <w:r>
        <w:rPr>
          <w:rFonts w:hint="eastAsia" w:ascii="宋体" w:hAnsi="宋体" w:eastAsia="宋体" w:cs="宋体"/>
          <w:kern w:val="2"/>
          <w:sz w:val="24"/>
          <w:szCs w:val="24"/>
          <w:lang w:val="en-US" w:eastAsia="zh-CN" w:bidi="ar-SA"/>
        </w:rPr>
        <w:t>“响应文件格式”的要求在投标函中进行报价并填写工程量清单相应表格。</w:t>
      </w:r>
    </w:p>
    <w:p>
      <w:pPr>
        <w:keepNext w:val="0"/>
        <w:keepLines w:val="0"/>
        <w:pageBreakBefore w:val="0"/>
        <w:widowControl w:val="0"/>
        <w:wordWrap/>
        <w:topLinePunct w:val="0"/>
        <w:autoSpaceDE w:val="0"/>
        <w:autoSpaceDN w:val="0"/>
        <w:bidi w:val="0"/>
        <w:adjustRightInd w:val="0"/>
        <w:snapToGrid/>
        <w:spacing w:line="440" w:lineRule="exact"/>
        <w:ind w:left="591" w:right="289"/>
        <w:textAlignment w:val="auto"/>
        <w:rPr>
          <w:rFonts w:hint="eastAsia" w:ascii="宋体" w:hAnsi="宋体" w:eastAsia="宋体" w:cs="宋体"/>
          <w:spacing w:val="-13"/>
          <w:sz w:val="24"/>
          <w:szCs w:val="24"/>
          <w:lang w:val="en-US" w:eastAsia="zh-CN" w:bidi="ar-SA"/>
        </w:rPr>
      </w:pPr>
      <w:r>
        <w:rPr>
          <w:rFonts w:hint="eastAsia" w:ascii="宋体" w:hAnsi="宋体" w:eastAsia="宋体" w:cs="宋体"/>
          <w:spacing w:val="-7"/>
          <w:sz w:val="24"/>
          <w:szCs w:val="24"/>
          <w:lang w:val="en-US" w:eastAsia="zh-CN" w:bidi="ar-SA"/>
        </w:rPr>
        <w:t>本项目招标采用工程量固化清单，采购人向投标供应商提供工</w:t>
      </w:r>
      <w:r>
        <w:rPr>
          <w:rFonts w:hint="eastAsia" w:ascii="宋体" w:hAnsi="宋体" w:eastAsia="宋体" w:cs="宋体"/>
          <w:spacing w:val="-13"/>
          <w:sz w:val="24"/>
          <w:szCs w:val="24"/>
          <w:lang w:val="en-US" w:eastAsia="zh-CN" w:bidi="ar-SA"/>
        </w:rPr>
        <w:t>程量固化清单电子文件。投</w:t>
      </w:r>
    </w:p>
    <w:p>
      <w:pPr>
        <w:keepNext w:val="0"/>
        <w:keepLines w:val="0"/>
        <w:pageBreakBefore w:val="0"/>
        <w:widowControl w:val="0"/>
        <w:wordWrap/>
        <w:topLinePunct w:val="0"/>
        <w:autoSpaceDE w:val="0"/>
        <w:autoSpaceDN w:val="0"/>
        <w:bidi w:val="0"/>
        <w:adjustRightInd w:val="0"/>
        <w:snapToGrid/>
        <w:spacing w:line="440" w:lineRule="exact"/>
        <w:ind w:right="289"/>
        <w:textAlignment w:val="auto"/>
        <w:rPr>
          <w:rFonts w:hint="eastAsia" w:ascii="宋体" w:hAnsi="宋体" w:eastAsia="宋体" w:cs="宋体"/>
          <w:sz w:val="24"/>
          <w:szCs w:val="24"/>
          <w:lang w:val="en-US" w:eastAsia="zh-CN" w:bidi="ar-SA"/>
        </w:rPr>
      </w:pPr>
      <w:r>
        <w:rPr>
          <w:rFonts w:hint="eastAsia" w:ascii="宋体" w:hAnsi="宋体" w:eastAsia="宋体" w:cs="宋体"/>
          <w:spacing w:val="-15"/>
          <w:sz w:val="24"/>
          <w:szCs w:val="24"/>
          <w:lang w:val="en-US" w:eastAsia="zh-CN" w:bidi="ar-SA"/>
        </w:rPr>
        <w:t>标供应商填写工程量清单中各子目的单价及总额价，即可完</w:t>
      </w:r>
      <w:r>
        <w:rPr>
          <w:rFonts w:hint="eastAsia" w:ascii="宋体" w:hAnsi="宋体" w:eastAsia="宋体" w:cs="宋体"/>
          <w:spacing w:val="-21"/>
          <w:sz w:val="24"/>
          <w:szCs w:val="24"/>
          <w:lang w:val="en-US" w:eastAsia="zh-CN" w:bidi="ar-SA"/>
        </w:rPr>
        <w:t>成投标工程量清单的编制，确定投标报价，并打印出投标工程量清单，编入响应文件。</w:t>
      </w:r>
      <w:r>
        <w:rPr>
          <w:rFonts w:hint="eastAsia" w:ascii="宋体" w:hAnsi="宋体" w:eastAsia="宋体" w:cs="宋体"/>
          <w:spacing w:val="-4"/>
          <w:sz w:val="24"/>
          <w:szCs w:val="24"/>
          <w:lang w:val="en-US" w:eastAsia="zh-CN" w:bidi="ar-SA"/>
        </w:rPr>
        <w:t>投标供应商未在工程量清单中填入单价或总额价的工程子目，将被认为其已包含在工程量清单其他子目的单价和总额价中，采购人将不予支付。</w:t>
      </w:r>
    </w:p>
    <w:p>
      <w:pPr>
        <w:keepNext w:val="0"/>
        <w:keepLines w:val="0"/>
        <w:pageBreakBefore w:val="0"/>
        <w:widowControl w:val="0"/>
        <w:wordWrap/>
        <w:topLinePunct w:val="0"/>
        <w:autoSpaceDE w:val="0"/>
        <w:autoSpaceDN w:val="0"/>
        <w:bidi w:val="0"/>
        <w:adjustRightInd w:val="0"/>
        <w:snapToGrid/>
        <w:spacing w:before="2" w:line="440" w:lineRule="exact"/>
        <w:ind w:left="591" w:right="316"/>
        <w:textAlignment w:val="auto"/>
        <w:rPr>
          <w:rFonts w:hint="eastAsia" w:ascii="宋体" w:hAnsi="宋体" w:eastAsia="宋体" w:cs="宋体"/>
          <w:spacing w:val="-1"/>
          <w:sz w:val="24"/>
          <w:szCs w:val="24"/>
          <w:lang w:val="en-US" w:eastAsia="zh-CN" w:bidi="ar-SA"/>
        </w:rPr>
      </w:pPr>
      <w:r>
        <w:rPr>
          <w:rFonts w:hint="eastAsia" w:ascii="宋体" w:hAnsi="宋体" w:eastAsia="宋体" w:cs="宋体"/>
          <w:spacing w:val="-4"/>
          <w:sz w:val="24"/>
          <w:szCs w:val="24"/>
          <w:lang w:val="en-US" w:eastAsia="zh-CN" w:bidi="ar-SA"/>
        </w:rPr>
        <w:t>投标供应商必须严格遵循工程量固化清单电子文件中的数据、格式及运算定义</w:t>
      </w:r>
      <w:r>
        <w:rPr>
          <w:rFonts w:hint="eastAsia" w:ascii="宋体" w:hAnsi="宋体" w:eastAsia="宋体" w:cs="宋体"/>
          <w:spacing w:val="-1"/>
          <w:sz w:val="24"/>
          <w:szCs w:val="24"/>
          <w:lang w:val="en-US" w:eastAsia="zh-CN" w:bidi="ar-SA"/>
        </w:rPr>
        <w:t>。严禁</w:t>
      </w:r>
    </w:p>
    <w:p>
      <w:pPr>
        <w:keepNext w:val="0"/>
        <w:keepLines w:val="0"/>
        <w:pageBreakBefore w:val="0"/>
        <w:widowControl w:val="0"/>
        <w:wordWrap/>
        <w:topLinePunct w:val="0"/>
        <w:autoSpaceDE w:val="0"/>
        <w:autoSpaceDN w:val="0"/>
        <w:bidi w:val="0"/>
        <w:adjustRightInd w:val="0"/>
        <w:snapToGrid/>
        <w:spacing w:before="2" w:line="440" w:lineRule="exact"/>
        <w:ind w:right="316"/>
        <w:textAlignment w:val="auto"/>
        <w:rPr>
          <w:rFonts w:hint="eastAsia" w:ascii="宋体" w:hAnsi="宋体" w:eastAsia="宋体" w:cs="宋体"/>
          <w:sz w:val="24"/>
          <w:szCs w:val="24"/>
          <w:lang w:val="en-US" w:eastAsia="zh-CN" w:bidi="ar-SA"/>
        </w:rPr>
      </w:pPr>
      <w:r>
        <w:rPr>
          <w:rFonts w:hint="eastAsia" w:ascii="宋体" w:hAnsi="宋体" w:eastAsia="宋体" w:cs="宋体"/>
          <w:spacing w:val="-1"/>
          <w:sz w:val="24"/>
          <w:szCs w:val="24"/>
          <w:lang w:val="en-US" w:eastAsia="zh-CN" w:bidi="ar-SA"/>
        </w:rPr>
        <w:t>投标供应商修改工程量固化清单电子文件中的数据、格式及运算定义。</w:t>
      </w:r>
    </w:p>
    <w:p>
      <w:pPr>
        <w:keepNext w:val="0"/>
        <w:keepLines w:val="0"/>
        <w:pageBreakBefore w:val="0"/>
        <w:widowControl w:val="0"/>
        <w:kinsoku/>
        <w:wordWrap/>
        <w:overflowPunct/>
        <w:topLinePunct w:val="0"/>
        <w:autoSpaceDE w:val="0"/>
        <w:autoSpaceDN w:val="0"/>
        <w:bidi w:val="0"/>
        <w:adjustRightInd w:val="0"/>
        <w:snapToGrid/>
        <w:spacing w:before="1" w:line="440" w:lineRule="exact"/>
        <w:ind w:left="591" w:right="409"/>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投标供应商根据采购人提供的工程量固化清单电子文件填报完成并打印的投标工</w:t>
      </w:r>
    </w:p>
    <w:p>
      <w:pPr>
        <w:keepNext w:val="0"/>
        <w:keepLines w:val="0"/>
        <w:pageBreakBefore w:val="0"/>
        <w:widowControl w:val="0"/>
        <w:kinsoku/>
        <w:wordWrap/>
        <w:overflowPunct/>
        <w:topLinePunct w:val="0"/>
        <w:autoSpaceDE w:val="0"/>
        <w:autoSpaceDN w:val="0"/>
        <w:bidi w:val="0"/>
        <w:adjustRightInd w:val="0"/>
        <w:snapToGrid/>
        <w:spacing w:before="1" w:line="440" w:lineRule="exact"/>
        <w:ind w:right="409"/>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程</w:t>
      </w:r>
      <w:r>
        <w:rPr>
          <w:rFonts w:hint="eastAsia" w:ascii="宋体" w:hAnsi="宋体" w:eastAsia="宋体" w:cs="宋体"/>
          <w:spacing w:val="-5"/>
          <w:sz w:val="24"/>
          <w:szCs w:val="24"/>
          <w:lang w:val="en-US" w:eastAsia="zh-CN" w:bidi="ar-SA"/>
        </w:rPr>
        <w:t>量清单中的投标报价和投标函大写金额报价应一致，如果报价金额出现差异，</w:t>
      </w:r>
      <w:r>
        <w:rPr>
          <w:rFonts w:hint="eastAsia" w:ascii="宋体" w:hAnsi="宋体" w:eastAsia="宋体" w:cs="宋体"/>
          <w:b/>
          <w:spacing w:val="-6"/>
          <w:sz w:val="24"/>
          <w:szCs w:val="24"/>
          <w:lang w:val="en-US" w:eastAsia="zh-CN" w:bidi="ar-SA"/>
        </w:rPr>
        <w:t>其投标</w:t>
      </w:r>
      <w:r>
        <w:rPr>
          <w:rFonts w:hint="eastAsia" w:ascii="宋体" w:hAnsi="宋体" w:eastAsia="宋体" w:cs="宋体"/>
          <w:b/>
          <w:sz w:val="24"/>
          <w:szCs w:val="24"/>
          <w:lang w:val="en-US" w:eastAsia="zh-CN" w:bidi="ar-SA"/>
        </w:rPr>
        <w:t>将被否决</w:t>
      </w:r>
      <w:r>
        <w:rPr>
          <w:rFonts w:hint="eastAsia" w:ascii="宋体" w:hAnsi="宋体" w:eastAsia="宋体" w:cs="宋体"/>
          <w:sz w:val="24"/>
          <w:szCs w:val="24"/>
          <w:lang w:val="en-US" w:eastAsia="zh-CN" w:bidi="ar-SA"/>
        </w:rPr>
        <w:t>。</w:t>
      </w:r>
    </w:p>
    <w:p>
      <w:pPr>
        <w:keepNext w:val="0"/>
        <w:keepLines w:val="0"/>
        <w:pageBreakBefore w:val="0"/>
        <w:widowControl w:val="0"/>
        <w:numPr>
          <w:ilvl w:val="0"/>
          <w:numId w:val="0"/>
        </w:numPr>
        <w:tabs>
          <w:tab w:val="left" w:pos="1409"/>
        </w:tabs>
        <w:kinsoku/>
        <w:wordWrap/>
        <w:overflowPunct/>
        <w:topLinePunct w:val="0"/>
        <w:autoSpaceDE/>
        <w:autoSpaceDN/>
        <w:bidi w:val="0"/>
        <w:adjustRightInd/>
        <w:snapToGrid/>
        <w:spacing w:line="440" w:lineRule="exact"/>
        <w:ind w:leftChars="200" w:right="676" w:rightChars="0" w:firstLine="238" w:firstLineChars="100"/>
        <w:jc w:val="both"/>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17.2工程中涉及的工程一切险和第三方责任险等保险由投标供应商中标后自行</w:t>
      </w:r>
    </w:p>
    <w:p>
      <w:pPr>
        <w:keepNext w:val="0"/>
        <w:keepLines w:val="0"/>
        <w:pageBreakBefore w:val="0"/>
        <w:widowControl w:val="0"/>
        <w:numPr>
          <w:ilvl w:val="0"/>
          <w:numId w:val="0"/>
        </w:numPr>
        <w:tabs>
          <w:tab w:val="left" w:pos="1409"/>
        </w:tabs>
        <w:kinsoku/>
        <w:wordWrap/>
        <w:overflowPunct/>
        <w:topLinePunct w:val="0"/>
        <w:autoSpaceDE/>
        <w:autoSpaceDN/>
        <w:bidi w:val="0"/>
        <w:adjustRightInd/>
        <w:snapToGrid/>
        <w:spacing w:line="440" w:lineRule="exact"/>
        <w:ind w:right="676" w:right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1"/>
          <w:kern w:val="2"/>
          <w:sz w:val="24"/>
          <w:szCs w:val="24"/>
          <w:lang w:val="en-US" w:eastAsia="zh-CN" w:bidi="ar-SA"/>
        </w:rPr>
        <w:t>投</w:t>
      </w:r>
      <w:r>
        <w:rPr>
          <w:rFonts w:hint="eastAsia" w:ascii="宋体" w:hAnsi="宋体" w:eastAsia="宋体" w:cs="宋体"/>
          <w:kern w:val="2"/>
          <w:sz w:val="24"/>
          <w:szCs w:val="24"/>
          <w:lang w:val="en-US" w:eastAsia="zh-CN" w:bidi="ar-SA"/>
        </w:rPr>
        <w:t>保，保险费包含在所报的单价或总额价中。</w:t>
      </w:r>
    </w:p>
    <w:p>
      <w:pPr>
        <w:keepNext w:val="0"/>
        <w:keepLines w:val="0"/>
        <w:pageBreakBefore w:val="0"/>
        <w:widowControl w:val="0"/>
        <w:numPr>
          <w:ilvl w:val="0"/>
          <w:numId w:val="0"/>
        </w:numPr>
        <w:tabs>
          <w:tab w:val="left" w:pos="1409"/>
        </w:tabs>
        <w:kinsoku/>
        <w:wordWrap/>
        <w:overflowPunct/>
        <w:topLinePunct w:val="0"/>
        <w:autoSpaceDE/>
        <w:autoSpaceDN/>
        <w:bidi w:val="0"/>
        <w:adjustRightInd/>
        <w:snapToGrid/>
        <w:spacing w:before="74" w:line="440" w:lineRule="exact"/>
        <w:ind w:left="660" w:leftChars="300" w:right="409" w:rightChars="0" w:firstLine="0" w:firstLineChars="0"/>
        <w:jc w:val="both"/>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kern w:val="2"/>
          <w:sz w:val="24"/>
          <w:szCs w:val="24"/>
          <w:lang w:val="en-US" w:eastAsia="zh-CN" w:bidi="ar-SA"/>
        </w:rPr>
        <w:t>17.3投标供应商应充分了解本项目的总体情况以及影响投标报价的其他要素。17.4投标供应商在磋商时间截止前修改投</w:t>
      </w:r>
      <w:r>
        <w:rPr>
          <w:rFonts w:hint="eastAsia" w:ascii="宋体" w:hAnsi="宋体" w:eastAsia="宋体" w:cs="宋体"/>
          <w:spacing w:val="-4"/>
          <w:kern w:val="2"/>
          <w:sz w:val="24"/>
          <w:szCs w:val="24"/>
          <w:lang w:val="en-US" w:eastAsia="zh-CN" w:bidi="ar-SA"/>
        </w:rPr>
        <w:t>标函中的投标总报价，应同时修改响应文</w:t>
      </w:r>
    </w:p>
    <w:p>
      <w:pPr>
        <w:keepNext w:val="0"/>
        <w:keepLines w:val="0"/>
        <w:pageBreakBefore w:val="0"/>
        <w:widowControl w:val="0"/>
        <w:numPr>
          <w:ilvl w:val="0"/>
          <w:numId w:val="0"/>
        </w:numPr>
        <w:tabs>
          <w:tab w:val="left" w:pos="1409"/>
        </w:tabs>
        <w:kinsoku/>
        <w:wordWrap/>
        <w:overflowPunct/>
        <w:topLinePunct w:val="0"/>
        <w:autoSpaceDE/>
        <w:autoSpaceDN/>
        <w:bidi w:val="0"/>
        <w:adjustRightInd/>
        <w:snapToGrid/>
        <w:spacing w:before="74" w:line="440" w:lineRule="exact"/>
        <w:ind w:right="409" w:right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4"/>
          <w:kern w:val="2"/>
          <w:sz w:val="24"/>
          <w:szCs w:val="24"/>
          <w:lang w:val="en-US" w:eastAsia="zh-CN" w:bidi="ar-SA"/>
        </w:rPr>
        <w:t>件</w:t>
      </w:r>
      <w:r>
        <w:rPr>
          <w:rFonts w:hint="eastAsia" w:ascii="宋体" w:hAnsi="宋体" w:eastAsia="宋体" w:cs="宋体"/>
          <w:kern w:val="2"/>
          <w:sz w:val="24"/>
          <w:szCs w:val="24"/>
          <w:lang w:val="en-US" w:eastAsia="zh-CN" w:bidi="ar-SA"/>
        </w:rPr>
        <w:t>“已标价工程量清单”</w:t>
      </w:r>
      <w:r>
        <w:rPr>
          <w:rFonts w:hint="eastAsia" w:ascii="宋体" w:hAnsi="宋体" w:eastAsia="宋体" w:cs="宋体"/>
          <w:spacing w:val="-7"/>
          <w:kern w:val="2"/>
          <w:sz w:val="24"/>
          <w:szCs w:val="24"/>
          <w:lang w:val="en-US" w:eastAsia="zh-CN" w:bidi="ar-SA"/>
        </w:rPr>
        <w:t>中的相应报价。</w:t>
      </w:r>
    </w:p>
    <w:p>
      <w:pPr>
        <w:keepNext w:val="0"/>
        <w:keepLines w:val="0"/>
        <w:pageBreakBefore w:val="0"/>
        <w:widowControl w:val="0"/>
        <w:numPr>
          <w:ilvl w:val="0"/>
          <w:numId w:val="0"/>
        </w:numPr>
        <w:tabs>
          <w:tab w:val="left" w:pos="1409"/>
        </w:tabs>
        <w:wordWrap/>
        <w:topLinePunct w:val="0"/>
        <w:autoSpaceDE/>
        <w:autoSpaceDN/>
        <w:bidi w:val="0"/>
        <w:adjustRightInd/>
        <w:snapToGrid/>
        <w:spacing w:before="1" w:line="440" w:lineRule="exact"/>
        <w:ind w:leftChars="200" w:right="409" w:rightChars="0" w:firstLine="240" w:firstLineChars="1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17.5投标供应商如果发现工程量清单中的数量与图纸中数量不一致时，应立即通</w:t>
      </w:r>
    </w:p>
    <w:p>
      <w:pPr>
        <w:keepNext w:val="0"/>
        <w:keepLines w:val="0"/>
        <w:pageBreakBefore w:val="0"/>
        <w:widowControl w:val="0"/>
        <w:numPr>
          <w:ilvl w:val="0"/>
          <w:numId w:val="0"/>
        </w:numPr>
        <w:tabs>
          <w:tab w:val="left" w:pos="1409"/>
        </w:tabs>
        <w:wordWrap/>
        <w:topLinePunct w:val="0"/>
        <w:autoSpaceDE/>
        <w:autoSpaceDN/>
        <w:bidi w:val="0"/>
        <w:adjustRightInd/>
        <w:snapToGrid/>
        <w:spacing w:before="1" w:line="440" w:lineRule="exact"/>
        <w:ind w:right="409" w:right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知</w:t>
      </w:r>
      <w:r>
        <w:rPr>
          <w:rFonts w:hint="eastAsia" w:ascii="宋体" w:hAnsi="宋体" w:eastAsia="宋体" w:cs="宋体"/>
          <w:spacing w:val="-10"/>
          <w:kern w:val="2"/>
          <w:sz w:val="24"/>
          <w:szCs w:val="24"/>
          <w:lang w:val="en-US" w:eastAsia="zh-CN" w:bidi="ar-SA"/>
        </w:rPr>
        <w:t>采购人核查，除非采购人以书面方式予以更正，否则，应以工程量清单中列出的数量</w:t>
      </w:r>
      <w:r>
        <w:rPr>
          <w:rFonts w:hint="eastAsia" w:ascii="宋体" w:hAnsi="宋体" w:eastAsia="宋体" w:cs="宋体"/>
          <w:kern w:val="2"/>
          <w:sz w:val="24"/>
          <w:szCs w:val="24"/>
          <w:lang w:val="en-US" w:eastAsia="zh-CN" w:bidi="ar-SA"/>
        </w:rPr>
        <w:t>为准。</w:t>
      </w:r>
    </w:p>
    <w:p>
      <w:pPr>
        <w:keepNext w:val="0"/>
        <w:keepLines w:val="0"/>
        <w:pageBreakBefore w:val="0"/>
        <w:widowControl w:val="0"/>
        <w:numPr>
          <w:ilvl w:val="0"/>
          <w:numId w:val="0"/>
        </w:numPr>
        <w:tabs>
          <w:tab w:val="left" w:pos="1409"/>
        </w:tabs>
        <w:wordWrap/>
        <w:topLinePunct w:val="0"/>
        <w:autoSpaceDE/>
        <w:autoSpaceDN/>
        <w:bidi w:val="0"/>
        <w:adjustRightInd/>
        <w:snapToGrid/>
        <w:spacing w:before="1" w:line="440" w:lineRule="exact"/>
        <w:ind w:right="376" w:rightChars="0" w:firstLine="720" w:firstLineChars="3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kern w:val="2"/>
          <w:sz w:val="24"/>
          <w:szCs w:val="24"/>
          <w:lang w:val="en-US" w:eastAsia="zh-CN" w:bidi="ar-SA"/>
        </w:rPr>
        <w:t>17.6投标供应商应根据《公路水运工程安全生产监督管理办法》，在投标总价中计</w:t>
      </w:r>
      <w:r>
        <w:rPr>
          <w:rFonts w:hint="eastAsia" w:ascii="宋体" w:hAnsi="宋体" w:eastAsia="宋体" w:cs="宋体"/>
          <w:spacing w:val="-3"/>
          <w:kern w:val="2"/>
          <w:sz w:val="24"/>
          <w:szCs w:val="24"/>
          <w:lang w:val="en-US" w:eastAsia="zh-CN" w:bidi="ar-SA"/>
        </w:rPr>
        <w:t>入安全生产费用，</w:t>
      </w:r>
      <w:r>
        <w:rPr>
          <w:rFonts w:hint="eastAsia" w:ascii="宋体" w:hAnsi="宋体" w:eastAsia="宋体" w:cs="宋体"/>
          <w:color w:val="auto"/>
          <w:spacing w:val="-3"/>
          <w:kern w:val="2"/>
          <w:sz w:val="24"/>
          <w:szCs w:val="24"/>
          <w:lang w:val="en-US" w:eastAsia="zh-CN" w:bidi="ar-SA"/>
        </w:rPr>
        <w:t xml:space="preserve">安全生产费用应符合合同条款第 </w:t>
      </w:r>
      <w:r>
        <w:rPr>
          <w:rFonts w:hint="eastAsia" w:ascii="宋体" w:hAnsi="宋体" w:eastAsia="宋体" w:cs="宋体"/>
          <w:color w:val="auto"/>
          <w:kern w:val="2"/>
          <w:sz w:val="24"/>
          <w:szCs w:val="24"/>
          <w:lang w:val="en-US" w:eastAsia="zh-CN" w:bidi="ar-SA"/>
        </w:rPr>
        <w:t xml:space="preserve">13.2(6)项的规定。工程量清单第100 </w:t>
      </w:r>
      <w:r>
        <w:rPr>
          <w:rFonts w:hint="eastAsia" w:ascii="宋体" w:hAnsi="宋体" w:eastAsia="宋体" w:cs="宋体"/>
          <w:color w:val="auto"/>
          <w:spacing w:val="-1"/>
          <w:kern w:val="2"/>
          <w:sz w:val="24"/>
          <w:szCs w:val="24"/>
          <w:lang w:val="en-US" w:eastAsia="zh-CN" w:bidi="ar-SA"/>
        </w:rPr>
        <w:t>章内列有上述安全生产费的支付子目，由投标供应商按磋商文件的规定填写总额价。</w:t>
      </w:r>
    </w:p>
    <w:p>
      <w:pPr>
        <w:keepNext w:val="0"/>
        <w:keepLines w:val="0"/>
        <w:pageBreakBefore w:val="0"/>
        <w:widowControl w:val="0"/>
        <w:numPr>
          <w:ilvl w:val="0"/>
          <w:numId w:val="0"/>
        </w:numPr>
        <w:tabs>
          <w:tab w:val="left" w:pos="1409"/>
        </w:tabs>
        <w:wordWrap/>
        <w:topLinePunct w:val="0"/>
        <w:autoSpaceDE/>
        <w:autoSpaceDN/>
        <w:bidi w:val="0"/>
        <w:adjustRightInd/>
        <w:snapToGrid/>
        <w:spacing w:line="440" w:lineRule="exact"/>
        <w:ind w:leftChars="200" w:firstLine="240" w:firstLineChars="1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17.7采购人不接受调价函。</w:t>
      </w:r>
    </w:p>
    <w:p>
      <w:pPr>
        <w:keepNext w:val="0"/>
        <w:keepLines w:val="0"/>
        <w:pageBreakBefore w:val="0"/>
        <w:widowControl w:val="0"/>
        <w:numPr>
          <w:ilvl w:val="0"/>
          <w:numId w:val="0"/>
        </w:numPr>
        <w:tabs>
          <w:tab w:val="left" w:pos="1409"/>
        </w:tabs>
        <w:wordWrap/>
        <w:topLinePunct w:val="0"/>
        <w:autoSpaceDE/>
        <w:autoSpaceDN/>
        <w:bidi w:val="0"/>
        <w:adjustRightInd/>
        <w:snapToGrid/>
        <w:spacing w:before="94" w:line="440" w:lineRule="exact"/>
        <w:ind w:leftChars="200" w:right="436" w:rightChars="0" w:firstLine="238" w:firstLineChars="100"/>
        <w:jc w:val="both"/>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17.8在合同实施期间，投标供应商填写的单价、合价和总额价不会由于物价波动</w:t>
      </w:r>
    </w:p>
    <w:p>
      <w:pPr>
        <w:keepNext w:val="0"/>
        <w:keepLines w:val="0"/>
        <w:pageBreakBefore w:val="0"/>
        <w:widowControl w:val="0"/>
        <w:numPr>
          <w:ilvl w:val="0"/>
          <w:numId w:val="0"/>
        </w:numPr>
        <w:tabs>
          <w:tab w:val="left" w:pos="1409"/>
        </w:tabs>
        <w:wordWrap/>
        <w:topLinePunct w:val="0"/>
        <w:autoSpaceDE/>
        <w:autoSpaceDN/>
        <w:bidi w:val="0"/>
        <w:adjustRightInd/>
        <w:snapToGrid/>
        <w:spacing w:before="94" w:line="440" w:lineRule="exact"/>
        <w:ind w:right="436" w:right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1"/>
          <w:kern w:val="2"/>
          <w:sz w:val="24"/>
          <w:szCs w:val="24"/>
          <w:lang w:val="en-US" w:eastAsia="zh-CN" w:bidi="ar-SA"/>
        </w:rPr>
        <w:t>进</w:t>
      </w:r>
      <w:r>
        <w:rPr>
          <w:rFonts w:hint="eastAsia" w:ascii="宋体" w:hAnsi="宋体" w:eastAsia="宋体" w:cs="宋体"/>
          <w:kern w:val="2"/>
          <w:sz w:val="24"/>
          <w:szCs w:val="24"/>
          <w:lang w:val="en-US" w:eastAsia="zh-CN" w:bidi="ar-SA"/>
        </w:rPr>
        <w:t>行价格调整，法律变化引起的价格调整除外。</w:t>
      </w:r>
    </w:p>
    <w:p>
      <w:pPr>
        <w:keepNext w:val="0"/>
        <w:keepLines w:val="0"/>
        <w:pageBreakBefore w:val="0"/>
        <w:widowControl w:val="0"/>
        <w:numPr>
          <w:ilvl w:val="0"/>
          <w:numId w:val="0"/>
        </w:numPr>
        <w:tabs>
          <w:tab w:val="left" w:pos="1409"/>
        </w:tabs>
        <w:wordWrap/>
        <w:topLinePunct w:val="0"/>
        <w:autoSpaceDE/>
        <w:autoSpaceDN/>
        <w:bidi w:val="0"/>
        <w:adjustRightInd/>
        <w:snapToGrid/>
        <w:spacing w:line="440" w:lineRule="exact"/>
        <w:ind w:leftChars="200" w:right="436" w:rightChars="0" w:firstLine="238" w:firstLineChars="1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spacing w:val="-1"/>
          <w:kern w:val="2"/>
          <w:sz w:val="24"/>
          <w:szCs w:val="24"/>
          <w:lang w:val="en-US" w:eastAsia="zh-CN" w:bidi="ar-SA"/>
        </w:rPr>
        <w:t>17.9</w:t>
      </w:r>
      <w:r>
        <w:rPr>
          <w:rFonts w:hint="eastAsia" w:ascii="宋体" w:hAnsi="宋体" w:eastAsia="宋体" w:cs="宋体"/>
          <w:b/>
          <w:bCs/>
          <w:spacing w:val="-1"/>
          <w:kern w:val="2"/>
          <w:sz w:val="24"/>
          <w:szCs w:val="24"/>
          <w:lang w:val="en-US" w:eastAsia="zh-CN" w:bidi="ar-SA"/>
        </w:rPr>
        <w:t>投标供应商的投标报价不得超过</w:t>
      </w:r>
      <w:r>
        <w:rPr>
          <w:rFonts w:hint="eastAsia" w:cs="宋体"/>
          <w:b/>
          <w:bCs/>
          <w:spacing w:val="-1"/>
          <w:kern w:val="2"/>
          <w:sz w:val="24"/>
          <w:szCs w:val="24"/>
          <w:lang w:val="en-US" w:eastAsia="zh-CN" w:bidi="ar-SA"/>
        </w:rPr>
        <w:t>采购预算金额</w:t>
      </w:r>
      <w:r>
        <w:rPr>
          <w:rFonts w:hint="eastAsia" w:ascii="宋体" w:hAnsi="宋体" w:eastAsia="宋体" w:cs="宋体"/>
          <w:b/>
          <w:bCs/>
          <w:spacing w:val="-1"/>
          <w:kern w:val="2"/>
          <w:sz w:val="24"/>
          <w:szCs w:val="24"/>
          <w:lang w:val="en-US" w:eastAsia="zh-CN" w:bidi="ar-SA"/>
        </w:rPr>
        <w:t>，</w:t>
      </w:r>
      <w:r>
        <w:rPr>
          <w:rFonts w:hint="eastAsia" w:cs="宋体"/>
          <w:b/>
          <w:bCs/>
          <w:kern w:val="2"/>
          <w:sz w:val="24"/>
          <w:szCs w:val="24"/>
          <w:lang w:val="en-US" w:eastAsia="zh-CN" w:bidi="ar-SA"/>
        </w:rPr>
        <w:t>预算金额</w:t>
      </w:r>
      <w:r>
        <w:rPr>
          <w:rFonts w:hint="eastAsia" w:ascii="宋体" w:hAnsi="宋体" w:eastAsia="宋体" w:cs="宋体"/>
          <w:b/>
          <w:bCs/>
          <w:kern w:val="2"/>
          <w:sz w:val="24"/>
          <w:szCs w:val="24"/>
          <w:lang w:val="en-US" w:eastAsia="zh-CN" w:bidi="ar-SA"/>
        </w:rPr>
        <w:t>在磋商须知前附表</w:t>
      </w:r>
    </w:p>
    <w:p>
      <w:pPr>
        <w:keepNext w:val="0"/>
        <w:keepLines w:val="0"/>
        <w:pageBreakBefore w:val="0"/>
        <w:widowControl w:val="0"/>
        <w:numPr>
          <w:ilvl w:val="0"/>
          <w:numId w:val="0"/>
        </w:numPr>
        <w:tabs>
          <w:tab w:val="left" w:pos="1409"/>
        </w:tabs>
        <w:wordWrap/>
        <w:topLinePunct w:val="0"/>
        <w:autoSpaceDE/>
        <w:autoSpaceDN/>
        <w:bidi w:val="0"/>
        <w:adjustRightInd/>
        <w:snapToGrid/>
        <w:spacing w:line="440" w:lineRule="exact"/>
        <w:ind w:right="436" w:rightChars="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中载明。</w:t>
      </w:r>
    </w:p>
    <w:p>
      <w:pPr>
        <w:pStyle w:val="7"/>
        <w:kinsoku w:val="0"/>
        <w:overflowPunct w:val="0"/>
        <w:spacing w:before="60" w:line="440" w:lineRule="exact"/>
        <w:ind w:left="111" w:right="199" w:firstLine="480"/>
        <w:jc w:val="both"/>
        <w:rPr>
          <w:rFonts w:hint="eastAsia" w:ascii="宋体" w:hAnsi="宋体" w:eastAsia="宋体" w:cs="宋体"/>
          <w:b w:val="0"/>
          <w:color w:val="000000" w:themeColor="text1"/>
          <w:spacing w:val="-1"/>
          <w:kern w:val="2"/>
          <w:sz w:val="24"/>
          <w:szCs w:val="24"/>
          <w:lang w:val="en-US" w:eastAsia="zh-CN" w:bidi="ar-SA"/>
          <w14:textFill>
            <w14:solidFill>
              <w14:schemeClr w14:val="tx1"/>
            </w14:solidFill>
          </w14:textFill>
        </w:rPr>
      </w:pPr>
      <w:r>
        <w:rPr>
          <w:rFonts w:hint="eastAsia" w:cs="宋体"/>
          <w:b w:val="0"/>
          <w:color w:val="000000" w:themeColor="text1"/>
          <w:spacing w:val="-1"/>
          <w:kern w:val="2"/>
          <w:sz w:val="24"/>
          <w:szCs w:val="24"/>
          <w:lang w:val="en-US" w:eastAsia="zh-CN" w:bidi="ar-SA"/>
          <w14:textFill>
            <w14:solidFill>
              <w14:schemeClr w14:val="tx1"/>
            </w14:solidFill>
          </w14:textFill>
        </w:rPr>
        <w:t>17.10</w:t>
      </w:r>
      <w:r>
        <w:rPr>
          <w:rFonts w:hint="eastAsia" w:ascii="宋体" w:hAnsi="宋体" w:eastAsia="宋体" w:cs="宋体"/>
          <w:b w:val="0"/>
          <w:color w:val="000000" w:themeColor="text1"/>
          <w:spacing w:val="-1"/>
          <w:kern w:val="2"/>
          <w:sz w:val="24"/>
          <w:szCs w:val="24"/>
          <w:lang w:val="en-US" w:eastAsia="zh-CN" w:bidi="ar-SA"/>
          <w14:textFill>
            <w14:solidFill>
              <w14:schemeClr w14:val="tx1"/>
            </w14:solidFill>
          </w14:textFill>
        </w:rPr>
        <w:t xml:space="preserve"> 本项目</w:t>
      </w:r>
      <w:r>
        <w:rPr>
          <w:rFonts w:hint="eastAsia" w:cs="宋体"/>
          <w:b w:val="0"/>
          <w:color w:val="000000" w:themeColor="text1"/>
          <w:spacing w:val="-1"/>
          <w:kern w:val="2"/>
          <w:sz w:val="24"/>
          <w:szCs w:val="24"/>
          <w:lang w:val="en-US" w:eastAsia="zh-CN" w:bidi="ar-SA"/>
          <w14:textFill>
            <w14:solidFill>
              <w14:schemeClr w14:val="tx1"/>
            </w14:solidFill>
          </w14:textFill>
        </w:rPr>
        <w:t>投标</w:t>
      </w:r>
      <w:r>
        <w:rPr>
          <w:rFonts w:hint="eastAsia" w:ascii="宋体" w:hAnsi="宋体" w:eastAsia="宋体" w:cs="宋体"/>
          <w:b w:val="0"/>
          <w:color w:val="000000" w:themeColor="text1"/>
          <w:spacing w:val="-1"/>
          <w:kern w:val="2"/>
          <w:sz w:val="24"/>
          <w:szCs w:val="24"/>
          <w:lang w:val="en-US" w:eastAsia="zh-CN" w:bidi="ar-SA"/>
          <w14:textFill>
            <w14:solidFill>
              <w14:schemeClr w14:val="tx1"/>
            </w14:solidFill>
          </w14:textFill>
        </w:rPr>
        <w:t>报价为二轮报价，首次报价在响应文件中体现；最终报价由各磋商供应商在规定的时间内（发出最终报价指令后的20分钟内）在政采云平台在线完成；政采云平台在线报价操作失败的，供应商应及时联系采购代理机构（应在政采云平台最终轮报价倒计价结束前，联系电话0996-2118336），通过指定的电子邮箱提供（最终报价函格式见磋商文件最终报价单内容相应附件，指定邮箱号：2259928698@qq.com）。因本项目采用竞争性磋商方式，成交价以最终报价为准。</w:t>
      </w:r>
    </w:p>
    <w:p>
      <w:pPr>
        <w:widowControl w:val="0"/>
        <w:kinsoku w:val="0"/>
        <w:overflowPunct w:val="0"/>
        <w:autoSpaceDE w:val="0"/>
        <w:autoSpaceDN w:val="0"/>
        <w:adjustRightInd w:val="0"/>
        <w:spacing w:before="57" w:line="440" w:lineRule="exact"/>
        <w:ind w:left="591"/>
        <w:outlineLvl w:val="4"/>
        <w:rPr>
          <w:rFonts w:ascii="宋体" w:hAnsi="宋体" w:eastAsia="Times New Roman" w:cs="Times New Roman"/>
          <w:b/>
          <w:sz w:val="24"/>
          <w:szCs w:val="24"/>
          <w:lang w:val="en-US" w:eastAsia="zh-CN" w:bidi="ar-SA"/>
        </w:rPr>
      </w:pPr>
      <w:r>
        <w:rPr>
          <w:rFonts w:ascii="宋体" w:hAnsi="宋体" w:eastAsia="宋体" w:cs="Times New Roman"/>
          <w:b/>
          <w:sz w:val="24"/>
          <w:szCs w:val="24"/>
          <w:lang w:val="en-US" w:eastAsia="zh-CN" w:bidi="ar-SA"/>
        </w:rPr>
        <w:t>18</w:t>
      </w:r>
      <w:r>
        <w:rPr>
          <w:rFonts w:hint="eastAsia" w:ascii="宋体" w:hAnsi="宋体" w:eastAsia="宋体" w:cs="Times New Roman"/>
          <w:b/>
          <w:sz w:val="24"/>
          <w:szCs w:val="24"/>
          <w:lang w:val="en-US" w:eastAsia="zh-CN" w:bidi="ar-SA"/>
        </w:rPr>
        <w:t>、磋商货币</w:t>
      </w:r>
    </w:p>
    <w:p>
      <w:pPr>
        <w:widowControl w:val="0"/>
        <w:kinsoku w:val="0"/>
        <w:overflowPunct w:val="0"/>
        <w:autoSpaceDE w:val="0"/>
        <w:autoSpaceDN w:val="0"/>
        <w:adjustRightInd w:val="0"/>
        <w:spacing w:line="440" w:lineRule="exact"/>
        <w:ind w:left="591"/>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18.1</w:t>
      </w:r>
      <w:r>
        <w:rPr>
          <w:rFonts w:hint="eastAsia" w:ascii="宋体" w:hAnsi="宋体" w:eastAsia="宋体" w:cs="Times New Roman"/>
          <w:sz w:val="24"/>
          <w:szCs w:val="24"/>
          <w:lang w:val="en-US" w:eastAsia="zh-CN" w:bidi="ar-SA"/>
        </w:rPr>
        <w:t>本工程磋商报价采用的币种为</w:t>
      </w:r>
      <w:r>
        <w:rPr>
          <w:rFonts w:hint="eastAsia" w:ascii="宋体" w:hAnsi="宋体" w:eastAsia="宋体" w:cs="Times New Roman"/>
          <w:sz w:val="24"/>
          <w:szCs w:val="24"/>
          <w:u w:val="single"/>
          <w:lang w:val="en-US" w:eastAsia="zh-CN" w:bidi="ar-SA"/>
        </w:rPr>
        <w:t>人民币</w:t>
      </w:r>
      <w:r>
        <w:rPr>
          <w:rFonts w:hint="eastAsia" w:ascii="宋体" w:hAnsi="宋体" w:eastAsia="宋体" w:cs="Times New Roman"/>
          <w:sz w:val="24"/>
          <w:szCs w:val="24"/>
          <w:lang w:val="en-US" w:eastAsia="zh-CN" w:bidi="ar-SA"/>
        </w:rPr>
        <w:t>。</w:t>
      </w:r>
    </w:p>
    <w:p>
      <w:pPr>
        <w:widowControl w:val="0"/>
        <w:kinsoku w:val="0"/>
        <w:overflowPunct w:val="0"/>
        <w:autoSpaceDE w:val="0"/>
        <w:autoSpaceDN w:val="0"/>
        <w:adjustRightInd w:val="0"/>
        <w:spacing w:before="0" w:line="440" w:lineRule="exact"/>
        <w:ind w:left="591"/>
        <w:outlineLvl w:val="4"/>
        <w:rPr>
          <w:rFonts w:ascii="宋体" w:hAnsi="宋体" w:eastAsia="Times New Roman" w:cs="Times New Roman"/>
          <w:b/>
          <w:sz w:val="24"/>
          <w:szCs w:val="24"/>
          <w:lang w:val="en-US" w:eastAsia="zh-CN" w:bidi="ar-SA"/>
        </w:rPr>
      </w:pPr>
      <w:r>
        <w:rPr>
          <w:rFonts w:ascii="宋体" w:hAnsi="宋体" w:eastAsia="宋体" w:cs="Times New Roman"/>
          <w:b/>
          <w:sz w:val="24"/>
          <w:szCs w:val="24"/>
          <w:lang w:val="en-US" w:eastAsia="zh-CN" w:bidi="ar-SA"/>
        </w:rPr>
        <w:t>19</w:t>
      </w:r>
      <w:r>
        <w:rPr>
          <w:rFonts w:hint="eastAsia" w:ascii="宋体" w:hAnsi="宋体" w:eastAsia="宋体" w:cs="Times New Roman"/>
          <w:b/>
          <w:sz w:val="24"/>
          <w:szCs w:val="24"/>
          <w:lang w:val="en-US" w:eastAsia="zh-CN" w:bidi="ar-SA"/>
        </w:rPr>
        <w:t>、磋商有效期</w:t>
      </w:r>
    </w:p>
    <w:p>
      <w:pPr>
        <w:widowControl w:val="0"/>
        <w:kinsoku w:val="0"/>
        <w:overflowPunct w:val="0"/>
        <w:autoSpaceDE w:val="0"/>
        <w:autoSpaceDN w:val="0"/>
        <w:adjustRightInd w:val="0"/>
        <w:spacing w:line="440" w:lineRule="exact"/>
        <w:ind w:left="111" w:right="232" w:firstLine="480"/>
        <w:jc w:val="both"/>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19.1</w:t>
      </w:r>
      <w:r>
        <w:rPr>
          <w:rFonts w:hint="eastAsia" w:ascii="宋体" w:hAnsi="宋体" w:eastAsia="宋体" w:cs="Times New Roman"/>
          <w:sz w:val="24"/>
          <w:szCs w:val="24"/>
          <w:lang w:val="en-US" w:eastAsia="zh-CN" w:bidi="ar-SA"/>
        </w:rPr>
        <w:t>磋商有效期见本须知前附表第</w:t>
      </w:r>
      <w:r>
        <w:rPr>
          <w:rFonts w:ascii="宋体" w:hAnsi="宋体" w:eastAsia="宋体" w:cs="Times New Roman"/>
          <w:sz w:val="24"/>
          <w:szCs w:val="24"/>
          <w:lang w:val="en-US" w:eastAsia="zh-CN" w:bidi="ar-SA"/>
        </w:rPr>
        <w:t>1</w:t>
      </w:r>
      <w:r>
        <w:rPr>
          <w:rFonts w:hint="eastAsia" w:cs="Times New Roman"/>
          <w:sz w:val="24"/>
          <w:szCs w:val="24"/>
          <w:lang w:val="en-US" w:eastAsia="zh-CN" w:bidi="ar-SA"/>
        </w:rPr>
        <w:t>9</w:t>
      </w:r>
      <w:r>
        <w:rPr>
          <w:rFonts w:hint="eastAsia" w:ascii="宋体" w:hAnsi="宋体" w:eastAsia="宋体" w:cs="Times New Roman"/>
          <w:sz w:val="24"/>
          <w:szCs w:val="24"/>
          <w:lang w:val="en-US" w:eastAsia="zh-CN" w:bidi="ar-SA"/>
        </w:rPr>
        <w:t>项所规定的期限，在此期限内，凡符合磋商文件要求的响应文件均保持有效。</w:t>
      </w:r>
    </w:p>
    <w:p>
      <w:pPr>
        <w:widowControl w:val="0"/>
        <w:kinsoku w:val="0"/>
        <w:overflowPunct w:val="0"/>
        <w:autoSpaceDE w:val="0"/>
        <w:autoSpaceDN w:val="0"/>
        <w:adjustRightInd w:val="0"/>
        <w:spacing w:before="26" w:line="440" w:lineRule="exact"/>
        <w:ind w:left="111" w:right="152" w:firstLine="480"/>
        <w:jc w:val="both"/>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19.2</w:t>
      </w:r>
      <w:r>
        <w:rPr>
          <w:rFonts w:hint="eastAsia" w:ascii="宋体" w:hAnsi="宋体" w:eastAsia="宋体" w:cs="Times New Roman"/>
          <w:sz w:val="24"/>
          <w:szCs w:val="24"/>
          <w:lang w:val="en-US" w:eastAsia="zh-CN" w:bidi="ar-SA"/>
        </w:rPr>
        <w:t>在特殊情况下</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采购人在原定磋商有效期内</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可以根据需要以书面形式向供应商提出延长磋商有效期的要求</w:t>
      </w:r>
      <w:r>
        <w:rPr>
          <w:rFonts w:hint="eastAsia" w:ascii="宋体" w:hAnsi="宋体" w:eastAsia="宋体" w:cs="Times New Roman"/>
          <w:spacing w:val="-32"/>
          <w:sz w:val="24"/>
          <w:szCs w:val="24"/>
          <w:lang w:val="en-US" w:eastAsia="zh-CN" w:bidi="ar-SA"/>
        </w:rPr>
        <w:t>，</w:t>
      </w:r>
      <w:r>
        <w:rPr>
          <w:rFonts w:hint="eastAsia" w:ascii="宋体" w:hAnsi="宋体" w:eastAsia="宋体" w:cs="Times New Roman"/>
          <w:sz w:val="24"/>
          <w:szCs w:val="24"/>
          <w:lang w:val="en-US" w:eastAsia="zh-CN" w:bidi="ar-SA"/>
        </w:rPr>
        <w:t>对此要求供应商须以书面形式予以答</w:t>
      </w:r>
      <w:r>
        <w:rPr>
          <w:rFonts w:hint="eastAsia" w:ascii="宋体" w:hAnsi="宋体" w:eastAsia="宋体" w:cs="Times New Roman"/>
          <w:spacing w:val="2"/>
          <w:sz w:val="24"/>
          <w:szCs w:val="24"/>
          <w:lang w:val="en-US" w:eastAsia="zh-CN" w:bidi="ar-SA"/>
        </w:rPr>
        <w:t>复</w:t>
      </w:r>
      <w:r>
        <w:rPr>
          <w:rFonts w:hint="eastAsia" w:ascii="宋体" w:hAnsi="宋体" w:eastAsia="宋体" w:cs="Times New Roman"/>
          <w:spacing w:val="-32"/>
          <w:sz w:val="24"/>
          <w:szCs w:val="24"/>
          <w:lang w:val="en-US" w:eastAsia="zh-CN" w:bidi="ar-SA"/>
        </w:rPr>
        <w:t>。</w:t>
      </w:r>
      <w:r>
        <w:rPr>
          <w:rFonts w:hint="eastAsia" w:ascii="宋体" w:hAnsi="宋体" w:eastAsia="宋体" w:cs="Times New Roman"/>
          <w:sz w:val="24"/>
          <w:szCs w:val="24"/>
          <w:lang w:val="en-US" w:eastAsia="zh-CN" w:bidi="ar-SA"/>
        </w:rPr>
        <w:t>供应商可以拒绝采购人这种要求</w:t>
      </w:r>
      <w:r>
        <w:rPr>
          <w:rFonts w:hint="eastAsia" w:ascii="宋体" w:hAnsi="宋体" w:eastAsia="宋体" w:cs="Times New Roman"/>
          <w:spacing w:val="-32"/>
          <w:sz w:val="24"/>
          <w:szCs w:val="24"/>
          <w:lang w:val="en-US" w:eastAsia="zh-CN" w:bidi="ar-SA"/>
        </w:rPr>
        <w:t>，</w:t>
      </w:r>
      <w:r>
        <w:rPr>
          <w:rFonts w:hint="eastAsia" w:ascii="宋体" w:hAnsi="宋体" w:eastAsia="宋体" w:cs="Times New Roman"/>
          <w:sz w:val="24"/>
          <w:szCs w:val="24"/>
          <w:lang w:val="en-US" w:eastAsia="zh-CN" w:bidi="ar-SA"/>
        </w:rPr>
        <w:t>而不被没收保证</w:t>
      </w:r>
      <w:r>
        <w:rPr>
          <w:rFonts w:hint="eastAsia" w:ascii="宋体" w:hAnsi="宋体" w:eastAsia="宋体" w:cs="Times New Roman"/>
          <w:spacing w:val="2"/>
          <w:sz w:val="24"/>
          <w:szCs w:val="24"/>
          <w:lang w:val="en-US" w:eastAsia="zh-CN" w:bidi="ar-SA"/>
        </w:rPr>
        <w:t>金</w:t>
      </w:r>
      <w:r>
        <w:rPr>
          <w:rFonts w:hint="eastAsia" w:ascii="宋体" w:hAnsi="宋体" w:eastAsia="宋体" w:cs="Times New Roman"/>
          <w:spacing w:val="-32"/>
          <w:sz w:val="24"/>
          <w:szCs w:val="24"/>
          <w:lang w:val="en-US" w:eastAsia="zh-CN" w:bidi="ar-SA"/>
        </w:rPr>
        <w:t>。</w:t>
      </w:r>
      <w:r>
        <w:rPr>
          <w:rFonts w:hint="eastAsia" w:ascii="宋体" w:hAnsi="宋体" w:eastAsia="宋体" w:cs="Times New Roman"/>
          <w:sz w:val="24"/>
          <w:szCs w:val="24"/>
          <w:lang w:val="en-US" w:eastAsia="zh-CN" w:bidi="ar-SA"/>
        </w:rPr>
        <w:t>同意延长磋商有效期的供应商既不能要求也不允许修改其响应文件</w:t>
      </w:r>
      <w:r>
        <w:rPr>
          <w:rFonts w:hint="eastAsia" w:ascii="宋体" w:hAnsi="宋体" w:eastAsia="宋体" w:cs="Times New Roman"/>
          <w:spacing w:val="-32"/>
          <w:sz w:val="24"/>
          <w:szCs w:val="24"/>
          <w:lang w:val="en-US" w:eastAsia="zh-CN" w:bidi="ar-SA"/>
        </w:rPr>
        <w:t>，</w:t>
      </w:r>
      <w:r>
        <w:rPr>
          <w:rFonts w:hint="eastAsia" w:ascii="宋体" w:hAnsi="宋体" w:eastAsia="宋体" w:cs="Times New Roman"/>
          <w:sz w:val="24"/>
          <w:szCs w:val="24"/>
          <w:lang w:val="en-US" w:eastAsia="zh-CN" w:bidi="ar-SA"/>
        </w:rPr>
        <w:t>但需要相应地延长磋商保证金的有效</w:t>
      </w:r>
      <w:r>
        <w:rPr>
          <w:rFonts w:hint="eastAsia" w:ascii="宋体" w:hAnsi="宋体" w:eastAsia="宋体" w:cs="Times New Roman"/>
          <w:spacing w:val="2"/>
          <w:sz w:val="24"/>
          <w:szCs w:val="24"/>
          <w:lang w:val="en-US" w:eastAsia="zh-CN" w:bidi="ar-SA"/>
        </w:rPr>
        <w:t>期</w:t>
      </w:r>
      <w:r>
        <w:rPr>
          <w:rFonts w:hint="eastAsia" w:ascii="宋体" w:hAnsi="宋体" w:eastAsia="宋体" w:cs="Times New Roman"/>
          <w:spacing w:val="-32"/>
          <w:sz w:val="24"/>
          <w:szCs w:val="24"/>
          <w:lang w:val="en-US" w:eastAsia="zh-CN" w:bidi="ar-SA"/>
        </w:rPr>
        <w:t>，</w:t>
      </w:r>
      <w:r>
        <w:rPr>
          <w:rFonts w:hint="eastAsia" w:ascii="宋体" w:hAnsi="宋体" w:eastAsia="宋体" w:cs="Times New Roman"/>
          <w:sz w:val="24"/>
          <w:szCs w:val="24"/>
          <w:lang w:val="en-US" w:eastAsia="zh-CN" w:bidi="ar-SA"/>
        </w:rPr>
        <w:t>在延长的磋商有效期内本须知第</w:t>
      </w:r>
      <w:r>
        <w:rPr>
          <w:rFonts w:ascii="宋体" w:hAnsi="宋体" w:eastAsia="宋体" w:cs="Times New Roman"/>
          <w:sz w:val="24"/>
          <w:szCs w:val="24"/>
          <w:lang w:val="en-US" w:eastAsia="zh-CN" w:bidi="ar-SA"/>
        </w:rPr>
        <w:t>20</w:t>
      </w:r>
      <w:r>
        <w:rPr>
          <w:rFonts w:hint="eastAsia" w:ascii="宋体" w:hAnsi="宋体" w:eastAsia="宋体" w:cs="Times New Roman"/>
          <w:sz w:val="24"/>
          <w:szCs w:val="24"/>
          <w:lang w:val="en-US" w:eastAsia="zh-CN" w:bidi="ar-SA"/>
        </w:rPr>
        <w:t>条关于磋商保证金的退还与没收的规定仍然适用。</w:t>
      </w:r>
    </w:p>
    <w:p>
      <w:pPr>
        <w:widowControl w:val="0"/>
        <w:kinsoku w:val="0"/>
        <w:overflowPunct w:val="0"/>
        <w:autoSpaceDE w:val="0"/>
        <w:autoSpaceDN w:val="0"/>
        <w:adjustRightInd w:val="0"/>
        <w:spacing w:before="57" w:line="440" w:lineRule="exact"/>
        <w:ind w:left="591"/>
        <w:outlineLvl w:val="4"/>
        <w:rPr>
          <w:rFonts w:ascii="宋体" w:hAnsi="宋体" w:eastAsia="Times New Roman" w:cs="Times New Roman"/>
          <w:b/>
          <w:sz w:val="24"/>
          <w:szCs w:val="24"/>
          <w:lang w:val="en-US" w:eastAsia="zh-CN" w:bidi="ar-SA"/>
        </w:rPr>
      </w:pPr>
      <w:r>
        <w:rPr>
          <w:rFonts w:ascii="宋体" w:hAnsi="宋体" w:eastAsia="宋体" w:cs="Times New Roman"/>
          <w:b/>
          <w:sz w:val="24"/>
          <w:szCs w:val="24"/>
          <w:lang w:val="en-US" w:eastAsia="zh-CN" w:bidi="ar-SA"/>
        </w:rPr>
        <w:t>20</w:t>
      </w:r>
      <w:r>
        <w:rPr>
          <w:rFonts w:hint="eastAsia" w:ascii="宋体" w:hAnsi="宋体" w:eastAsia="宋体" w:cs="Times New Roman"/>
          <w:b/>
          <w:sz w:val="24"/>
          <w:szCs w:val="24"/>
          <w:lang w:val="en-US" w:eastAsia="zh-CN" w:bidi="ar-SA"/>
        </w:rPr>
        <w:t>、磋商保证金</w:t>
      </w:r>
    </w:p>
    <w:p>
      <w:pPr>
        <w:widowControl w:val="0"/>
        <w:tabs>
          <w:tab w:val="left" w:pos="3963"/>
        </w:tabs>
        <w:kinsoku w:val="0"/>
        <w:overflowPunct w:val="0"/>
        <w:autoSpaceDE w:val="0"/>
        <w:autoSpaceDN w:val="0"/>
        <w:adjustRightInd w:val="0"/>
        <w:spacing w:before="56" w:line="440" w:lineRule="exact"/>
        <w:ind w:left="591"/>
        <w:rPr>
          <w:rFonts w:hint="eastAsia" w:ascii="宋体" w:hAnsi="宋体" w:eastAsia="宋体" w:cs="Times New Roman"/>
          <w:b/>
          <w:spacing w:val="1"/>
          <w:sz w:val="24"/>
          <w:szCs w:val="24"/>
          <w:lang w:val="en-US" w:eastAsia="zh-CN" w:bidi="ar-SA"/>
        </w:rPr>
      </w:pPr>
      <w:r>
        <w:rPr>
          <w:rFonts w:ascii="宋体" w:hAnsi="宋体" w:eastAsia="宋体" w:cs="Times New Roman"/>
          <w:b/>
          <w:spacing w:val="1"/>
          <w:sz w:val="24"/>
          <w:szCs w:val="24"/>
          <w:lang w:val="en-US" w:eastAsia="zh-CN" w:bidi="ar-SA"/>
        </w:rPr>
        <w:t>20.1</w:t>
      </w:r>
      <w:r>
        <w:rPr>
          <w:rFonts w:hint="eastAsia" w:ascii="宋体" w:hAnsi="宋体" w:eastAsia="宋体" w:cs="Times New Roman"/>
          <w:b/>
          <w:spacing w:val="1"/>
          <w:sz w:val="24"/>
          <w:szCs w:val="24"/>
          <w:lang w:val="en-US" w:eastAsia="zh-CN" w:bidi="ar-SA"/>
        </w:rPr>
        <w:t>供应商应同时提供前附表第</w:t>
      </w:r>
      <w:r>
        <w:rPr>
          <w:rFonts w:hint="eastAsia" w:cs="Times New Roman"/>
          <w:b/>
          <w:spacing w:val="1"/>
          <w:sz w:val="24"/>
          <w:szCs w:val="24"/>
          <w:lang w:val="en-US" w:eastAsia="zh-CN" w:bidi="ar-SA"/>
        </w:rPr>
        <w:t>20</w:t>
      </w:r>
      <w:r>
        <w:rPr>
          <w:rFonts w:hint="eastAsia" w:ascii="宋体" w:hAnsi="宋体" w:eastAsia="宋体" w:cs="Times New Roman"/>
          <w:b/>
          <w:spacing w:val="2"/>
          <w:sz w:val="24"/>
          <w:szCs w:val="24"/>
          <w:lang w:val="en-US" w:eastAsia="zh-CN" w:bidi="ar-SA"/>
        </w:rPr>
        <w:t>项规</w:t>
      </w:r>
      <w:r>
        <w:rPr>
          <w:rFonts w:hint="eastAsia" w:ascii="宋体" w:hAnsi="宋体" w:eastAsia="宋体" w:cs="Times New Roman"/>
          <w:b/>
          <w:sz w:val="24"/>
          <w:szCs w:val="24"/>
          <w:lang w:val="en-US" w:eastAsia="zh-CN" w:bidi="ar-SA"/>
        </w:rPr>
        <w:t>定</w:t>
      </w:r>
      <w:r>
        <w:rPr>
          <w:rFonts w:hint="eastAsia" w:ascii="宋体" w:hAnsi="宋体" w:eastAsia="宋体" w:cs="Times New Roman"/>
          <w:b/>
          <w:spacing w:val="2"/>
          <w:sz w:val="24"/>
          <w:szCs w:val="24"/>
          <w:lang w:val="en-US" w:eastAsia="zh-CN" w:bidi="ar-SA"/>
        </w:rPr>
        <w:t>数额的磋商</w:t>
      </w:r>
      <w:r>
        <w:rPr>
          <w:rFonts w:hint="eastAsia" w:ascii="宋体" w:hAnsi="宋体" w:eastAsia="宋体" w:cs="Times New Roman"/>
          <w:b/>
          <w:sz w:val="24"/>
          <w:szCs w:val="24"/>
          <w:lang w:val="en-US" w:eastAsia="zh-CN" w:bidi="ar-SA"/>
        </w:rPr>
        <w:t>保</w:t>
      </w:r>
      <w:r>
        <w:rPr>
          <w:rFonts w:hint="eastAsia" w:ascii="宋体" w:hAnsi="宋体" w:eastAsia="宋体" w:cs="Times New Roman"/>
          <w:b/>
          <w:spacing w:val="2"/>
          <w:sz w:val="24"/>
          <w:szCs w:val="24"/>
          <w:lang w:val="en-US" w:eastAsia="zh-CN" w:bidi="ar-SA"/>
        </w:rPr>
        <w:t>证金</w:t>
      </w:r>
      <w:r>
        <w:rPr>
          <w:rFonts w:hint="eastAsia" w:ascii="宋体" w:hAnsi="宋体" w:eastAsia="宋体" w:cs="Times New Roman"/>
          <w:b/>
          <w:spacing w:val="-33"/>
          <w:sz w:val="24"/>
          <w:szCs w:val="24"/>
          <w:lang w:val="en-US" w:eastAsia="zh-CN" w:bidi="ar-SA"/>
        </w:rPr>
        <w:t>，</w:t>
      </w:r>
      <w:r>
        <w:rPr>
          <w:rFonts w:hint="eastAsia" w:ascii="宋体" w:hAnsi="宋体" w:eastAsia="宋体" w:cs="Times New Roman"/>
          <w:b/>
          <w:spacing w:val="1"/>
          <w:sz w:val="24"/>
          <w:szCs w:val="24"/>
          <w:lang w:val="en-US" w:eastAsia="zh-CN" w:bidi="ar-SA"/>
        </w:rPr>
        <w:t>并作为其响应文件的一</w:t>
      </w:r>
    </w:p>
    <w:p>
      <w:pPr>
        <w:widowControl w:val="0"/>
        <w:tabs>
          <w:tab w:val="left" w:pos="3963"/>
        </w:tabs>
        <w:kinsoku w:val="0"/>
        <w:overflowPunct w:val="0"/>
        <w:autoSpaceDE w:val="0"/>
        <w:autoSpaceDN w:val="0"/>
        <w:adjustRightInd w:val="0"/>
        <w:spacing w:before="56" w:line="440" w:lineRule="exact"/>
        <w:rPr>
          <w:rFonts w:hint="eastAsia" w:ascii="宋体" w:hAnsi="宋体" w:eastAsia="宋体" w:cs="Times New Roman"/>
          <w:b/>
          <w:spacing w:val="1"/>
          <w:sz w:val="24"/>
          <w:szCs w:val="24"/>
          <w:lang w:val="en-US" w:eastAsia="zh-CN" w:bidi="ar-SA"/>
        </w:rPr>
      </w:pPr>
      <w:r>
        <w:rPr>
          <w:rFonts w:hint="eastAsia" w:ascii="宋体" w:hAnsi="宋体" w:eastAsia="宋体" w:cs="Times New Roman"/>
          <w:b/>
          <w:spacing w:val="1"/>
          <w:sz w:val="24"/>
          <w:szCs w:val="24"/>
          <w:lang w:val="en-US" w:eastAsia="zh-CN" w:bidi="ar-SA"/>
        </w:rPr>
        <w:t>部分。磋商保证金提交方式为从供应商基本账户以电汇、网银等非现金形式在提交首次响应文件截止时间前交纳。汇款需注明采购项目名称或编号。</w:t>
      </w:r>
    </w:p>
    <w:p>
      <w:pPr>
        <w:widowControl w:val="0"/>
        <w:kinsoku w:val="0"/>
        <w:overflowPunct w:val="0"/>
        <w:autoSpaceDE w:val="0"/>
        <w:autoSpaceDN w:val="0"/>
        <w:adjustRightInd w:val="0"/>
        <w:spacing w:line="440" w:lineRule="exact"/>
        <w:ind w:left="111" w:firstLine="480"/>
        <w:rPr>
          <w:rFonts w:hint="eastAsia" w:ascii="宋体" w:hAnsi="宋体" w:eastAsia="宋体" w:cs="宋体"/>
          <w:bCs/>
          <w:color w:val="000000"/>
          <w:sz w:val="24"/>
          <w:szCs w:val="24"/>
          <w:lang w:val="en-US" w:eastAsia="zh-CN" w:bidi="ar-SA"/>
        </w:rPr>
      </w:pPr>
      <w:r>
        <w:rPr>
          <w:rFonts w:hint="eastAsia" w:ascii="宋体" w:hAnsi="宋体" w:eastAsia="宋体" w:cs="宋体"/>
          <w:bCs/>
          <w:color w:val="000000"/>
          <w:sz w:val="24"/>
          <w:szCs w:val="24"/>
          <w:lang w:val="en-US" w:eastAsia="zh-CN" w:bidi="ar-SA"/>
        </w:rPr>
        <w:t>单位名称：新疆汇力赋能项目管理有限责任公司</w:t>
      </w:r>
    </w:p>
    <w:p>
      <w:pPr>
        <w:widowControl w:val="0"/>
        <w:kinsoku w:val="0"/>
        <w:overflowPunct w:val="0"/>
        <w:autoSpaceDE w:val="0"/>
        <w:autoSpaceDN w:val="0"/>
        <w:adjustRightInd w:val="0"/>
        <w:spacing w:line="440" w:lineRule="exact"/>
        <w:ind w:left="111" w:firstLine="480"/>
        <w:rPr>
          <w:rFonts w:hint="eastAsia" w:ascii="宋体" w:hAnsi="宋体" w:eastAsia="宋体" w:cs="宋体"/>
          <w:bCs/>
          <w:color w:val="000000"/>
          <w:sz w:val="24"/>
          <w:szCs w:val="24"/>
          <w:lang w:val="en-US" w:eastAsia="zh-CN" w:bidi="ar-SA"/>
        </w:rPr>
      </w:pPr>
      <w:r>
        <w:rPr>
          <w:rFonts w:hint="eastAsia" w:ascii="宋体" w:hAnsi="宋体" w:eastAsia="宋体" w:cs="宋体"/>
          <w:bCs/>
          <w:color w:val="000000"/>
          <w:sz w:val="24"/>
          <w:szCs w:val="24"/>
          <w:lang w:val="en-US" w:eastAsia="zh-CN" w:bidi="ar-SA"/>
        </w:rPr>
        <w:t>开户银行：中国工商银行股份有限公司巴音郭楞蒙古自治州分行</w:t>
      </w:r>
    </w:p>
    <w:p>
      <w:pPr>
        <w:widowControl w:val="0"/>
        <w:kinsoku w:val="0"/>
        <w:overflowPunct w:val="0"/>
        <w:autoSpaceDE w:val="0"/>
        <w:autoSpaceDN w:val="0"/>
        <w:adjustRightInd w:val="0"/>
        <w:spacing w:line="440" w:lineRule="exact"/>
        <w:ind w:left="111" w:firstLine="480"/>
        <w:rPr>
          <w:rFonts w:hint="eastAsia" w:ascii="宋体" w:hAnsi="宋体" w:eastAsia="宋体" w:cs="宋体"/>
          <w:bCs/>
          <w:color w:val="000000"/>
          <w:sz w:val="24"/>
          <w:szCs w:val="24"/>
          <w:lang w:val="en-US" w:eastAsia="zh-CN" w:bidi="ar-SA"/>
        </w:rPr>
      </w:pPr>
      <w:r>
        <w:rPr>
          <w:rFonts w:hint="eastAsia" w:ascii="宋体" w:hAnsi="宋体" w:eastAsia="宋体" w:cs="宋体"/>
          <w:bCs/>
          <w:color w:val="000000"/>
          <w:sz w:val="24"/>
          <w:szCs w:val="24"/>
          <w:lang w:val="en-US" w:eastAsia="zh-CN" w:bidi="ar-SA"/>
        </w:rPr>
        <w:t>帐  号：3010024709200410350</w:t>
      </w:r>
    </w:p>
    <w:p>
      <w:pPr>
        <w:widowControl w:val="0"/>
        <w:kinsoku w:val="0"/>
        <w:overflowPunct w:val="0"/>
        <w:autoSpaceDE w:val="0"/>
        <w:autoSpaceDN w:val="0"/>
        <w:adjustRightInd w:val="0"/>
        <w:spacing w:line="440" w:lineRule="exact"/>
        <w:ind w:left="111" w:firstLine="480"/>
        <w:rPr>
          <w:rFonts w:hint="eastAsia" w:ascii="宋体" w:hAnsi="宋体" w:eastAsia="宋体" w:cs="宋体"/>
          <w:bCs/>
          <w:color w:val="000000"/>
          <w:sz w:val="24"/>
          <w:szCs w:val="24"/>
          <w:lang w:val="en-US" w:eastAsia="zh-CN" w:bidi="ar-SA"/>
        </w:rPr>
      </w:pPr>
      <w:r>
        <w:rPr>
          <w:rFonts w:hint="eastAsia" w:ascii="宋体" w:hAnsi="宋体" w:eastAsia="宋体" w:cs="宋体"/>
          <w:bCs/>
          <w:color w:val="000000"/>
          <w:sz w:val="24"/>
          <w:szCs w:val="24"/>
          <w:lang w:val="en-US" w:eastAsia="zh-CN" w:bidi="ar-SA"/>
        </w:rPr>
        <w:t>行  号：102888000013</w:t>
      </w:r>
    </w:p>
    <w:p>
      <w:pPr>
        <w:widowControl w:val="0"/>
        <w:kinsoku w:val="0"/>
        <w:overflowPunct w:val="0"/>
        <w:autoSpaceDE w:val="0"/>
        <w:autoSpaceDN w:val="0"/>
        <w:adjustRightInd w:val="0"/>
        <w:spacing w:line="440" w:lineRule="exact"/>
        <w:ind w:left="111" w:firstLine="480"/>
        <w:rPr>
          <w:rFonts w:ascii="宋体" w:hAnsi="宋体" w:eastAsia="宋体" w:cs="宋体"/>
          <w:bCs/>
          <w:color w:val="000000"/>
          <w:sz w:val="24"/>
          <w:szCs w:val="22"/>
          <w:lang w:val="en-US" w:eastAsia="zh-CN" w:bidi="ar-SA"/>
        </w:rPr>
      </w:pPr>
      <w:r>
        <w:rPr>
          <w:rFonts w:hint="eastAsia" w:cs="宋体"/>
          <w:bCs/>
          <w:color w:val="000000"/>
          <w:sz w:val="24"/>
          <w:szCs w:val="24"/>
          <w:lang w:val="en-US" w:eastAsia="zh-CN" w:bidi="ar-SA"/>
        </w:rPr>
        <w:t>磋商</w:t>
      </w:r>
      <w:r>
        <w:rPr>
          <w:rFonts w:hint="eastAsia" w:ascii="宋体" w:hAnsi="宋体" w:eastAsia="宋体" w:cs="宋体"/>
          <w:bCs/>
          <w:color w:val="000000"/>
          <w:sz w:val="24"/>
          <w:szCs w:val="24"/>
          <w:lang w:val="en-US" w:eastAsia="zh-CN" w:bidi="ar-SA"/>
        </w:rPr>
        <w:t>保证金以到账信息为准，供应商应充分考虑在途时间，投标供应商未按照磋商文件要求提交</w:t>
      </w:r>
      <w:r>
        <w:rPr>
          <w:rFonts w:hint="eastAsia" w:cs="宋体"/>
          <w:bCs/>
          <w:color w:val="000000"/>
          <w:sz w:val="24"/>
          <w:szCs w:val="24"/>
          <w:lang w:val="en-US" w:eastAsia="zh-CN" w:bidi="ar-SA"/>
        </w:rPr>
        <w:t>磋商</w:t>
      </w:r>
      <w:r>
        <w:rPr>
          <w:rFonts w:hint="eastAsia" w:ascii="宋体" w:hAnsi="宋体" w:eastAsia="宋体" w:cs="宋体"/>
          <w:bCs/>
          <w:color w:val="000000"/>
          <w:sz w:val="24"/>
          <w:szCs w:val="24"/>
          <w:lang w:val="en-US" w:eastAsia="zh-CN" w:bidi="ar-SA"/>
        </w:rPr>
        <w:t>保证金的，磋商无效。</w:t>
      </w:r>
      <w:r>
        <w:rPr>
          <w:rFonts w:hint="eastAsia" w:cs="宋体"/>
          <w:bCs/>
          <w:color w:val="000000"/>
          <w:sz w:val="24"/>
          <w:szCs w:val="22"/>
          <w:lang w:val="en-US" w:eastAsia="zh-CN" w:bidi="ar-SA"/>
        </w:rPr>
        <w:t>磋商</w:t>
      </w:r>
      <w:r>
        <w:rPr>
          <w:rFonts w:hint="eastAsia" w:ascii="宋体" w:hAnsi="宋体" w:eastAsia="宋体" w:cs="宋体"/>
          <w:bCs/>
          <w:color w:val="000000"/>
          <w:sz w:val="24"/>
          <w:szCs w:val="22"/>
          <w:lang w:val="en-US" w:eastAsia="zh-CN" w:bidi="ar-SA"/>
        </w:rPr>
        <w:t>保证金以到账信息为准，供应商应充分考虑在途时间，投标供应商未按照磋商文件要求提交</w:t>
      </w:r>
      <w:r>
        <w:rPr>
          <w:rFonts w:hint="eastAsia" w:cs="宋体"/>
          <w:bCs/>
          <w:color w:val="000000"/>
          <w:sz w:val="24"/>
          <w:szCs w:val="22"/>
          <w:lang w:val="en-US" w:eastAsia="zh-CN" w:bidi="ar-SA"/>
        </w:rPr>
        <w:t>磋商</w:t>
      </w:r>
      <w:r>
        <w:rPr>
          <w:rFonts w:hint="eastAsia" w:ascii="宋体" w:hAnsi="宋体" w:eastAsia="宋体" w:cs="宋体"/>
          <w:bCs/>
          <w:color w:val="000000"/>
          <w:sz w:val="24"/>
          <w:szCs w:val="22"/>
          <w:lang w:val="en-US" w:eastAsia="zh-CN" w:bidi="ar-SA"/>
        </w:rPr>
        <w:t>保证金的，磋商无效。</w:t>
      </w:r>
    </w:p>
    <w:p>
      <w:pPr>
        <w:widowControl w:val="0"/>
        <w:kinsoku w:val="0"/>
        <w:overflowPunct w:val="0"/>
        <w:autoSpaceDE w:val="0"/>
        <w:autoSpaceDN w:val="0"/>
        <w:adjustRightInd w:val="0"/>
        <w:spacing w:line="440" w:lineRule="exact"/>
        <w:ind w:left="111" w:firstLine="480"/>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 xml:space="preserve">20.2 </w:t>
      </w:r>
      <w:r>
        <w:rPr>
          <w:rFonts w:hint="eastAsia" w:ascii="宋体" w:hAnsi="宋体" w:eastAsia="宋体" w:cs="Times New Roman"/>
          <w:spacing w:val="1"/>
          <w:sz w:val="24"/>
          <w:szCs w:val="24"/>
          <w:lang w:val="en-US" w:eastAsia="zh-CN" w:bidi="ar-SA"/>
        </w:rPr>
        <w:t>对于未能按要求提交磋商保证金的报价，采购人将视为不响应磋商文件而</w:t>
      </w:r>
      <w:r>
        <w:rPr>
          <w:rFonts w:hint="eastAsia" w:ascii="宋体" w:hAnsi="宋体" w:eastAsia="宋体" w:cs="Times New Roman"/>
          <w:sz w:val="24"/>
          <w:szCs w:val="24"/>
          <w:lang w:val="en-US" w:eastAsia="zh-CN" w:bidi="ar-SA"/>
        </w:rPr>
        <w:t>予以拒绝。</w:t>
      </w:r>
    </w:p>
    <w:p>
      <w:pPr>
        <w:widowControl w:val="0"/>
        <w:kinsoku w:val="0"/>
        <w:overflowPunct w:val="0"/>
        <w:autoSpaceDE w:val="0"/>
        <w:autoSpaceDN w:val="0"/>
        <w:adjustRightInd w:val="0"/>
        <w:spacing w:before="56" w:line="440" w:lineRule="exact"/>
        <w:ind w:left="111" w:firstLine="480"/>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 xml:space="preserve">20.3 </w:t>
      </w:r>
      <w:r>
        <w:rPr>
          <w:rFonts w:hint="eastAsia" w:ascii="宋体" w:hAnsi="宋体" w:eastAsia="宋体" w:cs="Times New Roman"/>
          <w:spacing w:val="1"/>
          <w:sz w:val="24"/>
          <w:szCs w:val="24"/>
          <w:lang w:val="en-US" w:eastAsia="zh-CN" w:bidi="ar-SA"/>
        </w:rPr>
        <w:t>未中标的供应商的磋商保证金将在成交通知书发出之日起</w:t>
      </w:r>
      <w:r>
        <w:rPr>
          <w:rFonts w:ascii="宋体" w:hAnsi="宋体" w:eastAsia="宋体" w:cs="Times New Roman"/>
          <w:sz w:val="24"/>
          <w:szCs w:val="24"/>
          <w:lang w:val="en-US" w:eastAsia="zh-CN" w:bidi="ar-SA"/>
        </w:rPr>
        <w:t>5</w:t>
      </w:r>
      <w:r>
        <w:rPr>
          <w:rFonts w:hint="eastAsia" w:ascii="宋体" w:hAnsi="宋体" w:eastAsia="宋体" w:cs="Times New Roman"/>
          <w:spacing w:val="1"/>
          <w:sz w:val="24"/>
          <w:szCs w:val="24"/>
          <w:lang w:val="en-US" w:eastAsia="zh-CN" w:bidi="ar-SA"/>
        </w:rPr>
        <w:t>个工作日内退</w:t>
      </w:r>
      <w:r>
        <w:rPr>
          <w:rFonts w:hint="eastAsia" w:ascii="宋体" w:hAnsi="宋体" w:eastAsia="宋体" w:cs="Times New Roman"/>
          <w:sz w:val="24"/>
          <w:szCs w:val="24"/>
          <w:lang w:val="en-US" w:eastAsia="zh-CN" w:bidi="ar-SA"/>
        </w:rPr>
        <w:t>还（无息）。</w:t>
      </w:r>
    </w:p>
    <w:p>
      <w:pPr>
        <w:widowControl w:val="0"/>
        <w:kinsoku w:val="0"/>
        <w:overflowPunct w:val="0"/>
        <w:autoSpaceDE w:val="0"/>
        <w:autoSpaceDN w:val="0"/>
        <w:adjustRightInd w:val="0"/>
        <w:spacing w:before="60" w:line="440" w:lineRule="exact"/>
        <w:ind w:left="111" w:firstLine="480"/>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20.4</w:t>
      </w:r>
      <w:r>
        <w:rPr>
          <w:rFonts w:hint="eastAsia" w:cs="Times New Roman"/>
          <w:sz w:val="24"/>
          <w:szCs w:val="24"/>
          <w:lang w:val="en-US" w:eastAsia="zh-CN" w:bidi="ar-SA"/>
        </w:rPr>
        <w:t xml:space="preserve"> </w:t>
      </w:r>
      <w:r>
        <w:rPr>
          <w:rFonts w:hint="eastAsia" w:ascii="宋体" w:hAnsi="宋体" w:eastAsia="宋体" w:cs="Times New Roman"/>
          <w:sz w:val="24"/>
          <w:szCs w:val="24"/>
          <w:lang w:val="en-US" w:eastAsia="zh-CN" w:bidi="ar-SA"/>
        </w:rPr>
        <w:t>中标人的磋商保证金</w:t>
      </w:r>
      <w:r>
        <w:rPr>
          <w:rFonts w:hint="eastAsia" w:ascii="宋体" w:hAnsi="宋体" w:eastAsia="宋体" w:cs="Times New Roman"/>
          <w:spacing w:val="-120"/>
          <w:sz w:val="24"/>
          <w:szCs w:val="24"/>
          <w:lang w:val="en-US" w:eastAsia="zh-CN" w:bidi="ar-SA"/>
        </w:rPr>
        <w:t>，</w:t>
      </w:r>
      <w:r>
        <w:rPr>
          <w:rFonts w:hint="eastAsia" w:ascii="宋体" w:hAnsi="宋体" w:eastAsia="宋体" w:cs="宋体"/>
          <w:sz w:val="24"/>
          <w:szCs w:val="24"/>
          <w:lang w:val="zh-CN" w:eastAsia="zh-CN" w:bidi="ar-SA"/>
        </w:rPr>
        <w:t>在采购合同签定后</w:t>
      </w:r>
      <w:r>
        <w:rPr>
          <w:rFonts w:ascii="宋体" w:hAnsi="宋体" w:eastAsia="宋体" w:cs="宋体"/>
          <w:sz w:val="24"/>
          <w:szCs w:val="24"/>
          <w:lang w:val="zh-CN" w:eastAsia="zh-CN" w:bidi="ar-SA"/>
        </w:rPr>
        <w:t>5</w:t>
      </w:r>
      <w:r>
        <w:rPr>
          <w:rFonts w:hint="eastAsia" w:ascii="宋体" w:hAnsi="宋体" w:eastAsia="宋体" w:cs="宋体"/>
          <w:sz w:val="24"/>
          <w:szCs w:val="24"/>
          <w:lang w:val="zh-CN" w:eastAsia="zh-CN" w:bidi="ar-SA"/>
        </w:rPr>
        <w:t>个工作日内退还，但因供应商自身原因导致无法及时退还的除外。</w:t>
      </w:r>
    </w:p>
    <w:p>
      <w:pPr>
        <w:widowControl w:val="0"/>
        <w:kinsoku w:val="0"/>
        <w:overflowPunct w:val="0"/>
        <w:autoSpaceDE w:val="0"/>
        <w:autoSpaceDN w:val="0"/>
        <w:adjustRightInd w:val="0"/>
        <w:spacing w:before="57" w:line="440" w:lineRule="exact"/>
        <w:ind w:left="591"/>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20.5</w:t>
      </w:r>
      <w:r>
        <w:rPr>
          <w:rFonts w:hint="eastAsia" w:ascii="宋体" w:hAnsi="宋体" w:eastAsia="宋体" w:cs="Times New Roman"/>
          <w:sz w:val="24"/>
          <w:szCs w:val="24"/>
          <w:lang w:val="en-US" w:eastAsia="zh-CN" w:bidi="ar-SA"/>
        </w:rPr>
        <w:t>如供应商有下列情况，将被没收磋商保证金：</w:t>
      </w:r>
    </w:p>
    <w:p>
      <w:pPr>
        <w:widowControl w:val="0"/>
        <w:kinsoku w:val="0"/>
        <w:overflowPunct w:val="0"/>
        <w:autoSpaceDE w:val="0"/>
        <w:autoSpaceDN w:val="0"/>
        <w:adjustRightInd w:val="0"/>
        <w:spacing w:line="440" w:lineRule="exact"/>
        <w:ind w:left="591"/>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20.5.1</w:t>
      </w:r>
      <w:r>
        <w:rPr>
          <w:rFonts w:hint="eastAsia" w:ascii="宋体" w:hAnsi="宋体" w:eastAsia="宋体" w:cs="Times New Roman"/>
          <w:sz w:val="24"/>
          <w:szCs w:val="24"/>
          <w:lang w:val="en-US" w:eastAsia="zh-CN" w:bidi="ar-SA"/>
        </w:rPr>
        <w:t>供应商在磋商有效期内撤销或修改其响应文件；</w:t>
      </w:r>
    </w:p>
    <w:p>
      <w:pPr>
        <w:widowControl w:val="0"/>
        <w:kinsoku w:val="0"/>
        <w:overflowPunct w:val="0"/>
        <w:autoSpaceDE w:val="0"/>
        <w:autoSpaceDN w:val="0"/>
        <w:adjustRightInd w:val="0"/>
        <w:spacing w:line="440" w:lineRule="exact"/>
        <w:ind w:left="591"/>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20.5.2</w:t>
      </w:r>
      <w:r>
        <w:rPr>
          <w:rFonts w:hint="eastAsia" w:ascii="宋体" w:hAnsi="宋体" w:eastAsia="宋体" w:cs="Times New Roman"/>
          <w:sz w:val="24"/>
          <w:szCs w:val="24"/>
          <w:lang w:val="en-US" w:eastAsia="zh-CN" w:bidi="ar-SA"/>
        </w:rPr>
        <w:t>中标人未能在规定期限内签署合同协议；</w:t>
      </w:r>
    </w:p>
    <w:p>
      <w:pPr>
        <w:widowControl w:val="0"/>
        <w:kinsoku w:val="0"/>
        <w:overflowPunct w:val="0"/>
        <w:autoSpaceDE w:val="0"/>
        <w:autoSpaceDN w:val="0"/>
        <w:adjustRightInd w:val="0"/>
        <w:spacing w:line="420" w:lineRule="exact"/>
        <w:ind w:left="591"/>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20.5.3</w:t>
      </w:r>
      <w:r>
        <w:rPr>
          <w:rFonts w:hint="eastAsia" w:ascii="宋体" w:hAnsi="宋体" w:eastAsia="宋体" w:cs="Times New Roman"/>
          <w:sz w:val="24"/>
          <w:szCs w:val="24"/>
          <w:lang w:val="en-US" w:eastAsia="zh-CN" w:bidi="ar-SA"/>
        </w:rPr>
        <w:t>法律法规规定的其他情形。</w:t>
      </w:r>
    </w:p>
    <w:p>
      <w:pPr>
        <w:widowControl w:val="0"/>
        <w:kinsoku w:val="0"/>
        <w:overflowPunct w:val="0"/>
        <w:autoSpaceDE w:val="0"/>
        <w:autoSpaceDN w:val="0"/>
        <w:adjustRightInd w:val="0"/>
        <w:spacing w:before="26" w:line="420" w:lineRule="exact"/>
        <w:ind w:left="590"/>
        <w:rPr>
          <w:rFonts w:ascii="宋体" w:hAnsi="宋体" w:eastAsia="Times New Roman" w:cs="Times New Roman"/>
          <w:sz w:val="24"/>
          <w:szCs w:val="24"/>
          <w:lang w:val="en-US" w:eastAsia="zh-CN" w:bidi="ar-SA"/>
        </w:rPr>
      </w:pPr>
      <w:r>
        <w:rPr>
          <w:rFonts w:ascii="宋体" w:hAnsi="宋体" w:eastAsia="宋体" w:cs="Times New Roman"/>
          <w:b/>
          <w:sz w:val="24"/>
          <w:szCs w:val="24"/>
          <w:lang w:val="en-US" w:eastAsia="zh-CN" w:bidi="ar-SA"/>
        </w:rPr>
        <w:t>21</w:t>
      </w:r>
      <w:r>
        <w:rPr>
          <w:rFonts w:hint="eastAsia" w:ascii="宋体" w:hAnsi="宋体" w:eastAsia="宋体" w:cs="Times New Roman"/>
          <w:b/>
          <w:sz w:val="24"/>
          <w:szCs w:val="24"/>
          <w:lang w:val="en-US" w:eastAsia="zh-CN" w:bidi="ar-SA"/>
        </w:rPr>
        <w:t>、供应商的替代方案：</w:t>
      </w:r>
      <w:r>
        <w:rPr>
          <w:rFonts w:hint="eastAsia" w:ascii="宋体" w:hAnsi="宋体" w:eastAsia="宋体" w:cs="Times New Roman"/>
          <w:sz w:val="24"/>
          <w:szCs w:val="24"/>
          <w:lang w:val="en-US" w:eastAsia="zh-CN" w:bidi="ar-SA"/>
        </w:rPr>
        <w:t>无。</w:t>
      </w:r>
    </w:p>
    <w:p>
      <w:pPr>
        <w:widowControl w:val="0"/>
        <w:kinsoku w:val="0"/>
        <w:overflowPunct w:val="0"/>
        <w:autoSpaceDE w:val="0"/>
        <w:autoSpaceDN w:val="0"/>
        <w:adjustRightInd w:val="0"/>
        <w:spacing w:before="57" w:line="420" w:lineRule="exact"/>
        <w:ind w:left="591"/>
        <w:outlineLvl w:val="4"/>
        <w:rPr>
          <w:rFonts w:ascii="宋体" w:hAnsi="宋体" w:eastAsia="Times New Roman" w:cs="Times New Roman"/>
          <w:b/>
          <w:sz w:val="24"/>
          <w:szCs w:val="24"/>
          <w:lang w:val="en-US" w:eastAsia="zh-CN" w:bidi="ar-SA"/>
        </w:rPr>
      </w:pPr>
      <w:r>
        <w:rPr>
          <w:rFonts w:ascii="宋体" w:hAnsi="宋体" w:eastAsia="宋体" w:cs="Times New Roman"/>
          <w:b/>
          <w:sz w:val="24"/>
          <w:szCs w:val="24"/>
          <w:lang w:val="en-US" w:eastAsia="zh-CN" w:bidi="ar-SA"/>
        </w:rPr>
        <w:t>22</w:t>
      </w:r>
      <w:r>
        <w:rPr>
          <w:rFonts w:hint="eastAsia" w:ascii="宋体" w:hAnsi="宋体" w:eastAsia="宋体" w:cs="Times New Roman"/>
          <w:b/>
          <w:sz w:val="24"/>
          <w:szCs w:val="24"/>
          <w:lang w:val="en-US" w:eastAsia="zh-CN" w:bidi="ar-SA"/>
        </w:rPr>
        <w:t>、响应文件的份数和签署</w:t>
      </w:r>
    </w:p>
    <w:p>
      <w:pPr>
        <w:adjustRightInd w:val="0"/>
        <w:spacing w:line="440" w:lineRule="exact"/>
        <w:ind w:firstLine="480" w:firstLineChars="200"/>
        <w:rPr>
          <w:rFonts w:ascii="宋体" w:hAnsi="Times New Roman" w:cs="Times New Roman"/>
          <w:sz w:val="24"/>
          <w:szCs w:val="24"/>
          <w:lang w:val="en-US" w:bidi="ar-SA"/>
        </w:rPr>
      </w:pPr>
      <w:r>
        <w:rPr>
          <w:rFonts w:ascii="宋体" w:hAnsi="宋体" w:cs="Times New Roman"/>
          <w:sz w:val="24"/>
          <w:szCs w:val="24"/>
          <w:lang w:val="en-US" w:bidi="ar-SA"/>
        </w:rPr>
        <w:t xml:space="preserve">22.1  </w:t>
      </w:r>
      <w:r>
        <w:rPr>
          <w:rFonts w:hint="eastAsia" w:ascii="宋体" w:hAnsi="宋体" w:cs="Times New Roman"/>
          <w:sz w:val="24"/>
          <w:szCs w:val="24"/>
          <w:lang w:val="en-US" w:bidi="ar-SA"/>
        </w:rPr>
        <w:t>响应文件应按本采购文件第</w:t>
      </w:r>
      <w:r>
        <w:rPr>
          <w:rFonts w:hint="eastAsia" w:cs="Times New Roman"/>
          <w:sz w:val="24"/>
          <w:szCs w:val="24"/>
          <w:lang w:val="en-US" w:eastAsia="zh-CN" w:bidi="ar-SA"/>
        </w:rPr>
        <w:t>七</w:t>
      </w:r>
      <w:r>
        <w:rPr>
          <w:rFonts w:hint="eastAsia" w:ascii="宋体" w:hAnsi="宋体" w:cs="Times New Roman"/>
          <w:sz w:val="24"/>
          <w:szCs w:val="24"/>
          <w:lang w:val="en-US" w:bidi="ar-SA"/>
        </w:rPr>
        <w:t>章有关要求编制，上传的电子磋商响应文件的签署可采用</w:t>
      </w:r>
      <w:r>
        <w:rPr>
          <w:rFonts w:ascii="宋体" w:hAnsi="宋体" w:cs="Times New Roman"/>
          <w:sz w:val="24"/>
          <w:szCs w:val="24"/>
          <w:lang w:val="en-US" w:bidi="ar-SA"/>
        </w:rPr>
        <w:t>CA</w:t>
      </w:r>
      <w:r>
        <w:rPr>
          <w:rFonts w:hint="eastAsia" w:ascii="宋体" w:hAnsi="宋体" w:cs="Times New Roman"/>
          <w:sz w:val="24"/>
          <w:szCs w:val="24"/>
          <w:lang w:val="en-US" w:bidi="ar-SA"/>
        </w:rPr>
        <w:t>锁电子签章进行，如办理了法人电子锁，法人签字也可以进行电子签章。</w:t>
      </w:r>
    </w:p>
    <w:p>
      <w:pPr>
        <w:adjustRightInd w:val="0"/>
        <w:spacing w:line="440" w:lineRule="exact"/>
        <w:ind w:firstLine="420"/>
        <w:rPr>
          <w:rFonts w:ascii="宋体" w:hAnsi="Times New Roman" w:cs="Times New Roman"/>
          <w:sz w:val="24"/>
          <w:szCs w:val="24"/>
          <w:lang w:val="en-US" w:bidi="ar-SA"/>
        </w:rPr>
      </w:pPr>
      <w:r>
        <w:rPr>
          <w:rFonts w:ascii="宋体" w:hAnsi="宋体" w:cs="Times New Roman"/>
          <w:sz w:val="24"/>
          <w:szCs w:val="24"/>
          <w:lang w:val="en-US" w:bidi="ar-SA"/>
        </w:rPr>
        <w:t xml:space="preserve">22.2 </w:t>
      </w:r>
      <w:r>
        <w:rPr>
          <w:rFonts w:hint="eastAsia" w:ascii="宋体" w:hAnsi="宋体" w:cs="Times New Roman"/>
          <w:sz w:val="24"/>
          <w:szCs w:val="24"/>
          <w:lang w:val="en-US" w:bidi="ar-SA"/>
        </w:rPr>
        <w:t>纸质版响应文件均须在封面上清楚标明</w:t>
      </w:r>
      <w:r>
        <w:rPr>
          <w:rFonts w:hint="eastAsia" w:ascii="宋体" w:hAnsi="Times New Roman" w:cs="Times New Roman"/>
          <w:sz w:val="24"/>
          <w:szCs w:val="24"/>
          <w:lang w:val="en-US" w:bidi="ar-SA"/>
        </w:rPr>
        <w:t>“</w:t>
      </w:r>
      <w:r>
        <w:rPr>
          <w:rFonts w:hint="eastAsia" w:ascii="宋体" w:hAnsi="宋体" w:cs="Times New Roman"/>
          <w:sz w:val="24"/>
          <w:szCs w:val="24"/>
          <w:lang w:val="en-US" w:bidi="ar-SA"/>
        </w:rPr>
        <w:t>正本</w:t>
      </w:r>
      <w:r>
        <w:rPr>
          <w:rFonts w:hint="eastAsia" w:ascii="宋体" w:hAnsi="Times New Roman" w:cs="Times New Roman"/>
          <w:sz w:val="24"/>
          <w:szCs w:val="24"/>
          <w:lang w:val="en-US" w:bidi="ar-SA"/>
        </w:rPr>
        <w:t>”</w:t>
      </w:r>
      <w:r>
        <w:rPr>
          <w:rFonts w:hint="eastAsia" w:ascii="宋体" w:hAnsi="宋体" w:cs="Times New Roman"/>
          <w:sz w:val="24"/>
          <w:szCs w:val="24"/>
          <w:lang w:val="en-US" w:bidi="ar-SA"/>
        </w:rPr>
        <w:t>或</w:t>
      </w:r>
      <w:r>
        <w:rPr>
          <w:rFonts w:hint="eastAsia" w:ascii="宋体" w:hAnsi="Times New Roman" w:cs="Times New Roman"/>
          <w:sz w:val="24"/>
          <w:szCs w:val="24"/>
          <w:lang w:val="en-US" w:bidi="ar-SA"/>
        </w:rPr>
        <w:t>“</w:t>
      </w:r>
      <w:r>
        <w:rPr>
          <w:rFonts w:hint="eastAsia" w:ascii="宋体" w:hAnsi="宋体" w:cs="Times New Roman"/>
          <w:sz w:val="24"/>
          <w:szCs w:val="24"/>
          <w:lang w:val="en-US" w:bidi="ar-SA"/>
        </w:rPr>
        <w:t>副本</w:t>
      </w:r>
      <w:r>
        <w:rPr>
          <w:rFonts w:hint="eastAsia" w:ascii="宋体" w:hAnsi="Times New Roman" w:cs="Times New Roman"/>
          <w:sz w:val="24"/>
          <w:szCs w:val="24"/>
          <w:lang w:val="en-US" w:bidi="ar-SA"/>
        </w:rPr>
        <w:t>”</w:t>
      </w:r>
      <w:r>
        <w:rPr>
          <w:rFonts w:hint="eastAsia" w:ascii="宋体" w:hAnsi="宋体" w:cs="Times New Roman"/>
          <w:sz w:val="24"/>
          <w:szCs w:val="24"/>
          <w:lang w:val="en-US" w:bidi="ar-SA"/>
        </w:rPr>
        <w:t>字样。</w:t>
      </w:r>
      <w:r>
        <w:rPr>
          <w:rFonts w:hint="eastAsia" w:ascii="宋体" w:hAnsi="Times New Roman" w:cs="Times New Roman"/>
          <w:sz w:val="24"/>
          <w:szCs w:val="24"/>
          <w:lang w:val="en-US" w:bidi="ar-SA"/>
        </w:rPr>
        <w:t>“</w:t>
      </w:r>
      <w:r>
        <w:rPr>
          <w:rFonts w:hint="eastAsia" w:ascii="宋体" w:hAnsi="宋体" w:cs="Times New Roman"/>
          <w:sz w:val="24"/>
          <w:szCs w:val="24"/>
          <w:lang w:val="en-US" w:bidi="ar-SA"/>
        </w:rPr>
        <w:t>正本</w:t>
      </w:r>
      <w:r>
        <w:rPr>
          <w:rFonts w:hint="eastAsia" w:ascii="宋体" w:hAnsi="Times New Roman" w:cs="Times New Roman"/>
          <w:sz w:val="24"/>
          <w:szCs w:val="24"/>
          <w:lang w:val="en-US" w:bidi="ar-SA"/>
        </w:rPr>
        <w:t>”</w:t>
      </w:r>
      <w:r>
        <w:rPr>
          <w:rFonts w:hint="eastAsia" w:ascii="宋体" w:hAnsi="宋体" w:cs="Times New Roman"/>
          <w:sz w:val="24"/>
          <w:szCs w:val="24"/>
          <w:lang w:val="en-US" w:bidi="ar-SA"/>
        </w:rPr>
        <w:t>和</w:t>
      </w:r>
      <w:r>
        <w:rPr>
          <w:rFonts w:hint="eastAsia" w:ascii="宋体" w:hAnsi="Times New Roman" w:cs="Times New Roman"/>
          <w:sz w:val="24"/>
          <w:szCs w:val="24"/>
          <w:lang w:val="en-US" w:bidi="ar-SA"/>
        </w:rPr>
        <w:t>“</w:t>
      </w:r>
      <w:r>
        <w:rPr>
          <w:rFonts w:hint="eastAsia" w:ascii="宋体" w:hAnsi="宋体" w:cs="Times New Roman"/>
          <w:sz w:val="24"/>
          <w:szCs w:val="24"/>
          <w:lang w:val="en-US" w:bidi="ar-SA"/>
        </w:rPr>
        <w:t>副本</w:t>
      </w:r>
      <w:r>
        <w:rPr>
          <w:rFonts w:hint="eastAsia" w:ascii="宋体" w:hAnsi="Times New Roman" w:cs="Times New Roman"/>
          <w:sz w:val="24"/>
          <w:szCs w:val="24"/>
          <w:lang w:val="en-US" w:bidi="ar-SA"/>
        </w:rPr>
        <w:t>”</w:t>
      </w:r>
      <w:r>
        <w:rPr>
          <w:rFonts w:hint="eastAsia" w:ascii="宋体" w:hAnsi="宋体" w:cs="Times New Roman"/>
          <w:sz w:val="24"/>
          <w:szCs w:val="24"/>
          <w:lang w:val="en-US" w:bidi="ar-SA"/>
        </w:rPr>
        <w:t>之间如有差异，以正本为准。纸质版响应文件正本中，文字材料需打印或用不褪色墨水书写。纸质版响应文件的正本须经法人代表或授权委托人签署和加盖磋商供应商公章，副本可以是正本的复印件。纸质版响应文件如有错误必须修改时，修改处须由法人代表或其授权委托人签字或加盖公章。</w:t>
      </w:r>
    </w:p>
    <w:p>
      <w:pPr>
        <w:widowControl w:val="0"/>
        <w:kinsoku w:val="0"/>
        <w:overflowPunct w:val="0"/>
        <w:autoSpaceDE w:val="0"/>
        <w:autoSpaceDN w:val="0"/>
        <w:adjustRightInd w:val="0"/>
        <w:spacing w:before="57" w:line="420" w:lineRule="exact"/>
        <w:ind w:left="0" w:right="110"/>
        <w:outlineLvl w:val="4"/>
        <w:rPr>
          <w:rFonts w:ascii="宋体" w:hAnsi="宋体" w:eastAsia="Times New Roman" w:cs="Times New Roman"/>
          <w:b/>
          <w:sz w:val="24"/>
          <w:szCs w:val="24"/>
          <w:lang w:val="en-US" w:eastAsia="zh-CN" w:bidi="ar-SA"/>
        </w:rPr>
      </w:pPr>
    </w:p>
    <w:p>
      <w:pPr>
        <w:widowControl w:val="0"/>
        <w:numPr>
          <w:ilvl w:val="0"/>
          <w:numId w:val="4"/>
        </w:numPr>
        <w:kinsoku w:val="0"/>
        <w:overflowPunct w:val="0"/>
        <w:autoSpaceDE w:val="0"/>
        <w:autoSpaceDN w:val="0"/>
        <w:adjustRightInd w:val="0"/>
        <w:spacing w:before="57" w:line="440" w:lineRule="exact"/>
        <w:ind w:left="591" w:right="110"/>
        <w:jc w:val="center"/>
        <w:outlineLvl w:val="4"/>
        <w:rPr>
          <w:rFonts w:ascii="宋体" w:hAnsi="宋体" w:eastAsia="Times New Roman" w:cs="Times New Roman"/>
          <w:b/>
          <w:spacing w:val="26"/>
          <w:w w:val="99"/>
          <w:sz w:val="24"/>
          <w:szCs w:val="24"/>
          <w:lang w:val="en-US" w:eastAsia="zh-CN" w:bidi="ar-SA"/>
        </w:rPr>
      </w:pPr>
      <w:r>
        <w:rPr>
          <w:rFonts w:hint="eastAsia" w:ascii="宋体" w:hAnsi="宋体" w:eastAsia="宋体" w:cs="Times New Roman"/>
          <w:b/>
          <w:sz w:val="24"/>
          <w:szCs w:val="24"/>
          <w:lang w:val="en-US" w:eastAsia="zh-CN" w:bidi="ar-SA"/>
        </w:rPr>
        <w:t>响应文件的提交</w:t>
      </w:r>
    </w:p>
    <w:p>
      <w:pPr>
        <w:adjustRightInd w:val="0"/>
        <w:spacing w:line="440" w:lineRule="exact"/>
        <w:ind w:firstLine="482" w:firstLineChars="200"/>
        <w:rPr>
          <w:rFonts w:ascii="宋体" w:hAnsi="Times New Roman" w:eastAsia="Times New Roman" w:cs="Times New Roman"/>
          <w:b/>
          <w:color w:val="000000"/>
          <w:sz w:val="24"/>
          <w:szCs w:val="24"/>
          <w:lang w:val="en-US" w:bidi="ar-SA"/>
        </w:rPr>
      </w:pPr>
      <w:r>
        <w:rPr>
          <w:rFonts w:ascii="宋体" w:hAnsi="宋体" w:cs="Times New Roman"/>
          <w:b/>
          <w:color w:val="000000"/>
          <w:sz w:val="24"/>
          <w:szCs w:val="24"/>
          <w:lang w:val="en-US" w:bidi="ar-SA"/>
        </w:rPr>
        <w:t>23</w:t>
      </w:r>
      <w:r>
        <w:rPr>
          <w:rFonts w:hint="eastAsia" w:ascii="宋体" w:hAnsi="宋体" w:cs="Times New Roman"/>
          <w:b/>
          <w:color w:val="000000"/>
          <w:sz w:val="24"/>
          <w:szCs w:val="24"/>
          <w:lang w:val="en-US" w:bidi="ar-SA"/>
        </w:rPr>
        <w:t>、响应文件的密封与标志</w:t>
      </w:r>
    </w:p>
    <w:p>
      <w:pPr>
        <w:widowControl w:val="0"/>
        <w:autoSpaceDE w:val="0"/>
        <w:autoSpaceDN w:val="0"/>
        <w:adjustRightInd w:val="0"/>
        <w:spacing w:before="0" w:after="0" w:line="440" w:lineRule="exact"/>
        <w:ind w:firstLine="480" w:firstLineChars="200"/>
        <w:jc w:val="left"/>
        <w:rPr>
          <w:rFonts w:ascii="宋体" w:hAnsi="Times New Roman" w:eastAsia="宋体" w:cs="Times New Roman"/>
          <w:color w:val="000000"/>
          <w:sz w:val="24"/>
          <w:szCs w:val="24"/>
          <w:lang w:val="en-US" w:eastAsia="zh-CN" w:bidi="ar-SA"/>
        </w:rPr>
      </w:pPr>
      <w:r>
        <w:rPr>
          <w:rFonts w:ascii="宋体" w:hAnsi="宋体" w:eastAsia="宋体" w:cs="Times New Roman"/>
          <w:color w:val="000000"/>
          <w:sz w:val="24"/>
          <w:szCs w:val="24"/>
          <w:lang w:val="en-US" w:eastAsia="zh-CN" w:bidi="ar-SA"/>
        </w:rPr>
        <w:t xml:space="preserve">23.1 </w:t>
      </w:r>
      <w:r>
        <w:rPr>
          <w:rFonts w:hint="eastAsia" w:ascii="宋体" w:hAnsi="宋体" w:eastAsia="宋体" w:cs="Times New Roman"/>
          <w:color w:val="000000"/>
          <w:sz w:val="24"/>
          <w:szCs w:val="24"/>
          <w:lang w:val="en-US" w:eastAsia="zh-CN" w:bidi="ar-SA"/>
        </w:rPr>
        <w:t>电子投标响应文件按照本项目磋商文件和政采云平台的要求编制、加密传输。</w:t>
      </w:r>
    </w:p>
    <w:p>
      <w:pPr>
        <w:widowControl w:val="0"/>
        <w:autoSpaceDE w:val="0"/>
        <w:autoSpaceDN w:val="0"/>
        <w:adjustRightInd w:val="0"/>
        <w:spacing w:before="0" w:after="0" w:line="440" w:lineRule="exact"/>
        <w:ind w:firstLine="480" w:firstLineChars="200"/>
        <w:jc w:val="left"/>
        <w:rPr>
          <w:rFonts w:ascii="宋体" w:hAnsi="Times New Roman" w:eastAsia="宋体" w:cs="Times New Roman"/>
          <w:color w:val="000000"/>
          <w:sz w:val="24"/>
          <w:szCs w:val="24"/>
          <w:lang w:val="en-US" w:eastAsia="zh-CN" w:bidi="ar-SA"/>
        </w:rPr>
      </w:pPr>
      <w:r>
        <w:rPr>
          <w:rFonts w:ascii="宋体" w:hAnsi="宋体" w:eastAsia="宋体" w:cs="Times New Roman"/>
          <w:color w:val="000000"/>
          <w:sz w:val="24"/>
          <w:szCs w:val="24"/>
          <w:lang w:val="en-US" w:eastAsia="zh-CN" w:bidi="ar-SA"/>
        </w:rPr>
        <w:t xml:space="preserve">23.2 </w:t>
      </w:r>
      <w:r>
        <w:rPr>
          <w:rFonts w:hint="eastAsia" w:ascii="宋体" w:hAnsi="宋体" w:eastAsia="宋体" w:cs="Times New Roman"/>
          <w:color w:val="000000"/>
          <w:sz w:val="24"/>
          <w:szCs w:val="24"/>
          <w:lang w:val="en-US" w:eastAsia="zh-CN" w:bidi="ar-SA"/>
        </w:rPr>
        <w:t>纸质版响应文件密封不做要求，文件封面须标记清楚：采购编号及项目名称、供应商的名称、地址、联系人、电话和传真等内容。</w:t>
      </w:r>
    </w:p>
    <w:p>
      <w:pPr>
        <w:widowControl w:val="0"/>
        <w:autoSpaceDE w:val="0"/>
        <w:autoSpaceDN w:val="0"/>
        <w:adjustRightInd w:val="0"/>
        <w:spacing w:before="0" w:after="0" w:line="440" w:lineRule="exact"/>
        <w:ind w:firstLine="442" w:firstLineChars="200"/>
        <w:jc w:val="left"/>
        <w:rPr>
          <w:rFonts w:ascii="Times New Roman" w:hAnsi="Times New Roman" w:eastAsia="宋体" w:cs="Times New Roman"/>
          <w:b/>
          <w:color w:val="000000"/>
          <w:sz w:val="24"/>
          <w:szCs w:val="24"/>
          <w:lang w:val="en-US" w:eastAsia="zh-CN" w:bidi="ar-SA"/>
        </w:rPr>
      </w:pPr>
      <w:r>
        <w:rPr>
          <w:rFonts w:ascii="Times New Roman" w:hAnsi="Times New Roman" w:eastAsia="宋体" w:cs="Times New Roman"/>
          <w:b/>
          <w:color w:val="000000"/>
          <w:sz w:val="22"/>
          <w:szCs w:val="22"/>
          <w:lang w:val="ru-RU" w:eastAsia="zh-CN" w:bidi="ar-SA"/>
        </w:rPr>
        <w:t>24</w:t>
      </w:r>
      <w:r>
        <w:rPr>
          <w:rFonts w:hint="eastAsia" w:ascii="宋体" w:hAnsi="宋体" w:eastAsia="宋体" w:cs="宋体"/>
          <w:b/>
          <w:color w:val="000000"/>
          <w:sz w:val="22"/>
          <w:szCs w:val="22"/>
          <w:lang w:val="ru-RU" w:eastAsia="zh-CN" w:bidi="ar-SA"/>
        </w:rPr>
        <w:t>、</w:t>
      </w:r>
      <w:r>
        <w:rPr>
          <w:rFonts w:hint="eastAsia" w:ascii="Times New Roman" w:hAnsi="Times New Roman" w:eastAsia="宋体" w:cs="Times New Roman"/>
          <w:b/>
          <w:color w:val="000000"/>
          <w:sz w:val="24"/>
          <w:szCs w:val="24"/>
          <w:lang w:val="en-US" w:eastAsia="zh-CN" w:bidi="ar-SA"/>
        </w:rPr>
        <w:t>提交首次响应文件截止时间</w:t>
      </w:r>
    </w:p>
    <w:p>
      <w:pPr>
        <w:widowControl w:val="0"/>
        <w:kinsoku w:val="0"/>
        <w:overflowPunct w:val="0"/>
        <w:autoSpaceDE w:val="0"/>
        <w:autoSpaceDN w:val="0"/>
        <w:adjustRightInd w:val="0"/>
        <w:spacing w:before="57" w:line="440" w:lineRule="exact"/>
        <w:ind w:left="111" w:right="232" w:firstLine="480"/>
        <w:jc w:val="both"/>
        <w:rPr>
          <w:rFonts w:ascii="宋体" w:hAnsi="宋体" w:eastAsia="宋体" w:cs="宋体"/>
          <w:color w:val="000000"/>
          <w:sz w:val="24"/>
          <w:szCs w:val="21"/>
          <w:lang w:val="en-US" w:eastAsia="zh-CN" w:bidi="ar-SA"/>
        </w:rPr>
      </w:pPr>
      <w:r>
        <w:rPr>
          <w:rFonts w:ascii="宋体" w:hAnsi="宋体" w:eastAsia="宋体" w:cs="Times New Roman"/>
          <w:color w:val="000000"/>
          <w:sz w:val="24"/>
          <w:szCs w:val="24"/>
          <w:lang w:val="en-US" w:eastAsia="zh-CN" w:bidi="ar-SA"/>
        </w:rPr>
        <w:t>24.1</w:t>
      </w:r>
      <w:r>
        <w:rPr>
          <w:rFonts w:hint="eastAsia" w:ascii="宋体" w:hAnsi="宋体" w:eastAsia="宋体" w:cs="Times New Roman"/>
          <w:color w:val="000000"/>
          <w:sz w:val="24"/>
          <w:szCs w:val="24"/>
          <w:lang w:val="en-US" w:eastAsia="zh-CN" w:bidi="ar-SA"/>
        </w:rPr>
        <w:t>供应商应在采购文件第</w:t>
      </w:r>
      <w:r>
        <w:rPr>
          <w:rFonts w:hint="eastAsia" w:cs="Times New Roman"/>
          <w:color w:val="000000"/>
          <w:sz w:val="24"/>
          <w:szCs w:val="24"/>
          <w:lang w:val="en-US" w:eastAsia="zh-CN" w:bidi="ar-SA"/>
        </w:rPr>
        <w:t>一</w:t>
      </w:r>
      <w:r>
        <w:rPr>
          <w:rFonts w:hint="eastAsia" w:ascii="宋体" w:hAnsi="宋体" w:eastAsia="宋体" w:cs="Times New Roman"/>
          <w:color w:val="000000"/>
          <w:sz w:val="24"/>
          <w:szCs w:val="24"/>
          <w:lang w:val="en-US" w:eastAsia="zh-CN" w:bidi="ar-SA"/>
        </w:rPr>
        <w:t>章“竞争性磋商须知前附表”规定的提交首次响应文件截止时间前，</w:t>
      </w:r>
      <w:r>
        <w:rPr>
          <w:rFonts w:hint="eastAsia" w:ascii="宋体" w:hAnsi="宋体" w:eastAsia="宋体" w:cs="宋体"/>
          <w:color w:val="000000"/>
          <w:sz w:val="24"/>
          <w:szCs w:val="21"/>
          <w:lang w:val="en-US" w:eastAsia="zh-CN" w:bidi="ar-SA"/>
        </w:rPr>
        <w:t>通过“政采云”平台（</w:t>
      </w:r>
      <w:r>
        <w:rPr>
          <w:rFonts w:ascii="宋体" w:hAnsi="宋体" w:eastAsia="宋体" w:cs="宋体"/>
          <w:color w:val="000000"/>
          <w:sz w:val="24"/>
          <w:szCs w:val="21"/>
          <w:lang w:val="en-US" w:eastAsia="zh-CN" w:bidi="ar-SA"/>
        </w:rPr>
        <w:t>https://www.zcygov.cn</w:t>
      </w:r>
      <w:r>
        <w:rPr>
          <w:rFonts w:hint="eastAsia" w:ascii="宋体" w:hAnsi="宋体" w:eastAsia="宋体" w:cs="宋体"/>
          <w:color w:val="000000"/>
          <w:sz w:val="24"/>
          <w:szCs w:val="21"/>
          <w:lang w:val="en-US" w:eastAsia="zh-CN" w:bidi="ar-SA"/>
        </w:rPr>
        <w:t>）上传加密的电子响应文件。</w:t>
      </w:r>
    </w:p>
    <w:p>
      <w:pPr>
        <w:widowControl w:val="0"/>
        <w:kinsoku w:val="0"/>
        <w:overflowPunct w:val="0"/>
        <w:autoSpaceDE w:val="0"/>
        <w:autoSpaceDN w:val="0"/>
        <w:adjustRightInd w:val="0"/>
        <w:spacing w:before="57" w:line="440" w:lineRule="exact"/>
        <w:ind w:left="111" w:right="232" w:firstLine="480"/>
        <w:jc w:val="both"/>
        <w:rPr>
          <w:rFonts w:ascii="宋体" w:hAnsi="宋体" w:eastAsia="宋体" w:cs="Times New Roman"/>
          <w:color w:val="000000"/>
          <w:sz w:val="24"/>
          <w:szCs w:val="24"/>
          <w:lang w:val="en-US" w:eastAsia="zh-CN" w:bidi="ar-SA"/>
        </w:rPr>
      </w:pPr>
      <w:r>
        <w:rPr>
          <w:rFonts w:ascii="宋体" w:hAnsi="宋体" w:eastAsia="宋体" w:cs="Times New Roman"/>
          <w:color w:val="000000"/>
          <w:sz w:val="24"/>
          <w:szCs w:val="24"/>
          <w:lang w:val="en-US" w:eastAsia="zh-CN" w:bidi="ar-SA"/>
        </w:rPr>
        <w:t xml:space="preserve">24.2 </w:t>
      </w:r>
      <w:r>
        <w:rPr>
          <w:rFonts w:hint="eastAsia" w:ascii="宋体" w:hAnsi="宋体" w:eastAsia="宋体" w:cs="Times New Roman"/>
          <w:color w:val="000000"/>
          <w:sz w:val="24"/>
          <w:szCs w:val="24"/>
          <w:lang w:val="en-US" w:eastAsia="zh-CN" w:bidi="ar-SA"/>
        </w:rPr>
        <w:t>采购人可按本须知第</w:t>
      </w:r>
      <w:r>
        <w:rPr>
          <w:rFonts w:ascii="宋体" w:hAnsi="宋体" w:eastAsia="宋体" w:cs="Times New Roman"/>
          <w:color w:val="000000"/>
          <w:sz w:val="24"/>
          <w:szCs w:val="24"/>
          <w:lang w:val="en-US" w:eastAsia="zh-CN" w:bidi="ar-SA"/>
        </w:rPr>
        <w:t xml:space="preserve"> 13 </w:t>
      </w:r>
      <w:r>
        <w:rPr>
          <w:rFonts w:hint="eastAsia" w:ascii="宋体" w:hAnsi="宋体" w:eastAsia="宋体" w:cs="Times New Roman"/>
          <w:color w:val="000000"/>
          <w:sz w:val="24"/>
          <w:szCs w:val="24"/>
          <w:lang w:val="en-US" w:eastAsia="zh-CN" w:bidi="ar-SA"/>
        </w:rPr>
        <w:t>条规定以修改补充通知的方式，酌情延长提交响应文件的截止时间。在此情况下，供应商的所有权利和义务以及供应商受制约的截止时间，均以延长后新的磋商截止时间为准。</w:t>
      </w:r>
    </w:p>
    <w:p>
      <w:pPr>
        <w:widowControl w:val="0"/>
        <w:kinsoku w:val="0"/>
        <w:overflowPunct w:val="0"/>
        <w:autoSpaceDE w:val="0"/>
        <w:autoSpaceDN w:val="0"/>
        <w:adjustRightInd w:val="0"/>
        <w:spacing w:before="60" w:line="440" w:lineRule="exact"/>
        <w:ind w:left="591"/>
        <w:outlineLvl w:val="4"/>
        <w:rPr>
          <w:rFonts w:ascii="宋体" w:hAnsi="宋体" w:eastAsia="Times New Roman" w:cs="Times New Roman"/>
          <w:b/>
          <w:color w:val="000000"/>
          <w:sz w:val="24"/>
          <w:szCs w:val="24"/>
          <w:lang w:val="en-US" w:eastAsia="zh-CN" w:bidi="ar-SA"/>
        </w:rPr>
      </w:pPr>
      <w:r>
        <w:rPr>
          <w:rFonts w:ascii="宋体" w:hAnsi="宋体" w:eastAsia="宋体" w:cs="Times New Roman"/>
          <w:b/>
          <w:color w:val="000000"/>
          <w:sz w:val="24"/>
          <w:szCs w:val="24"/>
          <w:lang w:val="en-US" w:eastAsia="zh-CN" w:bidi="ar-SA"/>
        </w:rPr>
        <w:t>26</w:t>
      </w:r>
      <w:r>
        <w:rPr>
          <w:rFonts w:hint="eastAsia" w:ascii="宋体" w:hAnsi="宋体" w:eastAsia="宋体" w:cs="Times New Roman"/>
          <w:b/>
          <w:color w:val="000000"/>
          <w:sz w:val="24"/>
          <w:szCs w:val="24"/>
          <w:lang w:val="en-US" w:eastAsia="zh-CN" w:bidi="ar-SA"/>
        </w:rPr>
        <w:t>、迟交的响应文件</w:t>
      </w:r>
    </w:p>
    <w:p>
      <w:pPr>
        <w:widowControl w:val="0"/>
        <w:kinsoku w:val="0"/>
        <w:overflowPunct w:val="0"/>
        <w:autoSpaceDE w:val="0"/>
        <w:autoSpaceDN w:val="0"/>
        <w:adjustRightInd w:val="0"/>
        <w:spacing w:before="57" w:line="440" w:lineRule="exact"/>
        <w:ind w:left="111" w:right="232" w:firstLine="480"/>
        <w:jc w:val="both"/>
        <w:rPr>
          <w:rFonts w:ascii="宋体" w:hAnsi="宋体" w:eastAsia="宋体" w:cs="Times New Roman"/>
          <w:color w:val="000000"/>
          <w:sz w:val="24"/>
          <w:szCs w:val="24"/>
          <w:lang w:val="en-US" w:eastAsia="zh-CN" w:bidi="ar-SA"/>
        </w:rPr>
      </w:pPr>
      <w:r>
        <w:rPr>
          <w:rFonts w:ascii="宋体" w:hAnsi="宋体" w:eastAsia="宋体" w:cs="Times New Roman"/>
          <w:color w:val="000000"/>
          <w:sz w:val="24"/>
          <w:szCs w:val="24"/>
          <w:lang w:val="en-US" w:eastAsia="zh-CN" w:bidi="ar-SA"/>
        </w:rPr>
        <w:t xml:space="preserve">26.1 </w:t>
      </w:r>
      <w:r>
        <w:rPr>
          <w:rFonts w:hint="eastAsia" w:ascii="宋体" w:hAnsi="宋体" w:eastAsia="宋体" w:cs="Times New Roman"/>
          <w:color w:val="000000"/>
          <w:sz w:val="24"/>
          <w:szCs w:val="24"/>
          <w:lang w:val="en-US" w:eastAsia="zh-CN" w:bidi="ar-SA"/>
        </w:rPr>
        <w:t>在提交首次响应文件截止时间后递交的响应文件，采购人将拒绝接受。</w:t>
      </w:r>
      <w:bookmarkStart w:id="70" w:name="_Toc301187687"/>
    </w:p>
    <w:p>
      <w:pPr>
        <w:widowControl w:val="0"/>
        <w:kinsoku w:val="0"/>
        <w:overflowPunct w:val="0"/>
        <w:autoSpaceDE w:val="0"/>
        <w:autoSpaceDN w:val="0"/>
        <w:adjustRightInd w:val="0"/>
        <w:spacing w:before="57" w:line="440" w:lineRule="exact"/>
        <w:ind w:left="111" w:right="232" w:firstLine="480"/>
        <w:jc w:val="both"/>
        <w:rPr>
          <w:rFonts w:ascii="宋体" w:hAnsi="宋体" w:eastAsia="宋体" w:cs="Times New Roman"/>
          <w:color w:val="000000"/>
          <w:sz w:val="24"/>
          <w:szCs w:val="24"/>
          <w:lang w:val="en-US" w:eastAsia="zh-CN" w:bidi="ar-SA"/>
        </w:rPr>
      </w:pPr>
      <w:r>
        <w:rPr>
          <w:rFonts w:ascii="宋体" w:hAnsi="宋体" w:eastAsia="宋体" w:cs="Times New Roman"/>
          <w:color w:val="000000"/>
          <w:sz w:val="24"/>
          <w:szCs w:val="24"/>
          <w:lang w:val="en-US" w:eastAsia="zh-CN" w:bidi="ar-SA"/>
        </w:rPr>
        <w:t xml:space="preserve">26.2 </w:t>
      </w:r>
      <w:r>
        <w:rPr>
          <w:rFonts w:hint="eastAsia" w:ascii="宋体" w:hAnsi="宋体" w:eastAsia="宋体" w:cs="Times New Roman"/>
          <w:color w:val="000000"/>
          <w:sz w:val="24"/>
          <w:szCs w:val="24"/>
          <w:lang w:val="en-US" w:eastAsia="zh-CN" w:bidi="ar-SA"/>
        </w:rPr>
        <w:t>不予接收的磋商响应文件情形</w:t>
      </w:r>
      <w:r>
        <w:rPr>
          <w:rFonts w:hint="eastAsia" w:cs="Times New Roman"/>
          <w:color w:val="000000"/>
          <w:sz w:val="24"/>
          <w:szCs w:val="24"/>
          <w:lang w:val="en-US" w:eastAsia="zh-CN" w:bidi="ar-SA"/>
        </w:rPr>
        <w:t>：</w:t>
      </w:r>
    </w:p>
    <w:p>
      <w:pPr>
        <w:widowControl w:val="0"/>
        <w:kinsoku w:val="0"/>
        <w:overflowPunct w:val="0"/>
        <w:autoSpaceDE w:val="0"/>
        <w:autoSpaceDN w:val="0"/>
        <w:adjustRightInd w:val="0"/>
        <w:spacing w:before="57" w:line="440" w:lineRule="exact"/>
        <w:ind w:left="111" w:right="232" w:firstLine="480"/>
        <w:jc w:val="both"/>
        <w:rPr>
          <w:rFonts w:ascii="宋体" w:hAnsi="宋体" w:eastAsia="宋体" w:cs="Times New Roman"/>
          <w:color w:val="000000"/>
          <w:sz w:val="24"/>
          <w:szCs w:val="24"/>
          <w:lang w:val="en-US" w:eastAsia="zh-CN" w:bidi="ar-SA"/>
        </w:rPr>
      </w:pPr>
      <w:r>
        <w:rPr>
          <w:rFonts w:ascii="宋体" w:hAnsi="宋体" w:eastAsia="宋体" w:cs="Times New Roman"/>
          <w:color w:val="000000"/>
          <w:sz w:val="24"/>
          <w:szCs w:val="24"/>
          <w:lang w:val="en-US" w:eastAsia="zh-CN" w:bidi="ar-SA"/>
        </w:rPr>
        <w:fldChar w:fldCharType="begin"/>
      </w:r>
      <w:r>
        <w:rPr>
          <w:rFonts w:ascii="宋体" w:hAnsi="宋体" w:eastAsia="宋体" w:cs="Times New Roman"/>
          <w:color w:val="000000"/>
          <w:sz w:val="24"/>
          <w:szCs w:val="24"/>
          <w:lang w:val="en-US" w:eastAsia="zh-CN" w:bidi="ar-SA"/>
        </w:rPr>
        <w:instrText xml:space="preserve"> = 1 \* GB2 </w:instrText>
      </w:r>
      <w:r>
        <w:rPr>
          <w:rFonts w:ascii="宋体" w:hAnsi="宋体" w:eastAsia="宋体" w:cs="Times New Roman"/>
          <w:color w:val="000000"/>
          <w:sz w:val="24"/>
          <w:szCs w:val="24"/>
          <w:lang w:val="en-US" w:eastAsia="zh-CN" w:bidi="ar-SA"/>
        </w:rPr>
        <w:fldChar w:fldCharType="separate"/>
      </w:r>
      <w:r>
        <w:rPr>
          <w:rFonts w:hint="eastAsia" w:ascii="宋体" w:hAnsi="宋体" w:eastAsia="宋体" w:cs="Times New Roman"/>
          <w:color w:val="000000"/>
          <w:sz w:val="24"/>
          <w:szCs w:val="24"/>
          <w:lang w:val="en-US" w:eastAsia="zh-CN" w:bidi="ar-SA"/>
        </w:rPr>
        <w:t>⑴</w:t>
      </w:r>
      <w:r>
        <w:rPr>
          <w:rFonts w:ascii="宋体" w:hAnsi="宋体" w:eastAsia="宋体" w:cs="Times New Roman"/>
          <w:color w:val="000000"/>
          <w:sz w:val="24"/>
          <w:szCs w:val="24"/>
          <w:lang w:val="en-US" w:eastAsia="zh-CN" w:bidi="ar-SA"/>
        </w:rPr>
        <w:fldChar w:fldCharType="end"/>
      </w:r>
      <w:bookmarkEnd w:id="70"/>
      <w:r>
        <w:rPr>
          <w:rFonts w:hint="eastAsia" w:ascii="宋体" w:hAnsi="宋体" w:eastAsia="宋体" w:cs="Times New Roman"/>
          <w:color w:val="000000"/>
          <w:sz w:val="24"/>
          <w:szCs w:val="24"/>
          <w:lang w:val="en-US" w:eastAsia="zh-CN" w:bidi="ar-SA"/>
        </w:rPr>
        <w:t>投标截止时间前未完成传输的电子磋商响应文件；</w:t>
      </w:r>
    </w:p>
    <w:p>
      <w:pPr>
        <w:widowControl w:val="0"/>
        <w:kinsoku w:val="0"/>
        <w:overflowPunct w:val="0"/>
        <w:autoSpaceDE w:val="0"/>
        <w:autoSpaceDN w:val="0"/>
        <w:adjustRightInd w:val="0"/>
        <w:spacing w:before="57" w:line="440" w:lineRule="exact"/>
        <w:ind w:left="111" w:right="232" w:firstLine="480"/>
        <w:jc w:val="both"/>
        <w:rPr>
          <w:rFonts w:ascii="宋体" w:hAnsi="宋体" w:eastAsia="宋体" w:cs="Times New Roman"/>
          <w:color w:val="000000"/>
          <w:sz w:val="24"/>
          <w:szCs w:val="24"/>
          <w:lang w:val="en-US" w:eastAsia="zh-CN" w:bidi="ar-SA"/>
        </w:rPr>
      </w:pPr>
      <w:r>
        <w:rPr>
          <w:rFonts w:ascii="宋体" w:hAnsi="宋体" w:eastAsia="宋体" w:cs="Times New Roman"/>
          <w:color w:val="000000"/>
          <w:sz w:val="24"/>
          <w:szCs w:val="24"/>
          <w:lang w:val="en-US" w:eastAsia="zh-CN" w:bidi="ar-SA"/>
        </w:rPr>
        <w:fldChar w:fldCharType="begin"/>
      </w:r>
      <w:r>
        <w:rPr>
          <w:rFonts w:ascii="宋体" w:hAnsi="宋体" w:eastAsia="宋体" w:cs="Times New Roman"/>
          <w:color w:val="000000"/>
          <w:sz w:val="24"/>
          <w:szCs w:val="24"/>
          <w:lang w:val="en-US" w:eastAsia="zh-CN" w:bidi="ar-SA"/>
        </w:rPr>
        <w:instrText xml:space="preserve"> = 2 \* GB2 </w:instrText>
      </w:r>
      <w:r>
        <w:rPr>
          <w:rFonts w:ascii="宋体" w:hAnsi="宋体" w:eastAsia="宋体" w:cs="Times New Roman"/>
          <w:color w:val="000000"/>
          <w:sz w:val="24"/>
          <w:szCs w:val="24"/>
          <w:lang w:val="en-US" w:eastAsia="zh-CN" w:bidi="ar-SA"/>
        </w:rPr>
        <w:fldChar w:fldCharType="separate"/>
      </w:r>
      <w:r>
        <w:rPr>
          <w:rFonts w:hint="eastAsia" w:ascii="宋体" w:hAnsi="宋体" w:eastAsia="宋体" w:cs="Times New Roman"/>
          <w:color w:val="000000"/>
          <w:sz w:val="24"/>
          <w:szCs w:val="24"/>
          <w:lang w:val="en-US" w:eastAsia="zh-CN" w:bidi="ar-SA"/>
        </w:rPr>
        <w:t>⑵</w:t>
      </w:r>
      <w:r>
        <w:rPr>
          <w:rFonts w:ascii="宋体" w:hAnsi="宋体" w:eastAsia="宋体" w:cs="Times New Roman"/>
          <w:color w:val="000000"/>
          <w:sz w:val="24"/>
          <w:szCs w:val="24"/>
          <w:lang w:val="en-US" w:eastAsia="zh-CN" w:bidi="ar-SA"/>
        </w:rPr>
        <w:fldChar w:fldCharType="end"/>
      </w:r>
      <w:r>
        <w:rPr>
          <w:rFonts w:hint="eastAsia" w:ascii="宋体" w:hAnsi="宋体" w:eastAsia="宋体" w:cs="Times New Roman"/>
          <w:color w:val="000000"/>
          <w:sz w:val="24"/>
          <w:szCs w:val="24"/>
          <w:lang w:val="en-US" w:eastAsia="zh-CN" w:bidi="ar-SA"/>
        </w:rPr>
        <w:t>未生成加密的电子磋商响应文件；</w:t>
      </w:r>
    </w:p>
    <w:p>
      <w:pPr>
        <w:widowControl w:val="0"/>
        <w:kinsoku w:val="0"/>
        <w:overflowPunct w:val="0"/>
        <w:autoSpaceDE w:val="0"/>
        <w:autoSpaceDN w:val="0"/>
        <w:adjustRightInd w:val="0"/>
        <w:spacing w:before="57" w:line="440" w:lineRule="exact"/>
        <w:ind w:left="111" w:right="232" w:firstLine="480"/>
        <w:jc w:val="both"/>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⑶在规定时间内未解密的电子磋商响应文件，或者解密不成功又未提供备份磋商响应文件的。</w:t>
      </w:r>
    </w:p>
    <w:p>
      <w:pPr>
        <w:widowControl w:val="0"/>
        <w:kinsoku w:val="0"/>
        <w:overflowPunct w:val="0"/>
        <w:autoSpaceDE w:val="0"/>
        <w:autoSpaceDN w:val="0"/>
        <w:adjustRightInd w:val="0"/>
        <w:spacing w:before="60" w:line="440" w:lineRule="exact"/>
        <w:ind w:left="591"/>
        <w:outlineLvl w:val="4"/>
        <w:rPr>
          <w:rFonts w:ascii="宋体" w:hAnsi="宋体" w:eastAsia="Times New Roman" w:cs="Times New Roman"/>
          <w:b/>
          <w:color w:val="000000"/>
          <w:sz w:val="24"/>
          <w:szCs w:val="24"/>
          <w:lang w:val="en-US" w:eastAsia="zh-CN" w:bidi="ar-SA"/>
        </w:rPr>
      </w:pPr>
      <w:r>
        <w:rPr>
          <w:rFonts w:ascii="宋体" w:hAnsi="宋体" w:eastAsia="宋体" w:cs="Times New Roman"/>
          <w:b/>
          <w:color w:val="000000"/>
          <w:sz w:val="24"/>
          <w:szCs w:val="24"/>
          <w:lang w:val="en-US" w:eastAsia="zh-CN" w:bidi="ar-SA"/>
        </w:rPr>
        <w:t>27</w:t>
      </w:r>
      <w:r>
        <w:rPr>
          <w:rFonts w:hint="eastAsia" w:ascii="宋体" w:hAnsi="宋体" w:eastAsia="宋体" w:cs="Times New Roman"/>
          <w:b/>
          <w:color w:val="000000"/>
          <w:sz w:val="24"/>
          <w:szCs w:val="24"/>
          <w:lang w:val="en-US" w:eastAsia="zh-CN" w:bidi="ar-SA"/>
        </w:rPr>
        <w:t>、响应文件的补充、修改和撤回</w:t>
      </w:r>
    </w:p>
    <w:p>
      <w:pPr>
        <w:widowControl w:val="0"/>
        <w:kinsoku w:val="0"/>
        <w:overflowPunct w:val="0"/>
        <w:autoSpaceDE w:val="0"/>
        <w:autoSpaceDN w:val="0"/>
        <w:adjustRightInd w:val="0"/>
        <w:spacing w:line="440" w:lineRule="exact"/>
        <w:ind w:left="111" w:right="232" w:firstLine="480"/>
        <w:jc w:val="both"/>
        <w:rPr>
          <w:rFonts w:ascii="宋体" w:hAnsi="宋体" w:eastAsia="宋体" w:cs="Times New Roman"/>
          <w:color w:val="000000"/>
          <w:sz w:val="24"/>
          <w:szCs w:val="24"/>
          <w:lang w:val="en-US" w:eastAsia="zh-CN" w:bidi="ar-SA"/>
        </w:rPr>
      </w:pPr>
      <w:r>
        <w:rPr>
          <w:rFonts w:ascii="宋体" w:hAnsi="宋体" w:eastAsia="宋体" w:cs="Times New Roman"/>
          <w:color w:val="000000"/>
          <w:sz w:val="24"/>
          <w:szCs w:val="24"/>
          <w:lang w:val="en-US" w:eastAsia="zh-CN" w:bidi="ar-SA"/>
        </w:rPr>
        <w:t xml:space="preserve">27.1 </w:t>
      </w:r>
      <w:r>
        <w:rPr>
          <w:rFonts w:hint="eastAsia" w:ascii="宋体" w:hAnsi="宋体" w:eastAsia="宋体" w:cs="Times New Roman"/>
          <w:color w:val="000000"/>
          <w:sz w:val="24"/>
          <w:szCs w:val="24"/>
          <w:lang w:val="en-US" w:eastAsia="zh-CN" w:bidi="ar-SA"/>
        </w:rPr>
        <w:t>在投标截止时间前，磋商供应商可对已提交的电子磋商响应文件进行补充、修改或撤回。补充、修改电子磋商响应文件的，应当先行撤回原文件，补充、修改后重新生成加密的电子磋商响应文件并重新传输递交；</w:t>
      </w:r>
    </w:p>
    <w:p>
      <w:pPr>
        <w:widowControl w:val="0"/>
        <w:kinsoku w:val="0"/>
        <w:overflowPunct w:val="0"/>
        <w:autoSpaceDE w:val="0"/>
        <w:autoSpaceDN w:val="0"/>
        <w:adjustRightInd w:val="0"/>
        <w:spacing w:line="440" w:lineRule="exact"/>
        <w:ind w:left="111" w:right="232" w:firstLine="480"/>
        <w:jc w:val="both"/>
        <w:rPr>
          <w:rFonts w:ascii="宋体" w:hAnsi="宋体" w:eastAsia="宋体" w:cs="Times New Roman"/>
          <w:color w:val="000000"/>
          <w:sz w:val="24"/>
          <w:szCs w:val="24"/>
          <w:lang w:val="en-US" w:eastAsia="zh-CN" w:bidi="ar-SA"/>
        </w:rPr>
      </w:pPr>
      <w:r>
        <w:rPr>
          <w:rFonts w:ascii="宋体" w:hAnsi="宋体" w:eastAsia="宋体" w:cs="Times New Roman"/>
          <w:color w:val="000000"/>
          <w:sz w:val="24"/>
          <w:szCs w:val="24"/>
          <w:lang w:val="en-US" w:eastAsia="zh-CN" w:bidi="ar-SA"/>
        </w:rPr>
        <w:t xml:space="preserve">27.2 </w:t>
      </w:r>
      <w:r>
        <w:rPr>
          <w:rFonts w:hint="eastAsia" w:ascii="宋体" w:hAnsi="宋体" w:eastAsia="宋体" w:cs="Times New Roman"/>
          <w:color w:val="000000"/>
          <w:sz w:val="24"/>
          <w:szCs w:val="24"/>
          <w:lang w:val="en-US" w:eastAsia="zh-CN" w:bidi="ar-SA"/>
        </w:rPr>
        <w:t>补充、修改后重新提交的电子磋商响应文件应按磋商文件的规定编制、导入、加密和提交；</w:t>
      </w:r>
    </w:p>
    <w:p>
      <w:pPr>
        <w:widowControl w:val="0"/>
        <w:kinsoku w:val="0"/>
        <w:overflowPunct w:val="0"/>
        <w:autoSpaceDE w:val="0"/>
        <w:autoSpaceDN w:val="0"/>
        <w:adjustRightInd w:val="0"/>
        <w:spacing w:line="440" w:lineRule="exact"/>
        <w:ind w:left="111" w:right="232" w:firstLine="480"/>
        <w:jc w:val="both"/>
        <w:rPr>
          <w:rFonts w:ascii="宋体" w:hAnsi="宋体" w:eastAsia="宋体" w:cs="Times New Roman"/>
          <w:color w:val="000000"/>
          <w:sz w:val="24"/>
          <w:szCs w:val="24"/>
          <w:lang w:val="en-US" w:eastAsia="zh-CN" w:bidi="ar-SA"/>
        </w:rPr>
      </w:pPr>
      <w:r>
        <w:rPr>
          <w:rFonts w:ascii="宋体" w:hAnsi="宋体" w:eastAsia="宋体" w:cs="Times New Roman"/>
          <w:color w:val="000000"/>
          <w:sz w:val="24"/>
          <w:szCs w:val="24"/>
          <w:lang w:val="en-US" w:eastAsia="zh-CN" w:bidi="ar-SA"/>
        </w:rPr>
        <w:t xml:space="preserve">27.3 </w:t>
      </w:r>
      <w:r>
        <w:rPr>
          <w:rFonts w:hint="eastAsia" w:ascii="宋体" w:hAnsi="宋体" w:eastAsia="宋体" w:cs="Times New Roman"/>
          <w:color w:val="000000"/>
          <w:sz w:val="24"/>
          <w:szCs w:val="24"/>
          <w:lang w:val="en-US" w:eastAsia="zh-CN" w:bidi="ar-SA"/>
        </w:rPr>
        <w:t>在投标截止时间后，磋商供应商不得修改、撤回已提交的电子磋商响应文件。</w:t>
      </w:r>
    </w:p>
    <w:p>
      <w:pPr>
        <w:widowControl w:val="0"/>
        <w:kinsoku w:val="0"/>
        <w:overflowPunct w:val="0"/>
        <w:autoSpaceDE w:val="0"/>
        <w:autoSpaceDN w:val="0"/>
        <w:adjustRightInd w:val="0"/>
        <w:spacing w:before="2"/>
        <w:ind w:left="0"/>
        <w:rPr>
          <w:rFonts w:ascii="宋体" w:hAnsi="宋体" w:eastAsia="宋体" w:cs="Times New Roman"/>
          <w:color w:val="000000"/>
          <w:sz w:val="20"/>
          <w:szCs w:val="24"/>
          <w:lang w:val="en-US" w:eastAsia="zh-CN" w:bidi="ar-SA"/>
        </w:rPr>
      </w:pPr>
    </w:p>
    <w:p>
      <w:pPr>
        <w:widowControl w:val="0"/>
        <w:kinsoku w:val="0"/>
        <w:overflowPunct w:val="0"/>
        <w:autoSpaceDE w:val="0"/>
        <w:autoSpaceDN w:val="0"/>
        <w:adjustRightInd w:val="0"/>
        <w:ind w:left="458" w:right="577"/>
        <w:jc w:val="center"/>
        <w:rPr>
          <w:rFonts w:hint="eastAsia" w:ascii="宋体" w:hAnsi="宋体" w:eastAsia="宋体" w:cs="Times New Roman"/>
          <w:b/>
          <w:color w:val="000000"/>
          <w:sz w:val="24"/>
          <w:szCs w:val="24"/>
          <w:lang w:val="en-US" w:eastAsia="zh-CN" w:bidi="ar-SA"/>
        </w:rPr>
      </w:pPr>
    </w:p>
    <w:p>
      <w:pPr>
        <w:widowControl w:val="0"/>
        <w:kinsoku w:val="0"/>
        <w:overflowPunct w:val="0"/>
        <w:autoSpaceDE w:val="0"/>
        <w:autoSpaceDN w:val="0"/>
        <w:adjustRightInd w:val="0"/>
        <w:ind w:left="458" w:right="577"/>
        <w:jc w:val="center"/>
        <w:rPr>
          <w:rFonts w:ascii="宋体" w:hAnsi="宋体" w:eastAsia="Times New Roman" w:cs="Times New Roman"/>
          <w:color w:val="000000"/>
          <w:sz w:val="24"/>
          <w:szCs w:val="24"/>
          <w:lang w:val="en-US" w:eastAsia="zh-CN" w:bidi="ar-SA"/>
        </w:rPr>
      </w:pPr>
      <w:r>
        <w:rPr>
          <w:rFonts w:hint="eastAsia" w:ascii="宋体" w:hAnsi="宋体" w:eastAsia="宋体" w:cs="Times New Roman"/>
          <w:b/>
          <w:color w:val="000000"/>
          <w:sz w:val="24"/>
          <w:szCs w:val="24"/>
          <w:lang w:val="en-US" w:eastAsia="zh-CN" w:bidi="ar-SA"/>
        </w:rPr>
        <w:t>（五）磋商</w:t>
      </w:r>
    </w:p>
    <w:p>
      <w:pPr>
        <w:widowControl w:val="0"/>
        <w:kinsoku w:val="0"/>
        <w:overflowPunct w:val="0"/>
        <w:autoSpaceDE w:val="0"/>
        <w:autoSpaceDN w:val="0"/>
        <w:adjustRightInd w:val="0"/>
        <w:spacing w:before="10"/>
        <w:ind w:left="0"/>
        <w:rPr>
          <w:rFonts w:ascii="宋体" w:hAnsi="宋体" w:eastAsia="Times New Roman" w:cs="Times New Roman"/>
          <w:b/>
          <w:color w:val="000000"/>
          <w:sz w:val="18"/>
          <w:szCs w:val="24"/>
          <w:lang w:val="en-US" w:eastAsia="zh-CN" w:bidi="ar-SA"/>
        </w:rPr>
      </w:pPr>
    </w:p>
    <w:p>
      <w:pPr>
        <w:widowControl w:val="0"/>
        <w:kinsoku w:val="0"/>
        <w:overflowPunct w:val="0"/>
        <w:autoSpaceDE w:val="0"/>
        <w:autoSpaceDN w:val="0"/>
        <w:adjustRightInd w:val="0"/>
        <w:spacing w:line="440" w:lineRule="exact"/>
        <w:ind w:left="0" w:firstLine="482" w:firstLineChars="200"/>
        <w:rPr>
          <w:rFonts w:ascii="宋体" w:hAnsi="宋体" w:eastAsia="Times New Roman" w:cs="Times New Roman"/>
          <w:sz w:val="24"/>
          <w:szCs w:val="24"/>
          <w:lang w:val="en-US" w:eastAsia="zh-CN" w:bidi="ar-SA"/>
        </w:rPr>
      </w:pPr>
      <w:r>
        <w:rPr>
          <w:rFonts w:ascii="宋体" w:hAnsi="宋体" w:eastAsia="宋体" w:cs="Times New Roman"/>
          <w:b/>
          <w:sz w:val="24"/>
          <w:szCs w:val="24"/>
          <w:lang w:val="en-US" w:eastAsia="zh-CN" w:bidi="ar-SA"/>
        </w:rPr>
        <w:t>28</w:t>
      </w:r>
      <w:r>
        <w:rPr>
          <w:rFonts w:hint="eastAsia" w:ascii="宋体" w:hAnsi="宋体" w:eastAsia="宋体" w:cs="Times New Roman"/>
          <w:b/>
          <w:sz w:val="24"/>
          <w:szCs w:val="24"/>
          <w:lang w:val="en-US" w:eastAsia="zh-CN" w:bidi="ar-SA"/>
        </w:rPr>
        <w:t>、磋商</w:t>
      </w:r>
    </w:p>
    <w:p>
      <w:pPr>
        <w:widowControl w:val="0"/>
        <w:autoSpaceDE w:val="0"/>
        <w:autoSpaceDN w:val="0"/>
        <w:adjustRightInd w:val="0"/>
        <w:spacing w:before="0" w:after="0" w:line="440" w:lineRule="exact"/>
        <w:ind w:firstLine="480" w:firstLineChars="200"/>
        <w:jc w:val="left"/>
        <w:rPr>
          <w:rFonts w:ascii="宋体" w:hAnsi="Times New Roman" w:eastAsia="宋体" w:cs="Times New Roman"/>
          <w:sz w:val="24"/>
          <w:szCs w:val="24"/>
          <w:lang w:val="en-US" w:eastAsia="zh-CN" w:bidi="ar-SA"/>
        </w:rPr>
      </w:pPr>
      <w:bookmarkStart w:id="71" w:name="_Toc520356165"/>
      <w:r>
        <w:rPr>
          <w:rFonts w:ascii="宋体" w:hAnsi="宋体" w:eastAsia="宋体" w:cs="Times New Roman"/>
          <w:sz w:val="24"/>
          <w:szCs w:val="24"/>
          <w:lang w:val="en-US" w:eastAsia="zh-CN" w:bidi="ar-SA"/>
        </w:rPr>
        <w:t xml:space="preserve">28.1 </w:t>
      </w:r>
      <w:r>
        <w:rPr>
          <w:rFonts w:hint="eastAsia" w:ascii="宋体" w:hAnsi="宋体" w:eastAsia="宋体" w:cs="Times New Roman"/>
          <w:sz w:val="24"/>
          <w:szCs w:val="24"/>
          <w:lang w:val="en-US" w:eastAsia="zh-CN" w:bidi="ar-SA"/>
        </w:rPr>
        <w:t>开标</w:t>
      </w:r>
    </w:p>
    <w:p>
      <w:pPr>
        <w:widowControl w:val="0"/>
        <w:autoSpaceDE w:val="0"/>
        <w:autoSpaceDN w:val="0"/>
        <w:adjustRightInd w:val="0"/>
        <w:spacing w:before="0" w:after="0" w:line="440" w:lineRule="exact"/>
        <w:ind w:firstLine="480" w:firstLineChars="200"/>
        <w:jc w:val="left"/>
        <w:rPr>
          <w:rFonts w:ascii="宋体" w:hAnsi="Times New Roman" w:eastAsia="宋体" w:cs="Times New Roman"/>
          <w:sz w:val="24"/>
          <w:szCs w:val="24"/>
          <w:lang w:val="en-US" w:eastAsia="zh-CN" w:bidi="ar-SA"/>
        </w:rPr>
      </w:pPr>
      <w:r>
        <w:rPr>
          <w:rFonts w:ascii="宋体" w:hAnsi="宋体" w:eastAsia="宋体" w:cs="Times New Roman"/>
          <w:sz w:val="24"/>
          <w:szCs w:val="24"/>
          <w:lang w:val="en-US" w:eastAsia="zh-CN" w:bidi="ar-SA"/>
        </w:rPr>
        <w:t xml:space="preserve">28.1.1 </w:t>
      </w:r>
      <w:r>
        <w:rPr>
          <w:rFonts w:hint="eastAsia" w:ascii="宋体" w:hAnsi="宋体" w:eastAsia="宋体" w:cs="Times New Roman"/>
          <w:sz w:val="24"/>
          <w:szCs w:val="24"/>
          <w:lang w:val="en-US" w:eastAsia="zh-CN" w:bidi="ar-SA"/>
        </w:rPr>
        <w:t>本项目采用全流程不见面电子开评标，采购人和采购代理机构将按规定的磋商时间和地点组织开评标，监督部门将视情况派代表到现场进行监督。投标供应商不足</w:t>
      </w:r>
      <w:r>
        <w:rPr>
          <w:rFonts w:ascii="宋体" w:hAnsi="宋体" w:eastAsia="宋体" w:cs="Times New Roman"/>
          <w:sz w:val="24"/>
          <w:szCs w:val="24"/>
          <w:lang w:val="en-US" w:eastAsia="zh-CN" w:bidi="ar-SA"/>
        </w:rPr>
        <w:t>3</w:t>
      </w:r>
      <w:r>
        <w:rPr>
          <w:rFonts w:hint="eastAsia" w:ascii="宋体" w:hAnsi="宋体" w:eastAsia="宋体" w:cs="Times New Roman"/>
          <w:sz w:val="24"/>
          <w:szCs w:val="24"/>
          <w:lang w:val="en-US" w:eastAsia="zh-CN" w:bidi="ar-SA"/>
        </w:rPr>
        <w:t>家的，不得开标。</w:t>
      </w:r>
    </w:p>
    <w:p>
      <w:pPr>
        <w:adjustRightInd w:val="0"/>
        <w:snapToGrid w:val="0"/>
        <w:spacing w:line="440" w:lineRule="exact"/>
        <w:ind w:firstLine="480" w:firstLineChars="200"/>
        <w:rPr>
          <w:rFonts w:ascii="宋体" w:hAnsi="Times New Roman" w:cs="Times New Roman"/>
          <w:sz w:val="24"/>
          <w:szCs w:val="24"/>
          <w:lang w:val="en-US" w:bidi="ar-SA"/>
        </w:rPr>
      </w:pPr>
      <w:r>
        <w:rPr>
          <w:rFonts w:ascii="宋体" w:hAnsi="宋体" w:cs="Times New Roman"/>
          <w:sz w:val="24"/>
          <w:szCs w:val="24"/>
          <w:lang w:val="en-US" w:bidi="ar-SA"/>
        </w:rPr>
        <w:t xml:space="preserve">28.1.2 </w:t>
      </w:r>
      <w:r>
        <w:rPr>
          <w:rFonts w:hint="eastAsia" w:ascii="宋体" w:hAnsi="宋体" w:cs="Times New Roman"/>
          <w:sz w:val="24"/>
          <w:szCs w:val="24"/>
          <w:lang w:val="en-US" w:bidi="ar-SA"/>
        </w:rPr>
        <w:t>供应商无需到开标现场参加开标会议。供应商在开标前自备可联网电脑及</w:t>
      </w:r>
      <w:r>
        <w:rPr>
          <w:rFonts w:ascii="宋体" w:hAnsi="宋体" w:cs="Times New Roman"/>
          <w:sz w:val="24"/>
          <w:szCs w:val="24"/>
          <w:lang w:val="en-US" w:bidi="ar-SA"/>
        </w:rPr>
        <w:t>CA</w:t>
      </w:r>
      <w:r>
        <w:rPr>
          <w:rFonts w:hint="eastAsia" w:ascii="宋体" w:hAnsi="宋体" w:cs="Times New Roman"/>
          <w:sz w:val="24"/>
          <w:szCs w:val="24"/>
          <w:lang w:val="en-US" w:bidi="ar-SA"/>
        </w:rPr>
        <w:t>锁，电脑须提前配置好浏览器（建议使用</w:t>
      </w:r>
      <w:r>
        <w:rPr>
          <w:rFonts w:ascii="宋体" w:hAnsi="宋体" w:cs="Times New Roman"/>
          <w:sz w:val="24"/>
          <w:szCs w:val="24"/>
          <w:lang w:val="en-US" w:bidi="ar-SA"/>
        </w:rPr>
        <w:t>360</w:t>
      </w:r>
      <w:r>
        <w:rPr>
          <w:rFonts w:hint="eastAsia" w:ascii="宋体" w:hAnsi="宋体" w:cs="Times New Roman"/>
          <w:sz w:val="24"/>
          <w:szCs w:val="24"/>
          <w:lang w:val="en-US" w:bidi="ar-SA"/>
        </w:rPr>
        <w:t>浏览器或谷歌浏览器），以便开标时解锁，提前登录政采云平台做好准备，并保证设备正常，在线准时参加开标活动并进行文件解密、磋商谈判、答疑澄清。</w:t>
      </w:r>
    </w:p>
    <w:p>
      <w:pPr>
        <w:adjustRightInd w:val="0"/>
        <w:snapToGrid w:val="0"/>
        <w:spacing w:line="440" w:lineRule="exact"/>
        <w:ind w:firstLine="480" w:firstLineChars="200"/>
        <w:rPr>
          <w:rFonts w:ascii="宋体" w:hAnsi="Times New Roman" w:cs="Times New Roman"/>
          <w:sz w:val="24"/>
          <w:szCs w:val="24"/>
          <w:lang w:val="en-US" w:bidi="ar-SA"/>
        </w:rPr>
      </w:pPr>
      <w:r>
        <w:rPr>
          <w:rFonts w:ascii="宋体" w:hAnsi="宋体" w:cs="Times New Roman"/>
          <w:sz w:val="24"/>
          <w:szCs w:val="24"/>
          <w:lang w:val="en-US" w:bidi="ar-SA"/>
        </w:rPr>
        <w:t>28.1.3</w:t>
      </w:r>
      <w:r>
        <w:rPr>
          <w:rFonts w:hint="eastAsia" w:cs="Times New Roman"/>
          <w:sz w:val="24"/>
          <w:szCs w:val="24"/>
          <w:lang w:val="en-US" w:eastAsia="zh-CN" w:bidi="ar-SA"/>
        </w:rPr>
        <w:t xml:space="preserve"> </w:t>
      </w:r>
      <w:r>
        <w:rPr>
          <w:rFonts w:hint="eastAsia" w:ascii="宋体" w:hAnsi="宋体" w:cs="Times New Roman"/>
          <w:sz w:val="24"/>
          <w:szCs w:val="24"/>
          <w:lang w:val="en-US" w:bidi="ar-SA"/>
        </w:rPr>
        <w:t>开标时，采购代理机构主持介绍项目基本情况并宣布有关纪律和磋商程序，并检查所有电子响应文件的加密上传情况，在确认无误后，供应商使用</w:t>
      </w:r>
      <w:r>
        <w:rPr>
          <w:rFonts w:ascii="宋体" w:hAnsi="宋体" w:cs="Times New Roman"/>
          <w:sz w:val="24"/>
          <w:szCs w:val="24"/>
          <w:lang w:val="en-US" w:bidi="ar-SA"/>
        </w:rPr>
        <w:t>CA</w:t>
      </w:r>
      <w:r>
        <w:rPr>
          <w:rFonts w:hint="eastAsia" w:ascii="宋体" w:hAnsi="宋体" w:cs="Times New Roman"/>
          <w:sz w:val="24"/>
          <w:szCs w:val="24"/>
          <w:lang w:val="en-US" w:bidi="ar-SA"/>
        </w:rPr>
        <w:t>锁各自登录政采云平台，用“项目采购</w:t>
      </w:r>
      <w:r>
        <w:rPr>
          <w:rFonts w:ascii="宋体" w:hAnsi="Times New Roman" w:cs="Times New Roman"/>
          <w:sz w:val="24"/>
          <w:szCs w:val="24"/>
          <w:lang w:val="en-US" w:bidi="ar-SA"/>
        </w:rPr>
        <w:t>-</w:t>
      </w:r>
      <w:r>
        <w:rPr>
          <w:rFonts w:hint="eastAsia" w:ascii="宋体" w:hAnsi="宋体" w:cs="Times New Roman"/>
          <w:sz w:val="24"/>
          <w:szCs w:val="24"/>
          <w:lang w:val="en-US" w:bidi="ar-SA"/>
        </w:rPr>
        <w:t>开标评标”功能对电子磋商响应文件进行在线解密。在线解密电子磋商响应文件时间为发出解密指令后</w:t>
      </w:r>
      <w:r>
        <w:rPr>
          <w:rFonts w:ascii="宋体" w:hAnsi="宋体" w:cs="Times New Roman"/>
          <w:sz w:val="24"/>
          <w:szCs w:val="24"/>
          <w:lang w:val="en-US" w:bidi="ar-SA"/>
        </w:rPr>
        <w:t>30</w:t>
      </w:r>
      <w:r>
        <w:rPr>
          <w:rFonts w:hint="eastAsia" w:ascii="宋体" w:hAnsi="宋体" w:cs="Times New Roman"/>
          <w:sz w:val="24"/>
          <w:szCs w:val="24"/>
          <w:lang w:val="en-US" w:bidi="ar-SA"/>
        </w:rPr>
        <w:t>分钟内。若供应商在规定时间内未按时解密的，或解密失败又未提供备份响应文件的视为响应文件撤回。</w:t>
      </w:r>
    </w:p>
    <w:p>
      <w:pPr>
        <w:widowControl w:val="0"/>
        <w:autoSpaceDE w:val="0"/>
        <w:autoSpaceDN w:val="0"/>
        <w:adjustRightInd w:val="0"/>
        <w:spacing w:before="0" w:after="0" w:line="440" w:lineRule="exact"/>
        <w:ind w:firstLine="480" w:firstLineChars="200"/>
        <w:jc w:val="left"/>
        <w:rPr>
          <w:rFonts w:ascii="宋体" w:hAnsi="Times New Roman" w:eastAsia="宋体" w:cs="Times New Roman"/>
          <w:sz w:val="24"/>
          <w:szCs w:val="24"/>
          <w:lang w:val="en-US" w:eastAsia="zh-CN" w:bidi="ar-SA"/>
        </w:rPr>
      </w:pPr>
      <w:r>
        <w:rPr>
          <w:rFonts w:ascii="宋体" w:hAnsi="宋体" w:eastAsia="宋体" w:cs="Times New Roman"/>
          <w:sz w:val="24"/>
          <w:szCs w:val="24"/>
          <w:lang w:val="en-US" w:eastAsia="zh-CN" w:bidi="ar-SA"/>
        </w:rPr>
        <w:t xml:space="preserve">28.1.4 </w:t>
      </w:r>
      <w:r>
        <w:rPr>
          <w:rFonts w:hint="eastAsia" w:ascii="宋体" w:hAnsi="宋体" w:eastAsia="宋体" w:cs="Times New Roman"/>
          <w:sz w:val="24"/>
          <w:szCs w:val="24"/>
          <w:lang w:val="en-US" w:eastAsia="zh-CN" w:bidi="ar-SA"/>
        </w:rPr>
        <w:t>为了体现供应商的合法权益，和确保评标工作的公平、公正，投标供应商如果认为参加评标的磋商小组成员及其他与会人员与其他投标供应商有利害关系的，有权在开标现场向采购人申请其回避。如现场不提请采购人申请其回避的，则视同无利害关系。</w:t>
      </w:r>
    </w:p>
    <w:p>
      <w:pPr>
        <w:widowControl w:val="0"/>
        <w:autoSpaceDE w:val="0"/>
        <w:autoSpaceDN w:val="0"/>
        <w:adjustRightInd w:val="0"/>
        <w:spacing w:before="0" w:after="0" w:line="440" w:lineRule="exact"/>
        <w:ind w:firstLine="480" w:firstLineChars="200"/>
        <w:jc w:val="left"/>
        <w:rPr>
          <w:rFonts w:ascii="宋体" w:hAnsi="Times New Roman" w:eastAsia="宋体" w:cs="Times New Roman"/>
          <w:sz w:val="24"/>
          <w:szCs w:val="24"/>
          <w:lang w:val="en-US" w:eastAsia="zh-CN" w:bidi="ar-SA"/>
        </w:rPr>
      </w:pPr>
      <w:r>
        <w:rPr>
          <w:rFonts w:ascii="宋体" w:hAnsi="宋体" w:eastAsia="宋体" w:cs="Times New Roman"/>
          <w:sz w:val="24"/>
          <w:szCs w:val="24"/>
          <w:lang w:val="en-US" w:eastAsia="zh-CN" w:bidi="ar-SA"/>
        </w:rPr>
        <w:t xml:space="preserve">28.2 </w:t>
      </w:r>
      <w:r>
        <w:rPr>
          <w:rFonts w:hint="eastAsia" w:ascii="宋体" w:hAnsi="宋体" w:eastAsia="宋体" w:cs="Times New Roman"/>
          <w:sz w:val="24"/>
          <w:szCs w:val="24"/>
          <w:lang w:val="en-US" w:eastAsia="zh-CN" w:bidi="ar-SA"/>
        </w:rPr>
        <w:t>投标供应商资格资质审查</w:t>
      </w:r>
    </w:p>
    <w:p>
      <w:pPr>
        <w:widowControl w:val="0"/>
        <w:autoSpaceDE w:val="0"/>
        <w:autoSpaceDN w:val="0"/>
        <w:adjustRightInd w:val="0"/>
        <w:spacing w:before="0" w:after="0" w:line="440" w:lineRule="exact"/>
        <w:ind w:firstLine="480" w:firstLineChars="200"/>
        <w:jc w:val="left"/>
        <w:rPr>
          <w:rFonts w:ascii="宋体" w:hAnsi="Times New Roman" w:eastAsia="宋体" w:cs="Times New Roman"/>
          <w:sz w:val="24"/>
          <w:szCs w:val="24"/>
          <w:lang w:val="en-US" w:eastAsia="zh-CN" w:bidi="ar-SA"/>
        </w:rPr>
      </w:pPr>
      <w:r>
        <w:rPr>
          <w:rFonts w:ascii="宋体" w:hAnsi="宋体" w:eastAsia="宋体" w:cs="Times New Roman"/>
          <w:sz w:val="24"/>
          <w:szCs w:val="24"/>
          <w:lang w:val="en-US" w:eastAsia="zh-CN" w:bidi="ar-SA"/>
        </w:rPr>
        <w:t xml:space="preserve">28.2.1 </w:t>
      </w:r>
      <w:r>
        <w:rPr>
          <w:rFonts w:hint="eastAsia" w:ascii="宋体" w:hAnsi="宋体" w:eastAsia="宋体" w:cs="Times New Roman"/>
          <w:sz w:val="24"/>
          <w:szCs w:val="24"/>
          <w:lang w:val="en-US" w:eastAsia="zh-CN" w:bidi="ar-SA"/>
        </w:rPr>
        <w:t>投标供应商必须提交能够证明其具有履行本招标项目合同能力的资质证明文件，作为响应文件的一部分。</w:t>
      </w:r>
    </w:p>
    <w:p>
      <w:pPr>
        <w:widowControl w:val="0"/>
        <w:autoSpaceDE w:val="0"/>
        <w:autoSpaceDN w:val="0"/>
        <w:adjustRightInd w:val="0"/>
        <w:spacing w:before="0" w:after="0" w:line="440" w:lineRule="exact"/>
        <w:ind w:firstLine="480" w:firstLineChars="200"/>
        <w:jc w:val="left"/>
        <w:rPr>
          <w:rFonts w:ascii="宋体" w:hAnsi="Times New Roman" w:eastAsia="宋体" w:cs="Times New Roman"/>
          <w:sz w:val="24"/>
          <w:szCs w:val="24"/>
          <w:lang w:val="en-US" w:eastAsia="zh-CN" w:bidi="ar-SA"/>
        </w:rPr>
      </w:pPr>
      <w:r>
        <w:rPr>
          <w:rFonts w:ascii="宋体" w:hAnsi="宋体" w:eastAsia="宋体" w:cs="Times New Roman"/>
          <w:sz w:val="24"/>
          <w:szCs w:val="24"/>
          <w:lang w:val="en-US" w:eastAsia="zh-CN" w:bidi="ar-SA"/>
        </w:rPr>
        <w:t xml:space="preserve">28.2.2 </w:t>
      </w:r>
      <w:r>
        <w:rPr>
          <w:rFonts w:hint="eastAsia" w:ascii="宋体" w:hAnsi="宋体" w:eastAsia="宋体" w:cs="Times New Roman"/>
          <w:sz w:val="24"/>
          <w:szCs w:val="24"/>
          <w:lang w:val="en-US" w:eastAsia="zh-CN" w:bidi="ar-SA"/>
        </w:rPr>
        <w:t>采购人代表及采购代理机构依据法律法规和磋商文件中规定的内容，对投标供应商的资格进行审查。未通过资格审查的投标供应商不进入磋商；进入磋商的投标供应商不足</w:t>
      </w:r>
      <w:r>
        <w:rPr>
          <w:rFonts w:ascii="宋体" w:hAnsi="宋体" w:eastAsia="宋体" w:cs="Times New Roman"/>
          <w:sz w:val="24"/>
          <w:szCs w:val="24"/>
          <w:lang w:val="en-US" w:eastAsia="zh-CN" w:bidi="ar-SA"/>
        </w:rPr>
        <w:t>3</w:t>
      </w:r>
      <w:r>
        <w:rPr>
          <w:rFonts w:hint="eastAsia" w:ascii="宋体" w:hAnsi="宋体" w:eastAsia="宋体" w:cs="Times New Roman"/>
          <w:sz w:val="24"/>
          <w:szCs w:val="24"/>
          <w:lang w:val="en-US" w:eastAsia="zh-CN" w:bidi="ar-SA"/>
        </w:rPr>
        <w:t>家的，不得磋商。资格审查如下：</w:t>
      </w:r>
    </w:p>
    <w:p>
      <w:pPr>
        <w:widowControl w:val="0"/>
        <w:autoSpaceDE w:val="0"/>
        <w:autoSpaceDN w:val="0"/>
        <w:adjustRightInd w:val="0"/>
        <w:spacing w:before="0" w:after="0" w:line="440" w:lineRule="exact"/>
        <w:ind w:firstLine="723" w:firstLineChars="300"/>
        <w:jc w:val="left"/>
        <w:rPr>
          <w:rFonts w:ascii="宋体" w:hAnsi="Times New Roman" w:eastAsia="宋体" w:cs="Times New Roman"/>
          <w:b/>
          <w:color w:val="000000" w:themeColor="text1"/>
          <w:sz w:val="24"/>
          <w:szCs w:val="24"/>
          <w:lang w:val="en-US" w:eastAsia="zh-CN" w:bidi="ar-SA"/>
          <w14:textFill>
            <w14:solidFill>
              <w14:schemeClr w14:val="tx1"/>
            </w14:solidFill>
          </w14:textFill>
        </w:rPr>
      </w:pPr>
      <w:r>
        <w:rPr>
          <w:rFonts w:ascii="宋体" w:hAnsi="宋体" w:eastAsia="宋体" w:cs="Times New Roman"/>
          <w:b/>
          <w:color w:val="000000" w:themeColor="text1"/>
          <w:sz w:val="24"/>
          <w:szCs w:val="24"/>
          <w:lang w:val="en-US" w:eastAsia="zh-CN" w:bidi="ar-SA"/>
          <w14:textFill>
            <w14:solidFill>
              <w14:schemeClr w14:val="tx1"/>
            </w14:solidFill>
          </w14:textFill>
        </w:rPr>
        <w:t>a</w:t>
      </w:r>
      <w:r>
        <w:rPr>
          <w:rFonts w:hint="eastAsia" w:ascii="宋体" w:hAnsi="宋体" w:eastAsia="宋体" w:cs="Times New Roman"/>
          <w:b/>
          <w:color w:val="000000" w:themeColor="text1"/>
          <w:sz w:val="24"/>
          <w:szCs w:val="24"/>
          <w:lang w:val="en-US" w:eastAsia="zh-CN" w:bidi="ar-SA"/>
          <w14:textFill>
            <w14:solidFill>
              <w14:schemeClr w14:val="tx1"/>
            </w14:solidFill>
          </w14:textFill>
        </w:rPr>
        <w:t>、企业法人营业执照（须有二维码）原件的扫描件；</w:t>
      </w:r>
    </w:p>
    <w:p>
      <w:pPr>
        <w:widowControl w:val="0"/>
        <w:autoSpaceDE w:val="0"/>
        <w:autoSpaceDN w:val="0"/>
        <w:adjustRightInd w:val="0"/>
        <w:spacing w:line="400" w:lineRule="exact"/>
        <w:ind w:firstLine="723" w:firstLineChars="300"/>
        <w:rPr>
          <w:rFonts w:ascii="宋体" w:hAnsi="宋体" w:eastAsia="宋体" w:cs="Times New Roman"/>
          <w:b/>
          <w:color w:val="000000" w:themeColor="text1"/>
          <w:sz w:val="24"/>
          <w:szCs w:val="24"/>
          <w:lang w:val="en-US" w:eastAsia="zh-CN" w:bidi="ar-SA"/>
          <w14:textFill>
            <w14:solidFill>
              <w14:schemeClr w14:val="tx1"/>
            </w14:solidFill>
          </w14:textFill>
        </w:rPr>
      </w:pPr>
      <w:r>
        <w:rPr>
          <w:rFonts w:ascii="宋体" w:hAnsi="宋体" w:eastAsia="宋体" w:cs="Times New Roman"/>
          <w:b/>
          <w:color w:val="000000" w:themeColor="text1"/>
          <w:sz w:val="24"/>
          <w:szCs w:val="24"/>
          <w:lang w:val="en-US" w:eastAsia="zh-CN" w:bidi="ar-SA"/>
          <w14:textFill>
            <w14:solidFill>
              <w14:schemeClr w14:val="tx1"/>
            </w14:solidFill>
          </w14:textFill>
        </w:rPr>
        <w:t>b</w:t>
      </w:r>
      <w:r>
        <w:rPr>
          <w:rFonts w:hint="eastAsia" w:ascii="宋体" w:hAnsi="宋体" w:eastAsia="宋体" w:cs="Times New Roman"/>
          <w:b/>
          <w:color w:val="000000" w:themeColor="text1"/>
          <w:sz w:val="24"/>
          <w:szCs w:val="24"/>
          <w:lang w:val="en-US" w:eastAsia="zh-CN" w:bidi="ar-SA"/>
          <w14:textFill>
            <w14:solidFill>
              <w14:schemeClr w14:val="tx1"/>
            </w14:solidFill>
          </w14:textFill>
        </w:rPr>
        <w:t>、法定代表人身份证或法人代表授权委托书原件的扫描件（依据磋商文件规定的格式提供）及被授权人身份证原件的扫描件；</w:t>
      </w:r>
    </w:p>
    <w:p>
      <w:pPr>
        <w:widowControl w:val="0"/>
        <w:autoSpaceDE w:val="0"/>
        <w:autoSpaceDN w:val="0"/>
        <w:adjustRightInd w:val="0"/>
        <w:spacing w:line="400" w:lineRule="exact"/>
        <w:ind w:firstLine="723" w:firstLineChars="300"/>
        <w:rPr>
          <w:rFonts w:ascii="宋体" w:hAnsi="宋体" w:eastAsia="宋体" w:cs="Times New Roman"/>
          <w:b/>
          <w:color w:val="000000" w:themeColor="text1"/>
          <w:sz w:val="24"/>
          <w:szCs w:val="24"/>
          <w:lang w:val="en-US" w:eastAsia="zh-CN" w:bidi="ar-SA"/>
          <w14:textFill>
            <w14:solidFill>
              <w14:schemeClr w14:val="tx1"/>
            </w14:solidFill>
          </w14:textFill>
        </w:rPr>
      </w:pPr>
      <w:r>
        <w:rPr>
          <w:rFonts w:ascii="宋体" w:hAnsi="宋体" w:eastAsia="宋体" w:cs="Times New Roman"/>
          <w:b/>
          <w:color w:val="000000" w:themeColor="text1"/>
          <w:sz w:val="24"/>
          <w:szCs w:val="24"/>
          <w:lang w:val="en-US" w:eastAsia="zh-CN" w:bidi="ar-SA"/>
          <w14:textFill>
            <w14:solidFill>
              <w14:schemeClr w14:val="tx1"/>
            </w14:solidFill>
          </w14:textFill>
        </w:rPr>
        <w:t>c</w:t>
      </w:r>
      <w:r>
        <w:rPr>
          <w:rFonts w:hint="eastAsia" w:ascii="宋体" w:hAnsi="宋体" w:eastAsia="宋体" w:cs="Times New Roman"/>
          <w:b/>
          <w:color w:val="000000" w:themeColor="text1"/>
          <w:sz w:val="24"/>
          <w:szCs w:val="24"/>
          <w:lang w:val="en-US" w:eastAsia="zh-CN" w:bidi="ar-SA"/>
          <w14:textFill>
            <w14:solidFill>
              <w14:schemeClr w14:val="tx1"/>
            </w14:solidFill>
          </w14:textFill>
        </w:rPr>
        <w:t>、公路工程施工总承包叁级及以上资质/或同时具备公路路基、公路路面专业承包叁级及以上资质原件的扫描件；</w:t>
      </w:r>
    </w:p>
    <w:p>
      <w:pPr>
        <w:widowControl w:val="0"/>
        <w:autoSpaceDE w:val="0"/>
        <w:autoSpaceDN w:val="0"/>
        <w:adjustRightInd w:val="0"/>
        <w:spacing w:before="0" w:after="0" w:line="440" w:lineRule="exact"/>
        <w:ind w:firstLine="723" w:firstLineChars="300"/>
        <w:jc w:val="left"/>
        <w:rPr>
          <w:lang w:val="en-US" w:eastAsia="zh-CN"/>
        </w:rPr>
      </w:pPr>
      <w:r>
        <w:rPr>
          <w:rFonts w:ascii="宋体" w:hAnsi="宋体" w:eastAsia="宋体" w:cs="Times New Roman"/>
          <w:b/>
          <w:color w:val="000000" w:themeColor="text1"/>
          <w:sz w:val="24"/>
          <w:szCs w:val="24"/>
          <w:lang w:val="en-US" w:eastAsia="zh-CN" w:bidi="ar-SA"/>
          <w14:textFill>
            <w14:solidFill>
              <w14:schemeClr w14:val="tx1"/>
            </w14:solidFill>
          </w14:textFill>
        </w:rPr>
        <w:t>d</w:t>
      </w:r>
      <w:r>
        <w:rPr>
          <w:rFonts w:hint="eastAsia" w:ascii="宋体" w:hAnsi="宋体" w:eastAsia="宋体" w:cs="Times New Roman"/>
          <w:b/>
          <w:color w:val="000000" w:themeColor="text1"/>
          <w:sz w:val="24"/>
          <w:szCs w:val="24"/>
          <w:lang w:val="en-US" w:eastAsia="zh-CN" w:bidi="ar-SA"/>
          <w14:textFill>
            <w14:solidFill>
              <w14:schemeClr w14:val="tx1"/>
            </w14:solidFill>
          </w14:textFill>
        </w:rPr>
        <w:t>、有效的安全生产许可证原件的扫描件；</w:t>
      </w:r>
    </w:p>
    <w:p>
      <w:pPr>
        <w:widowControl w:val="0"/>
        <w:autoSpaceDE w:val="0"/>
        <w:autoSpaceDN w:val="0"/>
        <w:adjustRightInd w:val="0"/>
        <w:spacing w:before="0" w:after="0" w:line="440" w:lineRule="exact"/>
        <w:ind w:firstLine="723" w:firstLineChars="300"/>
        <w:jc w:val="left"/>
        <w:rPr>
          <w:rFonts w:hint="eastAsia" w:ascii="宋体" w:hAnsi="宋体" w:eastAsia="宋体" w:cs="Times New Roman"/>
          <w:b/>
          <w:color w:val="000000" w:themeColor="text1"/>
          <w:sz w:val="24"/>
          <w:szCs w:val="24"/>
          <w:lang w:val="en-US" w:eastAsia="zh-CN" w:bidi="ar-SA"/>
          <w14:textFill>
            <w14:solidFill>
              <w14:schemeClr w14:val="tx1"/>
            </w14:solidFill>
          </w14:textFill>
        </w:rPr>
      </w:pPr>
      <w:r>
        <w:rPr>
          <w:rFonts w:ascii="宋体" w:hAnsi="宋体" w:eastAsia="宋体" w:cs="Times New Roman"/>
          <w:b/>
          <w:color w:val="000000" w:themeColor="text1"/>
          <w:sz w:val="24"/>
          <w:szCs w:val="24"/>
          <w:lang w:val="en-US" w:eastAsia="zh-CN" w:bidi="ar-SA"/>
          <w14:textFill>
            <w14:solidFill>
              <w14:schemeClr w14:val="tx1"/>
            </w14:solidFill>
          </w14:textFill>
        </w:rPr>
        <w:t>e</w:t>
      </w:r>
      <w:r>
        <w:rPr>
          <w:rFonts w:hint="eastAsia" w:ascii="宋体" w:hAnsi="宋体" w:eastAsia="宋体" w:cs="Times New Roman"/>
          <w:b/>
          <w:color w:val="000000" w:themeColor="text1"/>
          <w:sz w:val="24"/>
          <w:szCs w:val="24"/>
          <w:lang w:val="en-US" w:eastAsia="zh-CN" w:bidi="ar-SA"/>
          <w14:textFill>
            <w14:solidFill>
              <w14:schemeClr w14:val="tx1"/>
            </w14:solidFill>
          </w14:textFill>
        </w:rPr>
        <w:t>、自治区外企业进疆信息报送册原件的扫描件</w:t>
      </w:r>
      <w:r>
        <w:rPr>
          <w:rFonts w:hint="eastAsia" w:cs="Times New Roman"/>
          <w:b/>
          <w:color w:val="000000" w:themeColor="text1"/>
          <w:sz w:val="24"/>
          <w:szCs w:val="24"/>
          <w:lang w:val="en-US" w:eastAsia="zh-CN" w:bidi="ar-SA"/>
          <w14:textFill>
            <w14:solidFill>
              <w14:schemeClr w14:val="tx1"/>
            </w14:solidFill>
          </w14:textFill>
        </w:rPr>
        <w:t>；</w:t>
      </w:r>
    </w:p>
    <w:p>
      <w:pPr>
        <w:widowControl w:val="0"/>
        <w:autoSpaceDE w:val="0"/>
        <w:autoSpaceDN w:val="0"/>
        <w:adjustRightInd w:val="0"/>
        <w:spacing w:before="0" w:after="0" w:line="440" w:lineRule="exact"/>
        <w:ind w:firstLine="723" w:firstLineChars="300"/>
        <w:jc w:val="left"/>
        <w:rPr>
          <w:rFonts w:hint="eastAsia" w:ascii="宋体" w:hAnsi="宋体" w:eastAsia="宋体" w:cs="Times New Roman"/>
          <w:b/>
          <w:color w:val="000000" w:themeColor="text1"/>
          <w:sz w:val="24"/>
          <w:szCs w:val="24"/>
          <w:lang w:val="en-US" w:eastAsia="zh-CN" w:bidi="ar-SA"/>
          <w14:textFill>
            <w14:solidFill>
              <w14:schemeClr w14:val="tx1"/>
            </w14:solidFill>
          </w14:textFill>
        </w:rPr>
      </w:pPr>
      <w:r>
        <w:rPr>
          <w:rFonts w:hint="eastAsia" w:ascii="宋体" w:hAnsi="宋体" w:eastAsia="宋体" w:cs="Times New Roman"/>
          <w:b/>
          <w:bCs w:val="0"/>
          <w:color w:val="000000" w:themeColor="text1"/>
          <w:sz w:val="24"/>
          <w:szCs w:val="24"/>
          <w:lang w:val="en-US" w:eastAsia="zh-CN" w:bidi="ar-SA"/>
          <w14:textFill>
            <w14:solidFill>
              <w14:schemeClr w14:val="tx1"/>
            </w14:solidFill>
          </w14:textFill>
        </w:rPr>
        <w:t>f、</w:t>
      </w:r>
      <w:r>
        <w:rPr>
          <w:rFonts w:hint="eastAsia" w:ascii="宋体" w:hAnsi="宋体" w:eastAsia="宋体" w:cs="Times New Roman"/>
          <w:b/>
          <w:color w:val="000000" w:themeColor="text1"/>
          <w:sz w:val="24"/>
          <w:szCs w:val="24"/>
          <w:lang w:val="en-US" w:eastAsia="zh-CN" w:bidi="ar-SA"/>
          <w14:textFill>
            <w14:solidFill>
              <w14:schemeClr w14:val="tx1"/>
            </w14:solidFill>
          </w14:textFill>
        </w:rPr>
        <w:t>项目经理注册建造师证原件的扫描件及有效的交通运输主管部门颁发的安全生产考核合格证书（B类）原件的扫描件；</w:t>
      </w:r>
    </w:p>
    <w:p>
      <w:pPr>
        <w:widowControl w:val="0"/>
        <w:autoSpaceDE w:val="0"/>
        <w:autoSpaceDN w:val="0"/>
        <w:adjustRightInd w:val="0"/>
        <w:spacing w:before="0" w:after="0" w:line="440" w:lineRule="exact"/>
        <w:ind w:firstLine="723" w:firstLineChars="300"/>
        <w:jc w:val="left"/>
        <w:rPr>
          <w:rFonts w:hint="eastAsia" w:ascii="宋体" w:hAnsi="宋体" w:eastAsia="宋体" w:cs="Times New Roman"/>
          <w:b/>
          <w:color w:val="000000" w:themeColor="text1"/>
          <w:sz w:val="24"/>
          <w:szCs w:val="24"/>
          <w:lang w:val="en-US" w:eastAsia="zh-CN" w:bidi="ar-SA"/>
          <w14:textFill>
            <w14:solidFill>
              <w14:schemeClr w14:val="tx1"/>
            </w14:solidFill>
          </w14:textFill>
        </w:rPr>
      </w:pPr>
      <w:r>
        <w:rPr>
          <w:rFonts w:hint="eastAsia" w:ascii="宋体" w:hAnsi="宋体" w:eastAsia="宋体" w:cs="Times New Roman"/>
          <w:b/>
          <w:color w:val="000000" w:themeColor="text1"/>
          <w:sz w:val="24"/>
          <w:szCs w:val="24"/>
          <w:lang w:val="en-US" w:eastAsia="zh-CN" w:bidi="ar-SA"/>
          <w14:textFill>
            <w14:solidFill>
              <w14:schemeClr w14:val="tx1"/>
            </w14:solidFill>
          </w14:textFill>
        </w:rPr>
        <w:t>g、《中小企业声明函》原件的扫描件</w:t>
      </w:r>
      <w:r>
        <w:rPr>
          <w:rFonts w:hint="eastAsia" w:cs="Times New Roman"/>
          <w:b/>
          <w:color w:val="000000" w:themeColor="text1"/>
          <w:sz w:val="24"/>
          <w:szCs w:val="24"/>
          <w:lang w:val="en-US" w:eastAsia="zh-CN" w:bidi="ar-SA"/>
          <w14:textFill>
            <w14:solidFill>
              <w14:schemeClr w14:val="tx1"/>
            </w14:solidFill>
          </w14:textFill>
        </w:rPr>
        <w:t>；</w:t>
      </w:r>
    </w:p>
    <w:p>
      <w:pPr>
        <w:widowControl w:val="0"/>
        <w:autoSpaceDE w:val="0"/>
        <w:autoSpaceDN w:val="0"/>
        <w:adjustRightInd w:val="0"/>
        <w:spacing w:before="0" w:after="0" w:line="440" w:lineRule="exact"/>
        <w:ind w:firstLine="723" w:firstLineChars="300"/>
        <w:jc w:val="left"/>
        <w:rPr>
          <w:lang w:val="en-US" w:eastAsia="zh-CN"/>
        </w:rPr>
      </w:pPr>
      <w:r>
        <w:rPr>
          <w:rFonts w:hint="eastAsia" w:cs="Times New Roman"/>
          <w:b/>
          <w:color w:val="000000" w:themeColor="text1"/>
          <w:sz w:val="24"/>
          <w:szCs w:val="24"/>
          <w:lang w:val="en-US" w:eastAsia="zh-CN" w:bidi="ar-SA"/>
          <w14:textFill>
            <w14:solidFill>
              <w14:schemeClr w14:val="tx1"/>
            </w14:solidFill>
          </w14:textFill>
        </w:rPr>
        <w:t>h、</w:t>
      </w:r>
      <w:r>
        <w:rPr>
          <w:rFonts w:hint="eastAsia" w:ascii="宋体" w:hAnsi="宋体" w:eastAsia="宋体" w:cs="Times New Roman"/>
          <w:b/>
          <w:color w:val="000000" w:themeColor="text1"/>
          <w:sz w:val="24"/>
          <w:szCs w:val="24"/>
          <w:lang w:val="en-US" w:eastAsia="zh-CN" w:bidi="ar-SA"/>
          <w14:textFill>
            <w14:solidFill>
              <w14:schemeClr w14:val="tx1"/>
            </w14:solidFill>
          </w14:textFill>
        </w:rPr>
        <w:t>磋商保证金缴纳凭证原件的扫描件。</w:t>
      </w:r>
    </w:p>
    <w:bookmarkEnd w:id="71"/>
    <w:p>
      <w:pPr>
        <w:widowControl w:val="0"/>
        <w:kinsoku w:val="0"/>
        <w:overflowPunct w:val="0"/>
        <w:autoSpaceDE w:val="0"/>
        <w:autoSpaceDN w:val="0"/>
        <w:adjustRightInd w:val="0"/>
        <w:spacing w:line="440" w:lineRule="exact"/>
        <w:ind w:left="0" w:firstLine="480" w:firstLineChars="200"/>
        <w:rPr>
          <w:rFonts w:ascii="宋体" w:hAnsi="宋体" w:eastAsia="宋体" w:cs="Times New Roman"/>
          <w:b/>
          <w:sz w:val="24"/>
          <w:szCs w:val="24"/>
          <w:lang w:val="en-US" w:eastAsia="zh-CN" w:bidi="ar-SA"/>
        </w:rPr>
      </w:pPr>
      <w:r>
        <w:rPr>
          <w:rFonts w:ascii="宋体" w:hAnsi="宋体" w:eastAsia="Times New Roman" w:cs="Times New Roman"/>
          <w:b/>
          <w:sz w:val="24"/>
          <w:szCs w:val="24"/>
          <w:lang w:val="en-US" w:eastAsia="zh-CN" w:bidi="ar-SA"/>
        </w:rPr>
        <w:t>29</w:t>
      </w:r>
      <w:r>
        <w:rPr>
          <w:rFonts w:hint="eastAsia" w:ascii="宋体" w:hAnsi="宋体" w:eastAsia="宋体" w:cs="Times New Roman"/>
          <w:b/>
          <w:sz w:val="24"/>
          <w:szCs w:val="24"/>
          <w:lang w:val="en-US" w:eastAsia="zh-CN" w:bidi="ar-SA"/>
        </w:rPr>
        <w:t>、竞争性磋商程序</w:t>
      </w:r>
    </w:p>
    <w:p>
      <w:pPr>
        <w:widowControl w:val="0"/>
        <w:autoSpaceDE w:val="0"/>
        <w:autoSpaceDN w:val="0"/>
        <w:adjustRightInd w:val="0"/>
        <w:spacing w:before="0" w:after="0" w:line="440" w:lineRule="exact"/>
        <w:ind w:left="420"/>
        <w:jc w:val="left"/>
        <w:rPr>
          <w:rFonts w:ascii="宋体" w:hAnsi="Times New Roman" w:eastAsia="宋体" w:cs="Times New Roman"/>
          <w:sz w:val="24"/>
          <w:szCs w:val="24"/>
          <w:lang w:val="en-US" w:eastAsia="zh-CN" w:bidi="ar-SA"/>
        </w:rPr>
      </w:pPr>
      <w:r>
        <w:rPr>
          <w:rFonts w:ascii="宋体" w:hAnsi="宋体" w:eastAsia="宋体" w:cs="Times New Roman"/>
          <w:sz w:val="24"/>
          <w:szCs w:val="24"/>
          <w:lang w:val="en-US" w:eastAsia="zh-CN" w:bidi="ar-SA"/>
        </w:rPr>
        <w:t xml:space="preserve">29.1 </w:t>
      </w:r>
      <w:r>
        <w:rPr>
          <w:rFonts w:hint="eastAsia" w:ascii="宋体" w:hAnsi="宋体" w:eastAsia="宋体" w:cs="Times New Roman"/>
          <w:sz w:val="24"/>
          <w:szCs w:val="24"/>
          <w:lang w:val="en-US" w:eastAsia="zh-CN" w:bidi="ar-SA"/>
        </w:rPr>
        <w:t>根据公开、公平、公正、诚信科学的原则，组织招标采购。</w:t>
      </w:r>
    </w:p>
    <w:p>
      <w:pPr>
        <w:widowControl w:val="0"/>
        <w:autoSpaceDE w:val="0"/>
        <w:autoSpaceDN w:val="0"/>
        <w:adjustRightInd w:val="0"/>
        <w:spacing w:before="0" w:after="0" w:line="440" w:lineRule="exact"/>
        <w:ind w:firstLine="480" w:firstLineChars="200"/>
        <w:jc w:val="left"/>
        <w:rPr>
          <w:rFonts w:ascii="宋体" w:hAnsi="Times New Roman" w:eastAsia="宋体" w:cs="Times New Roman"/>
          <w:sz w:val="24"/>
          <w:szCs w:val="24"/>
          <w:lang w:val="en-US" w:eastAsia="zh-CN" w:bidi="ar-SA"/>
        </w:rPr>
      </w:pPr>
      <w:r>
        <w:rPr>
          <w:rFonts w:ascii="宋体" w:hAnsi="宋体" w:eastAsia="宋体" w:cs="Times New Roman"/>
          <w:sz w:val="24"/>
          <w:szCs w:val="24"/>
          <w:lang w:val="en-US" w:eastAsia="zh-CN" w:bidi="ar-SA"/>
        </w:rPr>
        <w:t xml:space="preserve">29.2 </w:t>
      </w:r>
      <w:r>
        <w:rPr>
          <w:rFonts w:hint="eastAsia" w:ascii="宋体" w:hAnsi="宋体" w:eastAsia="宋体" w:cs="Times New Roman"/>
          <w:sz w:val="24"/>
          <w:szCs w:val="24"/>
          <w:lang w:val="en-US" w:eastAsia="zh-CN" w:bidi="ar-SA"/>
        </w:rPr>
        <w:t>具体工作流程：</w:t>
      </w:r>
    </w:p>
    <w:p>
      <w:pPr>
        <w:widowControl w:val="0"/>
        <w:autoSpaceDE w:val="0"/>
        <w:autoSpaceDN w:val="0"/>
        <w:adjustRightInd w:val="0"/>
        <w:spacing w:before="0" w:after="0" w:line="440" w:lineRule="exact"/>
        <w:ind w:firstLine="600" w:firstLineChars="250"/>
        <w:jc w:val="left"/>
        <w:rPr>
          <w:rFonts w:ascii="宋体" w:hAnsi="Times New Roman" w:eastAsia="宋体" w:cs="Times New Roman"/>
          <w:sz w:val="24"/>
          <w:szCs w:val="24"/>
          <w:lang w:val="en-US" w:eastAsia="zh-CN" w:bidi="ar-SA"/>
        </w:rPr>
      </w:pPr>
      <w:r>
        <w:rPr>
          <w:rFonts w:hint="eastAsia" w:ascii="宋体" w:hAnsi="宋体" w:eastAsia="宋体" w:cs="Times New Roman"/>
          <w:sz w:val="24"/>
          <w:szCs w:val="24"/>
          <w:lang w:val="en-US" w:eastAsia="zh-CN" w:bidi="ar-SA"/>
        </w:rPr>
        <w:t>（</w:t>
      </w:r>
      <w:r>
        <w:rPr>
          <w:rFonts w:ascii="宋体" w:hAnsi="宋体" w:eastAsia="宋体" w:cs="Times New Roman"/>
          <w:sz w:val="24"/>
          <w:szCs w:val="24"/>
          <w:lang w:val="en-US" w:eastAsia="zh-CN" w:bidi="ar-SA"/>
        </w:rPr>
        <w:t>1</w:t>
      </w:r>
      <w:r>
        <w:rPr>
          <w:rFonts w:hint="eastAsia" w:ascii="宋体" w:hAnsi="宋体" w:eastAsia="宋体" w:cs="Times New Roman"/>
          <w:sz w:val="24"/>
          <w:szCs w:val="24"/>
          <w:lang w:val="en-US" w:eastAsia="zh-CN" w:bidi="ar-SA"/>
        </w:rPr>
        <w:t>）磋商小组审阅竞争性磋商文件和响应文件；</w:t>
      </w:r>
    </w:p>
    <w:p>
      <w:pPr>
        <w:widowControl/>
        <w:adjustRightInd w:val="0"/>
        <w:spacing w:line="440" w:lineRule="exact"/>
        <w:ind w:firstLine="600" w:firstLineChars="250"/>
        <w:rPr>
          <w:rFonts w:ascii="宋体" w:hAnsi="Times New Roman" w:cs="Times New Roman"/>
          <w:sz w:val="24"/>
          <w:szCs w:val="24"/>
          <w:lang w:val="en-US" w:bidi="ar-SA"/>
        </w:rPr>
      </w:pPr>
      <w:r>
        <w:rPr>
          <w:rFonts w:hint="eastAsia" w:ascii="宋体" w:hAnsi="宋体" w:cs="Times New Roman"/>
          <w:sz w:val="24"/>
          <w:szCs w:val="24"/>
          <w:lang w:val="en-US" w:bidi="ar-SA"/>
        </w:rPr>
        <w:t>（</w:t>
      </w:r>
      <w:r>
        <w:rPr>
          <w:rFonts w:ascii="宋体" w:hAnsi="宋体" w:cs="Times New Roman"/>
          <w:sz w:val="24"/>
          <w:szCs w:val="24"/>
          <w:lang w:val="en-US" w:bidi="ar-SA"/>
        </w:rPr>
        <w:t>2</w:t>
      </w:r>
      <w:r>
        <w:rPr>
          <w:rFonts w:hint="eastAsia" w:ascii="宋体" w:hAnsi="宋体" w:cs="Times New Roman"/>
          <w:sz w:val="24"/>
          <w:szCs w:val="24"/>
          <w:lang w:val="en-US" w:bidi="ar-SA"/>
        </w:rPr>
        <w:t>）本项目采用全流程不见面电子开评标，响应文件解密、磋商谈判、答疑澄清等，通过系统在线方式完成。投标供应商在项目开、评标期间应保持在线状态，授权委托人应保持电话畅通，随时通过“政采云”平台接受磋商小组发出的询标等信息，并在规定时间内答复。</w:t>
      </w:r>
    </w:p>
    <w:p>
      <w:pPr>
        <w:widowControl w:val="0"/>
        <w:autoSpaceDE w:val="0"/>
        <w:autoSpaceDN w:val="0"/>
        <w:adjustRightInd w:val="0"/>
        <w:spacing w:before="0" w:after="0" w:line="440" w:lineRule="exact"/>
        <w:ind w:left="420" w:firstLine="120" w:firstLineChars="50"/>
        <w:jc w:val="left"/>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w:t>
      </w:r>
      <w:r>
        <w:rPr>
          <w:rFonts w:ascii="宋体" w:hAnsi="宋体" w:eastAsia="宋体" w:cs="Times New Roman"/>
          <w:sz w:val="24"/>
          <w:szCs w:val="24"/>
          <w:lang w:val="en-US" w:eastAsia="zh-CN" w:bidi="ar-SA"/>
        </w:rPr>
        <w:t>3</w:t>
      </w:r>
      <w:r>
        <w:rPr>
          <w:rFonts w:hint="eastAsia" w:ascii="宋体" w:hAnsi="宋体" w:eastAsia="宋体" w:cs="Times New Roman"/>
          <w:sz w:val="24"/>
          <w:szCs w:val="24"/>
          <w:lang w:val="en-US" w:eastAsia="zh-CN" w:bidi="ar-SA"/>
        </w:rPr>
        <w:t>）磋商小组全体成员集中与单一供应商就采购需求、质量和服务等分别进行磋商。</w:t>
      </w:r>
    </w:p>
    <w:p>
      <w:pPr>
        <w:widowControl w:val="0"/>
        <w:autoSpaceDE w:val="0"/>
        <w:autoSpaceDN w:val="0"/>
        <w:adjustRightInd w:val="0"/>
        <w:spacing w:before="0" w:after="0" w:line="440" w:lineRule="exact"/>
        <w:jc w:val="left"/>
        <w:rPr>
          <w:rFonts w:ascii="宋体" w:hAnsi="Times New Roman" w:eastAsia="宋体" w:cs="Times New Roman"/>
          <w:sz w:val="24"/>
          <w:szCs w:val="24"/>
          <w:lang w:val="en-US" w:eastAsia="zh-CN" w:bidi="ar-SA"/>
        </w:rPr>
      </w:pPr>
      <w:r>
        <w:rPr>
          <w:rFonts w:hint="eastAsia" w:ascii="宋体" w:hAnsi="宋体" w:eastAsia="宋体" w:cs="Times New Roman"/>
          <w:sz w:val="24"/>
          <w:szCs w:val="24"/>
          <w:lang w:val="en-US" w:eastAsia="zh-CN" w:bidi="ar-SA"/>
        </w:rPr>
        <w:t>逐家磋商一次为一个轮次，磋商轮次由磋商小组视情况决定。</w:t>
      </w:r>
    </w:p>
    <w:p>
      <w:pPr>
        <w:pStyle w:val="28"/>
        <w:widowControl w:val="0"/>
        <w:autoSpaceDE w:val="0"/>
        <w:autoSpaceDN w:val="0"/>
        <w:spacing w:before="0" w:after="0" w:line="44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（4）磋商结束后，磋商小组将要求实质性响应磋商文件的供应商在规定时间内在线提交最后报价，磋商小组将现场公开唱价。</w:t>
      </w:r>
    </w:p>
    <w:p>
      <w:pPr>
        <w:widowControl w:val="0"/>
        <w:autoSpaceDE w:val="0"/>
        <w:autoSpaceDN w:val="0"/>
        <w:adjustRightInd w:val="0"/>
        <w:spacing w:before="0" w:after="0" w:line="440" w:lineRule="exact"/>
        <w:ind w:firstLine="480" w:firstLineChars="200"/>
        <w:jc w:val="left"/>
        <w:rPr>
          <w:rFonts w:ascii="宋体" w:hAnsi="Times New Roman" w:eastAsia="宋体" w:cs="Times New Roman"/>
          <w:sz w:val="24"/>
          <w:szCs w:val="24"/>
          <w:lang w:val="en-US" w:eastAsia="zh-CN" w:bidi="ar-SA"/>
        </w:rPr>
      </w:pPr>
      <w:r>
        <w:rPr>
          <w:rFonts w:hint="eastAsia" w:ascii="宋体" w:hAnsi="宋体" w:eastAsia="宋体" w:cs="Times New Roman"/>
          <w:sz w:val="24"/>
          <w:szCs w:val="24"/>
          <w:lang w:val="en-US" w:eastAsia="zh-CN" w:bidi="ar-SA"/>
        </w:rPr>
        <w:t>（</w:t>
      </w:r>
      <w:r>
        <w:rPr>
          <w:rFonts w:hint="eastAsia" w:cs="Times New Roman"/>
          <w:sz w:val="24"/>
          <w:szCs w:val="24"/>
          <w:lang w:val="en-US" w:eastAsia="zh-CN" w:bidi="ar-SA"/>
        </w:rPr>
        <w:t>5</w:t>
      </w:r>
      <w:r>
        <w:rPr>
          <w:rFonts w:hint="eastAsia" w:ascii="宋体" w:hAnsi="宋体" w:eastAsia="宋体" w:cs="Times New Roman"/>
          <w:sz w:val="24"/>
          <w:szCs w:val="24"/>
          <w:lang w:val="en-US" w:eastAsia="zh-CN" w:bidi="ar-SA"/>
        </w:rPr>
        <w:t>）采购人或采购代理机构将对磋商过程进行记录，由监督部门人员、采购方代表全程监督。</w:t>
      </w:r>
    </w:p>
    <w:p>
      <w:pPr>
        <w:widowControl w:val="0"/>
        <w:autoSpaceDE w:val="0"/>
        <w:autoSpaceDN w:val="0"/>
        <w:adjustRightInd w:val="0"/>
        <w:spacing w:before="0" w:after="0" w:line="440" w:lineRule="exact"/>
        <w:ind w:firstLine="550" w:firstLineChars="250"/>
        <w:jc w:val="left"/>
        <w:rPr>
          <w:rFonts w:ascii="宋体" w:hAnsi="Times New Roman" w:eastAsia="宋体" w:cs="宋体"/>
          <w:color w:val="000000"/>
          <w:sz w:val="22"/>
          <w:szCs w:val="22"/>
          <w:lang w:val="en-US" w:eastAsia="zh-CN" w:bidi="ar-SA"/>
        </w:rPr>
      </w:pPr>
    </w:p>
    <w:p>
      <w:pPr>
        <w:widowControl w:val="0"/>
        <w:kinsoku w:val="0"/>
        <w:overflowPunct w:val="0"/>
        <w:autoSpaceDE w:val="0"/>
        <w:autoSpaceDN w:val="0"/>
        <w:adjustRightInd w:val="0"/>
        <w:spacing w:before="176"/>
        <w:ind w:left="458" w:right="577"/>
        <w:jc w:val="center"/>
        <w:rPr>
          <w:rFonts w:ascii="宋体" w:hAnsi="宋体" w:eastAsia="Times New Roman" w:cs="Times New Roman"/>
          <w:sz w:val="24"/>
          <w:szCs w:val="24"/>
          <w:lang w:val="en-US" w:eastAsia="zh-CN" w:bidi="ar-SA"/>
        </w:rPr>
      </w:pPr>
      <w:r>
        <w:rPr>
          <w:rFonts w:hint="eastAsia" w:ascii="宋体" w:hAnsi="宋体" w:eastAsia="宋体" w:cs="Times New Roman"/>
          <w:b/>
          <w:sz w:val="24"/>
          <w:szCs w:val="24"/>
          <w:lang w:val="en-US" w:eastAsia="zh-CN" w:bidi="ar-SA"/>
        </w:rPr>
        <w:t>（六）评审</w:t>
      </w:r>
    </w:p>
    <w:p>
      <w:pPr>
        <w:widowControl w:val="0"/>
        <w:kinsoku w:val="0"/>
        <w:overflowPunct w:val="0"/>
        <w:autoSpaceDE w:val="0"/>
        <w:autoSpaceDN w:val="0"/>
        <w:adjustRightInd w:val="0"/>
        <w:spacing w:before="12"/>
        <w:ind w:left="0"/>
        <w:rPr>
          <w:rFonts w:ascii="宋体" w:hAnsi="宋体" w:eastAsia="Times New Roman" w:cs="Times New Roman"/>
          <w:b/>
          <w:sz w:val="18"/>
          <w:szCs w:val="24"/>
          <w:lang w:val="en-US" w:eastAsia="zh-CN" w:bidi="ar-SA"/>
        </w:rPr>
      </w:pPr>
    </w:p>
    <w:p>
      <w:pPr>
        <w:widowControl w:val="0"/>
        <w:kinsoku w:val="0"/>
        <w:overflowPunct w:val="0"/>
        <w:autoSpaceDE w:val="0"/>
        <w:autoSpaceDN w:val="0"/>
        <w:adjustRightInd w:val="0"/>
        <w:spacing w:line="440" w:lineRule="exact"/>
        <w:ind w:left="591"/>
        <w:rPr>
          <w:rFonts w:ascii="宋体" w:hAnsi="宋体" w:eastAsia="Times New Roman" w:cs="Times New Roman"/>
          <w:b/>
          <w:sz w:val="24"/>
          <w:szCs w:val="24"/>
          <w:lang w:val="en-US" w:eastAsia="zh-CN" w:bidi="ar-SA"/>
        </w:rPr>
      </w:pPr>
      <w:r>
        <w:rPr>
          <w:rFonts w:ascii="宋体" w:hAnsi="宋体" w:eastAsia="宋体" w:cs="Times New Roman"/>
          <w:b/>
          <w:sz w:val="24"/>
          <w:szCs w:val="24"/>
          <w:lang w:val="en-US" w:eastAsia="zh-CN" w:bidi="ar-SA"/>
        </w:rPr>
        <w:t>30</w:t>
      </w:r>
      <w:r>
        <w:rPr>
          <w:rFonts w:hint="eastAsia" w:ascii="宋体" w:hAnsi="宋体" w:eastAsia="宋体" w:cs="Times New Roman"/>
          <w:b/>
          <w:sz w:val="24"/>
          <w:szCs w:val="24"/>
          <w:lang w:val="en-US" w:eastAsia="zh-CN" w:bidi="ar-SA"/>
        </w:rPr>
        <w:t>、磋商小组与评审</w:t>
      </w:r>
    </w:p>
    <w:p>
      <w:pPr>
        <w:widowControl w:val="0"/>
        <w:kinsoku w:val="0"/>
        <w:overflowPunct w:val="0"/>
        <w:autoSpaceDE w:val="0"/>
        <w:autoSpaceDN w:val="0"/>
        <w:adjustRightInd w:val="0"/>
        <w:spacing w:line="440" w:lineRule="exact"/>
        <w:ind w:left="111" w:right="110" w:firstLine="480"/>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 xml:space="preserve">30.1 </w:t>
      </w:r>
      <w:r>
        <w:rPr>
          <w:rFonts w:hint="eastAsia" w:ascii="宋体" w:hAnsi="宋体" w:eastAsia="宋体" w:cs="Times New Roman"/>
          <w:sz w:val="24"/>
          <w:szCs w:val="24"/>
          <w:lang w:val="en-US" w:eastAsia="zh-CN" w:bidi="ar-SA"/>
        </w:rPr>
        <w:t>采购人按照有关规定程序负责组织成立评标委员会，组成竞争性磋商小组</w:t>
      </w:r>
      <w:r>
        <w:rPr>
          <w:rFonts w:ascii="宋体" w:hAnsi="宋体" w:eastAsia="宋体" w:cs="Times New Roman"/>
          <w:sz w:val="24"/>
          <w:szCs w:val="24"/>
          <w:lang w:val="en-US" w:eastAsia="zh-CN" w:bidi="ar-SA"/>
        </w:rPr>
        <w:t xml:space="preserve">, </w:t>
      </w:r>
      <w:r>
        <w:rPr>
          <w:rFonts w:hint="eastAsia" w:ascii="宋体" w:hAnsi="宋体" w:eastAsia="宋体" w:cs="Times New Roman"/>
          <w:sz w:val="24"/>
          <w:szCs w:val="24"/>
          <w:lang w:val="en-US" w:eastAsia="zh-CN" w:bidi="ar-SA"/>
        </w:rPr>
        <w:t>磋商小组由采购人的代表和有关方面的专家</w:t>
      </w:r>
      <w:r>
        <w:rPr>
          <w:rFonts w:ascii="宋体" w:hAnsi="宋体" w:eastAsia="宋体" w:cs="Times New Roman"/>
          <w:sz w:val="24"/>
          <w:szCs w:val="24"/>
          <w:lang w:val="en-US" w:eastAsia="zh-CN" w:bidi="ar-SA"/>
        </w:rPr>
        <w:t xml:space="preserve"> 3 </w:t>
      </w:r>
      <w:r>
        <w:rPr>
          <w:rFonts w:hint="eastAsia" w:ascii="宋体" w:hAnsi="宋体" w:eastAsia="宋体" w:cs="Times New Roman"/>
          <w:sz w:val="24"/>
          <w:szCs w:val="24"/>
          <w:lang w:val="en-US" w:eastAsia="zh-CN" w:bidi="ar-SA"/>
        </w:rPr>
        <w:t>人以上的单数组成。该磋商小组独立工作，负责评审所有响应文件并确定成交候选供应商。</w:t>
      </w:r>
    </w:p>
    <w:p>
      <w:pPr>
        <w:widowControl w:val="0"/>
        <w:kinsoku w:val="0"/>
        <w:overflowPunct w:val="0"/>
        <w:autoSpaceDE w:val="0"/>
        <w:autoSpaceDN w:val="0"/>
        <w:adjustRightInd w:val="0"/>
        <w:spacing w:line="440" w:lineRule="exact"/>
        <w:ind w:left="591"/>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30.2</w:t>
      </w:r>
      <w:r>
        <w:rPr>
          <w:rFonts w:hint="eastAsia" w:ascii="宋体" w:hAnsi="宋体" w:eastAsia="宋体" w:cs="Times New Roman"/>
          <w:sz w:val="24"/>
          <w:szCs w:val="24"/>
          <w:lang w:val="en-US" w:eastAsia="zh-CN" w:bidi="ar-SA"/>
        </w:rPr>
        <w:t>磋商结束后，开始评审，评审采用保密方式进行。</w:t>
      </w:r>
    </w:p>
    <w:p>
      <w:pPr>
        <w:widowControl w:val="0"/>
        <w:kinsoku w:val="0"/>
        <w:overflowPunct w:val="0"/>
        <w:autoSpaceDE w:val="0"/>
        <w:autoSpaceDN w:val="0"/>
        <w:adjustRightInd w:val="0"/>
        <w:spacing w:before="0" w:line="440" w:lineRule="exact"/>
        <w:ind w:left="591"/>
        <w:outlineLvl w:val="4"/>
        <w:rPr>
          <w:rFonts w:ascii="宋体" w:hAnsi="宋体" w:eastAsia="Times New Roman" w:cs="Times New Roman"/>
          <w:b/>
          <w:sz w:val="24"/>
          <w:szCs w:val="24"/>
          <w:lang w:val="en-US" w:eastAsia="zh-CN" w:bidi="ar-SA"/>
        </w:rPr>
      </w:pPr>
      <w:r>
        <w:rPr>
          <w:rFonts w:ascii="宋体" w:hAnsi="宋体" w:eastAsia="宋体" w:cs="Times New Roman"/>
          <w:b/>
          <w:sz w:val="24"/>
          <w:szCs w:val="24"/>
          <w:lang w:val="en-US" w:eastAsia="zh-CN" w:bidi="ar-SA"/>
        </w:rPr>
        <w:t>31</w:t>
      </w:r>
      <w:r>
        <w:rPr>
          <w:rFonts w:hint="eastAsia" w:ascii="宋体" w:hAnsi="宋体" w:eastAsia="宋体" w:cs="Times New Roman"/>
          <w:b/>
          <w:sz w:val="24"/>
          <w:szCs w:val="24"/>
          <w:lang w:val="en-US" w:eastAsia="zh-CN" w:bidi="ar-SA"/>
        </w:rPr>
        <w:t>、评审过程的保密</w:t>
      </w:r>
    </w:p>
    <w:p>
      <w:pPr>
        <w:widowControl w:val="0"/>
        <w:kinsoku w:val="0"/>
        <w:overflowPunct w:val="0"/>
        <w:autoSpaceDE w:val="0"/>
        <w:autoSpaceDN w:val="0"/>
        <w:adjustRightInd w:val="0"/>
        <w:spacing w:line="440" w:lineRule="exact"/>
        <w:ind w:left="111" w:right="110" w:firstLine="480"/>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31.1</w:t>
      </w:r>
      <w:r>
        <w:rPr>
          <w:rFonts w:hint="eastAsia" w:ascii="宋体" w:hAnsi="宋体" w:eastAsia="宋体" w:cs="Times New Roman"/>
          <w:sz w:val="24"/>
          <w:szCs w:val="24"/>
          <w:lang w:val="en-US" w:eastAsia="zh-CN" w:bidi="ar-SA"/>
        </w:rPr>
        <w:t>磋商后，直至授予中标人合同为止，凡属于对响应文件的审查、澄清、评价和比较的有关资料以及成交候选人的推荐情况</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与评审有关的其他任何情况均严格保密。</w:t>
      </w:r>
    </w:p>
    <w:p>
      <w:pPr>
        <w:widowControl w:val="0"/>
        <w:kinsoku w:val="0"/>
        <w:overflowPunct w:val="0"/>
        <w:autoSpaceDE w:val="0"/>
        <w:autoSpaceDN w:val="0"/>
        <w:adjustRightInd w:val="0"/>
        <w:spacing w:line="440" w:lineRule="exact"/>
        <w:ind w:left="111" w:right="112" w:firstLine="480"/>
        <w:jc w:val="both"/>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31.2</w:t>
      </w:r>
      <w:r>
        <w:rPr>
          <w:rFonts w:hint="eastAsia" w:ascii="宋体" w:hAnsi="宋体" w:eastAsia="宋体" w:cs="Times New Roman"/>
          <w:sz w:val="24"/>
          <w:szCs w:val="24"/>
          <w:lang w:val="en-US" w:eastAsia="zh-CN" w:bidi="ar-SA"/>
        </w:rPr>
        <w:t>在响应文件的评审和比较</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成交候选人推荐以及授予合同的过程中</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供应商向采购人和磋商小组施加影响的任何行为，都将会导致其磋商被拒绝。</w:t>
      </w:r>
    </w:p>
    <w:p>
      <w:pPr>
        <w:widowControl w:val="0"/>
        <w:kinsoku w:val="0"/>
        <w:overflowPunct w:val="0"/>
        <w:autoSpaceDE w:val="0"/>
        <w:autoSpaceDN w:val="0"/>
        <w:adjustRightInd w:val="0"/>
        <w:spacing w:before="60" w:line="440" w:lineRule="exact"/>
        <w:ind w:left="111" w:right="112" w:firstLine="480"/>
        <w:jc w:val="both"/>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31.3</w:t>
      </w:r>
      <w:r>
        <w:rPr>
          <w:rFonts w:hint="eastAsia" w:ascii="宋体" w:hAnsi="宋体" w:eastAsia="宋体" w:cs="Times New Roman"/>
          <w:sz w:val="24"/>
          <w:szCs w:val="24"/>
          <w:lang w:val="en-US" w:eastAsia="zh-CN" w:bidi="ar-SA"/>
        </w:rPr>
        <w:t>中标人确定后</w:t>
      </w:r>
      <w:r>
        <w:rPr>
          <w:rFonts w:hint="eastAsia" w:ascii="宋体" w:hAnsi="宋体" w:eastAsia="宋体" w:cs="Times New Roman"/>
          <w:spacing w:val="-120"/>
          <w:sz w:val="24"/>
          <w:szCs w:val="24"/>
          <w:lang w:val="en-US" w:eastAsia="zh-CN" w:bidi="ar-SA"/>
        </w:rPr>
        <w:t>，</w:t>
      </w:r>
      <w:r>
        <w:rPr>
          <w:rFonts w:hint="eastAsia" w:ascii="宋体" w:hAnsi="宋体" w:eastAsia="宋体" w:cs="Times New Roman"/>
          <w:sz w:val="24"/>
          <w:szCs w:val="24"/>
          <w:lang w:val="en-US" w:eastAsia="zh-CN" w:bidi="ar-SA"/>
        </w:rPr>
        <w:t>采购人不对未中标人就评审过程以及未能成交原因作出任何解释</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未中标人不得向磋商小组组成人员或其他有关人员索问评审过程的情况和材料</w:t>
      </w:r>
    </w:p>
    <w:p>
      <w:pPr>
        <w:widowControl w:val="0"/>
        <w:kinsoku w:val="0"/>
        <w:overflowPunct w:val="0"/>
        <w:autoSpaceDE w:val="0"/>
        <w:autoSpaceDN w:val="0"/>
        <w:adjustRightInd w:val="0"/>
        <w:spacing w:before="60" w:line="440" w:lineRule="exact"/>
        <w:ind w:left="591" w:right="110"/>
        <w:rPr>
          <w:rFonts w:ascii="宋体" w:hAnsi="宋体" w:eastAsia="宋体" w:cs="Times New Roman"/>
          <w:b/>
          <w:spacing w:val="25"/>
          <w:w w:val="99"/>
          <w:sz w:val="24"/>
          <w:szCs w:val="24"/>
          <w:lang w:val="en-US" w:eastAsia="zh-CN" w:bidi="ar-SA"/>
        </w:rPr>
      </w:pPr>
      <w:r>
        <w:rPr>
          <w:rFonts w:ascii="宋体" w:hAnsi="宋体" w:eastAsia="宋体" w:cs="Times New Roman"/>
          <w:b/>
          <w:sz w:val="24"/>
          <w:szCs w:val="24"/>
          <w:lang w:val="en-US" w:eastAsia="zh-CN" w:bidi="ar-SA"/>
        </w:rPr>
        <w:t>32</w:t>
      </w:r>
      <w:r>
        <w:rPr>
          <w:rFonts w:hint="eastAsia" w:ascii="宋体" w:hAnsi="宋体" w:eastAsia="宋体" w:cs="Times New Roman"/>
          <w:b/>
          <w:sz w:val="24"/>
          <w:szCs w:val="24"/>
          <w:lang w:val="en-US" w:eastAsia="zh-CN" w:bidi="ar-SA"/>
        </w:rPr>
        <w:t>、响应文件的澄清</w:t>
      </w:r>
    </w:p>
    <w:p>
      <w:pPr>
        <w:keepNext w:val="0"/>
        <w:keepLines w:val="0"/>
        <w:pageBreakBefore w:val="0"/>
        <w:widowControl w:val="0"/>
        <w:kinsoku w:val="0"/>
        <w:wordWrap/>
        <w:overflowPunct w:val="0"/>
        <w:topLinePunct w:val="0"/>
        <w:autoSpaceDE w:val="0"/>
        <w:autoSpaceDN w:val="0"/>
        <w:bidi w:val="0"/>
        <w:adjustRightInd w:val="0"/>
        <w:snapToGrid/>
        <w:spacing w:before="60" w:line="440" w:lineRule="exact"/>
        <w:ind w:left="591" w:right="108"/>
        <w:textAlignment w:val="auto"/>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为有助于响应文件的审查</w:t>
      </w:r>
      <w:r>
        <w:rPr>
          <w:rFonts w:hint="eastAsia" w:ascii="宋体" w:hAnsi="宋体" w:eastAsia="宋体" w:cs="Times New Roman"/>
          <w:spacing w:val="-32"/>
          <w:sz w:val="24"/>
          <w:szCs w:val="24"/>
          <w:lang w:val="en-US" w:eastAsia="zh-CN" w:bidi="ar-SA"/>
        </w:rPr>
        <w:t>、</w:t>
      </w:r>
      <w:r>
        <w:rPr>
          <w:rFonts w:hint="eastAsia" w:ascii="宋体" w:hAnsi="宋体" w:eastAsia="宋体" w:cs="Times New Roman"/>
          <w:sz w:val="24"/>
          <w:szCs w:val="24"/>
          <w:lang w:val="en-US" w:eastAsia="zh-CN" w:bidi="ar-SA"/>
        </w:rPr>
        <w:t>评价和比较</w:t>
      </w:r>
      <w:r>
        <w:rPr>
          <w:rFonts w:hint="eastAsia" w:ascii="宋体" w:hAnsi="宋体" w:eastAsia="宋体" w:cs="Times New Roman"/>
          <w:spacing w:val="-29"/>
          <w:sz w:val="24"/>
          <w:szCs w:val="24"/>
          <w:lang w:val="en-US" w:eastAsia="zh-CN" w:bidi="ar-SA"/>
        </w:rPr>
        <w:t>，</w:t>
      </w:r>
      <w:r>
        <w:rPr>
          <w:rFonts w:hint="eastAsia" w:ascii="宋体" w:hAnsi="宋体" w:eastAsia="宋体" w:cs="Times New Roman"/>
          <w:sz w:val="24"/>
          <w:szCs w:val="24"/>
          <w:lang w:val="en-US" w:eastAsia="zh-CN" w:bidi="ar-SA"/>
        </w:rPr>
        <w:t>磋商小组可以书面形式要求供应商对响应文</w:t>
      </w:r>
    </w:p>
    <w:p>
      <w:pPr>
        <w:keepNext w:val="0"/>
        <w:keepLines w:val="0"/>
        <w:pageBreakBefore w:val="0"/>
        <w:widowControl w:val="0"/>
        <w:kinsoku w:val="0"/>
        <w:wordWrap/>
        <w:overflowPunct w:val="0"/>
        <w:topLinePunct w:val="0"/>
        <w:autoSpaceDE w:val="0"/>
        <w:autoSpaceDN w:val="0"/>
        <w:bidi w:val="0"/>
        <w:adjustRightInd w:val="0"/>
        <w:snapToGrid/>
        <w:spacing w:before="60" w:line="440" w:lineRule="exact"/>
        <w:ind w:right="108"/>
        <w:textAlignment w:val="auto"/>
        <w:rPr>
          <w:rFonts w:ascii="宋体" w:hAnsi="宋体" w:eastAsia="Times New Roman" w:cs="Times New Roman"/>
          <w:sz w:val="24"/>
          <w:szCs w:val="24"/>
          <w:lang w:val="en-US" w:eastAsia="zh-CN" w:bidi="ar-SA"/>
        </w:rPr>
      </w:pPr>
      <w:r>
        <w:rPr>
          <w:rFonts w:hint="eastAsia" w:ascii="宋体" w:hAnsi="宋体" w:eastAsia="宋体" w:cs="Times New Roman"/>
          <w:sz w:val="24"/>
          <w:szCs w:val="24"/>
          <w:lang w:val="en-US" w:eastAsia="zh-CN" w:bidi="ar-SA"/>
        </w:rPr>
        <w:t>件含义不明确的内容作必要的澄清或说明</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供应商应采用书面形式进行澄清或补</w:t>
      </w:r>
      <w:r>
        <w:rPr>
          <w:rFonts w:hint="eastAsia" w:ascii="宋体" w:hAnsi="宋体" w:eastAsia="宋体" w:cs="Times New Roman"/>
          <w:spacing w:val="1"/>
          <w:sz w:val="24"/>
          <w:szCs w:val="24"/>
          <w:lang w:val="en-US" w:eastAsia="zh-CN" w:bidi="ar-SA"/>
        </w:rPr>
        <w:t>正，但不得超出响应文件的范围或改变响应文件的实质性内容。根据本须知第</w:t>
      </w:r>
      <w:r>
        <w:rPr>
          <w:rFonts w:ascii="宋体" w:hAnsi="宋体" w:eastAsia="宋体" w:cs="Times New Roman"/>
          <w:sz w:val="24"/>
          <w:szCs w:val="24"/>
          <w:lang w:val="en-US" w:eastAsia="zh-CN" w:bidi="ar-SA"/>
        </w:rPr>
        <w:t>34</w:t>
      </w:r>
      <w:r>
        <w:rPr>
          <w:rFonts w:hint="eastAsia" w:ascii="宋体" w:hAnsi="宋体" w:eastAsia="宋体" w:cs="Times New Roman"/>
          <w:sz w:val="24"/>
          <w:szCs w:val="24"/>
          <w:lang w:val="en-US" w:eastAsia="zh-CN" w:bidi="ar-SA"/>
        </w:rPr>
        <w:t>条规定</w:t>
      </w:r>
      <w:r>
        <w:rPr>
          <w:rFonts w:hint="eastAsia" w:ascii="宋体" w:hAnsi="宋体" w:eastAsia="宋体" w:cs="Times New Roman"/>
          <w:spacing w:val="-32"/>
          <w:sz w:val="24"/>
          <w:szCs w:val="24"/>
          <w:lang w:val="en-US" w:eastAsia="zh-CN" w:bidi="ar-SA"/>
        </w:rPr>
        <w:t>，</w:t>
      </w:r>
      <w:r>
        <w:rPr>
          <w:rFonts w:hint="eastAsia" w:ascii="宋体" w:hAnsi="宋体" w:eastAsia="宋体" w:cs="Times New Roman"/>
          <w:sz w:val="24"/>
          <w:szCs w:val="24"/>
          <w:lang w:val="en-US" w:eastAsia="zh-CN" w:bidi="ar-SA"/>
        </w:rPr>
        <w:t>供应商的澄清或补正内容将作为响应文件的组成部</w:t>
      </w:r>
      <w:r>
        <w:rPr>
          <w:rFonts w:hint="eastAsia" w:ascii="宋体" w:hAnsi="宋体" w:eastAsia="宋体" w:cs="Times New Roman"/>
          <w:spacing w:val="2"/>
          <w:sz w:val="24"/>
          <w:szCs w:val="24"/>
          <w:lang w:val="en-US" w:eastAsia="zh-CN" w:bidi="ar-SA"/>
        </w:rPr>
        <w:t>分</w:t>
      </w:r>
      <w:r>
        <w:rPr>
          <w:rFonts w:hint="eastAsia" w:ascii="宋体" w:hAnsi="宋体" w:eastAsia="宋体" w:cs="Times New Roman"/>
          <w:spacing w:val="-32"/>
          <w:sz w:val="24"/>
          <w:szCs w:val="24"/>
          <w:lang w:val="en-US" w:eastAsia="zh-CN" w:bidi="ar-SA"/>
        </w:rPr>
        <w:t>，</w:t>
      </w:r>
      <w:r>
        <w:rPr>
          <w:rFonts w:hint="eastAsia" w:ascii="宋体" w:hAnsi="宋体" w:eastAsia="宋体" w:cs="Times New Roman"/>
          <w:sz w:val="24"/>
          <w:szCs w:val="24"/>
          <w:lang w:val="en-US" w:eastAsia="zh-CN" w:bidi="ar-SA"/>
        </w:rPr>
        <w:t>供应商拒不按照要求对响应文件进行澄清或补正的</w:t>
      </w:r>
      <w:r>
        <w:rPr>
          <w:rFonts w:hint="eastAsia" w:ascii="宋体" w:hAnsi="宋体" w:eastAsia="宋体" w:cs="Times New Roman"/>
          <w:spacing w:val="-32"/>
          <w:sz w:val="24"/>
          <w:szCs w:val="24"/>
          <w:lang w:val="en-US" w:eastAsia="zh-CN" w:bidi="ar-SA"/>
        </w:rPr>
        <w:t>，</w:t>
      </w:r>
      <w:r>
        <w:rPr>
          <w:rFonts w:hint="eastAsia" w:ascii="宋体" w:hAnsi="宋体" w:eastAsia="宋体" w:cs="Times New Roman"/>
          <w:sz w:val="24"/>
          <w:szCs w:val="24"/>
          <w:lang w:val="en-US" w:eastAsia="zh-CN" w:bidi="ar-SA"/>
        </w:rPr>
        <w:t>采购人将否决其报</w:t>
      </w:r>
      <w:r>
        <w:rPr>
          <w:rFonts w:hint="eastAsia" w:ascii="宋体" w:hAnsi="宋体" w:eastAsia="宋体" w:cs="Times New Roman"/>
          <w:spacing w:val="2"/>
          <w:sz w:val="24"/>
          <w:szCs w:val="24"/>
          <w:lang w:val="en-US" w:eastAsia="zh-CN" w:bidi="ar-SA"/>
        </w:rPr>
        <w:t>价</w:t>
      </w:r>
      <w:r>
        <w:rPr>
          <w:rFonts w:hint="eastAsia" w:ascii="宋体" w:hAnsi="宋体" w:eastAsia="宋体" w:cs="Times New Roman"/>
          <w:spacing w:val="-32"/>
          <w:sz w:val="24"/>
          <w:szCs w:val="24"/>
          <w:lang w:val="en-US" w:eastAsia="zh-CN" w:bidi="ar-SA"/>
        </w:rPr>
        <w:t>，</w:t>
      </w:r>
      <w:r>
        <w:rPr>
          <w:rFonts w:hint="eastAsia" w:ascii="宋体" w:hAnsi="宋体" w:eastAsia="宋体" w:cs="Times New Roman"/>
          <w:sz w:val="24"/>
          <w:szCs w:val="24"/>
          <w:lang w:val="en-US" w:eastAsia="zh-CN" w:bidi="ar-SA"/>
        </w:rPr>
        <w:t>采购人不接受供应商主动提出的澄清。凡属于磋商小组在评审中发现的计算错误进行核实的修改不在此列。</w:t>
      </w:r>
    </w:p>
    <w:p>
      <w:pPr>
        <w:widowControl w:val="0"/>
        <w:kinsoku w:val="0"/>
        <w:overflowPunct w:val="0"/>
        <w:autoSpaceDE w:val="0"/>
        <w:autoSpaceDN w:val="0"/>
        <w:adjustRightInd w:val="0"/>
        <w:spacing w:before="57" w:line="440" w:lineRule="exact"/>
        <w:ind w:left="591"/>
        <w:outlineLvl w:val="4"/>
        <w:rPr>
          <w:rFonts w:ascii="宋体" w:hAnsi="宋体" w:eastAsia="Times New Roman" w:cs="Times New Roman"/>
          <w:b/>
          <w:sz w:val="24"/>
          <w:szCs w:val="24"/>
          <w:lang w:val="en-US" w:eastAsia="zh-CN" w:bidi="ar-SA"/>
        </w:rPr>
      </w:pPr>
      <w:r>
        <w:rPr>
          <w:rFonts w:ascii="宋体" w:hAnsi="宋体" w:eastAsia="宋体" w:cs="Times New Roman"/>
          <w:b/>
          <w:sz w:val="24"/>
          <w:szCs w:val="24"/>
          <w:lang w:val="en-US" w:eastAsia="zh-CN" w:bidi="ar-SA"/>
        </w:rPr>
        <w:t>33</w:t>
      </w:r>
      <w:r>
        <w:rPr>
          <w:rFonts w:hint="eastAsia" w:ascii="宋体" w:hAnsi="宋体" w:eastAsia="宋体" w:cs="Times New Roman"/>
          <w:b/>
          <w:sz w:val="24"/>
          <w:szCs w:val="24"/>
          <w:lang w:val="en-US" w:eastAsia="zh-CN" w:bidi="ar-SA"/>
        </w:rPr>
        <w:t>、响应文件的符合性审查</w:t>
      </w:r>
    </w:p>
    <w:p>
      <w:pPr>
        <w:widowControl w:val="0"/>
        <w:kinsoku w:val="0"/>
        <w:overflowPunct w:val="0"/>
        <w:autoSpaceDE w:val="0"/>
        <w:autoSpaceDN w:val="0"/>
        <w:adjustRightInd w:val="0"/>
        <w:spacing w:line="440" w:lineRule="exact"/>
        <w:ind w:left="111" w:right="112" w:firstLine="480"/>
        <w:jc w:val="both"/>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33.1</w:t>
      </w:r>
      <w:r>
        <w:rPr>
          <w:rFonts w:hint="eastAsia" w:ascii="宋体" w:hAnsi="宋体" w:eastAsia="宋体" w:cs="Times New Roman"/>
          <w:sz w:val="24"/>
          <w:szCs w:val="24"/>
          <w:lang w:val="en-US" w:eastAsia="zh-CN" w:bidi="ar-SA"/>
        </w:rPr>
        <w:t>经采购人审查</w:t>
      </w:r>
      <w:r>
        <w:rPr>
          <w:rFonts w:hint="eastAsia" w:cs="Times New Roman"/>
          <w:sz w:val="24"/>
          <w:szCs w:val="24"/>
          <w:lang w:val="en-US" w:eastAsia="zh-CN" w:bidi="ar-SA"/>
        </w:rPr>
        <w:t>，通过</w:t>
      </w:r>
      <w:r>
        <w:rPr>
          <w:rFonts w:hint="eastAsia" w:ascii="宋体" w:hAnsi="宋体" w:eastAsia="宋体" w:cs="Times New Roman"/>
          <w:sz w:val="24"/>
          <w:szCs w:val="24"/>
          <w:lang w:val="en-US" w:eastAsia="zh-CN" w:bidi="ar-SA"/>
        </w:rPr>
        <w:t>资格审查的有效响应文件才能提交磋商小组进行评审。</w:t>
      </w:r>
    </w:p>
    <w:p>
      <w:pPr>
        <w:widowControl w:val="0"/>
        <w:kinsoku w:val="0"/>
        <w:overflowPunct w:val="0"/>
        <w:autoSpaceDE w:val="0"/>
        <w:autoSpaceDN w:val="0"/>
        <w:adjustRightInd w:val="0"/>
        <w:spacing w:before="56" w:line="440" w:lineRule="exact"/>
        <w:ind w:left="111" w:right="112" w:firstLine="480"/>
        <w:jc w:val="both"/>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33.2</w:t>
      </w:r>
      <w:r>
        <w:rPr>
          <w:rFonts w:hint="eastAsia" w:ascii="宋体" w:hAnsi="宋体" w:eastAsia="宋体" w:cs="Times New Roman"/>
          <w:sz w:val="24"/>
          <w:szCs w:val="24"/>
          <w:lang w:val="en-US" w:eastAsia="zh-CN" w:bidi="ar-SA"/>
        </w:rPr>
        <w:t>评审时</w:t>
      </w:r>
      <w:r>
        <w:rPr>
          <w:rFonts w:hint="eastAsia" w:ascii="宋体" w:hAnsi="宋体" w:eastAsia="宋体" w:cs="Times New Roman"/>
          <w:spacing w:val="-120"/>
          <w:sz w:val="24"/>
          <w:szCs w:val="24"/>
          <w:lang w:val="en-US" w:eastAsia="zh-CN" w:bidi="ar-SA"/>
        </w:rPr>
        <w:t>，</w:t>
      </w:r>
      <w:r>
        <w:rPr>
          <w:rFonts w:hint="eastAsia" w:ascii="宋体" w:hAnsi="宋体" w:eastAsia="宋体" w:cs="Times New Roman"/>
          <w:sz w:val="24"/>
          <w:szCs w:val="24"/>
          <w:lang w:val="en-US" w:eastAsia="zh-CN" w:bidi="ar-SA"/>
        </w:rPr>
        <w:t>磋商小组将首先评定每份响应文件是否在实质上响应了磋商文件的</w:t>
      </w:r>
      <w:r>
        <w:rPr>
          <w:rFonts w:hint="eastAsia" w:ascii="宋体" w:hAnsi="宋体" w:eastAsia="宋体" w:cs="Times New Roman"/>
          <w:spacing w:val="-2"/>
          <w:sz w:val="24"/>
          <w:szCs w:val="24"/>
          <w:lang w:val="en-US" w:eastAsia="zh-CN" w:bidi="ar-SA"/>
        </w:rPr>
        <w:t>要求。所谓实质上响应，是指响应文件应与磋商文件的所有实质性条款、条件和要求相符，无显著差异或保留。所谓显著差异或保留是指对工程的发包范围、质量标准及</w:t>
      </w:r>
      <w:r>
        <w:rPr>
          <w:rFonts w:hint="eastAsia" w:ascii="宋体" w:hAnsi="宋体" w:eastAsia="宋体" w:cs="Times New Roman"/>
          <w:spacing w:val="4"/>
          <w:sz w:val="24"/>
          <w:szCs w:val="24"/>
          <w:lang w:val="en-US" w:eastAsia="zh-CN" w:bidi="ar-SA"/>
        </w:rPr>
        <w:t>使用产生实质性影响或者对合同中规定的采购人的权力及供应商的义务造成实质性</w:t>
      </w:r>
      <w:r>
        <w:rPr>
          <w:rFonts w:hint="eastAsia" w:ascii="宋体" w:hAnsi="宋体" w:eastAsia="宋体" w:cs="Times New Roman"/>
          <w:sz w:val="24"/>
          <w:szCs w:val="24"/>
          <w:lang w:val="en-US" w:eastAsia="zh-CN" w:bidi="ar-SA"/>
        </w:rPr>
        <w:t>限制</w:t>
      </w:r>
      <w:r>
        <w:rPr>
          <w:rFonts w:hint="eastAsia" w:ascii="宋体" w:hAnsi="宋体" w:eastAsia="宋体" w:cs="Times New Roman"/>
          <w:spacing w:val="-32"/>
          <w:sz w:val="24"/>
          <w:szCs w:val="24"/>
          <w:lang w:val="en-US" w:eastAsia="zh-CN" w:bidi="ar-SA"/>
        </w:rPr>
        <w:t>，</w:t>
      </w:r>
      <w:r>
        <w:rPr>
          <w:rFonts w:hint="eastAsia" w:ascii="宋体" w:hAnsi="宋体" w:eastAsia="宋体" w:cs="Times New Roman"/>
          <w:sz w:val="24"/>
          <w:szCs w:val="24"/>
          <w:lang w:val="en-US" w:eastAsia="zh-CN" w:bidi="ar-SA"/>
        </w:rPr>
        <w:t>而且纠正这种差异或保留</w:t>
      </w:r>
      <w:r>
        <w:rPr>
          <w:rFonts w:hint="eastAsia" w:ascii="宋体" w:hAnsi="宋体" w:eastAsia="宋体" w:cs="Times New Roman"/>
          <w:spacing w:val="-29"/>
          <w:sz w:val="24"/>
          <w:szCs w:val="24"/>
          <w:lang w:val="en-US" w:eastAsia="zh-CN" w:bidi="ar-SA"/>
        </w:rPr>
        <w:t>，</w:t>
      </w:r>
      <w:r>
        <w:rPr>
          <w:rFonts w:hint="eastAsia" w:ascii="宋体" w:hAnsi="宋体" w:eastAsia="宋体" w:cs="Times New Roman"/>
          <w:sz w:val="24"/>
          <w:szCs w:val="24"/>
          <w:lang w:val="en-US" w:eastAsia="zh-CN" w:bidi="ar-SA"/>
        </w:rPr>
        <w:t>将会对其他实质上响应要求的供应商的竞争地位产生不公正的影响。</w:t>
      </w:r>
    </w:p>
    <w:p>
      <w:pPr>
        <w:widowControl w:val="0"/>
        <w:kinsoku w:val="0"/>
        <w:overflowPunct w:val="0"/>
        <w:autoSpaceDE w:val="0"/>
        <w:autoSpaceDN w:val="0"/>
        <w:adjustRightInd w:val="0"/>
        <w:spacing w:before="57" w:line="440" w:lineRule="exact"/>
        <w:ind w:left="111" w:right="112" w:firstLine="480"/>
        <w:jc w:val="both"/>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33.3</w:t>
      </w:r>
      <w:r>
        <w:rPr>
          <w:rFonts w:hint="eastAsia" w:ascii="宋体" w:hAnsi="宋体" w:eastAsia="宋体" w:cs="Times New Roman"/>
          <w:sz w:val="24"/>
          <w:szCs w:val="24"/>
          <w:lang w:val="en-US" w:eastAsia="zh-CN" w:bidi="ar-SA"/>
        </w:rPr>
        <w:t>如果响应文件实质上不响应磋商文件的各项要求</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磋商小组将予以拒绝</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并且不允许供应商通过修改或撤销其不符合要求的差异或保留</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使之成为具有响应性的报价。</w:t>
      </w:r>
    </w:p>
    <w:p>
      <w:pPr>
        <w:widowControl w:val="0"/>
        <w:kinsoku w:val="0"/>
        <w:overflowPunct w:val="0"/>
        <w:autoSpaceDE w:val="0"/>
        <w:autoSpaceDN w:val="0"/>
        <w:adjustRightInd w:val="0"/>
        <w:spacing w:line="440" w:lineRule="exact"/>
        <w:ind w:left="111" w:right="232" w:firstLine="480"/>
        <w:jc w:val="both"/>
        <w:rPr>
          <w:rFonts w:ascii="宋体" w:hAnsi="宋体" w:eastAsia="宋体" w:cs="Times New Roman"/>
          <w:b/>
          <w:sz w:val="24"/>
          <w:szCs w:val="24"/>
          <w:lang w:val="en-US" w:eastAsia="zh-CN" w:bidi="ar-SA"/>
        </w:rPr>
      </w:pPr>
      <w:r>
        <w:rPr>
          <w:rFonts w:ascii="宋体" w:hAnsi="宋体" w:eastAsia="宋体" w:cs="Times New Roman"/>
          <w:sz w:val="24"/>
          <w:szCs w:val="24"/>
          <w:lang w:val="en-US" w:eastAsia="zh-CN" w:bidi="ar-SA"/>
        </w:rPr>
        <w:t>33.4</w:t>
      </w:r>
      <w:r>
        <w:rPr>
          <w:rFonts w:hint="eastAsia" w:ascii="宋体" w:hAnsi="宋体" w:eastAsia="宋体" w:cs="Times New Roman"/>
          <w:sz w:val="24"/>
          <w:szCs w:val="24"/>
          <w:lang w:val="en-US" w:eastAsia="zh-CN" w:bidi="ar-SA"/>
        </w:rPr>
        <w:t>响应文件有下列情形之一的</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视为未能对磋商文件作出实质性响应</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由磋商小组初审后按无效标处理：</w:t>
      </w:r>
    </w:p>
    <w:p>
      <w:pPr>
        <w:widowControl w:val="0"/>
        <w:kinsoku w:val="0"/>
        <w:overflowPunct w:val="0"/>
        <w:autoSpaceDE w:val="0"/>
        <w:autoSpaceDN w:val="0"/>
        <w:adjustRightInd w:val="0"/>
        <w:spacing w:before="57" w:line="440" w:lineRule="exact"/>
        <w:ind w:left="111" w:right="112" w:firstLine="480"/>
        <w:jc w:val="both"/>
        <w:rPr>
          <w:rFonts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（1）未按照磋商文件规定要求签署、盖章的；</w:t>
      </w:r>
    </w:p>
    <w:p>
      <w:pPr>
        <w:widowControl w:val="0"/>
        <w:kinsoku w:val="0"/>
        <w:overflowPunct w:val="0"/>
        <w:autoSpaceDE w:val="0"/>
        <w:autoSpaceDN w:val="0"/>
        <w:adjustRightInd w:val="0"/>
        <w:spacing w:before="57" w:line="440" w:lineRule="exact"/>
        <w:ind w:left="111" w:right="112" w:firstLine="480"/>
        <w:jc w:val="both"/>
        <w:rPr>
          <w:rFonts w:ascii="宋体" w:hAnsi="宋体" w:eastAsia="Times New Roman" w:cs="Times New Roman"/>
          <w:b/>
          <w:sz w:val="24"/>
          <w:szCs w:val="24"/>
          <w:lang w:val="en-US" w:eastAsia="zh-CN" w:bidi="ar-SA"/>
        </w:rPr>
      </w:pPr>
      <w:r>
        <w:rPr>
          <w:rFonts w:hint="eastAsia" w:ascii="宋体" w:hAnsi="宋体" w:eastAsia="宋体" w:cs="Times New Roman"/>
          <w:b/>
          <w:sz w:val="24"/>
          <w:szCs w:val="24"/>
          <w:lang w:val="en-US" w:eastAsia="zh-CN" w:bidi="ar-SA"/>
        </w:rPr>
        <w:t>（2）响应文件明显不符合磋商文件规定的技术以及商务条款要求的；</w:t>
      </w:r>
    </w:p>
    <w:p>
      <w:pPr>
        <w:widowControl w:val="0"/>
        <w:kinsoku w:val="0"/>
        <w:overflowPunct w:val="0"/>
        <w:autoSpaceDE w:val="0"/>
        <w:autoSpaceDN w:val="0"/>
        <w:adjustRightInd w:val="0"/>
        <w:spacing w:before="57" w:line="440" w:lineRule="exact"/>
        <w:ind w:left="111" w:right="112" w:firstLine="480"/>
        <w:jc w:val="both"/>
        <w:rPr>
          <w:rFonts w:ascii="宋体" w:hAnsi="宋体" w:eastAsia="Times New Roman" w:cs="Times New Roman"/>
          <w:b/>
          <w:sz w:val="24"/>
          <w:szCs w:val="24"/>
          <w:lang w:val="en-US" w:eastAsia="zh-CN" w:bidi="ar-SA"/>
        </w:rPr>
      </w:pPr>
      <w:r>
        <w:rPr>
          <w:rFonts w:hint="eastAsia" w:ascii="宋体" w:hAnsi="宋体" w:eastAsia="宋体" w:cs="Times New Roman"/>
          <w:b/>
          <w:sz w:val="24"/>
          <w:szCs w:val="24"/>
          <w:lang w:val="en-US" w:eastAsia="zh-CN" w:bidi="ar-SA"/>
        </w:rPr>
        <w:t>（3）响应文件载明的工期、质量标准</w:t>
      </w:r>
      <w:r>
        <w:rPr>
          <w:rFonts w:hint="eastAsia" w:cs="Times New Roman"/>
          <w:b/>
          <w:sz w:val="24"/>
          <w:szCs w:val="24"/>
          <w:lang w:val="en-US" w:eastAsia="zh-CN" w:bidi="ar-SA"/>
        </w:rPr>
        <w:t>、安全目标</w:t>
      </w:r>
      <w:r>
        <w:rPr>
          <w:rFonts w:hint="eastAsia" w:ascii="宋体" w:hAnsi="宋体" w:eastAsia="宋体" w:cs="Times New Roman"/>
          <w:b/>
          <w:sz w:val="24"/>
          <w:szCs w:val="24"/>
          <w:lang w:val="en-US" w:eastAsia="zh-CN" w:bidi="ar-SA"/>
        </w:rPr>
        <w:t>等明显不符合磋商文件要求的；</w:t>
      </w:r>
    </w:p>
    <w:p>
      <w:pPr>
        <w:widowControl w:val="0"/>
        <w:kinsoku w:val="0"/>
        <w:overflowPunct w:val="0"/>
        <w:autoSpaceDE w:val="0"/>
        <w:autoSpaceDN w:val="0"/>
        <w:adjustRightInd w:val="0"/>
        <w:spacing w:before="57" w:line="440" w:lineRule="exact"/>
        <w:ind w:left="111" w:right="112" w:firstLine="480"/>
        <w:jc w:val="both"/>
        <w:rPr>
          <w:rFonts w:ascii="宋体" w:hAnsi="宋体" w:eastAsia="Times New Roman" w:cs="Times New Roman"/>
          <w:b/>
          <w:sz w:val="24"/>
          <w:szCs w:val="24"/>
          <w:lang w:val="en-US" w:eastAsia="zh-CN" w:bidi="ar-SA"/>
        </w:rPr>
      </w:pPr>
      <w:r>
        <w:rPr>
          <w:rFonts w:hint="eastAsia" w:ascii="宋体" w:hAnsi="宋体" w:eastAsia="宋体" w:cs="Times New Roman"/>
          <w:b/>
          <w:sz w:val="24"/>
          <w:szCs w:val="24"/>
          <w:lang w:val="en-US" w:eastAsia="zh-CN" w:bidi="ar-SA"/>
        </w:rPr>
        <w:t>（4）供应商对同一招标项目作出两个以上报价未明确效力的；</w:t>
      </w:r>
    </w:p>
    <w:p>
      <w:pPr>
        <w:widowControl w:val="0"/>
        <w:kinsoku w:val="0"/>
        <w:overflowPunct w:val="0"/>
        <w:autoSpaceDE w:val="0"/>
        <w:autoSpaceDN w:val="0"/>
        <w:adjustRightInd w:val="0"/>
        <w:spacing w:before="57" w:line="440" w:lineRule="exact"/>
        <w:ind w:left="111" w:right="112" w:firstLine="480"/>
        <w:jc w:val="both"/>
        <w:rPr>
          <w:rFonts w:ascii="宋体" w:hAnsi="宋体" w:eastAsia="Times New Roman" w:cs="Times New Roman"/>
          <w:b/>
          <w:sz w:val="24"/>
          <w:szCs w:val="24"/>
          <w:lang w:val="en-US" w:eastAsia="zh-CN" w:bidi="ar-SA"/>
        </w:rPr>
      </w:pPr>
      <w:r>
        <w:rPr>
          <w:rFonts w:hint="eastAsia" w:ascii="宋体" w:hAnsi="宋体" w:eastAsia="宋体" w:cs="Times New Roman"/>
          <w:b/>
          <w:sz w:val="24"/>
          <w:szCs w:val="24"/>
          <w:lang w:val="en-US" w:eastAsia="zh-CN" w:bidi="ar-SA"/>
        </w:rPr>
        <w:t>（5）在评标过程中，发现供应商的最终报价明显低于其他投标报价，使得其报价可能低于其个别成本的，应当要求该供应商做出书面说明并提供相关证明材料。供应商不能合理说明或者不能提供相关证明材料的，磋商小组可以认定该供应商以低于成本报价竞标的；</w:t>
      </w:r>
    </w:p>
    <w:p>
      <w:pPr>
        <w:widowControl w:val="0"/>
        <w:kinsoku w:val="0"/>
        <w:overflowPunct w:val="0"/>
        <w:autoSpaceDE w:val="0"/>
        <w:autoSpaceDN w:val="0"/>
        <w:adjustRightInd w:val="0"/>
        <w:spacing w:before="57" w:line="440" w:lineRule="exact"/>
        <w:ind w:left="111" w:right="112" w:firstLine="480"/>
        <w:jc w:val="both"/>
        <w:rPr>
          <w:rFonts w:ascii="宋体" w:hAnsi="宋体" w:eastAsia="Times New Roman" w:cs="Times New Roman"/>
          <w:b/>
          <w:sz w:val="24"/>
          <w:szCs w:val="24"/>
          <w:lang w:val="en-US" w:eastAsia="zh-CN" w:bidi="ar-SA"/>
        </w:rPr>
      </w:pPr>
      <w:r>
        <w:rPr>
          <w:rFonts w:hint="eastAsia" w:ascii="宋体" w:hAnsi="宋体" w:eastAsia="宋体" w:cs="Times New Roman"/>
          <w:b/>
          <w:sz w:val="24"/>
          <w:szCs w:val="24"/>
          <w:lang w:val="en-US" w:eastAsia="zh-CN" w:bidi="ar-SA"/>
        </w:rPr>
        <w:t>（6）供应商的投标报价超过</w:t>
      </w:r>
      <w:r>
        <w:rPr>
          <w:rFonts w:hint="eastAsia" w:cs="Times New Roman"/>
          <w:b/>
          <w:sz w:val="24"/>
          <w:szCs w:val="24"/>
          <w:lang w:val="en-US" w:eastAsia="zh-CN" w:bidi="ar-SA"/>
        </w:rPr>
        <w:t>采购预算价</w:t>
      </w:r>
      <w:r>
        <w:rPr>
          <w:rFonts w:hint="eastAsia" w:ascii="宋体" w:hAnsi="宋体" w:eastAsia="宋体" w:cs="Times New Roman"/>
          <w:b/>
          <w:sz w:val="24"/>
          <w:szCs w:val="24"/>
          <w:lang w:val="en-US" w:eastAsia="zh-CN" w:bidi="ar-SA"/>
        </w:rPr>
        <w:t>，且采购人不能支付的；</w:t>
      </w:r>
    </w:p>
    <w:p>
      <w:pPr>
        <w:widowControl w:val="0"/>
        <w:kinsoku w:val="0"/>
        <w:overflowPunct w:val="0"/>
        <w:autoSpaceDE w:val="0"/>
        <w:autoSpaceDN w:val="0"/>
        <w:adjustRightInd w:val="0"/>
        <w:spacing w:before="57" w:line="440" w:lineRule="exact"/>
        <w:ind w:left="111" w:right="112" w:firstLine="480"/>
        <w:jc w:val="both"/>
        <w:rPr>
          <w:rFonts w:ascii="宋体" w:hAnsi="宋体" w:eastAsia="Times New Roman" w:cs="Times New Roman"/>
          <w:b/>
          <w:color w:val="auto"/>
          <w:sz w:val="24"/>
          <w:szCs w:val="24"/>
          <w:lang w:val="en-US" w:eastAsia="zh-CN" w:bidi="ar-SA"/>
        </w:rPr>
      </w:pPr>
      <w:r>
        <w:rPr>
          <w:rFonts w:hint="eastAsia" w:ascii="宋体" w:hAnsi="宋体" w:eastAsia="宋体" w:cs="Times New Roman"/>
          <w:b/>
          <w:color w:val="auto"/>
          <w:sz w:val="24"/>
          <w:szCs w:val="24"/>
          <w:lang w:val="en-US" w:eastAsia="zh-CN" w:bidi="ar-SA"/>
        </w:rPr>
        <w:t>（7）供应商填写完毕的工程量固化清单对工程量固化清单电子文件中的数据、格式和运算定义进行修改；工程量固化清单中的投标报价和投标函大写金额报价不一致</w:t>
      </w:r>
      <w:r>
        <w:rPr>
          <w:rFonts w:hint="eastAsia" w:cs="Times New Roman"/>
          <w:b/>
          <w:color w:val="auto"/>
          <w:sz w:val="24"/>
          <w:szCs w:val="24"/>
          <w:lang w:val="en-US" w:eastAsia="zh-CN" w:bidi="ar-SA"/>
        </w:rPr>
        <w:t>的</w:t>
      </w:r>
      <w:r>
        <w:rPr>
          <w:rFonts w:hint="eastAsia" w:ascii="宋体" w:hAnsi="宋体" w:eastAsia="宋体" w:cs="Times New Roman"/>
          <w:b/>
          <w:color w:val="auto"/>
          <w:sz w:val="24"/>
          <w:szCs w:val="24"/>
          <w:lang w:val="en-US" w:eastAsia="zh-CN" w:bidi="ar-SA"/>
        </w:rPr>
        <w:t>；</w:t>
      </w:r>
    </w:p>
    <w:p>
      <w:pPr>
        <w:widowControl w:val="0"/>
        <w:kinsoku w:val="0"/>
        <w:overflowPunct w:val="0"/>
        <w:autoSpaceDE w:val="0"/>
        <w:autoSpaceDN w:val="0"/>
        <w:adjustRightInd w:val="0"/>
        <w:spacing w:before="57" w:line="440" w:lineRule="exact"/>
        <w:ind w:left="111" w:right="112" w:firstLine="480"/>
        <w:jc w:val="both"/>
        <w:rPr>
          <w:rFonts w:ascii="宋体" w:hAnsi="宋体" w:eastAsia="Times New Roman" w:cs="Times New Roman"/>
          <w:b/>
          <w:sz w:val="24"/>
          <w:szCs w:val="24"/>
          <w:lang w:val="en-US" w:eastAsia="zh-CN" w:bidi="ar-SA"/>
        </w:rPr>
      </w:pPr>
      <w:r>
        <w:rPr>
          <w:rFonts w:hint="eastAsia" w:ascii="宋体" w:hAnsi="宋体" w:eastAsia="宋体" w:cs="Times New Roman"/>
          <w:b/>
          <w:sz w:val="24"/>
          <w:szCs w:val="24"/>
          <w:lang w:val="en-US" w:eastAsia="zh-CN" w:bidi="ar-SA"/>
        </w:rPr>
        <w:t>（8）响应文件未按磋商文件规定的格式填写，内容不全或关键字迹模糊、无法辨认的；</w:t>
      </w:r>
    </w:p>
    <w:p>
      <w:pPr>
        <w:widowControl w:val="0"/>
        <w:kinsoku w:val="0"/>
        <w:overflowPunct w:val="0"/>
        <w:autoSpaceDE w:val="0"/>
        <w:autoSpaceDN w:val="0"/>
        <w:adjustRightInd w:val="0"/>
        <w:spacing w:before="57" w:line="440" w:lineRule="exact"/>
        <w:ind w:left="111" w:right="112" w:firstLine="480"/>
        <w:jc w:val="both"/>
        <w:rPr>
          <w:rFonts w:ascii="宋体" w:hAnsi="宋体" w:eastAsia="Times New Roman" w:cs="Times New Roman"/>
          <w:b/>
          <w:sz w:val="24"/>
          <w:szCs w:val="24"/>
          <w:lang w:val="en-US" w:eastAsia="zh-CN" w:bidi="ar-SA"/>
        </w:rPr>
      </w:pPr>
      <w:r>
        <w:rPr>
          <w:rFonts w:hint="eastAsia" w:ascii="宋体" w:hAnsi="宋体" w:eastAsia="宋体" w:cs="Times New Roman"/>
          <w:b/>
          <w:sz w:val="24"/>
          <w:szCs w:val="24"/>
          <w:lang w:val="en-US" w:eastAsia="zh-CN" w:bidi="ar-SA"/>
        </w:rPr>
        <w:t>（9）在评标过程中，发现供应商以他人名义投标、串通投标、以行贿手段谋取成交或者以其他弄虚作假方式投标的；</w:t>
      </w:r>
    </w:p>
    <w:p>
      <w:pPr>
        <w:widowControl w:val="0"/>
        <w:kinsoku w:val="0"/>
        <w:overflowPunct w:val="0"/>
        <w:autoSpaceDE w:val="0"/>
        <w:autoSpaceDN w:val="0"/>
        <w:adjustRightInd w:val="0"/>
        <w:spacing w:before="57" w:line="440" w:lineRule="exact"/>
        <w:ind w:left="111" w:right="112" w:firstLine="480"/>
        <w:jc w:val="both"/>
        <w:rPr>
          <w:rFonts w:ascii="宋体" w:hAnsi="宋体" w:eastAsia="Times New Roman" w:cs="Times New Roman"/>
          <w:b/>
          <w:sz w:val="24"/>
          <w:szCs w:val="24"/>
          <w:lang w:val="en-US" w:eastAsia="zh-CN" w:bidi="ar-SA"/>
        </w:rPr>
      </w:pPr>
      <w:r>
        <w:rPr>
          <w:rFonts w:hint="eastAsia" w:ascii="宋体" w:hAnsi="宋体" w:eastAsia="宋体" w:cs="Times New Roman"/>
          <w:b/>
          <w:sz w:val="24"/>
          <w:szCs w:val="24"/>
          <w:lang w:val="en-US" w:eastAsia="zh-CN" w:bidi="ar-SA"/>
        </w:rPr>
        <w:t>（10）响应文件附有采购人不能接受的条件的；</w:t>
      </w:r>
    </w:p>
    <w:p>
      <w:pPr>
        <w:widowControl w:val="0"/>
        <w:kinsoku w:val="0"/>
        <w:overflowPunct w:val="0"/>
        <w:autoSpaceDE w:val="0"/>
        <w:autoSpaceDN w:val="0"/>
        <w:adjustRightInd w:val="0"/>
        <w:spacing w:before="57" w:line="440" w:lineRule="exact"/>
        <w:ind w:left="111" w:right="112" w:firstLine="480"/>
        <w:jc w:val="both"/>
        <w:rPr>
          <w:rFonts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（11）响应文件不符合磋商文件规定的其他实质性要求的。</w:t>
      </w:r>
    </w:p>
    <w:p>
      <w:pPr>
        <w:widowControl w:val="0"/>
        <w:kinsoku w:val="0"/>
        <w:overflowPunct w:val="0"/>
        <w:autoSpaceDE w:val="0"/>
        <w:autoSpaceDN w:val="0"/>
        <w:adjustRightInd w:val="0"/>
        <w:spacing w:line="440" w:lineRule="exact"/>
        <w:ind w:left="591"/>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33.5</w:t>
      </w:r>
      <w:r>
        <w:rPr>
          <w:rFonts w:hint="eastAsia" w:ascii="宋体" w:hAnsi="宋体" w:eastAsia="宋体" w:cs="Times New Roman"/>
          <w:sz w:val="24"/>
          <w:szCs w:val="24"/>
          <w:lang w:val="en-US" w:eastAsia="zh-CN" w:bidi="ar-SA"/>
        </w:rPr>
        <w:t>所有供应商报价均超</w:t>
      </w:r>
      <w:r>
        <w:rPr>
          <w:rFonts w:hint="eastAsia" w:ascii="宋体" w:hAnsi="宋体" w:eastAsia="宋体" w:cs="Times New Roman"/>
          <w:b w:val="0"/>
          <w:bCs w:val="0"/>
          <w:sz w:val="24"/>
          <w:szCs w:val="24"/>
          <w:lang w:val="en-US" w:eastAsia="zh-CN" w:bidi="ar-SA"/>
        </w:rPr>
        <w:t>出采</w:t>
      </w:r>
      <w:r>
        <w:rPr>
          <w:rFonts w:hint="eastAsia" w:cs="Times New Roman"/>
          <w:b w:val="0"/>
          <w:bCs w:val="0"/>
          <w:sz w:val="24"/>
          <w:szCs w:val="24"/>
          <w:lang w:val="en-US" w:eastAsia="zh-CN" w:bidi="ar-SA"/>
        </w:rPr>
        <w:t>购预算价</w:t>
      </w:r>
      <w:r>
        <w:rPr>
          <w:rFonts w:hint="eastAsia" w:ascii="宋体" w:hAnsi="宋体" w:eastAsia="宋体" w:cs="Times New Roman"/>
          <w:b w:val="0"/>
          <w:bCs w:val="0"/>
          <w:sz w:val="24"/>
          <w:szCs w:val="24"/>
          <w:lang w:val="en-US" w:eastAsia="zh-CN" w:bidi="ar-SA"/>
        </w:rPr>
        <w:t>的</w:t>
      </w:r>
      <w:r>
        <w:rPr>
          <w:rFonts w:hint="eastAsia" w:ascii="宋体" w:hAnsi="宋体" w:eastAsia="宋体" w:cs="Times New Roman"/>
          <w:sz w:val="24"/>
          <w:szCs w:val="24"/>
          <w:lang w:val="en-US" w:eastAsia="zh-CN" w:bidi="ar-SA"/>
        </w:rPr>
        <w:t>，本项目废标。</w:t>
      </w:r>
    </w:p>
    <w:p>
      <w:pPr>
        <w:widowControl w:val="0"/>
        <w:kinsoku w:val="0"/>
        <w:overflowPunct w:val="0"/>
        <w:autoSpaceDE w:val="0"/>
        <w:autoSpaceDN w:val="0"/>
        <w:adjustRightInd w:val="0"/>
        <w:spacing w:line="440" w:lineRule="exact"/>
        <w:ind w:left="111" w:right="232" w:firstLine="480"/>
        <w:jc w:val="both"/>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33.6</w:t>
      </w:r>
      <w:r>
        <w:rPr>
          <w:rFonts w:hint="eastAsia" w:ascii="宋体" w:hAnsi="宋体" w:eastAsia="宋体" w:cs="Times New Roman"/>
          <w:sz w:val="24"/>
          <w:szCs w:val="24"/>
          <w:lang w:val="en-US" w:eastAsia="zh-CN" w:bidi="ar-SA"/>
        </w:rPr>
        <w:t>响应文件在实质上响应磋商文件要求</w:t>
      </w:r>
      <w:r>
        <w:rPr>
          <w:rFonts w:hint="eastAsia" w:ascii="宋体" w:hAnsi="宋体" w:eastAsia="宋体" w:cs="Times New Roman"/>
          <w:spacing w:val="-120"/>
          <w:sz w:val="24"/>
          <w:szCs w:val="24"/>
          <w:lang w:val="en-US" w:eastAsia="zh-CN" w:bidi="ar-SA"/>
        </w:rPr>
        <w:t>，</w:t>
      </w:r>
      <w:r>
        <w:rPr>
          <w:rFonts w:hint="eastAsia" w:ascii="宋体" w:hAnsi="宋体" w:eastAsia="宋体" w:cs="Times New Roman"/>
          <w:sz w:val="24"/>
          <w:szCs w:val="24"/>
          <w:lang w:val="en-US" w:eastAsia="zh-CN" w:bidi="ar-SA"/>
        </w:rPr>
        <w:t>但在个别地方存在遗漏或者提供了不完整的技术信息和数据的情况</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并且补正这些遗漏或不完整不会对其他供应商造成不公平的结果，这种情况不影响响应文件的有效性。</w:t>
      </w:r>
    </w:p>
    <w:p>
      <w:pPr>
        <w:widowControl w:val="0"/>
        <w:kinsoku w:val="0"/>
        <w:overflowPunct w:val="0"/>
        <w:autoSpaceDE w:val="0"/>
        <w:autoSpaceDN w:val="0"/>
        <w:adjustRightInd w:val="0"/>
        <w:spacing w:before="26" w:line="440" w:lineRule="exact"/>
        <w:ind w:left="111" w:right="110" w:firstLine="480"/>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33.7</w:t>
      </w:r>
      <w:r>
        <w:rPr>
          <w:rFonts w:hint="eastAsia" w:ascii="宋体" w:hAnsi="宋体" w:eastAsia="宋体" w:cs="Times New Roman"/>
          <w:sz w:val="24"/>
          <w:szCs w:val="24"/>
          <w:lang w:val="en-US" w:eastAsia="zh-CN" w:bidi="ar-SA"/>
        </w:rPr>
        <w:t>磋商小组对响应文件的判定</w:t>
      </w:r>
      <w:r>
        <w:rPr>
          <w:rFonts w:hint="eastAsia" w:ascii="宋体" w:hAnsi="宋体" w:eastAsia="宋体" w:cs="Times New Roman"/>
          <w:spacing w:val="-120"/>
          <w:sz w:val="24"/>
          <w:szCs w:val="24"/>
          <w:lang w:val="en-US" w:eastAsia="zh-CN" w:bidi="ar-SA"/>
        </w:rPr>
        <w:t>，</w:t>
      </w:r>
      <w:r>
        <w:rPr>
          <w:rFonts w:hint="eastAsia" w:ascii="宋体" w:hAnsi="宋体" w:eastAsia="宋体" w:cs="Times New Roman"/>
          <w:sz w:val="24"/>
          <w:szCs w:val="24"/>
          <w:lang w:val="en-US" w:eastAsia="zh-CN" w:bidi="ar-SA"/>
        </w:rPr>
        <w:t>只依据响应文件本身及按磋商文件规定提供的有关原件为准，不依靠其他任何外来证明。</w:t>
      </w:r>
    </w:p>
    <w:p>
      <w:pPr>
        <w:widowControl w:val="0"/>
        <w:kinsoku w:val="0"/>
        <w:overflowPunct w:val="0"/>
        <w:autoSpaceDE w:val="0"/>
        <w:autoSpaceDN w:val="0"/>
        <w:adjustRightInd w:val="0"/>
        <w:spacing w:before="57" w:line="440" w:lineRule="exact"/>
        <w:ind w:left="591"/>
        <w:outlineLvl w:val="4"/>
        <w:rPr>
          <w:rFonts w:ascii="宋体" w:hAnsi="宋体" w:eastAsia="Times New Roman" w:cs="Times New Roman"/>
          <w:b/>
          <w:sz w:val="24"/>
          <w:szCs w:val="24"/>
          <w:lang w:val="en-US" w:eastAsia="zh-CN" w:bidi="ar-SA"/>
        </w:rPr>
      </w:pPr>
      <w:r>
        <w:rPr>
          <w:rFonts w:ascii="宋体" w:hAnsi="宋体" w:eastAsia="宋体" w:cs="Times New Roman"/>
          <w:b/>
          <w:sz w:val="24"/>
          <w:szCs w:val="24"/>
          <w:lang w:val="en-US" w:eastAsia="zh-CN" w:bidi="ar-SA"/>
        </w:rPr>
        <w:t>34</w:t>
      </w:r>
      <w:r>
        <w:rPr>
          <w:rFonts w:hint="eastAsia" w:ascii="宋体" w:hAnsi="宋体" w:eastAsia="宋体" w:cs="Times New Roman"/>
          <w:b/>
          <w:sz w:val="24"/>
          <w:szCs w:val="24"/>
          <w:lang w:val="en-US" w:eastAsia="zh-CN" w:bidi="ar-SA"/>
        </w:rPr>
        <w:t>、响应文件计算错误的修正</w:t>
      </w:r>
    </w:p>
    <w:p>
      <w:pPr>
        <w:widowControl w:val="0"/>
        <w:kinsoku w:val="0"/>
        <w:overflowPunct w:val="0"/>
        <w:autoSpaceDE w:val="0"/>
        <w:autoSpaceDN w:val="0"/>
        <w:adjustRightInd w:val="0"/>
        <w:spacing w:line="440" w:lineRule="exact"/>
        <w:ind w:left="111" w:right="110" w:firstLine="480"/>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34.1</w:t>
      </w:r>
      <w:r>
        <w:rPr>
          <w:rFonts w:hint="eastAsia" w:ascii="宋体" w:hAnsi="宋体" w:eastAsia="宋体" w:cs="Times New Roman"/>
          <w:sz w:val="24"/>
          <w:szCs w:val="24"/>
          <w:lang w:val="en-US" w:eastAsia="zh-CN" w:bidi="ar-SA"/>
        </w:rPr>
        <w:t>磋商小组将对确定为实质上响应磋商文件要求的响应文件进行校核</w:t>
      </w:r>
      <w:r>
        <w:rPr>
          <w:rFonts w:hint="eastAsia" w:ascii="宋体" w:hAnsi="宋体" w:eastAsia="宋体" w:cs="Times New Roman"/>
          <w:spacing w:val="-120"/>
          <w:sz w:val="24"/>
          <w:szCs w:val="24"/>
          <w:lang w:val="en-US" w:eastAsia="zh-CN" w:bidi="ar-SA"/>
        </w:rPr>
        <w:t>，</w:t>
      </w:r>
      <w:r>
        <w:rPr>
          <w:rFonts w:hint="eastAsia" w:ascii="宋体" w:hAnsi="宋体" w:eastAsia="宋体" w:cs="Times New Roman"/>
          <w:sz w:val="24"/>
          <w:szCs w:val="24"/>
          <w:lang w:val="en-US" w:eastAsia="zh-CN" w:bidi="ar-SA"/>
        </w:rPr>
        <w:t>看其是否有计算或表达上的错误，修正错误的原则如下：</w:t>
      </w:r>
    </w:p>
    <w:p>
      <w:pPr>
        <w:widowControl w:val="0"/>
        <w:kinsoku w:val="0"/>
        <w:overflowPunct w:val="0"/>
        <w:autoSpaceDE w:val="0"/>
        <w:autoSpaceDN w:val="0"/>
        <w:adjustRightInd w:val="0"/>
        <w:spacing w:before="57" w:line="440" w:lineRule="exact"/>
        <w:ind w:left="111" w:right="110" w:firstLine="480"/>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34.1.1</w:t>
      </w:r>
      <w:r>
        <w:rPr>
          <w:rFonts w:hint="eastAsia" w:ascii="宋体" w:hAnsi="宋体" w:eastAsia="宋体" w:cs="Times New Roman"/>
          <w:sz w:val="24"/>
          <w:szCs w:val="24"/>
          <w:lang w:val="en-US" w:eastAsia="zh-CN" w:bidi="ar-SA"/>
        </w:rPr>
        <w:t>如果数字表示的金额和用文字表示的金额不一致时</w:t>
      </w:r>
      <w:r>
        <w:rPr>
          <w:rFonts w:hint="eastAsia" w:ascii="宋体" w:hAnsi="宋体" w:eastAsia="宋体" w:cs="Times New Roman"/>
          <w:spacing w:val="-120"/>
          <w:sz w:val="24"/>
          <w:szCs w:val="24"/>
          <w:lang w:val="en-US" w:eastAsia="zh-CN" w:bidi="ar-SA"/>
        </w:rPr>
        <w:t>，</w:t>
      </w:r>
      <w:r>
        <w:rPr>
          <w:rFonts w:hint="eastAsia" w:ascii="宋体" w:hAnsi="宋体" w:eastAsia="宋体" w:cs="Times New Roman"/>
          <w:sz w:val="24"/>
          <w:szCs w:val="24"/>
          <w:lang w:val="en-US" w:eastAsia="zh-CN" w:bidi="ar-SA"/>
        </w:rPr>
        <w:t>应以文字表示的金额为准；</w:t>
      </w:r>
    </w:p>
    <w:p>
      <w:pPr>
        <w:widowControl w:val="0"/>
        <w:kinsoku w:val="0"/>
        <w:overflowPunct w:val="0"/>
        <w:autoSpaceDE w:val="0"/>
        <w:autoSpaceDN w:val="0"/>
        <w:adjustRightInd w:val="0"/>
        <w:spacing w:before="56" w:line="440" w:lineRule="exact"/>
        <w:ind w:left="591"/>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34.1.2</w:t>
      </w:r>
      <w:r>
        <w:rPr>
          <w:rFonts w:hint="eastAsia" w:ascii="宋体" w:hAnsi="宋体" w:eastAsia="宋体" w:cs="Times New Roman"/>
          <w:sz w:val="24"/>
          <w:szCs w:val="24"/>
          <w:lang w:val="en-US" w:eastAsia="zh-CN" w:bidi="ar-SA"/>
        </w:rPr>
        <w:t>大写金额和小写金额不一致的，应以大写金额为准；</w:t>
      </w:r>
    </w:p>
    <w:p>
      <w:pPr>
        <w:widowControl w:val="0"/>
        <w:kinsoku w:val="0"/>
        <w:overflowPunct w:val="0"/>
        <w:autoSpaceDE w:val="0"/>
        <w:autoSpaceDN w:val="0"/>
        <w:adjustRightInd w:val="0"/>
        <w:spacing w:line="440" w:lineRule="exact"/>
        <w:ind w:left="111" w:right="112" w:firstLine="480"/>
        <w:jc w:val="both"/>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34.2</w:t>
      </w:r>
      <w:r>
        <w:rPr>
          <w:rFonts w:hint="eastAsia" w:cs="Times New Roman"/>
          <w:sz w:val="24"/>
          <w:szCs w:val="24"/>
          <w:lang w:val="en-US" w:eastAsia="zh-CN" w:bidi="ar-SA"/>
        </w:rPr>
        <w:t xml:space="preserve"> </w:t>
      </w:r>
      <w:r>
        <w:rPr>
          <w:rFonts w:hint="eastAsia" w:ascii="宋体" w:hAnsi="宋体" w:eastAsia="宋体" w:cs="Times New Roman"/>
          <w:sz w:val="24"/>
          <w:szCs w:val="24"/>
          <w:lang w:val="en-US" w:eastAsia="zh-CN" w:bidi="ar-SA"/>
        </w:rPr>
        <w:t>按上述修正错误的原则及方法调整或修正响应文件的磋商报价</w:t>
      </w:r>
      <w:r>
        <w:rPr>
          <w:rFonts w:hint="eastAsia" w:ascii="宋体" w:hAnsi="宋体" w:eastAsia="宋体" w:cs="Times New Roman"/>
          <w:spacing w:val="-120"/>
          <w:sz w:val="24"/>
          <w:szCs w:val="24"/>
          <w:lang w:val="en-US" w:eastAsia="zh-CN" w:bidi="ar-SA"/>
        </w:rPr>
        <w:t>，</w:t>
      </w:r>
      <w:r>
        <w:rPr>
          <w:rFonts w:hint="eastAsia" w:ascii="宋体" w:hAnsi="宋体" w:eastAsia="宋体" w:cs="Times New Roman"/>
          <w:sz w:val="24"/>
          <w:szCs w:val="24"/>
          <w:lang w:val="en-US" w:eastAsia="zh-CN" w:bidi="ar-SA"/>
        </w:rPr>
        <w:t>供应商同意</w:t>
      </w:r>
      <w:r>
        <w:rPr>
          <w:rFonts w:hint="eastAsia" w:ascii="宋体" w:hAnsi="宋体" w:eastAsia="宋体" w:cs="Times New Roman"/>
          <w:spacing w:val="-2"/>
          <w:sz w:val="24"/>
          <w:szCs w:val="24"/>
          <w:lang w:val="en-US" w:eastAsia="zh-CN" w:bidi="ar-SA"/>
        </w:rPr>
        <w:t>后，调整后的磋商报价对供应商起约束作用。如果供应商不接受修正后的报价，则其</w:t>
      </w:r>
      <w:r>
        <w:rPr>
          <w:rFonts w:hint="eastAsia" w:ascii="宋体" w:hAnsi="宋体" w:eastAsia="宋体" w:cs="Times New Roman"/>
          <w:sz w:val="24"/>
          <w:szCs w:val="24"/>
          <w:lang w:val="en-US" w:eastAsia="zh-CN" w:bidi="ar-SA"/>
        </w:rPr>
        <w:t>磋商将被拒绝，并不影响评审工作。</w:t>
      </w:r>
    </w:p>
    <w:p>
      <w:pPr>
        <w:widowControl w:val="0"/>
        <w:kinsoku w:val="0"/>
        <w:overflowPunct w:val="0"/>
        <w:autoSpaceDE w:val="0"/>
        <w:autoSpaceDN w:val="0"/>
        <w:adjustRightInd w:val="0"/>
        <w:spacing w:before="57" w:line="440" w:lineRule="exact"/>
        <w:ind w:left="591"/>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34.3</w:t>
      </w:r>
      <w:r>
        <w:rPr>
          <w:rFonts w:hint="eastAsia" w:cs="Times New Roman"/>
          <w:sz w:val="24"/>
          <w:szCs w:val="24"/>
          <w:lang w:val="en-US" w:eastAsia="zh-CN" w:bidi="ar-SA"/>
        </w:rPr>
        <w:t xml:space="preserve"> </w:t>
      </w:r>
      <w:r>
        <w:rPr>
          <w:rFonts w:hint="eastAsia" w:ascii="宋体" w:hAnsi="宋体" w:eastAsia="宋体" w:cs="Times New Roman"/>
          <w:sz w:val="24"/>
          <w:szCs w:val="24"/>
          <w:lang w:val="en-US" w:eastAsia="zh-CN" w:bidi="ar-SA"/>
        </w:rPr>
        <w:t>对多报的清单子项或报价视为不实质响应磋商文件，按无效标处理。</w:t>
      </w:r>
    </w:p>
    <w:p>
      <w:pPr>
        <w:widowControl w:val="0"/>
        <w:kinsoku w:val="0"/>
        <w:overflowPunct w:val="0"/>
        <w:autoSpaceDE w:val="0"/>
        <w:autoSpaceDN w:val="0"/>
        <w:adjustRightInd w:val="0"/>
        <w:spacing w:line="440" w:lineRule="exact"/>
        <w:ind w:left="591"/>
        <w:rPr>
          <w:rFonts w:ascii="宋体" w:hAnsi="宋体" w:eastAsia="Times New Roman" w:cs="Times New Roman"/>
          <w:sz w:val="24"/>
          <w:szCs w:val="24"/>
          <w:lang w:val="en-US" w:eastAsia="zh-CN" w:bidi="ar-SA"/>
        </w:rPr>
      </w:pPr>
      <w:r>
        <w:rPr>
          <w:rFonts w:ascii="宋体" w:hAnsi="宋体" w:eastAsia="宋体" w:cs="Times New Roman"/>
          <w:b/>
          <w:sz w:val="24"/>
          <w:szCs w:val="24"/>
          <w:lang w:val="en-US" w:eastAsia="zh-CN" w:bidi="ar-SA"/>
        </w:rPr>
        <w:t>35</w:t>
      </w:r>
      <w:r>
        <w:rPr>
          <w:rFonts w:hint="eastAsia" w:ascii="宋体" w:hAnsi="宋体" w:eastAsia="宋体" w:cs="Times New Roman"/>
          <w:b/>
          <w:sz w:val="24"/>
          <w:szCs w:val="24"/>
          <w:lang w:val="en-US" w:eastAsia="zh-CN" w:bidi="ar-SA"/>
        </w:rPr>
        <w:t>、响应文件的评审、比较和否决</w:t>
      </w:r>
    </w:p>
    <w:p>
      <w:pPr>
        <w:widowControl w:val="0"/>
        <w:kinsoku w:val="0"/>
        <w:overflowPunct w:val="0"/>
        <w:autoSpaceDE w:val="0"/>
        <w:autoSpaceDN w:val="0"/>
        <w:adjustRightInd w:val="0"/>
        <w:spacing w:line="440" w:lineRule="exact"/>
        <w:ind w:left="111" w:right="110" w:firstLine="480"/>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35.1</w:t>
      </w:r>
      <w:r>
        <w:rPr>
          <w:rFonts w:hint="eastAsia" w:ascii="宋体" w:hAnsi="宋体" w:eastAsia="宋体" w:cs="Times New Roman"/>
          <w:sz w:val="24"/>
          <w:szCs w:val="24"/>
          <w:lang w:val="en-US" w:eastAsia="zh-CN" w:bidi="ar-SA"/>
        </w:rPr>
        <w:t>磋商小组将按照本须知第</w:t>
      </w:r>
      <w:r>
        <w:rPr>
          <w:rFonts w:ascii="宋体" w:hAnsi="宋体" w:eastAsia="宋体" w:cs="Times New Roman"/>
          <w:sz w:val="24"/>
          <w:szCs w:val="24"/>
          <w:lang w:val="en-US" w:eastAsia="zh-CN" w:bidi="ar-SA"/>
        </w:rPr>
        <w:t>33</w:t>
      </w:r>
      <w:r>
        <w:rPr>
          <w:rFonts w:hint="eastAsia" w:ascii="宋体" w:hAnsi="宋体" w:eastAsia="宋体" w:cs="Times New Roman"/>
          <w:sz w:val="24"/>
          <w:szCs w:val="24"/>
          <w:lang w:val="en-US" w:eastAsia="zh-CN" w:bidi="ar-SA"/>
        </w:rPr>
        <w:t>条规定，仅对在实质上响应磋商文件要求的响应文件进行评估和比较。</w:t>
      </w:r>
    </w:p>
    <w:p>
      <w:pPr>
        <w:widowControl w:val="0"/>
        <w:kinsoku w:val="0"/>
        <w:overflowPunct w:val="0"/>
        <w:autoSpaceDE w:val="0"/>
        <w:autoSpaceDN w:val="0"/>
        <w:adjustRightInd w:val="0"/>
        <w:spacing w:before="60" w:line="440" w:lineRule="exact"/>
        <w:ind w:left="111" w:right="110" w:firstLine="480"/>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35.2</w:t>
      </w:r>
      <w:r>
        <w:rPr>
          <w:rFonts w:hint="eastAsia" w:ascii="宋体" w:hAnsi="宋体" w:eastAsia="宋体" w:cs="Times New Roman"/>
          <w:sz w:val="24"/>
          <w:szCs w:val="24"/>
          <w:lang w:val="en-US" w:eastAsia="zh-CN" w:bidi="ar-SA"/>
        </w:rPr>
        <w:t>在评审过程中</w:t>
      </w:r>
      <w:r>
        <w:rPr>
          <w:rFonts w:hint="eastAsia" w:ascii="宋体" w:hAnsi="宋体" w:eastAsia="宋体" w:cs="Times New Roman"/>
          <w:spacing w:val="-120"/>
          <w:sz w:val="24"/>
          <w:szCs w:val="24"/>
          <w:lang w:val="en-US" w:eastAsia="zh-CN" w:bidi="ar-SA"/>
        </w:rPr>
        <w:t>，</w:t>
      </w:r>
      <w:r>
        <w:rPr>
          <w:rFonts w:hint="eastAsia" w:ascii="宋体" w:hAnsi="宋体" w:eastAsia="宋体" w:cs="Times New Roman"/>
          <w:sz w:val="24"/>
          <w:szCs w:val="24"/>
          <w:lang w:val="en-US" w:eastAsia="zh-CN" w:bidi="ar-SA"/>
        </w:rPr>
        <w:t>磋商小组可以书面形式要求供应商就响应文件中含义不明确的内容进行书面说明并提供相关材料。</w:t>
      </w:r>
    </w:p>
    <w:p>
      <w:pPr>
        <w:widowControl w:val="0"/>
        <w:kinsoku w:val="0"/>
        <w:overflowPunct w:val="0"/>
        <w:autoSpaceDE w:val="0"/>
        <w:autoSpaceDN w:val="0"/>
        <w:adjustRightInd w:val="0"/>
        <w:spacing w:before="57" w:line="440" w:lineRule="exact"/>
        <w:ind w:left="591"/>
        <w:rPr>
          <w:rFonts w:hint="eastAsia" w:ascii="宋体" w:hAnsi="宋体" w:eastAsia="宋体" w:cs="Times New Roman"/>
          <w:spacing w:val="4"/>
          <w:sz w:val="24"/>
          <w:szCs w:val="24"/>
          <w:lang w:val="en-US" w:eastAsia="zh-CN" w:bidi="ar-SA"/>
        </w:rPr>
      </w:pPr>
      <w:r>
        <w:rPr>
          <w:rFonts w:ascii="宋体" w:hAnsi="宋体" w:eastAsia="宋体" w:cs="Times New Roman"/>
          <w:sz w:val="24"/>
          <w:szCs w:val="24"/>
          <w:lang w:val="en-US" w:eastAsia="zh-CN" w:bidi="ar-SA"/>
        </w:rPr>
        <w:t>35.3</w:t>
      </w:r>
      <w:r>
        <w:rPr>
          <w:rFonts w:hint="eastAsia" w:ascii="宋体" w:hAnsi="宋体" w:eastAsia="宋体" w:cs="Times New Roman"/>
          <w:sz w:val="24"/>
          <w:szCs w:val="24"/>
          <w:lang w:val="en-US" w:eastAsia="zh-CN" w:bidi="ar-SA"/>
        </w:rPr>
        <w:t>磋商开始，磋商小组成员与供应商磋商各项内容：</w:t>
      </w:r>
      <w:r>
        <w:rPr>
          <w:rFonts w:hint="eastAsia" w:ascii="宋体" w:hAnsi="宋体" w:eastAsia="宋体" w:cs="Times New Roman"/>
          <w:spacing w:val="4"/>
          <w:sz w:val="24"/>
          <w:szCs w:val="24"/>
          <w:lang w:val="en-US" w:eastAsia="zh-CN" w:bidi="ar-SA"/>
        </w:rPr>
        <w:t>磋商小组所有成员集中与单一</w:t>
      </w:r>
    </w:p>
    <w:p>
      <w:pPr>
        <w:widowControl w:val="0"/>
        <w:kinsoku w:val="0"/>
        <w:overflowPunct w:val="0"/>
        <w:autoSpaceDE w:val="0"/>
        <w:autoSpaceDN w:val="0"/>
        <w:adjustRightInd w:val="0"/>
        <w:spacing w:before="57" w:line="440" w:lineRule="exact"/>
        <w:rPr>
          <w:rFonts w:ascii="宋体" w:hAnsi="宋体" w:eastAsia="Times New Roman" w:cs="Times New Roman"/>
          <w:sz w:val="24"/>
          <w:szCs w:val="24"/>
          <w:lang w:val="en-US" w:eastAsia="zh-CN" w:bidi="ar-SA"/>
        </w:rPr>
      </w:pPr>
      <w:r>
        <w:rPr>
          <w:rFonts w:hint="eastAsia" w:ascii="宋体" w:hAnsi="宋体" w:eastAsia="宋体" w:cs="Times New Roman"/>
          <w:spacing w:val="4"/>
          <w:sz w:val="24"/>
          <w:szCs w:val="24"/>
          <w:lang w:val="en-US" w:eastAsia="zh-CN" w:bidi="ar-SA"/>
        </w:rPr>
        <w:t>供应商分别进行磋商。磋商小组根据供应商的报</w:t>
      </w:r>
      <w:r>
        <w:rPr>
          <w:rFonts w:hint="eastAsia" w:ascii="宋体" w:hAnsi="宋体" w:eastAsia="宋体" w:cs="Times New Roman"/>
          <w:sz w:val="24"/>
          <w:szCs w:val="24"/>
          <w:lang w:val="en-US" w:eastAsia="zh-CN" w:bidi="ar-SA"/>
        </w:rPr>
        <w:t>价、响应内容及磋商的情况，给予每个正在参加磋商的供应商相同的机会。</w:t>
      </w:r>
    </w:p>
    <w:p>
      <w:pPr>
        <w:widowControl w:val="0"/>
        <w:kinsoku w:val="0"/>
        <w:overflowPunct w:val="0"/>
        <w:autoSpaceDE w:val="0"/>
        <w:autoSpaceDN w:val="0"/>
        <w:adjustRightInd w:val="0"/>
        <w:spacing w:line="440" w:lineRule="exact"/>
        <w:ind w:left="111" w:right="110" w:firstLine="480"/>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 xml:space="preserve">35.3.1 </w:t>
      </w:r>
      <w:r>
        <w:rPr>
          <w:rFonts w:hint="eastAsia" w:ascii="宋体" w:hAnsi="宋体" w:eastAsia="宋体" w:cs="Times New Roman"/>
          <w:spacing w:val="1"/>
          <w:sz w:val="24"/>
          <w:szCs w:val="24"/>
          <w:lang w:val="en-US" w:eastAsia="zh-CN" w:bidi="ar-SA"/>
        </w:rPr>
        <w:t>在磋商过程中，磋商小组可以根据磋商文件和磋商情况变动采购需求中</w:t>
      </w:r>
      <w:r>
        <w:rPr>
          <w:rFonts w:hint="eastAsia" w:ascii="宋体" w:hAnsi="宋体" w:eastAsia="宋体" w:cs="Times New Roman"/>
          <w:sz w:val="24"/>
          <w:szCs w:val="24"/>
          <w:lang w:val="en-US" w:eastAsia="zh-CN" w:bidi="ar-SA"/>
        </w:rPr>
        <w:t>的技术、商务要求以及合同草案条款，实质性变动的内容，须经采购人代表确认。</w:t>
      </w:r>
    </w:p>
    <w:p>
      <w:pPr>
        <w:widowControl w:val="0"/>
        <w:kinsoku w:val="0"/>
        <w:overflowPunct w:val="0"/>
        <w:autoSpaceDE w:val="0"/>
        <w:autoSpaceDN w:val="0"/>
        <w:adjustRightInd w:val="0"/>
        <w:spacing w:before="56" w:line="440" w:lineRule="exact"/>
        <w:ind w:left="111" w:right="110" w:firstLine="480"/>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 xml:space="preserve">35.3.2 </w:t>
      </w:r>
      <w:r>
        <w:rPr>
          <w:rFonts w:hint="eastAsia" w:ascii="宋体" w:hAnsi="宋体" w:eastAsia="宋体" w:cs="Times New Roman"/>
          <w:spacing w:val="1"/>
          <w:sz w:val="24"/>
          <w:szCs w:val="24"/>
          <w:lang w:val="en-US" w:eastAsia="zh-CN" w:bidi="ar-SA"/>
        </w:rPr>
        <w:t>对磋商文件作出的实质性变动是磋商文件的有效组成部分，磋商小组应</w:t>
      </w:r>
      <w:r>
        <w:rPr>
          <w:rFonts w:hint="eastAsia" w:ascii="宋体" w:hAnsi="宋体" w:eastAsia="宋体" w:cs="Times New Roman"/>
          <w:sz w:val="24"/>
          <w:szCs w:val="24"/>
          <w:lang w:val="en-US" w:eastAsia="zh-CN" w:bidi="ar-SA"/>
        </w:rPr>
        <w:t>当及时以书面形式同时通知所有参加磋商的供应商。</w:t>
      </w:r>
    </w:p>
    <w:p>
      <w:pPr>
        <w:pStyle w:val="10"/>
        <w:kinsoku w:val="0"/>
        <w:overflowPunct w:val="0"/>
        <w:spacing w:line="440" w:lineRule="exact"/>
        <w:ind w:left="111" w:right="110" w:firstLine="480"/>
        <w:rPr>
          <w:rFonts w:ascii="宋体" w:hAnsi="宋体" w:eastAsia="Times New Roman" w:cs="Times New Roman"/>
          <w:color w:val="FF0000"/>
          <w:sz w:val="24"/>
          <w:szCs w:val="24"/>
          <w:lang w:val="en-US" w:eastAsia="zh-CN" w:bidi="ar-SA"/>
        </w:rPr>
      </w:pPr>
      <w:r>
        <w:rPr>
          <w:rFonts w:ascii="宋体" w:hAnsi="宋体" w:eastAsia="宋体" w:cs="Times New Roman"/>
          <w:sz w:val="24"/>
          <w:szCs w:val="24"/>
          <w:lang w:val="en-US" w:eastAsia="zh-CN" w:bidi="ar-SA"/>
        </w:rPr>
        <w:t>35.3.3</w:t>
      </w:r>
      <w:r>
        <w:rPr>
          <w:rFonts w:ascii="宋体" w:hAnsi="宋体" w:eastAsia="宋体" w:cs="Times New Roman"/>
          <w:color w:val="FF0000"/>
          <w:sz w:val="24"/>
          <w:szCs w:val="24"/>
          <w:lang w:val="en-US" w:eastAsia="zh-CN" w:bidi="ar-SA"/>
        </w:rPr>
        <w:t xml:space="preserve"> </w:t>
      </w:r>
      <w:r>
        <w:rPr>
          <w:rFonts w:hint="eastAsia"/>
        </w:rPr>
        <w:t>供应商按照磋商文件实质性变动情况和磋商小组的要求重新提交响应文件，并由其全权代表签章。</w:t>
      </w:r>
    </w:p>
    <w:p>
      <w:pPr>
        <w:widowControl w:val="0"/>
        <w:kinsoku w:val="0"/>
        <w:overflowPunct w:val="0"/>
        <w:autoSpaceDE w:val="0"/>
        <w:autoSpaceDN w:val="0"/>
        <w:adjustRightInd w:val="0"/>
        <w:spacing w:before="56" w:line="440" w:lineRule="exact"/>
        <w:ind w:left="111" w:right="110" w:firstLine="480"/>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 xml:space="preserve">35.3.4 </w:t>
      </w:r>
      <w:r>
        <w:rPr>
          <w:rFonts w:hint="eastAsia" w:ascii="宋体" w:hAnsi="宋体" w:eastAsia="宋体" w:cs="Times New Roman"/>
          <w:sz w:val="24"/>
          <w:szCs w:val="24"/>
          <w:lang w:val="en-US" w:eastAsia="zh-CN" w:bidi="ar-SA"/>
        </w:rPr>
        <w:t>磋商结束后，参加磋商的供应商应当对磋商达成的意向，以书面形式由全权代表签字确认后提交。</w:t>
      </w:r>
    </w:p>
    <w:p>
      <w:pPr>
        <w:widowControl w:val="0"/>
        <w:kinsoku w:val="0"/>
        <w:overflowPunct w:val="0"/>
        <w:autoSpaceDE w:val="0"/>
        <w:autoSpaceDN w:val="0"/>
        <w:adjustRightInd w:val="0"/>
        <w:spacing w:before="56" w:line="440" w:lineRule="exact"/>
        <w:ind w:left="111" w:right="110" w:firstLine="480"/>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 xml:space="preserve">35.4 </w:t>
      </w:r>
      <w:r>
        <w:rPr>
          <w:rFonts w:hint="eastAsia" w:ascii="宋体" w:hAnsi="宋体" w:eastAsia="宋体" w:cs="Times New Roman"/>
          <w:sz w:val="24"/>
          <w:szCs w:val="24"/>
          <w:lang w:val="en-US" w:eastAsia="zh-CN" w:bidi="ar-SA"/>
        </w:rPr>
        <w:t>磋商小组依据本须知</w:t>
      </w:r>
      <w:r>
        <w:rPr>
          <w:rFonts w:ascii="宋体" w:hAnsi="宋体" w:eastAsia="宋体" w:cs="Times New Roman"/>
          <w:sz w:val="24"/>
          <w:szCs w:val="24"/>
          <w:lang w:val="en-US" w:eastAsia="zh-CN" w:bidi="ar-SA"/>
        </w:rPr>
        <w:t>35.5</w:t>
      </w:r>
      <w:r>
        <w:rPr>
          <w:rFonts w:hint="eastAsia" w:ascii="宋体" w:hAnsi="宋体" w:eastAsia="宋体" w:cs="Times New Roman"/>
          <w:sz w:val="24"/>
          <w:szCs w:val="24"/>
          <w:lang w:val="en-US" w:eastAsia="zh-CN" w:bidi="ar-SA"/>
        </w:rPr>
        <w:t>条规定的评审标准和方法，对实质性响应采购文件的供应商进行评审和比较，向采购人提出书面的评审报告，并推荐合格的成交候选人。采购人根据磋商小组提出的书面评审报告和推荐的成交候选人确定中标人，也可以授权磋商小组直接确定中标人。</w:t>
      </w:r>
    </w:p>
    <w:p>
      <w:pPr>
        <w:widowControl w:val="0"/>
        <w:kinsoku w:val="0"/>
        <w:overflowPunct w:val="0"/>
        <w:autoSpaceDE w:val="0"/>
        <w:autoSpaceDN w:val="0"/>
        <w:adjustRightInd w:val="0"/>
        <w:spacing w:before="57" w:line="440" w:lineRule="exact"/>
        <w:ind w:left="591"/>
        <w:rPr>
          <w:rFonts w:ascii="宋体" w:hAnsi="宋体" w:eastAsia="Times New Roman" w:cs="Times New Roman"/>
          <w:b/>
          <w:sz w:val="24"/>
          <w:szCs w:val="24"/>
          <w:lang w:val="en-US" w:eastAsia="zh-CN" w:bidi="ar-SA"/>
        </w:rPr>
      </w:pPr>
      <w:r>
        <w:rPr>
          <w:rFonts w:ascii="宋体" w:hAnsi="宋体" w:eastAsia="宋体" w:cs="Times New Roman"/>
          <w:sz w:val="24"/>
          <w:szCs w:val="24"/>
          <w:lang w:val="en-US" w:eastAsia="zh-CN" w:bidi="ar-SA"/>
        </w:rPr>
        <w:t xml:space="preserve">35.5 </w:t>
      </w:r>
      <w:r>
        <w:rPr>
          <w:rFonts w:hint="eastAsia" w:ascii="宋体" w:hAnsi="宋体" w:eastAsia="宋体" w:cs="Times New Roman"/>
          <w:sz w:val="24"/>
          <w:szCs w:val="24"/>
          <w:lang w:val="en-US" w:eastAsia="zh-CN" w:bidi="ar-SA"/>
        </w:rPr>
        <w:t>评审方法及标准</w:t>
      </w:r>
    </w:p>
    <w:p>
      <w:pPr>
        <w:widowControl w:val="0"/>
        <w:kinsoku w:val="0"/>
        <w:overflowPunct w:val="0"/>
        <w:autoSpaceDE w:val="0"/>
        <w:autoSpaceDN w:val="0"/>
        <w:adjustRightInd w:val="0"/>
        <w:spacing w:line="440" w:lineRule="exact"/>
        <w:ind w:left="111" w:right="172" w:firstLine="480"/>
        <w:jc w:val="both"/>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35.5.1</w:t>
      </w:r>
      <w:r>
        <w:rPr>
          <w:rFonts w:hint="eastAsia" w:ascii="宋体" w:hAnsi="宋体" w:eastAsia="宋体" w:cs="Times New Roman"/>
          <w:sz w:val="24"/>
          <w:szCs w:val="24"/>
          <w:lang w:val="en-US" w:eastAsia="zh-CN" w:bidi="ar-SA"/>
        </w:rPr>
        <w:t>本次评审采用综合评估法：具体详见“第</w:t>
      </w:r>
      <w:r>
        <w:rPr>
          <w:rFonts w:hint="eastAsia" w:cs="Times New Roman"/>
          <w:sz w:val="24"/>
          <w:szCs w:val="24"/>
          <w:lang w:val="en-US" w:eastAsia="zh-CN" w:bidi="ar-SA"/>
        </w:rPr>
        <w:t>八</w:t>
      </w:r>
      <w:r>
        <w:rPr>
          <w:rFonts w:hint="eastAsia" w:ascii="宋体" w:hAnsi="宋体" w:eastAsia="宋体" w:cs="Times New Roman"/>
          <w:sz w:val="24"/>
          <w:szCs w:val="24"/>
          <w:lang w:val="en-US" w:eastAsia="zh-CN" w:bidi="ar-SA"/>
        </w:rPr>
        <w:t>章评标方法及标准”。</w:t>
      </w:r>
    </w:p>
    <w:p>
      <w:pPr>
        <w:widowControl w:val="0"/>
        <w:kinsoku w:val="0"/>
        <w:overflowPunct w:val="0"/>
        <w:autoSpaceDE w:val="0"/>
        <w:autoSpaceDN w:val="0"/>
        <w:adjustRightInd w:val="0"/>
        <w:spacing w:line="440" w:lineRule="exact"/>
        <w:ind w:left="111" w:right="172" w:firstLine="480"/>
        <w:jc w:val="both"/>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35.6</w:t>
      </w:r>
      <w:r>
        <w:rPr>
          <w:rFonts w:hint="eastAsia" w:cs="Times New Roman"/>
          <w:sz w:val="24"/>
          <w:szCs w:val="24"/>
          <w:lang w:val="en-US" w:eastAsia="zh-CN" w:bidi="ar-SA"/>
        </w:rPr>
        <w:t xml:space="preserve"> </w:t>
      </w:r>
      <w:r>
        <w:rPr>
          <w:rFonts w:hint="eastAsia" w:ascii="宋体" w:hAnsi="宋体" w:eastAsia="宋体" w:cs="Times New Roman"/>
          <w:sz w:val="24"/>
          <w:szCs w:val="24"/>
          <w:lang w:val="en-US" w:eastAsia="zh-CN" w:bidi="ar-SA"/>
        </w:rPr>
        <w:t>磋商小组经评审</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认为所有磋商都不符合磋商文件要求的</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可以否决所有报价。所有报价被否决后，采购人应当依法重新磋商。</w:t>
      </w:r>
    </w:p>
    <w:p>
      <w:pPr>
        <w:widowControl w:val="0"/>
        <w:kinsoku w:val="0"/>
        <w:overflowPunct w:val="0"/>
        <w:autoSpaceDE w:val="0"/>
        <w:autoSpaceDN w:val="0"/>
        <w:adjustRightInd w:val="0"/>
        <w:spacing w:before="0"/>
        <w:ind w:left="0" w:right="56"/>
        <w:jc w:val="center"/>
        <w:outlineLvl w:val="4"/>
        <w:rPr>
          <w:rFonts w:ascii="宋体" w:hAnsi="宋体" w:eastAsia="Times New Roman" w:cs="Times New Roman"/>
          <w:b/>
          <w:sz w:val="24"/>
          <w:szCs w:val="24"/>
          <w:lang w:val="en-US" w:eastAsia="zh-CN" w:bidi="ar-SA"/>
        </w:rPr>
      </w:pPr>
    </w:p>
    <w:p>
      <w:pPr>
        <w:widowControl w:val="0"/>
        <w:kinsoku w:val="0"/>
        <w:overflowPunct w:val="0"/>
        <w:autoSpaceDE w:val="0"/>
        <w:autoSpaceDN w:val="0"/>
        <w:adjustRightInd w:val="0"/>
        <w:spacing w:before="0"/>
        <w:ind w:left="0" w:right="56"/>
        <w:outlineLvl w:val="4"/>
        <w:rPr>
          <w:rFonts w:ascii="宋体" w:hAnsi="宋体" w:eastAsia="宋体" w:cs="Times New Roman"/>
          <w:b/>
          <w:sz w:val="24"/>
          <w:szCs w:val="24"/>
          <w:lang w:val="en-US" w:eastAsia="zh-CN" w:bidi="ar-SA"/>
        </w:rPr>
      </w:pPr>
    </w:p>
    <w:p>
      <w:pPr>
        <w:widowControl w:val="0"/>
        <w:kinsoku w:val="0"/>
        <w:overflowPunct w:val="0"/>
        <w:autoSpaceDE w:val="0"/>
        <w:autoSpaceDN w:val="0"/>
        <w:adjustRightInd w:val="0"/>
        <w:spacing w:before="0"/>
        <w:ind w:left="0" w:right="56"/>
        <w:outlineLvl w:val="4"/>
        <w:rPr>
          <w:rFonts w:ascii="宋体" w:hAnsi="宋体" w:eastAsia="宋体" w:cs="Times New Roman"/>
          <w:b/>
          <w:sz w:val="24"/>
          <w:szCs w:val="24"/>
          <w:lang w:val="en-US" w:eastAsia="zh-CN" w:bidi="ar-SA"/>
        </w:rPr>
      </w:pPr>
    </w:p>
    <w:p>
      <w:pPr>
        <w:widowControl w:val="0"/>
        <w:kinsoku w:val="0"/>
        <w:overflowPunct w:val="0"/>
        <w:autoSpaceDE w:val="0"/>
        <w:autoSpaceDN w:val="0"/>
        <w:adjustRightInd w:val="0"/>
        <w:spacing w:before="0"/>
        <w:ind w:left="0" w:right="56"/>
        <w:jc w:val="center"/>
        <w:outlineLvl w:val="4"/>
        <w:rPr>
          <w:rFonts w:ascii="宋体" w:hAnsi="宋体" w:eastAsia="Times New Roman" w:cs="Times New Roman"/>
          <w:b w:val="0"/>
          <w:sz w:val="24"/>
          <w:szCs w:val="24"/>
          <w:lang w:val="en-US" w:eastAsia="zh-CN" w:bidi="ar-SA"/>
        </w:rPr>
      </w:pPr>
      <w:r>
        <w:rPr>
          <w:rFonts w:hint="eastAsia" w:ascii="宋体" w:hAnsi="宋体" w:eastAsia="宋体" w:cs="Times New Roman"/>
          <w:b/>
          <w:sz w:val="24"/>
          <w:szCs w:val="24"/>
          <w:lang w:val="en-US" w:eastAsia="zh-CN" w:bidi="ar-SA"/>
        </w:rPr>
        <w:t>（七）合同的授予</w:t>
      </w:r>
    </w:p>
    <w:p>
      <w:pPr>
        <w:widowControl w:val="0"/>
        <w:kinsoku w:val="0"/>
        <w:overflowPunct w:val="0"/>
        <w:autoSpaceDE w:val="0"/>
        <w:autoSpaceDN w:val="0"/>
        <w:adjustRightInd w:val="0"/>
        <w:spacing w:before="10"/>
        <w:ind w:left="0"/>
        <w:rPr>
          <w:rFonts w:ascii="宋体" w:hAnsi="宋体" w:eastAsia="Times New Roman" w:cs="Times New Roman"/>
          <w:b/>
          <w:sz w:val="18"/>
          <w:szCs w:val="24"/>
          <w:lang w:val="en-US" w:eastAsia="zh-CN" w:bidi="ar-SA"/>
        </w:rPr>
      </w:pPr>
    </w:p>
    <w:p>
      <w:pPr>
        <w:widowControl w:val="0"/>
        <w:kinsoku w:val="0"/>
        <w:overflowPunct w:val="0"/>
        <w:autoSpaceDE w:val="0"/>
        <w:autoSpaceDN w:val="0"/>
        <w:adjustRightInd w:val="0"/>
        <w:spacing w:line="440" w:lineRule="exact"/>
        <w:ind w:left="591"/>
        <w:rPr>
          <w:rFonts w:ascii="宋体" w:hAnsi="宋体" w:eastAsia="Times New Roman" w:cs="Times New Roman"/>
          <w:b/>
          <w:sz w:val="24"/>
          <w:szCs w:val="24"/>
          <w:lang w:val="en-US" w:eastAsia="zh-CN" w:bidi="ar-SA"/>
        </w:rPr>
      </w:pPr>
      <w:r>
        <w:rPr>
          <w:rFonts w:ascii="宋体" w:hAnsi="宋体" w:eastAsia="宋体" w:cs="Times New Roman"/>
          <w:b/>
          <w:sz w:val="24"/>
          <w:szCs w:val="24"/>
          <w:lang w:val="en-US" w:eastAsia="zh-CN" w:bidi="ar-SA"/>
        </w:rPr>
        <w:t>36</w:t>
      </w:r>
      <w:r>
        <w:rPr>
          <w:rFonts w:hint="eastAsia" w:ascii="宋体" w:hAnsi="宋体" w:eastAsia="宋体" w:cs="Times New Roman"/>
          <w:b/>
          <w:sz w:val="24"/>
          <w:szCs w:val="24"/>
          <w:lang w:val="en-US" w:eastAsia="zh-CN" w:bidi="ar-SA"/>
        </w:rPr>
        <w:t>、合同授予标准</w:t>
      </w:r>
    </w:p>
    <w:p>
      <w:pPr>
        <w:widowControl w:val="0"/>
        <w:kinsoku w:val="0"/>
        <w:overflowPunct w:val="0"/>
        <w:autoSpaceDE w:val="0"/>
        <w:autoSpaceDN w:val="0"/>
        <w:adjustRightInd w:val="0"/>
        <w:spacing w:line="440" w:lineRule="exact"/>
        <w:ind w:left="591"/>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36.1</w:t>
      </w:r>
      <w:r>
        <w:rPr>
          <w:rFonts w:hint="eastAsia" w:ascii="宋体" w:hAnsi="宋体" w:eastAsia="宋体" w:cs="Times New Roman"/>
          <w:sz w:val="24"/>
          <w:szCs w:val="24"/>
          <w:lang w:val="en-US" w:eastAsia="zh-CN" w:bidi="ar-SA"/>
        </w:rPr>
        <w:t>本磋商工程的施工合同将授予按本须知第</w:t>
      </w:r>
      <w:r>
        <w:rPr>
          <w:rFonts w:ascii="宋体" w:hAnsi="宋体" w:eastAsia="宋体" w:cs="Times New Roman"/>
          <w:sz w:val="24"/>
          <w:szCs w:val="24"/>
          <w:lang w:val="en-US" w:eastAsia="zh-CN" w:bidi="ar-SA"/>
        </w:rPr>
        <w:t>35.5.1</w:t>
      </w:r>
      <w:r>
        <w:rPr>
          <w:rFonts w:hint="eastAsia" w:ascii="宋体" w:hAnsi="宋体" w:eastAsia="宋体" w:cs="Times New Roman"/>
          <w:sz w:val="24"/>
          <w:szCs w:val="24"/>
          <w:lang w:val="en-US" w:eastAsia="zh-CN" w:bidi="ar-SA"/>
        </w:rPr>
        <w:t>款所确定的中标人。</w:t>
      </w:r>
    </w:p>
    <w:p>
      <w:pPr>
        <w:widowControl w:val="0"/>
        <w:kinsoku w:val="0"/>
        <w:overflowPunct w:val="0"/>
        <w:autoSpaceDE w:val="0"/>
        <w:autoSpaceDN w:val="0"/>
        <w:adjustRightInd w:val="0"/>
        <w:spacing w:before="0" w:line="440" w:lineRule="exact"/>
        <w:ind w:left="591"/>
        <w:outlineLvl w:val="4"/>
        <w:rPr>
          <w:rFonts w:ascii="宋体" w:hAnsi="宋体" w:eastAsia="Times New Roman" w:cs="Times New Roman"/>
          <w:b/>
          <w:sz w:val="24"/>
          <w:szCs w:val="24"/>
          <w:lang w:val="en-US" w:eastAsia="zh-CN" w:bidi="ar-SA"/>
        </w:rPr>
      </w:pPr>
      <w:r>
        <w:rPr>
          <w:rFonts w:ascii="宋体" w:hAnsi="宋体" w:eastAsia="宋体" w:cs="Times New Roman"/>
          <w:b/>
          <w:sz w:val="24"/>
          <w:szCs w:val="24"/>
          <w:lang w:val="en-US" w:eastAsia="zh-CN" w:bidi="ar-SA"/>
        </w:rPr>
        <w:t>37</w:t>
      </w:r>
      <w:r>
        <w:rPr>
          <w:rFonts w:hint="eastAsia" w:ascii="宋体" w:hAnsi="宋体" w:eastAsia="宋体" w:cs="Times New Roman"/>
          <w:b/>
          <w:sz w:val="24"/>
          <w:szCs w:val="24"/>
          <w:lang w:val="en-US" w:eastAsia="zh-CN" w:bidi="ar-SA"/>
        </w:rPr>
        <w:t>、采购人拒绝磋商的权力</w:t>
      </w:r>
    </w:p>
    <w:p>
      <w:pPr>
        <w:widowControl w:val="0"/>
        <w:kinsoku w:val="0"/>
        <w:overflowPunct w:val="0"/>
        <w:autoSpaceDE w:val="0"/>
        <w:autoSpaceDN w:val="0"/>
        <w:adjustRightInd w:val="0"/>
        <w:spacing w:line="440" w:lineRule="exact"/>
        <w:ind w:left="111" w:right="172" w:firstLine="480"/>
        <w:jc w:val="both"/>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37.1</w:t>
      </w:r>
      <w:r>
        <w:rPr>
          <w:rFonts w:hint="eastAsia" w:ascii="宋体" w:hAnsi="宋体" w:eastAsia="宋体" w:cs="Times New Roman"/>
          <w:sz w:val="24"/>
          <w:szCs w:val="24"/>
          <w:lang w:val="en-US" w:eastAsia="zh-CN" w:bidi="ar-SA"/>
        </w:rPr>
        <w:t>采购人在发出成交通知书前</w:t>
      </w:r>
      <w:r>
        <w:rPr>
          <w:rFonts w:hint="eastAsia" w:ascii="宋体" w:hAnsi="宋体" w:eastAsia="宋体" w:cs="Times New Roman"/>
          <w:spacing w:val="-120"/>
          <w:sz w:val="24"/>
          <w:szCs w:val="24"/>
          <w:lang w:val="en-US" w:eastAsia="zh-CN" w:bidi="ar-SA"/>
        </w:rPr>
        <w:t>，</w:t>
      </w:r>
      <w:r>
        <w:rPr>
          <w:rFonts w:hint="eastAsia" w:ascii="宋体" w:hAnsi="宋体" w:eastAsia="宋体" w:cs="Times New Roman"/>
          <w:sz w:val="24"/>
          <w:szCs w:val="24"/>
          <w:lang w:val="en-US" w:eastAsia="zh-CN" w:bidi="ar-SA"/>
        </w:rPr>
        <w:t>有权依据磋商小组的评审报告拒绝不合格的报价。</w:t>
      </w:r>
    </w:p>
    <w:p>
      <w:pPr>
        <w:widowControl w:val="0"/>
        <w:kinsoku w:val="0"/>
        <w:overflowPunct w:val="0"/>
        <w:autoSpaceDE w:val="0"/>
        <w:autoSpaceDN w:val="0"/>
        <w:adjustRightInd w:val="0"/>
        <w:spacing w:before="56" w:line="440" w:lineRule="exact"/>
        <w:ind w:left="591"/>
        <w:outlineLvl w:val="4"/>
        <w:rPr>
          <w:rFonts w:ascii="宋体" w:hAnsi="宋体" w:eastAsia="宋体" w:cs="Times New Roman"/>
          <w:b/>
          <w:sz w:val="24"/>
          <w:szCs w:val="24"/>
          <w:lang w:val="en-US" w:eastAsia="zh-CN" w:bidi="ar-SA"/>
        </w:rPr>
      </w:pPr>
      <w:r>
        <w:rPr>
          <w:rFonts w:ascii="宋体" w:hAnsi="宋体" w:eastAsia="宋体" w:cs="Times New Roman"/>
          <w:b/>
          <w:sz w:val="24"/>
          <w:szCs w:val="24"/>
          <w:lang w:val="en-US" w:eastAsia="zh-CN" w:bidi="ar-SA"/>
        </w:rPr>
        <w:t>38</w:t>
      </w:r>
      <w:r>
        <w:rPr>
          <w:rFonts w:hint="eastAsia" w:ascii="宋体" w:hAnsi="宋体" w:eastAsia="宋体" w:cs="Times New Roman"/>
          <w:b/>
          <w:sz w:val="24"/>
          <w:szCs w:val="24"/>
          <w:lang w:val="en-US" w:eastAsia="zh-CN" w:bidi="ar-SA"/>
        </w:rPr>
        <w:t>、成交信息的公布</w:t>
      </w:r>
    </w:p>
    <w:p>
      <w:pPr>
        <w:adjustRightInd w:val="0"/>
        <w:spacing w:line="440" w:lineRule="exact"/>
        <w:ind w:firstLine="480" w:firstLineChars="200"/>
        <w:outlineLvl w:val="0"/>
        <w:rPr>
          <w:rFonts w:ascii="Times New Roman" w:hAnsi="宋体" w:cs="Times New Roman"/>
          <w:sz w:val="24"/>
          <w:szCs w:val="24"/>
          <w:lang w:val="en-US" w:bidi="ar-SA"/>
        </w:rPr>
      </w:pPr>
      <w:r>
        <w:rPr>
          <w:rFonts w:ascii="宋体" w:hAnsi="宋体" w:cs="Times New Roman"/>
          <w:sz w:val="24"/>
          <w:szCs w:val="24"/>
          <w:lang w:val="en-US" w:bidi="ar-SA"/>
        </w:rPr>
        <w:t>38.1</w:t>
      </w:r>
      <w:r>
        <w:rPr>
          <w:rFonts w:hint="eastAsia" w:cs="Times New Roman"/>
          <w:sz w:val="24"/>
          <w:szCs w:val="24"/>
          <w:lang w:val="en-US" w:eastAsia="zh-CN" w:bidi="ar-SA"/>
        </w:rPr>
        <w:t xml:space="preserve"> </w:t>
      </w:r>
      <w:r>
        <w:rPr>
          <w:rFonts w:hint="eastAsia" w:ascii="Times New Roman" w:hAnsi="宋体" w:cs="Times New Roman"/>
          <w:sz w:val="24"/>
          <w:szCs w:val="24"/>
          <w:lang w:val="en-US" w:bidi="ar-SA"/>
        </w:rPr>
        <w:t>确定成交供应商后，由采购代理机构将中标结果在省级以上财政部门指定的信息发布媒体上公告</w:t>
      </w:r>
      <w:r>
        <w:rPr>
          <w:rFonts w:ascii="Times New Roman" w:hAnsi="宋体" w:cs="Times New Roman"/>
          <w:sz w:val="24"/>
          <w:szCs w:val="24"/>
          <w:lang w:val="en-US" w:bidi="ar-SA"/>
        </w:rPr>
        <w:t>1</w:t>
      </w:r>
      <w:r>
        <w:rPr>
          <w:rFonts w:hint="eastAsia" w:ascii="Times New Roman" w:hAnsi="宋体" w:cs="Times New Roman"/>
          <w:sz w:val="24"/>
          <w:szCs w:val="24"/>
          <w:lang w:val="en-US" w:bidi="ar-SA"/>
        </w:rPr>
        <w:t>个工作日，在公告中标结果的同时，采购代理机构向中标供应商发出《成交通知书》。成交通知书对采购人和成交供应商具有同等法律效力。</w:t>
      </w:r>
    </w:p>
    <w:p>
      <w:pPr>
        <w:adjustRightInd w:val="0"/>
        <w:spacing w:line="440" w:lineRule="exact"/>
        <w:ind w:firstLine="480" w:firstLineChars="200"/>
        <w:outlineLvl w:val="0"/>
        <w:rPr>
          <w:rFonts w:ascii="Times New Roman" w:hAnsi="Times New Roman" w:eastAsia="Times New Roman" w:cs="Times New Roman"/>
          <w:sz w:val="24"/>
          <w:szCs w:val="24"/>
          <w:lang w:val="zh-CN" w:bidi="ar-SA"/>
        </w:rPr>
      </w:pPr>
      <w:r>
        <w:rPr>
          <w:rFonts w:ascii="宋体" w:hAnsi="宋体" w:cs="Times New Roman"/>
          <w:sz w:val="24"/>
          <w:szCs w:val="24"/>
          <w:lang w:val="en-US" w:bidi="ar-SA"/>
        </w:rPr>
        <w:t xml:space="preserve">38.2 </w:t>
      </w:r>
      <w:r>
        <w:rPr>
          <w:rFonts w:hint="eastAsia" w:ascii="宋体" w:hAnsi="宋体" w:cs="Times New Roman"/>
          <w:sz w:val="24"/>
          <w:szCs w:val="24"/>
          <w:lang w:val="en-US" w:bidi="ar-SA"/>
        </w:rPr>
        <w:t>供应商对中标公告有异议的，应当在中标公告发布之日起</w:t>
      </w:r>
      <w:r>
        <w:rPr>
          <w:rFonts w:ascii="宋体" w:hAnsi="宋体" w:cs="Times New Roman"/>
          <w:sz w:val="24"/>
          <w:szCs w:val="24"/>
          <w:lang w:val="en-US" w:bidi="ar-SA"/>
        </w:rPr>
        <w:t>7</w:t>
      </w:r>
      <w:r>
        <w:rPr>
          <w:rFonts w:hint="eastAsia" w:ascii="宋体" w:hAnsi="宋体" w:cs="Times New Roman"/>
          <w:sz w:val="24"/>
          <w:szCs w:val="24"/>
          <w:lang w:val="en-US" w:bidi="ar-SA"/>
        </w:rPr>
        <w:t>个工作日内，以书面形式向采购人和采购代理机构提出质疑。质疑供应商对答复不满意或者采购人未在规定时间内答复的，可以在答复期满后十五个工作日内向同级政府采购监督管理部门投诉。</w:t>
      </w:r>
    </w:p>
    <w:p>
      <w:pPr>
        <w:adjustRightInd w:val="0"/>
        <w:spacing w:line="440" w:lineRule="exact"/>
        <w:ind w:firstLine="480" w:firstLineChars="200"/>
        <w:outlineLvl w:val="0"/>
        <w:rPr>
          <w:rFonts w:ascii="宋体" w:hAnsi="Times New Roman" w:eastAsia="Times New Roman" w:cs="Times New Roman"/>
          <w:sz w:val="24"/>
          <w:szCs w:val="24"/>
          <w:lang w:val="zh-CN" w:bidi="ar-SA"/>
        </w:rPr>
      </w:pPr>
      <w:r>
        <w:rPr>
          <w:rFonts w:ascii="宋体" w:hAnsi="宋体" w:cs="Times New Roman"/>
          <w:sz w:val="24"/>
          <w:szCs w:val="24"/>
          <w:lang w:val="en-US" w:bidi="ar-SA"/>
        </w:rPr>
        <w:t>38</w:t>
      </w:r>
      <w:r>
        <w:rPr>
          <w:rFonts w:ascii="宋体" w:hAnsi="Times New Roman" w:eastAsia="Times New Roman" w:cs="Times New Roman"/>
          <w:sz w:val="24"/>
          <w:szCs w:val="24"/>
          <w:lang w:val="zh-CN" w:bidi="ar-SA"/>
        </w:rPr>
        <w:t>.</w:t>
      </w:r>
      <w:r>
        <w:rPr>
          <w:rFonts w:ascii="宋体" w:hAnsi="宋体" w:cs="Times New Roman"/>
          <w:sz w:val="24"/>
          <w:szCs w:val="24"/>
          <w:lang w:val="en-US" w:bidi="ar-SA"/>
        </w:rPr>
        <w:t>3</w:t>
      </w:r>
      <w:r>
        <w:rPr>
          <w:rFonts w:hint="eastAsia" w:ascii="宋体" w:hAnsi="宋体" w:cs="Times New Roman"/>
          <w:sz w:val="24"/>
          <w:szCs w:val="24"/>
          <w:lang w:val="zh-CN" w:bidi="ar-SA"/>
        </w:rPr>
        <w:t>《中标通知书》要作为</w:t>
      </w:r>
      <w:r>
        <w:rPr>
          <w:rFonts w:hint="eastAsia" w:ascii="宋体" w:hAnsi="宋体" w:cs="Times New Roman"/>
          <w:sz w:val="24"/>
          <w:szCs w:val="24"/>
          <w:lang w:val="en-US" w:bidi="ar-SA"/>
        </w:rPr>
        <w:t>采购人、中标人</w:t>
      </w:r>
      <w:r>
        <w:rPr>
          <w:rFonts w:hint="eastAsia" w:ascii="宋体" w:hAnsi="宋体" w:cs="Times New Roman"/>
          <w:sz w:val="24"/>
          <w:szCs w:val="24"/>
          <w:lang w:val="zh-CN" w:bidi="ar-SA"/>
        </w:rPr>
        <w:t>签订政府采购合同的依据。</w:t>
      </w:r>
    </w:p>
    <w:p>
      <w:pPr>
        <w:widowControl w:val="0"/>
        <w:kinsoku w:val="0"/>
        <w:overflowPunct w:val="0"/>
        <w:autoSpaceDE w:val="0"/>
        <w:autoSpaceDN w:val="0"/>
        <w:adjustRightInd w:val="0"/>
        <w:spacing w:before="0" w:line="440" w:lineRule="exact"/>
        <w:ind w:left="591"/>
        <w:outlineLvl w:val="4"/>
        <w:rPr>
          <w:rFonts w:ascii="宋体" w:hAnsi="宋体" w:eastAsia="Times New Roman" w:cs="Times New Roman"/>
          <w:b/>
          <w:sz w:val="24"/>
          <w:szCs w:val="24"/>
          <w:lang w:val="en-US" w:eastAsia="zh-CN" w:bidi="ar-SA"/>
        </w:rPr>
      </w:pPr>
      <w:r>
        <w:rPr>
          <w:rFonts w:ascii="宋体" w:hAnsi="宋体" w:eastAsia="宋体" w:cs="Times New Roman"/>
          <w:b/>
          <w:sz w:val="24"/>
          <w:szCs w:val="24"/>
          <w:lang w:val="en-US" w:eastAsia="zh-CN" w:bidi="ar-SA"/>
        </w:rPr>
        <w:t>39</w:t>
      </w:r>
      <w:r>
        <w:rPr>
          <w:rFonts w:hint="eastAsia" w:ascii="宋体" w:hAnsi="宋体" w:eastAsia="宋体" w:cs="Times New Roman"/>
          <w:b/>
          <w:sz w:val="24"/>
          <w:szCs w:val="24"/>
          <w:lang w:val="en-US" w:eastAsia="zh-CN" w:bidi="ar-SA"/>
        </w:rPr>
        <w:t>、合同协议书的签订</w:t>
      </w:r>
    </w:p>
    <w:p>
      <w:pPr>
        <w:widowControl w:val="0"/>
        <w:kinsoku w:val="0"/>
        <w:overflowPunct w:val="0"/>
        <w:autoSpaceDE w:val="0"/>
        <w:autoSpaceDN w:val="0"/>
        <w:adjustRightInd w:val="0"/>
        <w:spacing w:line="440" w:lineRule="exact"/>
        <w:ind w:left="111" w:right="232" w:firstLine="480"/>
        <w:jc w:val="both"/>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39.1</w:t>
      </w:r>
      <w:r>
        <w:rPr>
          <w:rFonts w:hint="eastAsia" w:ascii="宋体" w:hAnsi="宋体" w:eastAsia="宋体" w:cs="Times New Roman"/>
          <w:sz w:val="24"/>
          <w:szCs w:val="24"/>
          <w:lang w:val="en-US" w:eastAsia="zh-CN" w:bidi="ar-SA"/>
        </w:rPr>
        <w:t>采购人与中标人将于成交通知书发出之日起</w:t>
      </w:r>
      <w:r>
        <w:rPr>
          <w:rFonts w:ascii="宋体" w:hAnsi="宋体" w:eastAsia="宋体" w:cs="Times New Roman"/>
          <w:sz w:val="24"/>
          <w:szCs w:val="24"/>
          <w:lang w:val="en-US" w:eastAsia="zh-CN" w:bidi="ar-SA"/>
        </w:rPr>
        <w:t>30</w:t>
      </w:r>
      <w:r>
        <w:rPr>
          <w:rFonts w:hint="eastAsia" w:ascii="宋体" w:hAnsi="宋体" w:eastAsia="宋体" w:cs="Times New Roman"/>
          <w:sz w:val="24"/>
          <w:szCs w:val="24"/>
          <w:lang w:val="en-US" w:eastAsia="zh-CN" w:bidi="ar-SA"/>
        </w:rPr>
        <w:t>日内，按照磋商文件和中标人的响应文件订立书面工程施工合同</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采购人和中标人不得再行订立背离合同实质性内容的其他协议。</w:t>
      </w:r>
    </w:p>
    <w:p>
      <w:pPr>
        <w:widowControl w:val="0"/>
        <w:kinsoku w:val="0"/>
        <w:overflowPunct w:val="0"/>
        <w:autoSpaceDE w:val="0"/>
        <w:autoSpaceDN w:val="0"/>
        <w:adjustRightInd w:val="0"/>
        <w:spacing w:before="60" w:line="440" w:lineRule="exact"/>
        <w:ind w:left="111" w:right="172" w:firstLine="480"/>
        <w:jc w:val="both"/>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39.2</w:t>
      </w:r>
      <w:r>
        <w:rPr>
          <w:rFonts w:hint="eastAsia" w:ascii="宋体" w:hAnsi="宋体" w:eastAsia="宋体" w:cs="Times New Roman"/>
          <w:sz w:val="24"/>
          <w:szCs w:val="24"/>
          <w:lang w:val="en-US" w:eastAsia="zh-CN" w:bidi="ar-SA"/>
        </w:rPr>
        <w:t>中标人如不按本磋商须知第</w:t>
      </w:r>
      <w:r>
        <w:rPr>
          <w:rFonts w:ascii="宋体" w:hAnsi="宋体" w:eastAsia="宋体" w:cs="Times New Roman"/>
          <w:sz w:val="24"/>
          <w:szCs w:val="24"/>
          <w:lang w:val="en-US" w:eastAsia="zh-CN" w:bidi="ar-SA"/>
        </w:rPr>
        <w:t>39.1</w:t>
      </w:r>
      <w:r>
        <w:rPr>
          <w:rFonts w:hint="eastAsia" w:ascii="宋体" w:hAnsi="宋体" w:eastAsia="宋体" w:cs="Times New Roman"/>
          <w:sz w:val="24"/>
          <w:szCs w:val="24"/>
          <w:lang w:val="en-US" w:eastAsia="zh-CN" w:bidi="ar-SA"/>
        </w:rPr>
        <w:t>款的规定与采购人订立合同，则采购人将废除授标，磋商保证金不予退还，给采购人造成的损失超过磋商保证金数额的，还应当对超过部分予以赔偿，同时依法承担相应法律责任。</w:t>
      </w:r>
    </w:p>
    <w:p>
      <w:pPr>
        <w:widowControl w:val="0"/>
        <w:kinsoku w:val="0"/>
        <w:overflowPunct w:val="0"/>
        <w:autoSpaceDE w:val="0"/>
        <w:autoSpaceDN w:val="0"/>
        <w:adjustRightInd w:val="0"/>
        <w:spacing w:before="60" w:line="440" w:lineRule="exact"/>
        <w:ind w:left="111" w:right="232" w:firstLine="480"/>
        <w:jc w:val="both"/>
        <w:rPr>
          <w:rFonts w:ascii="宋体" w:hAnsi="宋体" w:eastAsia="Times New Roman" w:cs="Times New Roman"/>
          <w:sz w:val="24"/>
          <w:szCs w:val="24"/>
          <w:lang w:val="en-US" w:eastAsia="zh-CN" w:bidi="ar-SA"/>
        </w:rPr>
      </w:pPr>
      <w:r>
        <w:rPr>
          <w:rFonts w:ascii="宋体" w:hAnsi="宋体" w:eastAsia="宋体" w:cs="Times New Roman"/>
          <w:sz w:val="24"/>
          <w:szCs w:val="24"/>
          <w:lang w:val="en-US" w:eastAsia="zh-CN" w:bidi="ar-SA"/>
        </w:rPr>
        <w:t>39.3</w:t>
      </w:r>
      <w:r>
        <w:rPr>
          <w:rFonts w:hint="eastAsia" w:ascii="宋体" w:hAnsi="宋体" w:eastAsia="宋体" w:cs="Times New Roman"/>
          <w:sz w:val="24"/>
          <w:szCs w:val="24"/>
          <w:lang w:val="en-US" w:eastAsia="zh-CN" w:bidi="ar-SA"/>
        </w:rPr>
        <w:t>中标人应当按照合同约定履行义务</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完成成交项目施工</w:t>
      </w:r>
      <w:r>
        <w:rPr>
          <w:rFonts w:hint="eastAsia" w:ascii="宋体" w:hAnsi="宋体" w:eastAsia="宋体" w:cs="Times New Roman"/>
          <w:spacing w:val="-60"/>
          <w:sz w:val="24"/>
          <w:szCs w:val="24"/>
          <w:lang w:val="en-US" w:eastAsia="zh-CN" w:bidi="ar-SA"/>
        </w:rPr>
        <w:t>，</w:t>
      </w:r>
      <w:r>
        <w:rPr>
          <w:rFonts w:hint="eastAsia" w:ascii="宋体" w:hAnsi="宋体" w:eastAsia="宋体" w:cs="Times New Roman"/>
          <w:sz w:val="24"/>
          <w:szCs w:val="24"/>
          <w:lang w:val="en-US" w:eastAsia="zh-CN" w:bidi="ar-SA"/>
        </w:rPr>
        <w:t>不得将成交项目转让（转包）给他人。</w:t>
      </w:r>
    </w:p>
    <w:p>
      <w:pPr>
        <w:widowControl w:val="0"/>
        <w:kinsoku w:val="0"/>
        <w:overflowPunct w:val="0"/>
        <w:autoSpaceDE w:val="0"/>
        <w:autoSpaceDN w:val="0"/>
        <w:adjustRightInd w:val="0"/>
        <w:spacing w:line="440" w:lineRule="exact"/>
        <w:ind w:left="591" w:right="5091"/>
        <w:rPr>
          <w:rFonts w:ascii="宋体" w:hAnsi="宋体" w:eastAsia="宋体" w:cs="Times New Roman"/>
          <w:b/>
          <w:sz w:val="24"/>
          <w:szCs w:val="24"/>
          <w:lang w:val="en-US" w:eastAsia="zh-CN" w:bidi="ar-SA"/>
        </w:rPr>
      </w:pPr>
      <w:r>
        <w:rPr>
          <w:rFonts w:ascii="宋体" w:hAnsi="宋体" w:eastAsia="宋体" w:cs="Times New Roman"/>
          <w:b/>
          <w:sz w:val="24"/>
          <w:szCs w:val="24"/>
          <w:lang w:val="en-US" w:eastAsia="zh-CN" w:bidi="ar-SA"/>
        </w:rPr>
        <w:t>40</w:t>
      </w:r>
      <w:r>
        <w:rPr>
          <w:rFonts w:hint="eastAsia" w:ascii="宋体" w:hAnsi="宋体" w:eastAsia="宋体" w:cs="Times New Roman"/>
          <w:b/>
          <w:sz w:val="24"/>
          <w:szCs w:val="24"/>
          <w:lang w:val="en-US" w:eastAsia="zh-CN" w:bidi="ar-SA"/>
        </w:rPr>
        <w:t>、质疑与投诉</w:t>
      </w:r>
    </w:p>
    <w:p>
      <w:pPr>
        <w:widowControl w:val="0"/>
        <w:kinsoku w:val="0"/>
        <w:overflowPunct w:val="0"/>
        <w:autoSpaceDE w:val="0"/>
        <w:autoSpaceDN w:val="0"/>
        <w:adjustRightInd w:val="0"/>
        <w:spacing w:before="60" w:line="440" w:lineRule="exact"/>
        <w:ind w:left="111" w:right="232" w:firstLine="480"/>
        <w:jc w:val="both"/>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40.1 质疑供应商是指直接参加本项目采购活动的供应商，未参加政府采购活动的供应商或在采购活动中自身权益未受到损害的供应商所提出的质疑不予受理。</w:t>
      </w:r>
    </w:p>
    <w:p>
      <w:pPr>
        <w:widowControl w:val="0"/>
        <w:kinsoku w:val="0"/>
        <w:overflowPunct w:val="0"/>
        <w:autoSpaceDE w:val="0"/>
        <w:autoSpaceDN w:val="0"/>
        <w:adjustRightInd w:val="0"/>
        <w:spacing w:before="60" w:line="440" w:lineRule="exact"/>
        <w:ind w:left="111" w:right="232" w:firstLine="480"/>
        <w:jc w:val="both"/>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40.2 投标供应商认为</w:t>
      </w:r>
      <w:r>
        <w:rPr>
          <w:rFonts w:hint="eastAsia" w:cs="Times New Roman"/>
          <w:sz w:val="24"/>
          <w:szCs w:val="24"/>
          <w:lang w:val="en-US" w:eastAsia="zh-CN" w:bidi="ar-SA"/>
        </w:rPr>
        <w:t>磋商</w:t>
      </w:r>
      <w:r>
        <w:rPr>
          <w:rFonts w:hint="eastAsia" w:ascii="宋体" w:hAnsi="宋体" w:eastAsia="宋体" w:cs="Times New Roman"/>
          <w:sz w:val="24"/>
          <w:szCs w:val="24"/>
          <w:lang w:val="en-US" w:eastAsia="zh-CN" w:bidi="ar-SA"/>
        </w:rPr>
        <w:t>文件、采购过程、中标和成交结果使自己的合法权益受到损害的，可以在知道或应知道其权益受到损害之日起七个工作日内以书面形式向招采购人或采购代理机构提出质疑。</w:t>
      </w:r>
    </w:p>
    <w:p>
      <w:pPr>
        <w:widowControl w:val="0"/>
        <w:kinsoku w:val="0"/>
        <w:overflowPunct w:val="0"/>
        <w:autoSpaceDE w:val="0"/>
        <w:autoSpaceDN w:val="0"/>
        <w:adjustRightInd w:val="0"/>
        <w:spacing w:before="60" w:line="440" w:lineRule="exact"/>
        <w:ind w:left="111" w:right="232" w:firstLine="480"/>
        <w:jc w:val="both"/>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40.3 采购人或采购代理机构在收到投标供应商的书面质疑后七个工作日内作出答复，但答复的内容不得涉及商业秘密。质疑投标供应商对采购人或采购代理机构的答复不满意，可以在答复期满后十五个工作日内向采购监督管理部门投诉。</w:t>
      </w:r>
    </w:p>
    <w:p>
      <w:pPr>
        <w:widowControl w:val="0"/>
        <w:kinsoku w:val="0"/>
        <w:overflowPunct w:val="0"/>
        <w:autoSpaceDE w:val="0"/>
        <w:autoSpaceDN w:val="0"/>
        <w:adjustRightInd w:val="0"/>
        <w:spacing w:before="60" w:line="440" w:lineRule="exact"/>
        <w:ind w:left="111" w:right="232" w:firstLine="480"/>
        <w:jc w:val="both"/>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40.4 投诉人投诉时，应提交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widowControl w:val="0"/>
        <w:kinsoku w:val="0"/>
        <w:overflowPunct w:val="0"/>
        <w:autoSpaceDE w:val="0"/>
        <w:autoSpaceDN w:val="0"/>
        <w:adjustRightInd w:val="0"/>
        <w:spacing w:before="60" w:line="440" w:lineRule="exact"/>
        <w:ind w:left="111" w:right="232" w:firstLine="480"/>
        <w:jc w:val="both"/>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（1）供应商的姓名或者名称、地址、邮编、联系人及联系电话（包括座机、手机、传真号码等）； </w:t>
      </w:r>
    </w:p>
    <w:p>
      <w:pPr>
        <w:widowControl w:val="0"/>
        <w:kinsoku w:val="0"/>
        <w:overflowPunct w:val="0"/>
        <w:autoSpaceDE w:val="0"/>
        <w:autoSpaceDN w:val="0"/>
        <w:adjustRightInd w:val="0"/>
        <w:spacing w:before="60" w:line="440" w:lineRule="exact"/>
        <w:ind w:left="111" w:right="232" w:firstLine="480"/>
        <w:jc w:val="both"/>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（2）质疑项目的名称、项目编号、包号、采购公告发布时间、递交投标文件或响应文件截止时间； </w:t>
      </w:r>
    </w:p>
    <w:p>
      <w:pPr>
        <w:widowControl w:val="0"/>
        <w:kinsoku w:val="0"/>
        <w:overflowPunct w:val="0"/>
        <w:autoSpaceDE w:val="0"/>
        <w:autoSpaceDN w:val="0"/>
        <w:adjustRightInd w:val="0"/>
        <w:spacing w:before="60" w:line="440" w:lineRule="exact"/>
        <w:ind w:left="111" w:right="232" w:firstLine="480"/>
        <w:jc w:val="both"/>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（3）具体、明确的质疑事项和与质疑事项相关的请求； </w:t>
      </w:r>
    </w:p>
    <w:p>
      <w:pPr>
        <w:widowControl w:val="0"/>
        <w:kinsoku w:val="0"/>
        <w:overflowPunct w:val="0"/>
        <w:autoSpaceDE w:val="0"/>
        <w:autoSpaceDN w:val="0"/>
        <w:adjustRightInd w:val="0"/>
        <w:spacing w:before="60" w:line="440" w:lineRule="exact"/>
        <w:ind w:left="111" w:right="232" w:firstLine="480"/>
        <w:jc w:val="both"/>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（4）事实依据（具体条款，认为自己合法权益受到损害或可能受到损害的相关证据材料。如涉及到产品功能或技术指标的，应出具相关制造商的证明文件）； </w:t>
      </w:r>
    </w:p>
    <w:p>
      <w:pPr>
        <w:widowControl w:val="0"/>
        <w:kinsoku w:val="0"/>
        <w:overflowPunct w:val="0"/>
        <w:autoSpaceDE w:val="0"/>
        <w:autoSpaceDN w:val="0"/>
        <w:adjustRightInd w:val="0"/>
        <w:spacing w:before="60" w:line="440" w:lineRule="exact"/>
        <w:ind w:left="111" w:right="232" w:firstLine="480"/>
        <w:jc w:val="both"/>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（5）必要的法律依据； </w:t>
      </w:r>
    </w:p>
    <w:p>
      <w:pPr>
        <w:widowControl w:val="0"/>
        <w:kinsoku w:val="0"/>
        <w:overflowPunct w:val="0"/>
        <w:autoSpaceDE w:val="0"/>
        <w:autoSpaceDN w:val="0"/>
        <w:adjustRightInd w:val="0"/>
        <w:spacing w:before="60" w:line="440" w:lineRule="exact"/>
        <w:ind w:left="111" w:right="232" w:firstLine="480"/>
        <w:jc w:val="both"/>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（6）提起质疑的日期；</w:t>
      </w:r>
    </w:p>
    <w:p>
      <w:pPr>
        <w:widowControl w:val="0"/>
        <w:kinsoku w:val="0"/>
        <w:overflowPunct w:val="0"/>
        <w:autoSpaceDE w:val="0"/>
        <w:autoSpaceDN w:val="0"/>
        <w:adjustRightInd w:val="0"/>
        <w:spacing w:before="60" w:line="440" w:lineRule="exact"/>
        <w:ind w:left="111" w:right="232" w:firstLine="480"/>
        <w:jc w:val="both"/>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（7）质疑文件应当署名，质疑人为自然人的，应当由本人签字并附有效身份证明；质疑人为法人或其他组织的，应当由法定代表人签字并加盖单位公章；</w:t>
      </w:r>
    </w:p>
    <w:p>
      <w:pPr>
        <w:widowControl w:val="0"/>
        <w:kinsoku w:val="0"/>
        <w:overflowPunct w:val="0"/>
        <w:autoSpaceDE w:val="0"/>
        <w:autoSpaceDN w:val="0"/>
        <w:adjustRightInd w:val="0"/>
        <w:spacing w:before="60" w:line="440" w:lineRule="exact"/>
        <w:ind w:left="111" w:right="232" w:firstLine="480"/>
        <w:jc w:val="both"/>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（8）供应商委托代理质疑的，应当提交授权委托书，并载明代理人的姓名或者名称、代理事项、 具体权限、期限和相关事项。</w:t>
      </w:r>
    </w:p>
    <w:p>
      <w:pPr>
        <w:widowControl w:val="0"/>
        <w:kinsoku w:val="0"/>
        <w:overflowPunct w:val="0"/>
        <w:autoSpaceDE w:val="0"/>
        <w:autoSpaceDN w:val="0"/>
        <w:adjustRightInd w:val="0"/>
        <w:spacing w:before="60" w:line="440" w:lineRule="exact"/>
        <w:ind w:left="111" w:right="232" w:firstLine="480"/>
        <w:jc w:val="both"/>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40.5投诉人对质疑/投诉书的真实性负责，恶意投诉将承当相应的法律和民事责任。</w:t>
      </w:r>
    </w:p>
    <w:p>
      <w:pPr>
        <w:pStyle w:val="4"/>
        <w:tabs>
          <w:tab w:val="left" w:pos="2047"/>
        </w:tabs>
        <w:ind w:left="283"/>
        <w:rPr>
          <w:rFonts w:hint="eastAsia"/>
        </w:rPr>
      </w:pPr>
    </w:p>
    <w:p>
      <w:pPr>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4"/>
        <w:tabs>
          <w:tab w:val="left" w:pos="2047"/>
        </w:tabs>
        <w:ind w:left="283"/>
        <w:rPr>
          <w:rFonts w:hint="eastAsia"/>
          <w:sz w:val="32"/>
          <w:szCs w:val="32"/>
        </w:rPr>
      </w:pPr>
    </w:p>
    <w:p>
      <w:pPr>
        <w:rPr>
          <w:rFonts w:hint="eastAsia"/>
          <w:sz w:val="32"/>
          <w:szCs w:val="32"/>
        </w:rPr>
      </w:pPr>
    </w:p>
    <w:p>
      <w:pPr>
        <w:pStyle w:val="17"/>
        <w:rPr>
          <w:rFonts w:hint="eastAsia"/>
          <w:sz w:val="32"/>
          <w:szCs w:val="32"/>
        </w:rPr>
      </w:pPr>
    </w:p>
    <w:p>
      <w:pPr>
        <w:pStyle w:val="17"/>
        <w:rPr>
          <w:rFonts w:hint="eastAsia"/>
          <w:sz w:val="32"/>
          <w:szCs w:val="32"/>
        </w:rPr>
      </w:pPr>
    </w:p>
    <w:p>
      <w:pPr>
        <w:pStyle w:val="17"/>
        <w:rPr>
          <w:rFonts w:hint="eastAsia"/>
          <w:sz w:val="32"/>
          <w:szCs w:val="32"/>
        </w:rPr>
      </w:pPr>
    </w:p>
    <w:p>
      <w:pPr>
        <w:pStyle w:val="4"/>
        <w:tabs>
          <w:tab w:val="left" w:pos="2047"/>
        </w:tabs>
        <w:ind w:left="283"/>
        <w:rPr>
          <w:rFonts w:hint="eastAsia"/>
          <w:sz w:val="32"/>
          <w:szCs w:val="32"/>
        </w:rPr>
      </w:pPr>
    </w:p>
    <w:p>
      <w:pPr>
        <w:pStyle w:val="4"/>
        <w:tabs>
          <w:tab w:val="left" w:pos="2047"/>
        </w:tabs>
        <w:ind w:left="283"/>
        <w:rPr>
          <w:sz w:val="30"/>
          <w:szCs w:val="30"/>
        </w:rPr>
      </w:pPr>
      <w:r>
        <w:rPr>
          <w:rFonts w:hint="eastAsia"/>
          <w:sz w:val="30"/>
          <w:szCs w:val="30"/>
        </w:rPr>
        <w:t>第</w:t>
      </w:r>
      <w:r>
        <w:rPr>
          <w:rFonts w:hint="eastAsia"/>
          <w:sz w:val="30"/>
          <w:szCs w:val="30"/>
          <w:lang w:eastAsia="zh-CN"/>
        </w:rPr>
        <w:t>二</w:t>
      </w:r>
      <w:r>
        <w:rPr>
          <w:rFonts w:hint="eastAsia"/>
          <w:sz w:val="30"/>
          <w:szCs w:val="30"/>
        </w:rPr>
        <w:t>章</w:t>
      </w:r>
      <w:r>
        <w:rPr>
          <w:rFonts w:hint="eastAsia"/>
          <w:sz w:val="30"/>
          <w:szCs w:val="30"/>
          <w:lang w:val="en-US" w:eastAsia="zh-CN"/>
        </w:rPr>
        <w:t xml:space="preserve">  </w:t>
      </w:r>
      <w:r>
        <w:rPr>
          <w:rFonts w:hint="eastAsia"/>
          <w:sz w:val="30"/>
          <w:szCs w:val="30"/>
        </w:rPr>
        <w:t>合同条款及格式</w:t>
      </w:r>
    </w:p>
    <w:p>
      <w:pPr>
        <w:rPr>
          <w:sz w:val="30"/>
          <w:szCs w:val="30"/>
        </w:rPr>
        <w:sectPr>
          <w:headerReference r:id="rId6" w:type="default"/>
          <w:footerReference r:id="rId7" w:type="default"/>
          <w:pgSz w:w="11910" w:h="16840"/>
          <w:pgMar w:top="1360" w:right="1120" w:bottom="1080" w:left="1260" w:header="882" w:footer="845" w:gutter="0"/>
          <w:cols w:space="720" w:num="1"/>
        </w:sect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spacing w:before="5"/>
        <w:rPr>
          <w:b/>
          <w:sz w:val="29"/>
        </w:rPr>
      </w:pPr>
    </w:p>
    <w:p>
      <w:pPr>
        <w:pStyle w:val="6"/>
        <w:tabs>
          <w:tab w:val="left" w:pos="1952"/>
        </w:tabs>
        <w:rPr>
          <w:sz w:val="30"/>
          <w:szCs w:val="30"/>
        </w:rPr>
        <w:sectPr>
          <w:footerReference r:id="rId8" w:type="default"/>
          <w:pgSz w:w="11910" w:h="16840"/>
          <w:pgMar w:top="1360" w:right="1120" w:bottom="1080" w:left="1260" w:header="882" w:footer="880" w:gutter="0"/>
          <w:cols w:space="720" w:num="1"/>
        </w:sectPr>
      </w:pPr>
      <w:bookmarkStart w:id="72" w:name="_TOC_250027"/>
      <w:bookmarkEnd w:id="72"/>
      <w:r>
        <w:rPr>
          <w:rFonts w:hint="eastAsia"/>
          <w:sz w:val="30"/>
          <w:szCs w:val="30"/>
        </w:rPr>
        <w:t>第一节</w:t>
      </w:r>
      <w:r>
        <w:rPr>
          <w:rFonts w:hint="eastAsia"/>
          <w:sz w:val="30"/>
          <w:szCs w:val="30"/>
          <w:lang w:val="en-US" w:eastAsia="zh-CN"/>
        </w:rPr>
        <w:t xml:space="preserve">  </w:t>
      </w:r>
      <w:r>
        <w:rPr>
          <w:rFonts w:hint="eastAsia"/>
          <w:sz w:val="30"/>
          <w:szCs w:val="30"/>
        </w:rPr>
        <w:t>通用合同条款</w:t>
      </w:r>
    </w:p>
    <w:p>
      <w:pPr>
        <w:pStyle w:val="10"/>
        <w:spacing w:before="66"/>
        <w:ind w:left="583"/>
      </w:pPr>
      <w:r>
        <w:rPr>
          <w:rFonts w:hint="eastAsia"/>
        </w:rPr>
        <w:t>一、适用条件</w:t>
      </w:r>
    </w:p>
    <w:p>
      <w:pPr>
        <w:pStyle w:val="10"/>
        <w:spacing w:before="11"/>
        <w:rPr>
          <w:sz w:val="19"/>
        </w:rPr>
      </w:pPr>
    </w:p>
    <w:p>
      <w:pPr>
        <w:pStyle w:val="20"/>
        <w:numPr>
          <w:ilvl w:val="3"/>
          <w:numId w:val="5"/>
        </w:numPr>
        <w:tabs>
          <w:tab w:val="left" w:pos="1005"/>
        </w:tabs>
        <w:ind w:hanging="182"/>
        <w:jc w:val="left"/>
        <w:rPr>
          <w:sz w:val="24"/>
        </w:rPr>
      </w:pPr>
      <w:r>
        <w:rPr>
          <w:rFonts w:hint="eastAsia"/>
          <w:sz w:val="24"/>
        </w:rPr>
        <w:t>合同适用条件</w:t>
      </w:r>
    </w:p>
    <w:p>
      <w:pPr>
        <w:pStyle w:val="10"/>
        <w:spacing w:before="7"/>
        <w:rPr>
          <w:sz w:val="20"/>
        </w:rPr>
      </w:pPr>
    </w:p>
    <w:p>
      <w:pPr>
        <w:pStyle w:val="20"/>
        <w:numPr>
          <w:ilvl w:val="4"/>
          <w:numId w:val="5"/>
        </w:numPr>
        <w:tabs>
          <w:tab w:val="left" w:pos="1403"/>
          <w:tab w:val="left" w:pos="1404"/>
        </w:tabs>
        <w:spacing w:before="1"/>
        <w:rPr>
          <w:sz w:val="24"/>
        </w:rPr>
      </w:pPr>
      <w:r>
        <w:rPr>
          <w:rFonts w:hint="eastAsia"/>
          <w:sz w:val="24"/>
        </w:rPr>
        <w:t>本合同适用于</w:t>
      </w:r>
      <w:r>
        <w:rPr>
          <w:rFonts w:hint="eastAsia" w:ascii="Times New Roman" w:hAnsi="Times New Roman" w:eastAsia="宋体" w:cs="Times New Roman"/>
          <w:sz w:val="24"/>
          <w:szCs w:val="24"/>
          <w:lang w:val="en-US" w:eastAsia="zh-CN" w:bidi="ar-SA"/>
        </w:rPr>
        <w:t>博湖县2022年度北山牧道修缮工程</w:t>
      </w:r>
      <w:r>
        <w:rPr>
          <w:rFonts w:hint="eastAsia"/>
          <w:sz w:val="24"/>
        </w:rPr>
        <w:t>。</w:t>
      </w:r>
    </w:p>
    <w:p>
      <w:pPr>
        <w:pStyle w:val="20"/>
        <w:numPr>
          <w:ilvl w:val="4"/>
          <w:numId w:val="5"/>
        </w:numPr>
        <w:tabs>
          <w:tab w:val="left" w:pos="1403"/>
          <w:tab w:val="left" w:pos="1404"/>
        </w:tabs>
        <w:spacing w:before="83" w:line="304" w:lineRule="auto"/>
        <w:ind w:left="384" w:right="466" w:firstLine="480"/>
        <w:rPr>
          <w:sz w:val="24"/>
        </w:rPr>
      </w:pPr>
      <w:r>
        <w:rPr>
          <w:rFonts w:hint="eastAsia"/>
          <w:spacing w:val="-4"/>
          <w:sz w:val="24"/>
        </w:rPr>
        <w:t>施工图设计文件经过审查批准，列入建设计划，资金落实到位，征地拆迁</w:t>
      </w:r>
      <w:r>
        <w:rPr>
          <w:rFonts w:hint="eastAsia"/>
          <w:sz w:val="24"/>
        </w:rPr>
        <w:t>工作已经完成。</w:t>
      </w:r>
    </w:p>
    <w:p>
      <w:pPr>
        <w:pStyle w:val="20"/>
        <w:numPr>
          <w:ilvl w:val="3"/>
          <w:numId w:val="5"/>
        </w:numPr>
        <w:tabs>
          <w:tab w:val="left" w:pos="1005"/>
        </w:tabs>
        <w:spacing w:before="174"/>
        <w:ind w:hanging="182"/>
        <w:jc w:val="left"/>
        <w:rPr>
          <w:sz w:val="24"/>
        </w:rPr>
      </w:pPr>
      <w:r>
        <w:rPr>
          <w:rFonts w:hint="eastAsia"/>
          <w:sz w:val="24"/>
        </w:rPr>
        <w:t>合同文件及优先顺序</w:t>
      </w:r>
    </w:p>
    <w:p>
      <w:pPr>
        <w:pStyle w:val="10"/>
        <w:spacing w:before="12"/>
        <w:rPr>
          <w:sz w:val="21"/>
        </w:rPr>
      </w:pPr>
    </w:p>
    <w:p>
      <w:pPr>
        <w:pStyle w:val="10"/>
        <w:spacing w:line="312" w:lineRule="auto"/>
        <w:ind w:left="384" w:right="266" w:firstLine="480"/>
      </w:pPr>
      <w:r>
        <w:rPr>
          <w:rFonts w:hint="eastAsia"/>
        </w:rPr>
        <w:t>组成合同的各项文件应互相解释，互为说明。除项目专用合同条款另有约定外， 解释合同文件的优先顺序如下：</w:t>
      </w:r>
    </w:p>
    <w:p>
      <w:pPr>
        <w:pStyle w:val="20"/>
        <w:numPr>
          <w:ilvl w:val="0"/>
          <w:numId w:val="6"/>
        </w:numPr>
        <w:tabs>
          <w:tab w:val="left" w:pos="1465"/>
        </w:tabs>
        <w:spacing w:line="312" w:lineRule="auto"/>
        <w:ind w:right="466" w:firstLine="480"/>
        <w:rPr>
          <w:sz w:val="24"/>
        </w:rPr>
      </w:pPr>
      <w:r>
        <w:rPr>
          <w:rFonts w:hint="eastAsia"/>
          <w:spacing w:val="-4"/>
          <w:sz w:val="24"/>
        </w:rPr>
        <w:t>合同协议书及各种合同附件</w:t>
      </w:r>
      <w:r>
        <w:rPr>
          <w:rFonts w:hint="eastAsia"/>
          <w:sz w:val="24"/>
        </w:rPr>
        <w:t>（含评标期间和合同谈判过程中的澄清文件</w:t>
      </w:r>
      <w:r>
        <w:rPr>
          <w:rFonts w:hint="eastAsia"/>
          <w:spacing w:val="-5"/>
          <w:sz w:val="24"/>
        </w:rPr>
        <w:t>和补充资料</w:t>
      </w:r>
      <w:r>
        <w:rPr>
          <w:rFonts w:hint="eastAsia"/>
          <w:sz w:val="24"/>
        </w:rPr>
        <w:t>）；</w:t>
      </w:r>
    </w:p>
    <w:p>
      <w:pPr>
        <w:pStyle w:val="20"/>
        <w:numPr>
          <w:ilvl w:val="0"/>
          <w:numId w:val="6"/>
        </w:numPr>
        <w:tabs>
          <w:tab w:val="left" w:pos="1465"/>
        </w:tabs>
        <w:spacing w:before="2"/>
        <w:ind w:left="1465"/>
        <w:rPr>
          <w:sz w:val="24"/>
        </w:rPr>
      </w:pPr>
      <w:r>
        <w:rPr>
          <w:rFonts w:hint="eastAsia"/>
          <w:sz w:val="24"/>
        </w:rPr>
        <w:t>中标通知书；</w:t>
      </w:r>
    </w:p>
    <w:p>
      <w:pPr>
        <w:pStyle w:val="20"/>
        <w:numPr>
          <w:ilvl w:val="0"/>
          <w:numId w:val="6"/>
        </w:numPr>
        <w:tabs>
          <w:tab w:val="left" w:pos="1465"/>
        </w:tabs>
        <w:spacing w:before="90"/>
        <w:ind w:left="1465"/>
        <w:rPr>
          <w:sz w:val="24"/>
        </w:rPr>
      </w:pPr>
      <w:r>
        <w:rPr>
          <w:rFonts w:hint="eastAsia"/>
          <w:sz w:val="24"/>
        </w:rPr>
        <w:t>投标函及投标函附录；</w:t>
      </w:r>
    </w:p>
    <w:p>
      <w:pPr>
        <w:pStyle w:val="20"/>
        <w:numPr>
          <w:ilvl w:val="0"/>
          <w:numId w:val="6"/>
        </w:numPr>
        <w:tabs>
          <w:tab w:val="left" w:pos="1465"/>
        </w:tabs>
        <w:spacing w:before="94"/>
        <w:ind w:left="1465"/>
        <w:rPr>
          <w:sz w:val="24"/>
        </w:rPr>
      </w:pPr>
      <w:r>
        <w:rPr>
          <w:rFonts w:hint="eastAsia"/>
          <w:sz w:val="24"/>
        </w:rPr>
        <w:t>专用合同条款；</w:t>
      </w:r>
    </w:p>
    <w:p>
      <w:pPr>
        <w:pStyle w:val="20"/>
        <w:numPr>
          <w:ilvl w:val="0"/>
          <w:numId w:val="6"/>
        </w:numPr>
        <w:tabs>
          <w:tab w:val="left" w:pos="1465"/>
        </w:tabs>
        <w:spacing w:before="93"/>
        <w:ind w:left="1465"/>
        <w:rPr>
          <w:sz w:val="24"/>
        </w:rPr>
      </w:pPr>
      <w:r>
        <w:rPr>
          <w:rFonts w:hint="eastAsia"/>
          <w:sz w:val="24"/>
        </w:rPr>
        <w:t>通用合同条款；</w:t>
      </w:r>
    </w:p>
    <w:p>
      <w:pPr>
        <w:pStyle w:val="20"/>
        <w:numPr>
          <w:ilvl w:val="0"/>
          <w:numId w:val="6"/>
        </w:numPr>
        <w:tabs>
          <w:tab w:val="left" w:pos="1465"/>
        </w:tabs>
        <w:spacing w:before="91"/>
        <w:ind w:left="1465"/>
        <w:rPr>
          <w:sz w:val="24"/>
        </w:rPr>
      </w:pPr>
      <w:r>
        <w:rPr>
          <w:rFonts w:hint="eastAsia"/>
          <w:sz w:val="24"/>
        </w:rPr>
        <w:t>工程量清单计量规则；</w:t>
      </w:r>
    </w:p>
    <w:p>
      <w:pPr>
        <w:pStyle w:val="20"/>
        <w:numPr>
          <w:ilvl w:val="0"/>
          <w:numId w:val="6"/>
        </w:numPr>
        <w:tabs>
          <w:tab w:val="left" w:pos="1465"/>
        </w:tabs>
        <w:spacing w:before="93"/>
        <w:ind w:left="1465"/>
        <w:rPr>
          <w:sz w:val="24"/>
        </w:rPr>
      </w:pPr>
      <w:r>
        <w:rPr>
          <w:rFonts w:hint="eastAsia"/>
          <w:sz w:val="24"/>
        </w:rPr>
        <w:t>技术规范；</w:t>
      </w:r>
    </w:p>
    <w:p>
      <w:pPr>
        <w:pStyle w:val="20"/>
        <w:numPr>
          <w:ilvl w:val="0"/>
          <w:numId w:val="6"/>
        </w:numPr>
        <w:tabs>
          <w:tab w:val="left" w:pos="1465"/>
        </w:tabs>
        <w:spacing w:before="94"/>
        <w:ind w:left="1465"/>
        <w:rPr>
          <w:sz w:val="24"/>
        </w:rPr>
      </w:pPr>
      <w:r>
        <w:rPr>
          <w:rFonts w:hint="eastAsia"/>
          <w:sz w:val="24"/>
        </w:rPr>
        <w:t>图纸；</w:t>
      </w:r>
    </w:p>
    <w:p>
      <w:pPr>
        <w:pStyle w:val="20"/>
        <w:numPr>
          <w:ilvl w:val="0"/>
          <w:numId w:val="6"/>
        </w:numPr>
        <w:tabs>
          <w:tab w:val="left" w:pos="1465"/>
        </w:tabs>
        <w:spacing w:before="90"/>
        <w:ind w:left="1465"/>
        <w:rPr>
          <w:sz w:val="24"/>
        </w:rPr>
      </w:pPr>
      <w:r>
        <w:rPr>
          <w:rFonts w:hint="eastAsia"/>
          <w:sz w:val="24"/>
        </w:rPr>
        <w:t>已标价工程量清单；</w:t>
      </w:r>
    </w:p>
    <w:p>
      <w:pPr>
        <w:pStyle w:val="20"/>
        <w:numPr>
          <w:ilvl w:val="0"/>
          <w:numId w:val="6"/>
        </w:numPr>
        <w:tabs>
          <w:tab w:val="left" w:pos="1585"/>
        </w:tabs>
        <w:spacing w:before="94"/>
        <w:ind w:left="1585" w:hanging="721"/>
        <w:rPr>
          <w:sz w:val="24"/>
        </w:rPr>
      </w:pPr>
      <w:r>
        <w:rPr>
          <w:rFonts w:hint="eastAsia"/>
          <w:sz w:val="24"/>
        </w:rPr>
        <w:t>承包人有关人员、设备投入的承诺及投标文件中的施工组织设计；</w:t>
      </w:r>
    </w:p>
    <w:p>
      <w:pPr>
        <w:pStyle w:val="20"/>
        <w:numPr>
          <w:ilvl w:val="0"/>
          <w:numId w:val="6"/>
        </w:numPr>
        <w:tabs>
          <w:tab w:val="left" w:pos="1585"/>
        </w:tabs>
        <w:spacing w:before="93"/>
        <w:ind w:left="1585" w:hanging="721"/>
        <w:rPr>
          <w:sz w:val="24"/>
        </w:rPr>
      </w:pPr>
      <w:r>
        <w:rPr>
          <w:rFonts w:hint="eastAsia"/>
          <w:sz w:val="24"/>
        </w:rPr>
        <w:t>其他合同文件。</w:t>
      </w:r>
    </w:p>
    <w:p>
      <w:pPr>
        <w:pStyle w:val="10"/>
        <w:spacing w:before="3"/>
        <w:rPr>
          <w:sz w:val="19"/>
        </w:rPr>
      </w:pPr>
    </w:p>
    <w:p>
      <w:pPr>
        <w:pStyle w:val="20"/>
        <w:numPr>
          <w:ilvl w:val="3"/>
          <w:numId w:val="5"/>
        </w:numPr>
        <w:tabs>
          <w:tab w:val="left" w:pos="1005"/>
        </w:tabs>
        <w:spacing w:before="1"/>
        <w:ind w:hanging="182"/>
        <w:jc w:val="left"/>
        <w:rPr>
          <w:sz w:val="24"/>
        </w:rPr>
      </w:pPr>
      <w:r>
        <w:rPr>
          <w:rFonts w:hint="eastAsia"/>
          <w:sz w:val="24"/>
        </w:rPr>
        <w:t>适用法律及规范</w:t>
      </w:r>
    </w:p>
    <w:p>
      <w:pPr>
        <w:pStyle w:val="10"/>
        <w:spacing w:before="4"/>
        <w:rPr>
          <w:sz w:val="20"/>
        </w:rPr>
      </w:pPr>
    </w:p>
    <w:p>
      <w:pPr>
        <w:pStyle w:val="20"/>
        <w:numPr>
          <w:ilvl w:val="4"/>
          <w:numId w:val="5"/>
        </w:numPr>
        <w:tabs>
          <w:tab w:val="left" w:pos="1403"/>
          <w:tab w:val="left" w:pos="1404"/>
        </w:tabs>
        <w:spacing w:before="1"/>
        <w:rPr>
          <w:sz w:val="24"/>
        </w:rPr>
      </w:pPr>
      <w:r>
        <w:rPr>
          <w:rFonts w:hint="eastAsia"/>
          <w:sz w:val="24"/>
        </w:rPr>
        <w:t>适用法律和法规</w:t>
      </w:r>
    </w:p>
    <w:p>
      <w:pPr>
        <w:pStyle w:val="10"/>
        <w:spacing w:before="86" w:line="304" w:lineRule="auto"/>
        <w:ind w:left="384" w:right="467" w:firstLine="480"/>
      </w:pPr>
      <w:r>
        <w:rPr>
          <w:rFonts w:hint="eastAsia"/>
          <w:spacing w:val="-1"/>
        </w:rPr>
        <w:t>本合同服从国家法律和行政法规、部门规章以及新疆维吾尔自治区地方法规、</w:t>
      </w:r>
      <w:r>
        <w:rPr>
          <w:rFonts w:hint="eastAsia"/>
        </w:rPr>
        <w:t>自治条例、单行条例和地方政府规章。</w:t>
      </w:r>
    </w:p>
    <w:p>
      <w:pPr>
        <w:pStyle w:val="20"/>
        <w:numPr>
          <w:ilvl w:val="4"/>
          <w:numId w:val="5"/>
        </w:numPr>
        <w:tabs>
          <w:tab w:val="left" w:pos="1403"/>
          <w:tab w:val="left" w:pos="1404"/>
        </w:tabs>
        <w:spacing w:before="1"/>
        <w:rPr>
          <w:sz w:val="24"/>
        </w:rPr>
      </w:pPr>
      <w:r>
        <w:rPr>
          <w:rFonts w:hint="eastAsia"/>
          <w:sz w:val="24"/>
        </w:rPr>
        <w:t>适用标准、规范</w:t>
      </w:r>
    </w:p>
    <w:p>
      <w:pPr>
        <w:pStyle w:val="10"/>
        <w:spacing w:before="86" w:line="304" w:lineRule="auto"/>
        <w:ind w:left="384" w:right="465" w:firstLine="480"/>
        <w:jc w:val="both"/>
      </w:pPr>
      <w:r>
        <w:rPr>
          <w:rFonts w:hint="eastAsia"/>
        </w:rPr>
        <w:t>现行国家标准、规范；交通运输部行业标准、规范；地方标准、规范适用本合同。发包人及承包人应注意标准、规范及规程的变更，在招投标及项目实施期内出现应采用有效版本的标准、规范及规程，不发生由此引起的费用变更。</w:t>
      </w:r>
    </w:p>
    <w:p>
      <w:pPr>
        <w:pStyle w:val="20"/>
        <w:numPr>
          <w:ilvl w:val="3"/>
          <w:numId w:val="5"/>
        </w:numPr>
        <w:tabs>
          <w:tab w:val="left" w:pos="1005"/>
        </w:tabs>
        <w:spacing w:before="194"/>
        <w:ind w:hanging="182"/>
        <w:jc w:val="left"/>
        <w:rPr>
          <w:sz w:val="24"/>
        </w:rPr>
      </w:pPr>
      <w:r>
        <w:rPr>
          <w:rFonts w:hint="eastAsia"/>
          <w:sz w:val="24"/>
        </w:rPr>
        <w:t>图纸和技术资料</w:t>
      </w:r>
    </w:p>
    <w:p>
      <w:pPr>
        <w:rPr>
          <w:sz w:val="24"/>
        </w:rPr>
        <w:sectPr>
          <w:pgSz w:w="11910" w:h="16840"/>
          <w:pgMar w:top="1360" w:right="1120" w:bottom="1080" w:left="1260" w:header="882" w:footer="880" w:gutter="0"/>
          <w:cols w:space="720" w:num="1"/>
        </w:sectPr>
      </w:pPr>
    </w:p>
    <w:p>
      <w:pPr>
        <w:pStyle w:val="10"/>
        <w:spacing w:before="2"/>
        <w:rPr>
          <w:sz w:val="18"/>
        </w:rPr>
      </w:pPr>
    </w:p>
    <w:p>
      <w:pPr>
        <w:pStyle w:val="20"/>
        <w:numPr>
          <w:ilvl w:val="4"/>
          <w:numId w:val="5"/>
        </w:numPr>
        <w:tabs>
          <w:tab w:val="left" w:pos="1403"/>
          <w:tab w:val="left" w:pos="1404"/>
        </w:tabs>
        <w:spacing w:before="76" w:line="316" w:lineRule="auto"/>
        <w:ind w:left="384" w:right="346" w:firstLine="480"/>
        <w:rPr>
          <w:sz w:val="24"/>
        </w:rPr>
      </w:pPr>
      <w:r>
        <w:rPr>
          <w:rFonts w:hint="eastAsia"/>
          <w:spacing w:val="-11"/>
          <w:sz w:val="24"/>
        </w:rPr>
        <w:t>合同协议书签定之后，发包人免费向承包人提供施工图纸</w:t>
      </w:r>
      <w:r>
        <w:rPr>
          <w:rFonts w:hint="eastAsia"/>
          <w:sz w:val="24"/>
        </w:rPr>
        <w:t>（相关技术资料</w:t>
      </w:r>
      <w:r>
        <w:rPr>
          <w:rFonts w:hint="eastAsia"/>
          <w:spacing w:val="-18"/>
          <w:sz w:val="24"/>
        </w:rPr>
        <w:t xml:space="preserve">） </w:t>
      </w:r>
      <w:r>
        <w:rPr>
          <w:rFonts w:hint="eastAsia"/>
          <w:sz w:val="24"/>
        </w:rPr>
        <w:t>两份，向承包人进行技术交底。</w:t>
      </w:r>
    </w:p>
    <w:p>
      <w:pPr>
        <w:pStyle w:val="20"/>
        <w:numPr>
          <w:ilvl w:val="4"/>
          <w:numId w:val="5"/>
        </w:numPr>
        <w:tabs>
          <w:tab w:val="left" w:pos="1415"/>
          <w:tab w:val="left" w:pos="1416"/>
        </w:tabs>
        <w:spacing w:line="316" w:lineRule="auto"/>
        <w:ind w:left="384" w:right="467" w:firstLine="480"/>
        <w:rPr>
          <w:sz w:val="24"/>
        </w:rPr>
      </w:pPr>
      <w:r>
        <w:rPr>
          <w:rFonts w:hint="eastAsia"/>
          <w:spacing w:val="3"/>
          <w:sz w:val="24"/>
        </w:rPr>
        <w:t>发包人有权通过监理人向承包人发出为满足本合同工程的正确实施和完成及其缺陷修复所需的补充图纸和有关指示，承包人应予执行。</w:t>
      </w:r>
    </w:p>
    <w:p>
      <w:pPr>
        <w:pStyle w:val="10"/>
        <w:spacing w:before="179"/>
        <w:ind w:left="583"/>
      </w:pPr>
      <w:r>
        <w:rPr>
          <w:rFonts w:hint="eastAsia"/>
        </w:rPr>
        <w:t>二、双方一般义务和责任</w:t>
      </w:r>
    </w:p>
    <w:p>
      <w:pPr>
        <w:pStyle w:val="10"/>
        <w:spacing w:before="9"/>
        <w:rPr>
          <w:sz w:val="21"/>
        </w:rPr>
      </w:pPr>
    </w:p>
    <w:p>
      <w:pPr>
        <w:pStyle w:val="20"/>
        <w:numPr>
          <w:ilvl w:val="3"/>
          <w:numId w:val="5"/>
        </w:numPr>
        <w:tabs>
          <w:tab w:val="left" w:pos="1005"/>
        </w:tabs>
        <w:ind w:hanging="182"/>
        <w:jc w:val="left"/>
        <w:rPr>
          <w:sz w:val="24"/>
        </w:rPr>
      </w:pPr>
      <w:r>
        <w:rPr>
          <w:rFonts w:hint="eastAsia"/>
          <w:sz w:val="24"/>
        </w:rPr>
        <w:t>发包人一般义务和责任</w:t>
      </w:r>
    </w:p>
    <w:p>
      <w:pPr>
        <w:pStyle w:val="10"/>
        <w:spacing w:before="11"/>
        <w:rPr>
          <w:sz w:val="21"/>
        </w:rPr>
      </w:pPr>
    </w:p>
    <w:p>
      <w:pPr>
        <w:pStyle w:val="20"/>
        <w:numPr>
          <w:ilvl w:val="4"/>
          <w:numId w:val="5"/>
        </w:numPr>
        <w:tabs>
          <w:tab w:val="left" w:pos="1404"/>
        </w:tabs>
        <w:spacing w:line="316" w:lineRule="auto"/>
        <w:ind w:left="384" w:right="466" w:firstLine="480"/>
        <w:jc w:val="both"/>
        <w:rPr>
          <w:sz w:val="24"/>
        </w:rPr>
      </w:pPr>
      <w:r>
        <w:rPr>
          <w:rFonts w:hint="eastAsia"/>
          <w:spacing w:val="-2"/>
          <w:sz w:val="24"/>
        </w:rPr>
        <w:t>发包人应在其组织实施本合同的全部工作中遵守与本合同有关的法律、法</w:t>
      </w:r>
      <w:r>
        <w:rPr>
          <w:rFonts w:hint="eastAsia"/>
          <w:spacing w:val="-1"/>
          <w:sz w:val="24"/>
        </w:rPr>
        <w:t>规和规章，同时应承担合同条款中规定的一般义务和责任，并应承担由于自身违反</w:t>
      </w:r>
      <w:r>
        <w:rPr>
          <w:rFonts w:hint="eastAsia"/>
          <w:sz w:val="24"/>
        </w:rPr>
        <w:t>上述法律、法规和规章的责任。</w:t>
      </w:r>
    </w:p>
    <w:p>
      <w:pPr>
        <w:pStyle w:val="20"/>
        <w:numPr>
          <w:ilvl w:val="4"/>
          <w:numId w:val="5"/>
        </w:numPr>
        <w:tabs>
          <w:tab w:val="left" w:pos="1404"/>
        </w:tabs>
        <w:spacing w:line="316" w:lineRule="auto"/>
        <w:ind w:left="384" w:right="466" w:firstLine="480"/>
        <w:jc w:val="both"/>
        <w:rPr>
          <w:sz w:val="24"/>
        </w:rPr>
      </w:pPr>
      <w:r>
        <w:rPr>
          <w:rFonts w:hint="eastAsia"/>
          <w:spacing w:val="-3"/>
          <w:sz w:val="24"/>
        </w:rPr>
        <w:t>发包人应负责工程用地范围内的征地拆迁工作，并承担相关费用。发包人</w:t>
      </w:r>
      <w:r>
        <w:rPr>
          <w:rFonts w:hint="eastAsia"/>
          <w:sz w:val="24"/>
        </w:rPr>
        <w:t>应协助承包人办理法律规定的有关本项目的施工手续。</w:t>
      </w:r>
    </w:p>
    <w:p>
      <w:pPr>
        <w:pStyle w:val="10"/>
        <w:spacing w:line="316" w:lineRule="auto"/>
        <w:ind w:left="384" w:right="465" w:firstLine="480"/>
        <w:jc w:val="both"/>
      </w:pPr>
      <w:r>
        <w:rPr>
          <w:rFonts w:hint="eastAsia"/>
        </w:rPr>
        <w:t>按时向承包人提供施工用地，保证按时开工。由于发包人未能按照本项规定办妥永久占地征用手续及施工用地，影响承包人及时使用永久占地及施工用地造成的费用增加和(或)工期延误应由发包人承担。</w:t>
      </w:r>
    </w:p>
    <w:p>
      <w:pPr>
        <w:pStyle w:val="20"/>
        <w:numPr>
          <w:ilvl w:val="4"/>
          <w:numId w:val="5"/>
        </w:numPr>
        <w:tabs>
          <w:tab w:val="left" w:pos="1404"/>
        </w:tabs>
        <w:spacing w:line="316" w:lineRule="auto"/>
        <w:ind w:left="384" w:right="466" w:firstLine="480"/>
        <w:jc w:val="both"/>
        <w:rPr>
          <w:sz w:val="24"/>
        </w:rPr>
      </w:pPr>
      <w:r>
        <w:rPr>
          <w:rFonts w:hint="eastAsia"/>
          <w:spacing w:val="-4"/>
          <w:sz w:val="24"/>
        </w:rPr>
        <w:t>工程实行社会监理的，发包人将委托的监理人、监理内容及监理权限以书</w:t>
      </w:r>
      <w:r>
        <w:rPr>
          <w:rFonts w:hint="eastAsia"/>
          <w:sz w:val="24"/>
        </w:rPr>
        <w:t>面形式通知承包人。</w:t>
      </w:r>
    </w:p>
    <w:p>
      <w:pPr>
        <w:pStyle w:val="20"/>
        <w:numPr>
          <w:ilvl w:val="4"/>
          <w:numId w:val="5"/>
        </w:numPr>
        <w:tabs>
          <w:tab w:val="left" w:pos="1404"/>
        </w:tabs>
        <w:spacing w:line="307" w:lineRule="exact"/>
        <w:jc w:val="both"/>
        <w:rPr>
          <w:sz w:val="24"/>
        </w:rPr>
      </w:pPr>
      <w:r>
        <w:rPr>
          <w:rFonts w:hint="eastAsia"/>
          <w:sz w:val="24"/>
        </w:rPr>
        <w:t>监理人按合同规定向承包人发出开工通知（应征得发包人同意）。</w:t>
      </w:r>
    </w:p>
    <w:p>
      <w:pPr>
        <w:pStyle w:val="20"/>
        <w:numPr>
          <w:ilvl w:val="4"/>
          <w:numId w:val="5"/>
        </w:numPr>
        <w:tabs>
          <w:tab w:val="left" w:pos="1404"/>
        </w:tabs>
        <w:spacing w:before="99" w:line="316" w:lineRule="auto"/>
        <w:ind w:left="384" w:right="466" w:firstLine="480"/>
        <w:jc w:val="both"/>
        <w:rPr>
          <w:sz w:val="24"/>
        </w:rPr>
      </w:pPr>
      <w:r>
        <w:rPr>
          <w:rFonts w:hint="eastAsia"/>
          <w:spacing w:val="-1"/>
          <w:sz w:val="24"/>
        </w:rPr>
        <w:t>发包人应及时提供设计图纸及资料</w:t>
      </w:r>
      <w:r>
        <w:rPr>
          <w:rFonts w:hint="eastAsia"/>
          <w:sz w:val="24"/>
        </w:rPr>
        <w:t>（包括变更设计</w:t>
      </w:r>
      <w:r>
        <w:rPr>
          <w:rFonts w:hint="eastAsia"/>
          <w:spacing w:val="-9"/>
          <w:sz w:val="24"/>
        </w:rPr>
        <w:t>）</w:t>
      </w:r>
      <w:r>
        <w:rPr>
          <w:rFonts w:hint="eastAsia"/>
          <w:spacing w:val="-5"/>
          <w:sz w:val="24"/>
        </w:rPr>
        <w:t>，因发包人的原因造</w:t>
      </w:r>
      <w:r>
        <w:rPr>
          <w:rFonts w:hint="eastAsia"/>
          <w:spacing w:val="-1"/>
          <w:sz w:val="24"/>
        </w:rPr>
        <w:t>成的停工、窝工，除应允许承包人延长相应工期外，还应补偿由此对承包人造成的</w:t>
      </w:r>
      <w:r>
        <w:rPr>
          <w:rFonts w:hint="eastAsia"/>
          <w:sz w:val="24"/>
        </w:rPr>
        <w:t>损失。补偿额由监理人在现场核查后计算其数额，报发包人批准后支付。</w:t>
      </w:r>
    </w:p>
    <w:p>
      <w:pPr>
        <w:pStyle w:val="20"/>
        <w:numPr>
          <w:ilvl w:val="4"/>
          <w:numId w:val="5"/>
        </w:numPr>
        <w:tabs>
          <w:tab w:val="left" w:pos="1404"/>
        </w:tabs>
        <w:spacing w:before="1" w:line="316" w:lineRule="auto"/>
        <w:ind w:left="384" w:right="346" w:firstLine="480"/>
        <w:jc w:val="both"/>
        <w:rPr>
          <w:sz w:val="24"/>
        </w:rPr>
      </w:pPr>
      <w:r>
        <w:rPr>
          <w:rFonts w:hint="eastAsia"/>
          <w:spacing w:val="-1"/>
          <w:sz w:val="24"/>
        </w:rPr>
        <w:t>发包人向承包人支付的预付款金额见合同条款数据表。承包人提交的履约</w:t>
      </w:r>
      <w:r>
        <w:rPr>
          <w:rFonts w:hint="eastAsia"/>
          <w:spacing w:val="-7"/>
          <w:sz w:val="24"/>
        </w:rPr>
        <w:t>保证金对预付款的正常使用承担保证责任，承包人无再须向发包人提交预付款保函。</w:t>
      </w:r>
    </w:p>
    <w:p>
      <w:pPr>
        <w:pStyle w:val="20"/>
        <w:numPr>
          <w:ilvl w:val="4"/>
          <w:numId w:val="5"/>
        </w:numPr>
        <w:tabs>
          <w:tab w:val="left" w:pos="1409"/>
        </w:tabs>
        <w:spacing w:line="316" w:lineRule="auto"/>
        <w:ind w:left="384" w:right="466" w:firstLine="480"/>
        <w:jc w:val="both"/>
        <w:rPr>
          <w:sz w:val="24"/>
        </w:rPr>
      </w:pPr>
      <w:r>
        <w:rPr>
          <w:rFonts w:hint="eastAsia"/>
          <w:spacing w:val="-2"/>
          <w:sz w:val="24"/>
        </w:rPr>
        <w:t xml:space="preserve">发包人在接到监理人审定的中期支付报告后 </w:t>
      </w:r>
      <w:r>
        <w:rPr>
          <w:rFonts w:hint="eastAsia"/>
          <w:sz w:val="24"/>
        </w:rPr>
        <w:t>14</w:t>
      </w:r>
      <w:r>
        <w:rPr>
          <w:rFonts w:hint="eastAsia"/>
          <w:spacing w:val="20"/>
          <w:sz w:val="24"/>
        </w:rPr>
        <w:t xml:space="preserve"> </w:t>
      </w:r>
      <w:r>
        <w:rPr>
          <w:rFonts w:hint="eastAsia"/>
          <w:sz w:val="24"/>
        </w:rPr>
        <w:t>天内拨付工程进度款。在</w:t>
      </w:r>
      <w:r>
        <w:rPr>
          <w:rFonts w:hint="eastAsia"/>
          <w:spacing w:val="-4"/>
          <w:sz w:val="24"/>
        </w:rPr>
        <w:t xml:space="preserve">中期支付中应扣除预付款，预付款的扣回按合同条款 </w:t>
      </w:r>
      <w:r>
        <w:rPr>
          <w:rFonts w:hint="eastAsia"/>
          <w:sz w:val="24"/>
        </w:rPr>
        <w:t xml:space="preserve">17.3 </w:t>
      </w:r>
      <w:r>
        <w:rPr>
          <w:rFonts w:hint="eastAsia"/>
          <w:spacing w:val="-5"/>
          <w:sz w:val="24"/>
        </w:rPr>
        <w:t>款执行。监理人签发中期</w:t>
      </w:r>
      <w:r>
        <w:rPr>
          <w:rFonts w:hint="eastAsia"/>
          <w:spacing w:val="-7"/>
          <w:sz w:val="24"/>
        </w:rPr>
        <w:t xml:space="preserve">支付证书的时限为 </w:t>
      </w:r>
      <w:r>
        <w:rPr>
          <w:rFonts w:hint="eastAsia"/>
          <w:sz w:val="24"/>
        </w:rPr>
        <w:t>14 天。</w:t>
      </w:r>
    </w:p>
    <w:p>
      <w:pPr>
        <w:pStyle w:val="20"/>
        <w:numPr>
          <w:ilvl w:val="4"/>
          <w:numId w:val="5"/>
        </w:numPr>
        <w:tabs>
          <w:tab w:val="left" w:pos="1409"/>
        </w:tabs>
        <w:spacing w:before="1" w:line="316" w:lineRule="auto"/>
        <w:ind w:left="384" w:right="466" w:firstLine="480"/>
        <w:jc w:val="both"/>
        <w:rPr>
          <w:sz w:val="24"/>
        </w:rPr>
      </w:pPr>
      <w:r>
        <w:rPr>
          <w:rFonts w:hint="eastAsia"/>
          <w:spacing w:val="-2"/>
          <w:sz w:val="24"/>
        </w:rPr>
        <w:t xml:space="preserve">发包人在接到监理人交工验收报告后在符合交工验收条件的情况下 </w:t>
      </w:r>
      <w:r>
        <w:rPr>
          <w:rFonts w:hint="eastAsia"/>
          <w:sz w:val="24"/>
        </w:rPr>
        <w:t>14</w:t>
      </w:r>
      <w:r>
        <w:rPr>
          <w:rFonts w:hint="eastAsia"/>
          <w:spacing w:val="23"/>
          <w:sz w:val="24"/>
        </w:rPr>
        <w:t xml:space="preserve"> </w:t>
      </w:r>
      <w:r>
        <w:rPr>
          <w:rFonts w:hint="eastAsia"/>
          <w:sz w:val="24"/>
        </w:rPr>
        <w:t>天</w:t>
      </w:r>
      <w:r>
        <w:rPr>
          <w:rFonts w:hint="eastAsia"/>
          <w:spacing w:val="-11"/>
          <w:sz w:val="24"/>
        </w:rPr>
        <w:t xml:space="preserve">内组织交工验收，发包人应在收到承包人缴纳的质量保证金后 </w:t>
      </w:r>
      <w:r>
        <w:rPr>
          <w:rFonts w:hint="eastAsia"/>
          <w:sz w:val="24"/>
        </w:rPr>
        <w:t xml:space="preserve">28 </w:t>
      </w:r>
      <w:r>
        <w:rPr>
          <w:rFonts w:hint="eastAsia"/>
          <w:spacing w:val="-3"/>
          <w:sz w:val="24"/>
        </w:rPr>
        <w:t>天内将履约保证金</w:t>
      </w:r>
      <w:r>
        <w:rPr>
          <w:rFonts w:hint="eastAsia"/>
          <w:sz w:val="24"/>
        </w:rPr>
        <w:t>退还给承包人。</w:t>
      </w:r>
    </w:p>
    <w:p>
      <w:pPr>
        <w:pStyle w:val="10"/>
        <w:spacing w:line="316" w:lineRule="auto"/>
        <w:ind w:left="384" w:right="465" w:firstLine="480"/>
      </w:pPr>
      <w:r>
        <w:rPr>
          <w:rFonts w:hint="eastAsia"/>
        </w:rPr>
        <w:t>交工后进入缺陷责任期，缺陷责任期见合同条款数据表。发包人应按合同约定及时组织竣工验收，签发缺陷责任终止证书，退返质量保证金。</w:t>
      </w:r>
    </w:p>
    <w:p>
      <w:pPr>
        <w:pStyle w:val="20"/>
        <w:numPr>
          <w:ilvl w:val="3"/>
          <w:numId w:val="5"/>
        </w:numPr>
        <w:tabs>
          <w:tab w:val="left" w:pos="1005"/>
        </w:tabs>
        <w:spacing w:before="181"/>
        <w:ind w:hanging="182"/>
        <w:jc w:val="left"/>
        <w:rPr>
          <w:sz w:val="24"/>
        </w:rPr>
      </w:pPr>
      <w:r>
        <w:rPr>
          <w:rFonts w:hint="eastAsia"/>
          <w:sz w:val="24"/>
        </w:rPr>
        <w:t>承包人一般义务和责任</w:t>
      </w:r>
    </w:p>
    <w:p>
      <w:pPr>
        <w:rPr>
          <w:sz w:val="24"/>
        </w:rPr>
        <w:sectPr>
          <w:pgSz w:w="11910" w:h="16840"/>
          <w:pgMar w:top="1360" w:right="1120" w:bottom="1080" w:left="1260" w:header="882" w:footer="880" w:gutter="0"/>
          <w:cols w:space="720" w:num="1"/>
        </w:sectPr>
      </w:pPr>
    </w:p>
    <w:p>
      <w:pPr>
        <w:pStyle w:val="10"/>
        <w:spacing w:before="8"/>
        <w:rPr>
          <w:sz w:val="16"/>
        </w:rPr>
      </w:pPr>
    </w:p>
    <w:p>
      <w:pPr>
        <w:pStyle w:val="20"/>
        <w:numPr>
          <w:ilvl w:val="4"/>
          <w:numId w:val="5"/>
        </w:numPr>
        <w:tabs>
          <w:tab w:val="left" w:pos="1404"/>
        </w:tabs>
        <w:spacing w:before="77" w:line="297" w:lineRule="auto"/>
        <w:ind w:left="384" w:right="346" w:firstLine="480"/>
        <w:jc w:val="both"/>
        <w:rPr>
          <w:sz w:val="24"/>
        </w:rPr>
      </w:pPr>
      <w:r>
        <w:rPr>
          <w:rFonts w:hint="eastAsia"/>
          <w:spacing w:val="-1"/>
          <w:sz w:val="24"/>
        </w:rPr>
        <w:t>承包人在执行本工程合同全过程中应遵守与本合同有关的法律、法规和规章，并保证发包人免于承担因承包人违反法律而引起的任何责任。同时应承担合同</w:t>
      </w:r>
      <w:r>
        <w:rPr>
          <w:rFonts w:hint="eastAsia"/>
          <w:spacing w:val="-8"/>
          <w:sz w:val="24"/>
        </w:rPr>
        <w:t>条款中规定的义务和责任，并承担由于自身违反上述法律、法规和规章的任何责任。</w:t>
      </w:r>
    </w:p>
    <w:p>
      <w:pPr>
        <w:pStyle w:val="20"/>
        <w:numPr>
          <w:ilvl w:val="4"/>
          <w:numId w:val="5"/>
        </w:numPr>
        <w:tabs>
          <w:tab w:val="left" w:pos="1404"/>
        </w:tabs>
        <w:spacing w:line="297" w:lineRule="auto"/>
        <w:ind w:left="384" w:right="466" w:firstLine="480"/>
        <w:jc w:val="both"/>
        <w:rPr>
          <w:sz w:val="24"/>
        </w:rPr>
      </w:pPr>
      <w:r>
        <w:rPr>
          <w:rFonts w:hint="eastAsia"/>
          <w:spacing w:val="-3"/>
          <w:sz w:val="24"/>
        </w:rPr>
        <w:t>承包人应按合同约定以及监理人根据合同文件作出的指示，实施、完成全</w:t>
      </w:r>
      <w:r>
        <w:rPr>
          <w:rFonts w:hint="eastAsia"/>
          <w:spacing w:val="-1"/>
          <w:sz w:val="24"/>
        </w:rPr>
        <w:t>部工程，并修补工程中的任何缺陷。除专用合同条款另有约定外，承包人应提供为完成合同工作所需的劳务、材料、施工设备、工程设备和其他物品，并按合同约定</w:t>
      </w:r>
      <w:r>
        <w:rPr>
          <w:rFonts w:hint="eastAsia"/>
          <w:sz w:val="24"/>
        </w:rPr>
        <w:t>负责临时设施的设计、建造、运行、维护、管理和拆除。</w:t>
      </w:r>
    </w:p>
    <w:p>
      <w:pPr>
        <w:pStyle w:val="20"/>
        <w:numPr>
          <w:ilvl w:val="4"/>
          <w:numId w:val="5"/>
        </w:numPr>
        <w:tabs>
          <w:tab w:val="left" w:pos="1404"/>
        </w:tabs>
        <w:spacing w:before="4" w:line="297" w:lineRule="auto"/>
        <w:ind w:left="384" w:right="466" w:firstLine="480"/>
        <w:jc w:val="both"/>
        <w:rPr>
          <w:sz w:val="24"/>
        </w:rPr>
      </w:pPr>
      <w:r>
        <w:rPr>
          <w:rFonts w:hint="eastAsia"/>
          <w:spacing w:val="-3"/>
          <w:sz w:val="24"/>
        </w:rPr>
        <w:t>承包人应仔细核查发包人提供的设计文件，对于存在的错误或疏忽，应及</w:t>
      </w:r>
      <w:r>
        <w:rPr>
          <w:rFonts w:hint="eastAsia"/>
          <w:sz w:val="24"/>
        </w:rPr>
        <w:t>时通知监理人。</w:t>
      </w:r>
    </w:p>
    <w:p>
      <w:pPr>
        <w:pStyle w:val="20"/>
        <w:numPr>
          <w:ilvl w:val="4"/>
          <w:numId w:val="5"/>
        </w:numPr>
        <w:tabs>
          <w:tab w:val="left" w:pos="1416"/>
        </w:tabs>
        <w:spacing w:before="27" w:line="312" w:lineRule="auto"/>
        <w:ind w:left="384" w:right="467" w:firstLine="480"/>
        <w:jc w:val="both"/>
        <w:rPr>
          <w:sz w:val="24"/>
        </w:rPr>
      </w:pPr>
      <w:r>
        <w:rPr>
          <w:rFonts w:hint="eastAsia"/>
          <w:spacing w:val="3"/>
          <w:sz w:val="24"/>
        </w:rPr>
        <w:t>承包人应保证其履约保证金在发包人签发交工验收证书且承包人按照合同约定缴纳质量保证金前一直有效。</w:t>
      </w:r>
    </w:p>
    <w:p>
      <w:pPr>
        <w:pStyle w:val="20"/>
        <w:numPr>
          <w:ilvl w:val="4"/>
          <w:numId w:val="5"/>
        </w:numPr>
        <w:tabs>
          <w:tab w:val="left" w:pos="1404"/>
        </w:tabs>
        <w:spacing w:line="283" w:lineRule="exact"/>
        <w:jc w:val="both"/>
        <w:rPr>
          <w:sz w:val="24"/>
        </w:rPr>
      </w:pPr>
      <w:r>
        <w:rPr>
          <w:rFonts w:hint="eastAsia"/>
          <w:spacing w:val="-2"/>
          <w:sz w:val="24"/>
        </w:rPr>
        <w:t>承包人应设立针对该项目的独立银行账户，所有要求用于该项目的资金不</w:t>
      </w:r>
    </w:p>
    <w:p>
      <w:pPr>
        <w:pStyle w:val="10"/>
        <w:spacing w:before="74"/>
        <w:ind w:left="384"/>
      </w:pPr>
      <w:r>
        <w:rPr>
          <w:rFonts w:hint="eastAsia"/>
        </w:rPr>
        <w:t>得挪作他用，否则发包人有权终止合同，没收履约保证金。</w:t>
      </w:r>
    </w:p>
    <w:p>
      <w:pPr>
        <w:pStyle w:val="20"/>
        <w:numPr>
          <w:ilvl w:val="4"/>
          <w:numId w:val="5"/>
        </w:numPr>
        <w:tabs>
          <w:tab w:val="left" w:pos="1403"/>
          <w:tab w:val="left" w:pos="1404"/>
        </w:tabs>
        <w:spacing w:before="74"/>
        <w:rPr>
          <w:sz w:val="24"/>
        </w:rPr>
      </w:pPr>
      <w:r>
        <w:rPr>
          <w:rFonts w:hint="eastAsia"/>
          <w:sz w:val="24"/>
        </w:rPr>
        <w:t>承包人应按有关法律规定纳税，其费用包括在合同价格内。</w:t>
      </w:r>
    </w:p>
    <w:p>
      <w:pPr>
        <w:pStyle w:val="20"/>
        <w:numPr>
          <w:ilvl w:val="4"/>
          <w:numId w:val="5"/>
        </w:numPr>
        <w:tabs>
          <w:tab w:val="left" w:pos="1403"/>
          <w:tab w:val="left" w:pos="1404"/>
        </w:tabs>
        <w:spacing w:before="74" w:line="297" w:lineRule="auto"/>
        <w:ind w:left="384" w:right="442" w:firstLine="480"/>
        <w:rPr>
          <w:sz w:val="24"/>
        </w:rPr>
      </w:pPr>
      <w:r>
        <w:rPr>
          <w:rFonts w:hint="eastAsia"/>
          <w:spacing w:val="-1"/>
          <w:sz w:val="24"/>
        </w:rPr>
        <w:t xml:space="preserve">承包人应认真执行监理人发出的与合同有关的任何指令，及时进场施工， </w:t>
      </w:r>
      <w:r>
        <w:rPr>
          <w:rFonts w:hint="eastAsia"/>
          <w:sz w:val="24"/>
        </w:rPr>
        <w:t>按时完成合同规定的全部承包内容。</w:t>
      </w:r>
    </w:p>
    <w:p>
      <w:pPr>
        <w:pStyle w:val="20"/>
        <w:numPr>
          <w:ilvl w:val="4"/>
          <w:numId w:val="5"/>
        </w:numPr>
        <w:tabs>
          <w:tab w:val="left" w:pos="1403"/>
          <w:tab w:val="left" w:pos="1404"/>
        </w:tabs>
        <w:spacing w:before="1" w:line="297" w:lineRule="auto"/>
        <w:ind w:left="384" w:right="346" w:firstLine="480"/>
        <w:rPr>
          <w:sz w:val="24"/>
        </w:rPr>
      </w:pPr>
      <w:r>
        <w:rPr>
          <w:rFonts w:hint="eastAsia"/>
          <w:sz w:val="24"/>
        </w:rPr>
        <w:t>承包人应按合同约定指派项目经理、项目总工，并在约定的期限内到职。承包人更换项目经理、项目总工应事先征得发包人同意。进入现场的职工，应能胜任其本职工作。发包人和承包人在合同谈判阶段确定的其他管理和技术人员必须及时进场。承包人应按发包人和承包人在合同谈判阶段确定的主要机械设备和试验检</w:t>
      </w:r>
      <w:r>
        <w:rPr>
          <w:rFonts w:hint="eastAsia"/>
          <w:spacing w:val="-7"/>
          <w:sz w:val="24"/>
        </w:rPr>
        <w:t>测设备按时到达施工现场。人员、机械、试验仪器设备不得拖延、短缺或任意更换。</w:t>
      </w:r>
      <w:r>
        <w:rPr>
          <w:rFonts w:hint="eastAsia"/>
          <w:sz w:val="24"/>
        </w:rPr>
        <w:t>否则将视为承包人违约。承包人应按有关规定，确保工程及其人员、材料、设备和设施的安全，防止因工程施工造成的人员伤害和财产损失。</w:t>
      </w:r>
    </w:p>
    <w:p>
      <w:pPr>
        <w:pStyle w:val="20"/>
        <w:numPr>
          <w:ilvl w:val="4"/>
          <w:numId w:val="5"/>
        </w:numPr>
        <w:tabs>
          <w:tab w:val="left" w:pos="1404"/>
        </w:tabs>
        <w:spacing w:before="7" w:line="297" w:lineRule="auto"/>
        <w:ind w:left="384" w:right="466" w:firstLine="480"/>
        <w:jc w:val="both"/>
        <w:rPr>
          <w:sz w:val="24"/>
        </w:rPr>
      </w:pPr>
      <w:r>
        <w:rPr>
          <w:rFonts w:hint="eastAsia"/>
          <w:spacing w:val="-3"/>
          <w:sz w:val="24"/>
        </w:rPr>
        <w:t>承包人应按设计图纸及相关资料和规范要求，精心组织施工，并对现场文</w:t>
      </w:r>
      <w:r>
        <w:rPr>
          <w:rFonts w:hint="eastAsia"/>
          <w:spacing w:val="-1"/>
          <w:sz w:val="24"/>
        </w:rPr>
        <w:t>明施工、环境保护及作业和施工方法的完备性和可靠性负全部责任。不合格的材料</w:t>
      </w:r>
      <w:r>
        <w:rPr>
          <w:rFonts w:hint="eastAsia"/>
          <w:sz w:val="24"/>
        </w:rPr>
        <w:t>及机械设备不得运入现场。</w:t>
      </w:r>
    </w:p>
    <w:p>
      <w:pPr>
        <w:pStyle w:val="20"/>
        <w:numPr>
          <w:ilvl w:val="4"/>
          <w:numId w:val="5"/>
        </w:numPr>
        <w:tabs>
          <w:tab w:val="left" w:pos="1529"/>
        </w:tabs>
        <w:spacing w:before="1" w:line="297" w:lineRule="auto"/>
        <w:ind w:left="384" w:right="465" w:firstLine="480"/>
        <w:jc w:val="both"/>
        <w:rPr>
          <w:sz w:val="24"/>
        </w:rPr>
      </w:pPr>
      <w:r>
        <w:rPr>
          <w:rFonts w:hint="eastAsia"/>
          <w:sz w:val="24"/>
        </w:rPr>
        <w:t>承包人不得从为发包人、监理人服务的人员中招聘雇员或工人。雇用员</w:t>
      </w:r>
      <w:r>
        <w:rPr>
          <w:rFonts w:hint="eastAsia"/>
          <w:spacing w:val="-1"/>
          <w:sz w:val="24"/>
        </w:rPr>
        <w:t>工应订立劳务合同，执行国家有关劳动保障规定，不得无故克扣或拖欠劳务人员的</w:t>
      </w:r>
      <w:r>
        <w:rPr>
          <w:rFonts w:hint="eastAsia"/>
          <w:sz w:val="24"/>
        </w:rPr>
        <w:t>工资。</w:t>
      </w:r>
    </w:p>
    <w:p>
      <w:pPr>
        <w:pStyle w:val="20"/>
        <w:numPr>
          <w:ilvl w:val="4"/>
          <w:numId w:val="5"/>
        </w:numPr>
        <w:tabs>
          <w:tab w:val="left" w:pos="1524"/>
        </w:tabs>
        <w:spacing w:before="3" w:line="297" w:lineRule="auto"/>
        <w:ind w:left="384" w:right="455" w:firstLine="480"/>
        <w:jc w:val="both"/>
        <w:rPr>
          <w:sz w:val="24"/>
        </w:rPr>
      </w:pPr>
      <w:r>
        <w:rPr>
          <w:rFonts w:hint="eastAsia"/>
          <w:spacing w:val="-13"/>
          <w:sz w:val="24"/>
        </w:rPr>
        <w:t>承包人应为本合同的施工建立强有力的质量保证体系和质检体系，建立质量</w:t>
      </w:r>
      <w:r>
        <w:rPr>
          <w:rFonts w:hint="eastAsia"/>
          <w:spacing w:val="-12"/>
          <w:sz w:val="24"/>
        </w:rPr>
        <w:t>责任制、加强质量监控，完备检验手段，对现场施工的可靠性、安全性承担全部责任。</w:t>
      </w:r>
    </w:p>
    <w:p>
      <w:pPr>
        <w:pStyle w:val="20"/>
        <w:numPr>
          <w:ilvl w:val="4"/>
          <w:numId w:val="5"/>
        </w:numPr>
        <w:tabs>
          <w:tab w:val="left" w:pos="1524"/>
        </w:tabs>
        <w:spacing w:before="1" w:line="297" w:lineRule="auto"/>
        <w:ind w:left="384" w:right="346" w:firstLine="480"/>
        <w:jc w:val="both"/>
        <w:rPr>
          <w:sz w:val="24"/>
        </w:rPr>
      </w:pPr>
      <w:r>
        <w:rPr>
          <w:rFonts w:hint="eastAsia"/>
          <w:spacing w:val="-2"/>
          <w:sz w:val="24"/>
        </w:rPr>
        <w:t xml:space="preserve">批准的设计文件中要求的所有事项应视为合同条款所要求的，若有争议， </w:t>
      </w:r>
      <w:r>
        <w:rPr>
          <w:rFonts w:hint="eastAsia"/>
          <w:sz w:val="24"/>
        </w:rPr>
        <w:t>以监理人发出的指令为准。</w:t>
      </w:r>
    </w:p>
    <w:p>
      <w:pPr>
        <w:pStyle w:val="20"/>
        <w:numPr>
          <w:ilvl w:val="4"/>
          <w:numId w:val="5"/>
        </w:numPr>
        <w:tabs>
          <w:tab w:val="left" w:pos="1529"/>
        </w:tabs>
        <w:spacing w:line="297" w:lineRule="auto"/>
        <w:ind w:left="384" w:right="467" w:firstLine="480"/>
        <w:jc w:val="both"/>
        <w:rPr>
          <w:sz w:val="24"/>
        </w:rPr>
      </w:pPr>
      <w:r>
        <w:rPr>
          <w:rFonts w:hint="eastAsia"/>
          <w:sz w:val="24"/>
        </w:rPr>
        <w:t>承包人应负责工程移交前的照管和维护工作，确保工程正式移交时不受到损坏。</w:t>
      </w:r>
    </w:p>
    <w:p>
      <w:pPr>
        <w:spacing w:line="297" w:lineRule="auto"/>
        <w:jc w:val="both"/>
        <w:rPr>
          <w:sz w:val="24"/>
        </w:rPr>
        <w:sectPr>
          <w:pgSz w:w="11910" w:h="16840"/>
          <w:pgMar w:top="1360" w:right="1120" w:bottom="1080" w:left="1260" w:header="882" w:footer="880" w:gutter="0"/>
          <w:cols w:space="720" w:num="1"/>
        </w:sectPr>
      </w:pPr>
    </w:p>
    <w:p>
      <w:pPr>
        <w:pStyle w:val="10"/>
        <w:spacing w:before="8"/>
        <w:rPr>
          <w:sz w:val="16"/>
        </w:rPr>
      </w:pPr>
    </w:p>
    <w:p>
      <w:pPr>
        <w:pStyle w:val="20"/>
        <w:numPr>
          <w:ilvl w:val="4"/>
          <w:numId w:val="5"/>
        </w:numPr>
        <w:tabs>
          <w:tab w:val="left" w:pos="1524"/>
        </w:tabs>
        <w:spacing w:before="77" w:line="297" w:lineRule="auto"/>
        <w:ind w:left="384" w:right="466" w:firstLine="480"/>
        <w:jc w:val="both"/>
        <w:rPr>
          <w:sz w:val="24"/>
        </w:rPr>
      </w:pPr>
      <w:r>
        <w:rPr>
          <w:rFonts w:hint="eastAsia"/>
          <w:spacing w:val="-4"/>
          <w:sz w:val="24"/>
        </w:rPr>
        <w:t xml:space="preserve">承包人应在工程交工验收合格证书签发后 </w:t>
      </w:r>
      <w:r>
        <w:rPr>
          <w:rFonts w:hint="eastAsia"/>
          <w:sz w:val="24"/>
        </w:rPr>
        <w:t>14</w:t>
      </w:r>
      <w:r>
        <w:rPr>
          <w:rFonts w:hint="eastAsia"/>
          <w:spacing w:val="-12"/>
          <w:sz w:val="24"/>
        </w:rPr>
        <w:t xml:space="preserve"> </w:t>
      </w:r>
      <w:r>
        <w:rPr>
          <w:rFonts w:hint="eastAsia"/>
          <w:spacing w:val="-2"/>
          <w:sz w:val="24"/>
        </w:rPr>
        <w:t>天内完成工地清理并撤离人</w:t>
      </w:r>
      <w:r>
        <w:rPr>
          <w:rFonts w:hint="eastAsia"/>
          <w:sz w:val="24"/>
        </w:rPr>
        <w:t>员、设备和剩余材料。未完成缺陷责任而留置的人员、设备、材料除外。</w:t>
      </w:r>
    </w:p>
    <w:p>
      <w:pPr>
        <w:pStyle w:val="20"/>
        <w:numPr>
          <w:ilvl w:val="4"/>
          <w:numId w:val="5"/>
        </w:numPr>
        <w:tabs>
          <w:tab w:val="left" w:pos="1524"/>
        </w:tabs>
        <w:ind w:left="1524" w:hanging="660"/>
        <w:jc w:val="both"/>
        <w:rPr>
          <w:sz w:val="24"/>
        </w:rPr>
      </w:pPr>
      <w:r>
        <w:rPr>
          <w:rFonts w:hint="eastAsia"/>
          <w:sz w:val="24"/>
        </w:rPr>
        <w:t>承包人应按国家有关劳动保护的规定，保障其雇佣人员的合法权益。</w:t>
      </w:r>
    </w:p>
    <w:p>
      <w:pPr>
        <w:pStyle w:val="20"/>
        <w:numPr>
          <w:ilvl w:val="0"/>
          <w:numId w:val="7"/>
        </w:numPr>
        <w:tabs>
          <w:tab w:val="left" w:pos="1465"/>
        </w:tabs>
        <w:spacing w:before="74" w:line="297" w:lineRule="auto"/>
        <w:ind w:right="466" w:firstLine="480"/>
        <w:jc w:val="both"/>
        <w:rPr>
          <w:sz w:val="24"/>
        </w:rPr>
      </w:pPr>
      <w:r>
        <w:rPr>
          <w:rFonts w:hint="eastAsia"/>
          <w:sz w:val="24"/>
        </w:rPr>
        <w:t>承包人应严格遵守国家及地方政府有关解决拖欠工程款和农民工工资的</w:t>
      </w:r>
      <w:r>
        <w:rPr>
          <w:rFonts w:hint="eastAsia"/>
          <w:spacing w:val="-5"/>
          <w:sz w:val="24"/>
        </w:rPr>
        <w:t>法律、法规、规章及规范性文件，及时支付工程中的材料、设备货款及农民工工资</w:t>
      </w:r>
      <w:r>
        <w:rPr>
          <w:rFonts w:hint="eastAsia"/>
          <w:spacing w:val="-4"/>
          <w:sz w:val="24"/>
        </w:rPr>
        <w:t>等费用。对恶意拖欠和拒不按计划支付的，作为不良记录纳入公路建设市场信用信</w:t>
      </w:r>
      <w:r>
        <w:rPr>
          <w:rFonts w:hint="eastAsia"/>
          <w:spacing w:val="-3"/>
          <w:sz w:val="24"/>
        </w:rPr>
        <w:t>息管理系统；</w:t>
      </w:r>
    </w:p>
    <w:p>
      <w:pPr>
        <w:pStyle w:val="20"/>
        <w:numPr>
          <w:ilvl w:val="0"/>
          <w:numId w:val="7"/>
        </w:numPr>
        <w:tabs>
          <w:tab w:val="left" w:pos="1465"/>
        </w:tabs>
        <w:spacing w:before="11" w:line="307" w:lineRule="auto"/>
        <w:ind w:right="466" w:firstLine="480"/>
        <w:jc w:val="both"/>
        <w:rPr>
          <w:sz w:val="24"/>
        </w:rPr>
      </w:pPr>
      <w:r>
        <w:rPr>
          <w:rFonts w:hint="eastAsia"/>
          <w:spacing w:val="-2"/>
          <w:sz w:val="24"/>
        </w:rPr>
        <w:t xml:space="preserve">承包人应当依法与每一名农民工或具有劳务资质的劳务公司签订合同， </w:t>
      </w:r>
      <w:r>
        <w:rPr>
          <w:rFonts w:hint="eastAsia"/>
          <w:spacing w:val="-5"/>
          <w:sz w:val="24"/>
        </w:rPr>
        <w:t>合同中应当明确约定工作内容、工作要求、工作条件、工作地点、安全生产要求、</w:t>
      </w:r>
      <w:r>
        <w:rPr>
          <w:rFonts w:hint="eastAsia"/>
          <w:spacing w:val="-4"/>
          <w:sz w:val="24"/>
        </w:rPr>
        <w:t>劳动报酬</w:t>
      </w:r>
      <w:r>
        <w:rPr>
          <w:rFonts w:hint="eastAsia"/>
          <w:sz w:val="24"/>
        </w:rPr>
        <w:t>（包括工日单价或计量单价）、支付时间和支付方式等内容，在签订劳务</w:t>
      </w:r>
      <w:r>
        <w:rPr>
          <w:rFonts w:hint="eastAsia"/>
          <w:spacing w:val="-4"/>
          <w:sz w:val="24"/>
        </w:rPr>
        <w:t>或劳动合同后，农民工方可进场。承包人临时或短期聘用农民工的，应当签订短期</w:t>
      </w:r>
      <w:r>
        <w:rPr>
          <w:rFonts w:hint="eastAsia"/>
          <w:spacing w:val="-3"/>
          <w:sz w:val="24"/>
        </w:rPr>
        <w:t>临时合同。</w:t>
      </w:r>
    </w:p>
    <w:p>
      <w:pPr>
        <w:pStyle w:val="20"/>
        <w:numPr>
          <w:ilvl w:val="0"/>
          <w:numId w:val="7"/>
        </w:numPr>
        <w:tabs>
          <w:tab w:val="left" w:pos="1465"/>
        </w:tabs>
        <w:spacing w:line="304" w:lineRule="auto"/>
        <w:ind w:right="466" w:firstLine="480"/>
        <w:jc w:val="both"/>
        <w:rPr>
          <w:sz w:val="24"/>
        </w:rPr>
      </w:pPr>
      <w:r>
        <w:rPr>
          <w:rFonts w:hint="eastAsia"/>
          <w:spacing w:val="-3"/>
          <w:sz w:val="24"/>
        </w:rPr>
        <w:t>承包人项目部应当配备劳资专管员，对农民工实行实名制管理，记录施</w:t>
      </w:r>
      <w:r>
        <w:rPr>
          <w:rFonts w:hint="eastAsia"/>
          <w:spacing w:val="-5"/>
          <w:sz w:val="24"/>
        </w:rPr>
        <w:t>工人员进出场情况和施工现场作业农民工的身份信息、劳动考勤，建立工资结算与</w:t>
      </w:r>
      <w:r>
        <w:rPr>
          <w:rFonts w:hint="eastAsia"/>
          <w:spacing w:val="-4"/>
          <w:sz w:val="24"/>
        </w:rPr>
        <w:t>支付等管理台账，审核分包人编制的农民工工资支付表，实时掌握施工现场用工及其工资支付情况，不得以包代管。</w:t>
      </w:r>
    </w:p>
    <w:p>
      <w:pPr>
        <w:pStyle w:val="20"/>
        <w:numPr>
          <w:ilvl w:val="0"/>
          <w:numId w:val="7"/>
        </w:numPr>
        <w:tabs>
          <w:tab w:val="left" w:pos="1465"/>
        </w:tabs>
        <w:spacing w:line="307" w:lineRule="auto"/>
        <w:ind w:right="466" w:firstLine="480"/>
        <w:rPr>
          <w:sz w:val="24"/>
        </w:rPr>
      </w:pPr>
      <w:r>
        <w:rPr>
          <w:rFonts w:hint="eastAsia"/>
          <w:spacing w:val="-6"/>
          <w:sz w:val="24"/>
        </w:rPr>
        <w:t>农民工工资的发放，应严格按照国家及地方政府有关法律、法规、规章及</w:t>
      </w:r>
      <w:r>
        <w:rPr>
          <w:rFonts w:hint="eastAsia"/>
          <w:sz w:val="24"/>
        </w:rPr>
        <w:t>规范性文件的规定执行。</w:t>
      </w:r>
    </w:p>
    <w:p>
      <w:pPr>
        <w:pStyle w:val="10"/>
        <w:spacing w:before="3"/>
        <w:ind w:left="864"/>
      </w:pPr>
      <w:r>
        <w:rPr>
          <w:rFonts w:hint="eastAsia"/>
        </w:rPr>
        <w:t>承包人应分解工程价款中的人工费用，在工程项目所在地银行开设农民工工资</w:t>
      </w:r>
    </w:p>
    <w:p>
      <w:pPr>
        <w:pStyle w:val="10"/>
        <w:spacing w:before="91" w:line="312" w:lineRule="auto"/>
        <w:ind w:left="384" w:right="465"/>
        <w:jc w:val="both"/>
      </w:pPr>
      <w:r>
        <w:rPr>
          <w:rFonts w:hint="eastAsia"/>
        </w:rPr>
        <w:t>（劳务费）专用账户，专项用于支付农民工工资。发包人应按照本合同约定的比例或承包人提供的人工费用数额，足额支付人工费用，将应付工程款中的人工费单独拨付到承包人开设的农民工工资（劳务费）专用账户。农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pPr>
        <w:pStyle w:val="10"/>
        <w:spacing w:line="304" w:lineRule="auto"/>
        <w:ind w:left="384" w:right="266" w:firstLine="480"/>
      </w:pPr>
      <w:r>
        <w:rPr>
          <w:rFonts w:hint="eastAsia"/>
        </w:rPr>
        <w:t>分包人应按月考核农民工工作量并编制工资支付表，经农民工本人签字确认后， 交承包人汇总核定并报发包人。发包人支付工程款中的人工费用后，承包人将核定的分包人工资支付表提交银行，由银行通过专用账户将工资代付到农民工个人银行账户，并向分包人提供代发工资凭证。</w:t>
      </w:r>
    </w:p>
    <w:p>
      <w:pPr>
        <w:pStyle w:val="20"/>
        <w:numPr>
          <w:ilvl w:val="0"/>
          <w:numId w:val="7"/>
        </w:numPr>
        <w:tabs>
          <w:tab w:val="left" w:pos="1465"/>
        </w:tabs>
        <w:spacing w:before="1" w:line="304" w:lineRule="auto"/>
        <w:ind w:right="466" w:firstLine="480"/>
        <w:rPr>
          <w:sz w:val="24"/>
        </w:rPr>
      </w:pPr>
      <w:r>
        <w:rPr>
          <w:rFonts w:hint="eastAsia"/>
          <w:spacing w:val="-4"/>
          <w:sz w:val="24"/>
        </w:rPr>
        <w:t>为确保施工过程中农民工工资实时、足额发放到位，承包人应按照项目</w:t>
      </w:r>
      <w:r>
        <w:rPr>
          <w:rFonts w:hint="eastAsia"/>
          <w:spacing w:val="-5"/>
          <w:sz w:val="24"/>
        </w:rPr>
        <w:t>合同条款约定的时间、金额、形式缴存农民工工资保证金。</w:t>
      </w:r>
    </w:p>
    <w:p>
      <w:pPr>
        <w:pStyle w:val="10"/>
        <w:spacing w:before="4"/>
        <w:ind w:left="864"/>
      </w:pPr>
      <w:r>
        <w:rPr>
          <w:rFonts w:hint="eastAsia"/>
        </w:rPr>
        <w:t>农民工工资保证金的缴存时间：承包项目开工前；</w:t>
      </w:r>
    </w:p>
    <w:p>
      <w:pPr>
        <w:pStyle w:val="10"/>
        <w:spacing w:before="84" w:line="304" w:lineRule="auto"/>
        <w:ind w:left="384" w:right="467" w:firstLine="480"/>
      </w:pPr>
      <w:r>
        <w:rPr>
          <w:rFonts w:hint="eastAsia"/>
          <w:spacing w:val="-1"/>
        </w:rPr>
        <w:t>农民工工资保证金的缴存金额：按《新疆维吾尔自治区农民工工资保证金管理</w:t>
      </w:r>
      <w:r>
        <w:rPr>
          <w:rFonts w:hint="eastAsia"/>
        </w:rPr>
        <w:t>暂行办法》（新政办发[2007]114</w:t>
      </w:r>
      <w:r>
        <w:rPr>
          <w:rFonts w:hint="eastAsia"/>
          <w:spacing w:val="-3"/>
        </w:rPr>
        <w:t xml:space="preserve"> </w:t>
      </w:r>
      <w:r>
        <w:rPr>
          <w:rFonts w:hint="eastAsia"/>
        </w:rPr>
        <w:t>号）的有关规定缴纳；</w:t>
      </w:r>
    </w:p>
    <w:p>
      <w:pPr>
        <w:spacing w:line="304" w:lineRule="auto"/>
        <w:sectPr>
          <w:pgSz w:w="11910" w:h="16840"/>
          <w:pgMar w:top="1360" w:right="1120" w:bottom="1080" w:left="1260" w:header="882" w:footer="880" w:gutter="0"/>
          <w:cols w:space="720" w:num="1"/>
        </w:sectPr>
      </w:pPr>
    </w:p>
    <w:p>
      <w:pPr>
        <w:pStyle w:val="10"/>
        <w:rPr>
          <w:sz w:val="18"/>
        </w:rPr>
      </w:pPr>
    </w:p>
    <w:p>
      <w:pPr>
        <w:pStyle w:val="10"/>
        <w:spacing w:before="66" w:line="307" w:lineRule="auto"/>
        <w:ind w:left="384" w:right="466" w:firstLine="480"/>
        <w:jc w:val="both"/>
      </w:pPr>
      <w:r>
        <w:rPr>
          <w:rFonts w:hint="eastAsia"/>
        </w:rPr>
        <w:t>农民工工资保证金的缴存形式：可采用银行保函或现金、支票形式。采用银行保函时，出具保函的银行须具有相应担保能力，且按照发包人批准的格式出具，所需费用由承包人承担。</w:t>
      </w:r>
    </w:p>
    <w:p>
      <w:pPr>
        <w:pStyle w:val="10"/>
        <w:spacing w:line="304" w:lineRule="auto"/>
        <w:ind w:left="384" w:right="465" w:firstLine="480"/>
        <w:jc w:val="both"/>
      </w:pPr>
      <w:r>
        <w:rPr>
          <w:rFonts w:hint="eastAsia"/>
        </w:rPr>
        <w:t>若发生拖欠农民工工资的情况，发包人有权动用此保证金支付被拖欠的农民工工资。此保证金不足以支付拖欠的农民工工资，不足金额在履约保证金金及质量保留金中支付。农民工工资保证金的扣留条件、返还时间按照项目合同条款的约定执行：</w:t>
      </w:r>
    </w:p>
    <w:p>
      <w:pPr>
        <w:pStyle w:val="10"/>
        <w:spacing w:before="8" w:line="312" w:lineRule="auto"/>
        <w:ind w:left="864" w:right="346"/>
      </w:pPr>
      <w:r>
        <w:rPr>
          <w:rFonts w:hint="eastAsia"/>
          <w:spacing w:val="-7"/>
        </w:rPr>
        <w:t xml:space="preserve">农民工工资保证金的扣留条件：承包人拖欠工资被责令限期支付逾期未支付时； </w:t>
      </w:r>
      <w:r>
        <w:rPr>
          <w:rFonts w:hint="eastAsia"/>
        </w:rPr>
        <w:t>农民工工资保证金的返还时间：交工证书签发后两个月内无农民工工资纠纷发</w:t>
      </w:r>
    </w:p>
    <w:p>
      <w:pPr>
        <w:pStyle w:val="10"/>
        <w:spacing w:before="2"/>
        <w:ind w:left="384"/>
      </w:pPr>
      <w:r>
        <w:rPr>
          <w:rFonts w:hint="eastAsia"/>
        </w:rPr>
        <w:t>生，发包人将保证金全额退还给承包人。</w:t>
      </w:r>
    </w:p>
    <w:p>
      <w:pPr>
        <w:pStyle w:val="20"/>
        <w:numPr>
          <w:ilvl w:val="0"/>
          <w:numId w:val="7"/>
        </w:numPr>
        <w:tabs>
          <w:tab w:val="left" w:pos="1465"/>
        </w:tabs>
        <w:spacing w:before="76" w:line="297" w:lineRule="auto"/>
        <w:ind w:right="466" w:firstLine="480"/>
        <w:jc w:val="both"/>
        <w:rPr>
          <w:sz w:val="24"/>
        </w:rPr>
      </w:pPr>
      <w:r>
        <w:rPr>
          <w:rFonts w:hint="eastAsia"/>
          <w:spacing w:val="-2"/>
          <w:sz w:val="24"/>
        </w:rPr>
        <w:t>承包人应当在施工现场醒目位置设立维权信息告示牌，按照行政监督部</w:t>
      </w:r>
      <w:r>
        <w:rPr>
          <w:rFonts w:hint="eastAsia"/>
          <w:spacing w:val="-5"/>
          <w:sz w:val="24"/>
        </w:rPr>
        <w:t>门和发包人的要求进行维权信息公示明示。工程通过交工验收后，承包人对无拖欠</w:t>
      </w:r>
      <w:r>
        <w:rPr>
          <w:rFonts w:hint="eastAsia"/>
          <w:spacing w:val="-9"/>
          <w:sz w:val="24"/>
        </w:rPr>
        <w:t>农民工工资情况进行不少于</w:t>
      </w:r>
      <w:r>
        <w:rPr>
          <w:rFonts w:hint="eastAsia"/>
          <w:sz w:val="24"/>
        </w:rPr>
        <w:t>30</w:t>
      </w:r>
      <w:r>
        <w:rPr>
          <w:rFonts w:hint="eastAsia"/>
          <w:spacing w:val="-10"/>
          <w:sz w:val="24"/>
        </w:rPr>
        <w:t>日的公示，公示期间无举报投诉的，持发包人审核确</w:t>
      </w:r>
      <w:r>
        <w:rPr>
          <w:rFonts w:hint="eastAsia"/>
          <w:spacing w:val="-5"/>
          <w:sz w:val="24"/>
        </w:rPr>
        <w:t>认意见到开户银行办理农民工工资专用账户撤销手续，账户内余额归承包人所有。</w:t>
      </w:r>
    </w:p>
    <w:p>
      <w:pPr>
        <w:pStyle w:val="20"/>
        <w:numPr>
          <w:ilvl w:val="0"/>
          <w:numId w:val="7"/>
        </w:numPr>
        <w:tabs>
          <w:tab w:val="left" w:pos="1465"/>
        </w:tabs>
        <w:spacing w:before="11" w:line="307" w:lineRule="auto"/>
        <w:ind w:right="346" w:firstLine="480"/>
        <w:rPr>
          <w:sz w:val="24"/>
        </w:rPr>
      </w:pPr>
      <w:r>
        <w:rPr>
          <w:rFonts w:hint="eastAsia"/>
          <w:spacing w:val="-4"/>
          <w:sz w:val="24"/>
        </w:rPr>
        <w:t>为认真贯彻落实自治区党委、人民政府关于使用农民工解决我区农村劳动力了过剩、增加农民收入有关问题的指示精神，承包人应严格按《关于印发自治区固定资产投资项目促进农村劳动力培训就业工作实施方案的通知</w:t>
      </w:r>
      <w:r>
        <w:rPr>
          <w:rFonts w:hint="eastAsia"/>
          <w:spacing w:val="-216"/>
          <w:sz w:val="24"/>
        </w:rPr>
        <w:t>》</w:t>
      </w:r>
      <w:r>
        <w:rPr>
          <w:rFonts w:hint="eastAsia"/>
          <w:sz w:val="24"/>
        </w:rPr>
        <w:t>（</w:t>
      </w:r>
      <w:r>
        <w:rPr>
          <w:rFonts w:hint="eastAsia"/>
          <w:spacing w:val="-22"/>
          <w:sz w:val="24"/>
        </w:rPr>
        <w:t>新政办发〔</w:t>
      </w:r>
      <w:r>
        <w:rPr>
          <w:rFonts w:hint="eastAsia"/>
          <w:sz w:val="24"/>
        </w:rPr>
        <w:t>2017</w:t>
      </w:r>
      <w:r>
        <w:rPr>
          <w:rFonts w:hint="eastAsia"/>
          <w:spacing w:val="-18"/>
          <w:sz w:val="24"/>
        </w:rPr>
        <w:t>〕</w:t>
      </w:r>
      <w:r>
        <w:rPr>
          <w:rFonts w:hint="eastAsia"/>
          <w:sz w:val="24"/>
        </w:rPr>
        <w:t>62 号</w:t>
      </w:r>
      <w:r>
        <w:rPr>
          <w:rFonts w:hint="eastAsia"/>
          <w:spacing w:val="-84"/>
          <w:sz w:val="24"/>
        </w:rPr>
        <w:t>）</w:t>
      </w:r>
      <w:r>
        <w:rPr>
          <w:rFonts w:hint="eastAsia"/>
          <w:spacing w:val="-14"/>
          <w:sz w:val="24"/>
        </w:rPr>
        <w:t>、《关于在公路基础设施建设中使用农民工有关意见的通知</w:t>
      </w:r>
      <w:r>
        <w:rPr>
          <w:rFonts w:hint="eastAsia"/>
          <w:spacing w:val="-168"/>
          <w:sz w:val="24"/>
        </w:rPr>
        <w:t>》</w:t>
      </w:r>
      <w:r>
        <w:rPr>
          <w:rFonts w:hint="eastAsia"/>
          <w:spacing w:val="-3"/>
          <w:sz w:val="24"/>
        </w:rPr>
        <w:t>（</w:t>
      </w:r>
      <w:r>
        <w:rPr>
          <w:rFonts w:hint="eastAsia"/>
          <w:sz w:val="24"/>
        </w:rPr>
        <w:t>新交综[2003]42 号文）、《新疆维吾尔自治区交通厅关于交通建设项目防止拖欠工程款和农民工工资管理暂行办法（试行）》、《新疆维吾尔自治区公路工程建设农民工用工管理办</w:t>
      </w:r>
      <w:r>
        <w:rPr>
          <w:rFonts w:hint="eastAsia"/>
          <w:spacing w:val="-3"/>
          <w:sz w:val="24"/>
        </w:rPr>
        <w:t>法</w:t>
      </w:r>
      <w:r>
        <w:rPr>
          <w:rFonts w:hint="eastAsia"/>
          <w:sz w:val="24"/>
        </w:rPr>
        <w:t>（试行</w:t>
      </w:r>
      <w:r>
        <w:rPr>
          <w:rFonts w:hint="eastAsia"/>
          <w:spacing w:val="-5"/>
          <w:sz w:val="24"/>
        </w:rPr>
        <w:t>）》</w:t>
      </w:r>
      <w:r>
        <w:rPr>
          <w:rFonts w:hint="eastAsia"/>
          <w:sz w:val="24"/>
        </w:rPr>
        <w:t>（</w:t>
      </w:r>
      <w:r>
        <w:rPr>
          <w:rFonts w:hint="eastAsia"/>
          <w:spacing w:val="-1"/>
          <w:sz w:val="24"/>
        </w:rPr>
        <w:t>新交工程〔</w:t>
      </w:r>
      <w:r>
        <w:rPr>
          <w:rFonts w:hint="eastAsia"/>
          <w:sz w:val="24"/>
        </w:rPr>
        <w:t>2017</w:t>
      </w:r>
      <w:r>
        <w:rPr>
          <w:rFonts w:hint="eastAsia"/>
          <w:spacing w:val="-5"/>
          <w:sz w:val="24"/>
        </w:rPr>
        <w:t>〕</w:t>
      </w:r>
      <w:r>
        <w:rPr>
          <w:rFonts w:hint="eastAsia"/>
          <w:sz w:val="24"/>
        </w:rPr>
        <w:t>16</w:t>
      </w:r>
      <w:r>
        <w:rPr>
          <w:rFonts w:hint="eastAsia"/>
          <w:spacing w:val="1"/>
          <w:sz w:val="24"/>
        </w:rPr>
        <w:t xml:space="preserve"> </w:t>
      </w:r>
      <w:r>
        <w:rPr>
          <w:rFonts w:hint="eastAsia"/>
          <w:sz w:val="24"/>
        </w:rPr>
        <w:t>号</w:t>
      </w:r>
      <w:r>
        <w:rPr>
          <w:rFonts w:hint="eastAsia"/>
          <w:spacing w:val="-3"/>
          <w:sz w:val="24"/>
        </w:rPr>
        <w:t>）</w:t>
      </w:r>
      <w:r>
        <w:rPr>
          <w:rFonts w:hint="eastAsia"/>
          <w:spacing w:val="-1"/>
          <w:sz w:val="24"/>
        </w:rPr>
        <w:t>等相关规定，在施工中选用除技术工以外</w:t>
      </w:r>
      <w:r>
        <w:rPr>
          <w:rFonts w:hint="eastAsia"/>
          <w:spacing w:val="-4"/>
          <w:sz w:val="24"/>
        </w:rPr>
        <w:t xml:space="preserve">的普工时要使用项目沿线或附近的农民工，且数量不得低于普工总数的 </w:t>
      </w:r>
      <w:r>
        <w:rPr>
          <w:rFonts w:hint="eastAsia"/>
          <w:spacing w:val="-3"/>
          <w:sz w:val="24"/>
        </w:rPr>
        <w:t>90</w:t>
      </w:r>
      <w:r>
        <w:rPr>
          <w:rFonts w:hint="eastAsia"/>
          <w:spacing w:val="-2"/>
          <w:sz w:val="24"/>
        </w:rPr>
        <w:t>％；要制定相应的计划和措施。</w:t>
      </w:r>
    </w:p>
    <w:p>
      <w:pPr>
        <w:pStyle w:val="20"/>
        <w:numPr>
          <w:ilvl w:val="4"/>
          <w:numId w:val="5"/>
        </w:numPr>
        <w:tabs>
          <w:tab w:val="left" w:pos="1523"/>
          <w:tab w:val="left" w:pos="1524"/>
        </w:tabs>
        <w:spacing w:line="293" w:lineRule="exact"/>
        <w:ind w:left="1524" w:hanging="660"/>
        <w:rPr>
          <w:sz w:val="24"/>
        </w:rPr>
      </w:pPr>
      <w:r>
        <w:rPr>
          <w:rFonts w:hint="eastAsia"/>
          <w:sz w:val="24"/>
        </w:rPr>
        <w:t>承包人应负责处理其雇佣人员因工伤亡事故的善后事宜。</w:t>
      </w:r>
    </w:p>
    <w:p>
      <w:pPr>
        <w:pStyle w:val="20"/>
        <w:numPr>
          <w:ilvl w:val="4"/>
          <w:numId w:val="5"/>
        </w:numPr>
        <w:tabs>
          <w:tab w:val="left" w:pos="1523"/>
          <w:tab w:val="left" w:pos="1524"/>
        </w:tabs>
        <w:spacing w:before="84" w:line="307" w:lineRule="auto"/>
        <w:ind w:left="384" w:right="346" w:firstLine="480"/>
        <w:rPr>
          <w:sz w:val="24"/>
        </w:rPr>
      </w:pPr>
      <w:r>
        <w:rPr>
          <w:rFonts w:hint="eastAsia"/>
          <w:spacing w:val="-3"/>
          <w:sz w:val="24"/>
        </w:rPr>
        <w:t>承包人应按国家有关劳动保护的规定，采取有效的防止粉尘、降低噪声、</w:t>
      </w:r>
      <w:r>
        <w:rPr>
          <w:rFonts w:hint="eastAsia"/>
          <w:sz w:val="24"/>
        </w:rPr>
        <w:t>控制有害气体和保障高温、高寒、高空作业安全等劳动保护措施。其雇佣人员在施工中受到伤害的，承包人应立即采取有效措施进行抢救和治疗。</w:t>
      </w:r>
    </w:p>
    <w:p>
      <w:pPr>
        <w:pStyle w:val="20"/>
        <w:numPr>
          <w:ilvl w:val="4"/>
          <w:numId w:val="5"/>
        </w:numPr>
        <w:tabs>
          <w:tab w:val="left" w:pos="1529"/>
        </w:tabs>
        <w:spacing w:line="307" w:lineRule="auto"/>
        <w:ind w:left="384" w:right="465" w:firstLine="480"/>
        <w:jc w:val="both"/>
        <w:rPr>
          <w:sz w:val="24"/>
        </w:rPr>
      </w:pPr>
      <w:r>
        <w:rPr>
          <w:rFonts w:hint="eastAsia"/>
          <w:sz w:val="24"/>
        </w:rPr>
        <w:t>承包人应为其雇佣人员提供必要的食宿条件，以及符合环境保护和卫生</w:t>
      </w:r>
      <w:r>
        <w:rPr>
          <w:rFonts w:hint="eastAsia"/>
          <w:spacing w:val="-1"/>
          <w:sz w:val="24"/>
        </w:rPr>
        <w:t>要求的生活环境，在远离城镇的施工场地，还应配备必要的伤病防治和急救的医务</w:t>
      </w:r>
      <w:r>
        <w:rPr>
          <w:rFonts w:hint="eastAsia"/>
          <w:sz w:val="24"/>
        </w:rPr>
        <w:t>人员与医疗设施。</w:t>
      </w:r>
    </w:p>
    <w:p>
      <w:pPr>
        <w:pStyle w:val="20"/>
        <w:numPr>
          <w:ilvl w:val="4"/>
          <w:numId w:val="5"/>
        </w:numPr>
        <w:tabs>
          <w:tab w:val="left" w:pos="1524"/>
        </w:tabs>
        <w:spacing w:line="303" w:lineRule="exact"/>
        <w:ind w:left="1524" w:hanging="660"/>
        <w:jc w:val="both"/>
        <w:rPr>
          <w:sz w:val="24"/>
        </w:rPr>
      </w:pPr>
      <w:r>
        <w:rPr>
          <w:rFonts w:hint="eastAsia"/>
          <w:sz w:val="24"/>
        </w:rPr>
        <w:t>承包人应履行的其他义务</w:t>
      </w:r>
    </w:p>
    <w:p>
      <w:pPr>
        <w:pStyle w:val="20"/>
        <w:numPr>
          <w:ilvl w:val="0"/>
          <w:numId w:val="8"/>
        </w:numPr>
        <w:tabs>
          <w:tab w:val="left" w:pos="1465"/>
        </w:tabs>
        <w:spacing w:before="81" w:line="304" w:lineRule="auto"/>
        <w:ind w:right="397" w:firstLine="480"/>
        <w:jc w:val="both"/>
        <w:rPr>
          <w:sz w:val="24"/>
        </w:rPr>
      </w:pPr>
      <w:r>
        <w:rPr>
          <w:rFonts w:hint="eastAsia"/>
          <w:spacing w:val="-10"/>
          <w:sz w:val="24"/>
        </w:rPr>
        <w:t>凡是与已建铁路、公路、堤防、通讯及电力缆线、供水、输油、输气管道、</w:t>
      </w:r>
      <w:r>
        <w:rPr>
          <w:rFonts w:hint="eastAsia"/>
          <w:spacing w:val="-8"/>
          <w:sz w:val="24"/>
        </w:rPr>
        <w:t>居民住宅区等有交叉、干扰的地段，承包人应在不干扰铁路、公路正常营运以及注意保护地下管线、不干扰附近居民的正常生活的前提下合理安排施工组织计划，采取有效措施保证施工安全，在现场设置施工和安全标志，并在必要时疏导现有交通流；凡</w:t>
      </w:r>
    </w:p>
    <w:p>
      <w:pPr>
        <w:spacing w:line="304" w:lineRule="auto"/>
        <w:jc w:val="both"/>
        <w:rPr>
          <w:sz w:val="24"/>
        </w:rPr>
        <w:sectPr>
          <w:pgSz w:w="11910" w:h="16840"/>
          <w:pgMar w:top="1360" w:right="1120" w:bottom="1080" w:left="1260" w:header="882" w:footer="880" w:gutter="0"/>
          <w:cols w:space="720" w:num="1"/>
        </w:sectPr>
      </w:pPr>
    </w:p>
    <w:p>
      <w:pPr>
        <w:pStyle w:val="10"/>
        <w:rPr>
          <w:sz w:val="18"/>
        </w:rPr>
      </w:pPr>
    </w:p>
    <w:p>
      <w:pPr>
        <w:pStyle w:val="10"/>
        <w:spacing w:before="66" w:line="307" w:lineRule="auto"/>
        <w:ind w:left="384" w:right="458"/>
        <w:jc w:val="both"/>
      </w:pPr>
      <w:r>
        <w:rPr>
          <w:rFonts w:hint="eastAsia"/>
          <w:spacing w:val="-8"/>
        </w:rPr>
        <w:t>是标段内与其他在建工程有互扰的地段，承包人应做好与其他施工单位的协调工作； 凡是标段内地形复杂、存在软土路基、场地狭窄的地段，承包人应按照施工要求制定完善的施工组织计划。承包人应对上述所有工作负责，发包人将根据承包人的要求给予适当协助。承包人应将其采取上述措施而可能发生的全部费用视为已包括在或计入在本合同工程已标价的工程量清单的各相关工程细目的单价或总额价中，发包人将不另行支付。</w:t>
      </w:r>
    </w:p>
    <w:p>
      <w:pPr>
        <w:pStyle w:val="10"/>
        <w:spacing w:line="304" w:lineRule="auto"/>
        <w:ind w:left="384" w:right="346" w:firstLine="480"/>
      </w:pPr>
      <w:r>
        <w:rPr>
          <w:rFonts w:hint="eastAsia"/>
          <w:spacing w:val="-7"/>
        </w:rPr>
        <w:t>如因承包人采取的措施不利，影响铁路、公路、通讯及电力缆线、供水、输油、</w:t>
      </w:r>
      <w:r>
        <w:rPr>
          <w:rFonts w:hint="eastAsia"/>
        </w:rPr>
        <w:t>输气管道等正常安全营运、居民的正常生活而给其它部门或个人造成的一切损失， 或由于上述原因造成本工程工期的拖延或施工费用的增加，均由承包人自行负责， 发包人不承担任何责任。</w:t>
      </w:r>
    </w:p>
    <w:p>
      <w:pPr>
        <w:pStyle w:val="20"/>
        <w:numPr>
          <w:ilvl w:val="0"/>
          <w:numId w:val="8"/>
        </w:numPr>
        <w:tabs>
          <w:tab w:val="left" w:pos="1465"/>
        </w:tabs>
        <w:spacing w:line="304" w:lineRule="auto"/>
        <w:ind w:right="466" w:firstLine="480"/>
        <w:jc w:val="both"/>
        <w:rPr>
          <w:sz w:val="24"/>
        </w:rPr>
      </w:pPr>
      <w:r>
        <w:rPr>
          <w:rFonts w:hint="eastAsia"/>
          <w:spacing w:val="-3"/>
          <w:sz w:val="24"/>
        </w:rPr>
        <w:t>承包人在进场前及进场施工后，应充分了解工程所在地的民族习惯、宗</w:t>
      </w:r>
      <w:r>
        <w:rPr>
          <w:rFonts w:hint="eastAsia"/>
          <w:spacing w:val="-5"/>
          <w:sz w:val="24"/>
        </w:rPr>
        <w:t>教信仰、饮食禁忌等情况，并尊重当地居民的各种习俗，在施工队伍中做好宣传教</w:t>
      </w:r>
      <w:r>
        <w:rPr>
          <w:rFonts w:hint="eastAsia"/>
          <w:spacing w:val="-4"/>
          <w:sz w:val="24"/>
        </w:rPr>
        <w:t>育工作，否则，因承包人的员工破坏当地风俗习惯造成的恶劣影响及给发包人带来</w:t>
      </w:r>
      <w:r>
        <w:rPr>
          <w:rFonts w:hint="eastAsia"/>
          <w:spacing w:val="-3"/>
          <w:sz w:val="24"/>
        </w:rPr>
        <w:t>的损失由承包人承担。</w:t>
      </w:r>
    </w:p>
    <w:p>
      <w:pPr>
        <w:pStyle w:val="10"/>
        <w:spacing w:before="190"/>
        <w:ind w:left="583"/>
      </w:pPr>
      <w:r>
        <w:rPr>
          <w:rFonts w:hint="eastAsia"/>
        </w:rPr>
        <w:t>三、施工组织计划和工期</w:t>
      </w:r>
    </w:p>
    <w:p>
      <w:pPr>
        <w:pStyle w:val="10"/>
        <w:spacing w:before="2"/>
        <w:rPr>
          <w:sz w:val="21"/>
        </w:rPr>
      </w:pPr>
    </w:p>
    <w:p>
      <w:pPr>
        <w:pStyle w:val="20"/>
        <w:numPr>
          <w:ilvl w:val="3"/>
          <w:numId w:val="5"/>
        </w:numPr>
        <w:tabs>
          <w:tab w:val="left" w:pos="1005"/>
        </w:tabs>
        <w:ind w:hanging="182"/>
        <w:jc w:val="left"/>
        <w:rPr>
          <w:sz w:val="24"/>
        </w:rPr>
      </w:pPr>
      <w:r>
        <w:rPr>
          <w:rFonts w:hint="eastAsia"/>
          <w:sz w:val="24"/>
        </w:rPr>
        <w:t>进度计划</w:t>
      </w:r>
    </w:p>
    <w:p>
      <w:pPr>
        <w:pStyle w:val="10"/>
        <w:spacing w:before="4"/>
        <w:rPr>
          <w:sz w:val="21"/>
        </w:rPr>
      </w:pPr>
    </w:p>
    <w:p>
      <w:pPr>
        <w:pStyle w:val="20"/>
        <w:numPr>
          <w:ilvl w:val="4"/>
          <w:numId w:val="5"/>
        </w:numPr>
        <w:tabs>
          <w:tab w:val="left" w:pos="1409"/>
        </w:tabs>
        <w:spacing w:line="312" w:lineRule="auto"/>
        <w:ind w:left="384" w:right="466" w:firstLine="480"/>
        <w:jc w:val="both"/>
        <w:rPr>
          <w:sz w:val="24"/>
        </w:rPr>
      </w:pPr>
      <w:r>
        <w:rPr>
          <w:rFonts w:hint="eastAsia"/>
          <w:spacing w:val="-3"/>
          <w:sz w:val="24"/>
        </w:rPr>
        <w:t>承包人应在签订合同协议书后</w:t>
      </w:r>
      <w:r>
        <w:rPr>
          <w:rFonts w:hint="eastAsia"/>
          <w:sz w:val="24"/>
        </w:rPr>
        <w:t>14天内，向监理人提交两份其格式和内容</w:t>
      </w:r>
      <w:r>
        <w:rPr>
          <w:rFonts w:hint="eastAsia"/>
          <w:spacing w:val="-1"/>
          <w:sz w:val="24"/>
        </w:rPr>
        <w:t>符合规定的施工计划，以及为完成该计划而建议采用的实施性施工安排和施工方案</w:t>
      </w:r>
      <w:r>
        <w:rPr>
          <w:rFonts w:hint="eastAsia"/>
          <w:spacing w:val="-16"/>
          <w:sz w:val="24"/>
        </w:rPr>
        <w:t>的说明。监理人应在</w:t>
      </w:r>
      <w:r>
        <w:rPr>
          <w:rFonts w:hint="eastAsia"/>
          <w:sz w:val="24"/>
        </w:rPr>
        <w:t>14</w:t>
      </w:r>
      <w:r>
        <w:rPr>
          <w:rFonts w:hint="eastAsia"/>
          <w:spacing w:val="-1"/>
          <w:sz w:val="24"/>
        </w:rPr>
        <w:t>天内对承包人施工进度计划和施工方案说明予以批复或提出修改意见；经监理人审查后报发包人批准。经批准的施工进度计划是控制合同工程</w:t>
      </w:r>
      <w:r>
        <w:rPr>
          <w:rFonts w:hint="eastAsia"/>
          <w:sz w:val="24"/>
        </w:rPr>
        <w:t>进度的依据。</w:t>
      </w:r>
    </w:p>
    <w:p>
      <w:pPr>
        <w:pStyle w:val="20"/>
        <w:numPr>
          <w:ilvl w:val="4"/>
          <w:numId w:val="5"/>
        </w:numPr>
        <w:tabs>
          <w:tab w:val="left" w:pos="1404"/>
        </w:tabs>
        <w:spacing w:before="1" w:line="312" w:lineRule="auto"/>
        <w:ind w:left="384" w:right="466" w:firstLine="480"/>
        <w:jc w:val="both"/>
        <w:rPr>
          <w:sz w:val="24"/>
        </w:rPr>
      </w:pPr>
      <w:r>
        <w:rPr>
          <w:rFonts w:hint="eastAsia"/>
          <w:spacing w:val="-3"/>
          <w:sz w:val="24"/>
        </w:rPr>
        <w:t>承包人应在确保合同工期的前提下，每月对进度计划修订一次，并应在每</w:t>
      </w:r>
      <w:r>
        <w:rPr>
          <w:rFonts w:hint="eastAsia"/>
          <w:spacing w:val="-20"/>
          <w:sz w:val="24"/>
        </w:rPr>
        <w:t xml:space="preserve">月的 </w:t>
      </w:r>
      <w:r>
        <w:rPr>
          <w:rFonts w:hint="eastAsia"/>
          <w:sz w:val="24"/>
        </w:rPr>
        <w:t xml:space="preserve">25 </w:t>
      </w:r>
      <w:r>
        <w:rPr>
          <w:rFonts w:hint="eastAsia"/>
          <w:spacing w:val="-7"/>
          <w:sz w:val="24"/>
        </w:rPr>
        <w:t>日前提交给监理人审查；监理人批复修订合同进度计划的期限：收到修订合</w:t>
      </w:r>
      <w:r>
        <w:rPr>
          <w:rFonts w:hint="eastAsia"/>
          <w:spacing w:val="-9"/>
          <w:sz w:val="24"/>
        </w:rPr>
        <w:t>同进度计划后</w:t>
      </w:r>
      <w:r>
        <w:rPr>
          <w:rFonts w:hint="eastAsia"/>
          <w:sz w:val="24"/>
        </w:rPr>
        <w:t>3天内。</w:t>
      </w:r>
    </w:p>
    <w:p>
      <w:pPr>
        <w:pStyle w:val="20"/>
        <w:numPr>
          <w:ilvl w:val="4"/>
          <w:numId w:val="5"/>
        </w:numPr>
        <w:tabs>
          <w:tab w:val="left" w:pos="1404"/>
        </w:tabs>
        <w:spacing w:before="1"/>
        <w:jc w:val="both"/>
        <w:rPr>
          <w:sz w:val="24"/>
        </w:rPr>
      </w:pPr>
      <w:r>
        <w:rPr>
          <w:rFonts w:hint="eastAsia"/>
          <w:sz w:val="24"/>
        </w:rPr>
        <w:t>承包人编制施工方案中要有确保工程顺利实施的保证措施。</w:t>
      </w:r>
    </w:p>
    <w:p>
      <w:pPr>
        <w:pStyle w:val="10"/>
        <w:spacing w:before="4"/>
        <w:rPr>
          <w:sz w:val="21"/>
        </w:rPr>
      </w:pPr>
    </w:p>
    <w:p>
      <w:pPr>
        <w:pStyle w:val="20"/>
        <w:numPr>
          <w:ilvl w:val="3"/>
          <w:numId w:val="5"/>
        </w:numPr>
        <w:tabs>
          <w:tab w:val="left" w:pos="1005"/>
        </w:tabs>
        <w:ind w:hanging="182"/>
        <w:jc w:val="left"/>
        <w:rPr>
          <w:sz w:val="24"/>
        </w:rPr>
      </w:pPr>
      <w:r>
        <w:rPr>
          <w:rFonts w:hint="eastAsia"/>
          <w:sz w:val="24"/>
        </w:rPr>
        <w:t>开工和延误</w:t>
      </w:r>
    </w:p>
    <w:p>
      <w:pPr>
        <w:pStyle w:val="10"/>
        <w:spacing w:before="4"/>
        <w:rPr>
          <w:sz w:val="21"/>
        </w:rPr>
      </w:pPr>
    </w:p>
    <w:p>
      <w:pPr>
        <w:pStyle w:val="20"/>
        <w:numPr>
          <w:ilvl w:val="4"/>
          <w:numId w:val="5"/>
        </w:numPr>
        <w:tabs>
          <w:tab w:val="left" w:pos="1404"/>
        </w:tabs>
        <w:jc w:val="both"/>
        <w:rPr>
          <w:sz w:val="24"/>
        </w:rPr>
      </w:pPr>
      <w:r>
        <w:rPr>
          <w:rFonts w:hint="eastAsia"/>
          <w:sz w:val="24"/>
        </w:rPr>
        <w:t>工程开工分项目开工和分部工程开工两种：</w:t>
      </w:r>
    </w:p>
    <w:p>
      <w:pPr>
        <w:pStyle w:val="20"/>
        <w:numPr>
          <w:ilvl w:val="0"/>
          <w:numId w:val="9"/>
        </w:numPr>
        <w:tabs>
          <w:tab w:val="left" w:pos="1468"/>
        </w:tabs>
        <w:spacing w:before="91" w:line="312" w:lineRule="auto"/>
        <w:ind w:right="465" w:firstLine="480"/>
        <w:jc w:val="both"/>
        <w:rPr>
          <w:sz w:val="24"/>
        </w:rPr>
      </w:pPr>
      <w:r>
        <w:rPr>
          <w:rFonts w:hint="eastAsia"/>
          <w:spacing w:val="-3"/>
          <w:sz w:val="24"/>
        </w:rPr>
        <w:t>项目开工：承包人应在签订合同协议后</w:t>
      </w:r>
      <w:r>
        <w:rPr>
          <w:rFonts w:hint="eastAsia"/>
          <w:sz w:val="24"/>
        </w:rPr>
        <w:t>14</w:t>
      </w:r>
      <w:r>
        <w:rPr>
          <w:rFonts w:hint="eastAsia"/>
          <w:spacing w:val="-1"/>
          <w:sz w:val="24"/>
        </w:rPr>
        <w:t>天内向监理人提交开工报告， 主要内容应包括：施工管理机构的建立，劳务、机械设备、材料的进场情况，临时</w:t>
      </w:r>
      <w:r>
        <w:rPr>
          <w:rFonts w:hint="eastAsia"/>
          <w:sz w:val="24"/>
        </w:rPr>
        <w:t>设施的修建及总体施工组织计划等；</w:t>
      </w:r>
    </w:p>
    <w:p>
      <w:pPr>
        <w:spacing w:line="312" w:lineRule="auto"/>
        <w:jc w:val="both"/>
        <w:rPr>
          <w:sz w:val="24"/>
        </w:rPr>
        <w:sectPr>
          <w:pgSz w:w="11910" w:h="16840"/>
          <w:pgMar w:top="1360" w:right="1120" w:bottom="1080" w:left="1260" w:header="882" w:footer="880" w:gutter="0"/>
          <w:cols w:space="720" w:num="1"/>
        </w:sectPr>
      </w:pPr>
    </w:p>
    <w:p>
      <w:pPr>
        <w:pStyle w:val="10"/>
        <w:spacing w:before="12"/>
        <w:rPr>
          <w:sz w:val="17"/>
        </w:rPr>
      </w:pPr>
    </w:p>
    <w:p>
      <w:pPr>
        <w:pStyle w:val="20"/>
        <w:numPr>
          <w:ilvl w:val="0"/>
          <w:numId w:val="9"/>
        </w:numPr>
        <w:tabs>
          <w:tab w:val="left" w:pos="1465"/>
        </w:tabs>
        <w:spacing w:before="74" w:line="312" w:lineRule="auto"/>
        <w:ind w:right="466" w:firstLine="480"/>
        <w:jc w:val="both"/>
        <w:rPr>
          <w:sz w:val="24"/>
        </w:rPr>
      </w:pPr>
      <w:r>
        <w:rPr>
          <w:rFonts w:hint="eastAsia"/>
          <w:spacing w:val="-9"/>
          <w:sz w:val="24"/>
        </w:rPr>
        <w:t>分部工程开工：承包人应在分部工程开工前</w:t>
      </w:r>
      <w:r>
        <w:rPr>
          <w:rFonts w:hint="eastAsia"/>
          <w:sz w:val="24"/>
        </w:rPr>
        <w:t>7天向监理人提交分部工程</w:t>
      </w:r>
      <w:r>
        <w:rPr>
          <w:rFonts w:hint="eastAsia"/>
          <w:spacing w:val="-5"/>
          <w:sz w:val="24"/>
        </w:rPr>
        <w:t>开工报告，若承包人的开工准备、工作计划和质量控制方法是可接受的，经监理人</w:t>
      </w:r>
      <w:r>
        <w:rPr>
          <w:rFonts w:hint="eastAsia"/>
          <w:spacing w:val="-4"/>
          <w:sz w:val="24"/>
        </w:rPr>
        <w:t>书面同意，分部工程才能开工。</w:t>
      </w:r>
    </w:p>
    <w:p>
      <w:pPr>
        <w:pStyle w:val="20"/>
        <w:numPr>
          <w:ilvl w:val="4"/>
          <w:numId w:val="5"/>
        </w:numPr>
        <w:tabs>
          <w:tab w:val="left" w:pos="1404"/>
        </w:tabs>
        <w:spacing w:before="1" w:line="312" w:lineRule="auto"/>
        <w:ind w:left="384" w:right="466" w:firstLine="480"/>
        <w:jc w:val="both"/>
        <w:rPr>
          <w:sz w:val="24"/>
        </w:rPr>
      </w:pPr>
      <w:r>
        <w:rPr>
          <w:rFonts w:hint="eastAsia"/>
          <w:spacing w:val="-2"/>
          <w:sz w:val="24"/>
        </w:rPr>
        <w:t>由于下述原因之一而影响施工进度，承包人有权要求延长工期和</w:t>
      </w:r>
      <w:r>
        <w:rPr>
          <w:rFonts w:hint="eastAsia"/>
          <w:sz w:val="24"/>
        </w:rPr>
        <w:t>（或</w:t>
      </w:r>
      <w:r>
        <w:rPr>
          <w:rFonts w:hint="eastAsia"/>
          <w:spacing w:val="-10"/>
          <w:sz w:val="24"/>
        </w:rPr>
        <w:t>）</w:t>
      </w:r>
      <w:r>
        <w:rPr>
          <w:rFonts w:hint="eastAsia"/>
          <w:spacing w:val="-17"/>
          <w:sz w:val="24"/>
        </w:rPr>
        <w:t>增</w:t>
      </w:r>
      <w:r>
        <w:rPr>
          <w:rFonts w:hint="eastAsia"/>
          <w:sz w:val="24"/>
        </w:rPr>
        <w:t>加费用。</w:t>
      </w:r>
    </w:p>
    <w:p>
      <w:pPr>
        <w:pStyle w:val="20"/>
        <w:numPr>
          <w:ilvl w:val="0"/>
          <w:numId w:val="10"/>
        </w:numPr>
        <w:tabs>
          <w:tab w:val="left" w:pos="1465"/>
        </w:tabs>
        <w:spacing w:line="307" w:lineRule="exact"/>
        <w:rPr>
          <w:sz w:val="24"/>
        </w:rPr>
      </w:pPr>
      <w:r>
        <w:rPr>
          <w:rFonts w:hint="eastAsia"/>
          <w:sz w:val="24"/>
        </w:rPr>
        <w:t>增加合同工作内容；</w:t>
      </w:r>
    </w:p>
    <w:p>
      <w:pPr>
        <w:pStyle w:val="20"/>
        <w:numPr>
          <w:ilvl w:val="0"/>
          <w:numId w:val="10"/>
        </w:numPr>
        <w:tabs>
          <w:tab w:val="left" w:pos="1465"/>
        </w:tabs>
        <w:spacing w:before="93"/>
        <w:rPr>
          <w:sz w:val="24"/>
        </w:rPr>
      </w:pPr>
      <w:r>
        <w:rPr>
          <w:rFonts w:hint="eastAsia"/>
          <w:sz w:val="24"/>
        </w:rPr>
        <w:t>改变合同中任何一项工作的质量要求或其他特性；</w:t>
      </w:r>
    </w:p>
    <w:p>
      <w:pPr>
        <w:pStyle w:val="20"/>
        <w:numPr>
          <w:ilvl w:val="0"/>
          <w:numId w:val="10"/>
        </w:numPr>
        <w:tabs>
          <w:tab w:val="left" w:pos="1465"/>
        </w:tabs>
        <w:spacing w:before="94"/>
        <w:rPr>
          <w:sz w:val="24"/>
        </w:rPr>
      </w:pPr>
      <w:r>
        <w:rPr>
          <w:rFonts w:hint="eastAsia"/>
          <w:spacing w:val="-10"/>
          <w:sz w:val="24"/>
        </w:rPr>
        <w:t>连续降大雨</w:t>
      </w:r>
      <w:r>
        <w:rPr>
          <w:rFonts w:hint="eastAsia"/>
          <w:sz w:val="24"/>
        </w:rPr>
        <w:t>3</w:t>
      </w:r>
      <w:r>
        <w:rPr>
          <w:rFonts w:hint="eastAsia"/>
          <w:spacing w:val="-9"/>
          <w:sz w:val="24"/>
        </w:rPr>
        <w:t>天以上或特大洪水；连续</w:t>
      </w:r>
      <w:r>
        <w:rPr>
          <w:rFonts w:hint="eastAsia"/>
          <w:sz w:val="24"/>
        </w:rPr>
        <w:t>7</w:t>
      </w:r>
      <w:r>
        <w:rPr>
          <w:rFonts w:hint="eastAsia"/>
          <w:spacing w:val="-30"/>
          <w:sz w:val="24"/>
        </w:rPr>
        <w:t>天</w:t>
      </w:r>
      <w:r>
        <w:rPr>
          <w:rFonts w:hint="eastAsia"/>
          <w:sz w:val="24"/>
        </w:rPr>
        <w:t>8</w:t>
      </w:r>
      <w:r>
        <w:rPr>
          <w:rFonts w:hint="eastAsia"/>
          <w:spacing w:val="-5"/>
          <w:sz w:val="24"/>
        </w:rPr>
        <w:t>级以上的大风；或出现其他</w:t>
      </w:r>
    </w:p>
    <w:p>
      <w:pPr>
        <w:pStyle w:val="10"/>
        <w:spacing w:before="90" w:line="312" w:lineRule="auto"/>
        <w:ind w:left="384" w:right="465"/>
      </w:pPr>
      <w:r>
        <w:rPr>
          <w:rFonts w:hint="eastAsia"/>
        </w:rPr>
        <w:t>异常恶劣的气候条件(是指项目所在地30年以上一遇的罕见气候现象，包括温度、降水、降雪、风等)；</w:t>
      </w:r>
    </w:p>
    <w:p>
      <w:pPr>
        <w:pStyle w:val="20"/>
        <w:numPr>
          <w:ilvl w:val="0"/>
          <w:numId w:val="10"/>
        </w:numPr>
        <w:tabs>
          <w:tab w:val="left" w:pos="1465"/>
        </w:tabs>
        <w:spacing w:before="3"/>
        <w:rPr>
          <w:sz w:val="24"/>
        </w:rPr>
      </w:pPr>
      <w:r>
        <w:rPr>
          <w:rFonts w:hint="eastAsia"/>
          <w:sz w:val="24"/>
        </w:rPr>
        <w:t>提供图纸延误；</w:t>
      </w:r>
    </w:p>
    <w:p>
      <w:pPr>
        <w:pStyle w:val="20"/>
        <w:numPr>
          <w:ilvl w:val="0"/>
          <w:numId w:val="10"/>
        </w:numPr>
        <w:tabs>
          <w:tab w:val="left" w:pos="1465"/>
        </w:tabs>
        <w:spacing w:before="90"/>
        <w:rPr>
          <w:sz w:val="24"/>
        </w:rPr>
      </w:pPr>
      <w:r>
        <w:rPr>
          <w:rFonts w:hint="eastAsia"/>
          <w:sz w:val="24"/>
        </w:rPr>
        <w:t>未按合同约定及时支付预付款、进度款；</w:t>
      </w:r>
    </w:p>
    <w:p>
      <w:pPr>
        <w:pStyle w:val="20"/>
        <w:numPr>
          <w:ilvl w:val="0"/>
          <w:numId w:val="10"/>
        </w:numPr>
        <w:tabs>
          <w:tab w:val="left" w:pos="1465"/>
        </w:tabs>
        <w:spacing w:before="94"/>
        <w:rPr>
          <w:sz w:val="24"/>
        </w:rPr>
      </w:pPr>
      <w:r>
        <w:rPr>
          <w:rFonts w:hint="eastAsia"/>
          <w:sz w:val="24"/>
        </w:rPr>
        <w:t>由于发包人原因导致的暂停施工；</w:t>
      </w:r>
    </w:p>
    <w:p>
      <w:pPr>
        <w:pStyle w:val="20"/>
        <w:numPr>
          <w:ilvl w:val="0"/>
          <w:numId w:val="10"/>
        </w:numPr>
        <w:tabs>
          <w:tab w:val="left" w:pos="1465"/>
        </w:tabs>
        <w:spacing w:before="93"/>
        <w:rPr>
          <w:sz w:val="24"/>
        </w:rPr>
      </w:pPr>
      <w:r>
        <w:rPr>
          <w:rFonts w:hint="eastAsia"/>
          <w:sz w:val="24"/>
        </w:rPr>
        <w:t>不是由于承包人的失误或违约而发生的其他特殊情况。</w:t>
      </w:r>
    </w:p>
    <w:p>
      <w:pPr>
        <w:pStyle w:val="20"/>
        <w:numPr>
          <w:ilvl w:val="4"/>
          <w:numId w:val="5"/>
        </w:numPr>
        <w:tabs>
          <w:tab w:val="left" w:pos="1404"/>
        </w:tabs>
        <w:spacing w:before="91" w:line="312" w:lineRule="auto"/>
        <w:ind w:left="384" w:right="466" w:firstLine="480"/>
        <w:jc w:val="both"/>
        <w:rPr>
          <w:sz w:val="24"/>
        </w:rPr>
      </w:pPr>
      <w:r>
        <w:rPr>
          <w:rFonts w:hint="eastAsia"/>
          <w:spacing w:val="-5"/>
          <w:sz w:val="24"/>
        </w:rPr>
        <w:t>承包人应在上述情况发生后</w:t>
      </w:r>
      <w:r>
        <w:rPr>
          <w:rFonts w:hint="eastAsia"/>
          <w:sz w:val="24"/>
        </w:rPr>
        <w:t>7</w:t>
      </w:r>
      <w:r>
        <w:rPr>
          <w:rFonts w:hint="eastAsia"/>
          <w:spacing w:val="-3"/>
          <w:sz w:val="24"/>
        </w:rPr>
        <w:t>天内向监理人发出要求延期的申请，并提交</w:t>
      </w:r>
      <w:r>
        <w:rPr>
          <w:rFonts w:hint="eastAsia"/>
          <w:spacing w:val="-2"/>
          <w:sz w:val="24"/>
        </w:rPr>
        <w:t>延期的详细情况与缘由，监理人在收到最后详细资料后</w:t>
      </w:r>
      <w:r>
        <w:rPr>
          <w:rFonts w:hint="eastAsia"/>
          <w:sz w:val="24"/>
        </w:rPr>
        <w:t>7</w:t>
      </w:r>
      <w:r>
        <w:rPr>
          <w:rFonts w:hint="eastAsia"/>
          <w:spacing w:val="-1"/>
          <w:sz w:val="24"/>
        </w:rPr>
        <w:t>天内调查核实并经发包人批准后予以答复，逾期不答复也不提出修改意见，则应视为承包人延期请求已获得</w:t>
      </w:r>
      <w:r>
        <w:rPr>
          <w:rFonts w:hint="eastAsia"/>
          <w:sz w:val="24"/>
        </w:rPr>
        <w:t>发包人批准。</w:t>
      </w:r>
    </w:p>
    <w:p>
      <w:pPr>
        <w:pStyle w:val="20"/>
        <w:numPr>
          <w:ilvl w:val="4"/>
          <w:numId w:val="5"/>
        </w:numPr>
        <w:tabs>
          <w:tab w:val="left" w:pos="1409"/>
        </w:tabs>
        <w:spacing w:before="2" w:line="312" w:lineRule="auto"/>
        <w:ind w:left="384" w:right="467" w:firstLine="480"/>
        <w:jc w:val="both"/>
        <w:rPr>
          <w:sz w:val="24"/>
        </w:rPr>
      </w:pPr>
      <w:r>
        <w:rPr>
          <w:rFonts w:hint="eastAsia"/>
          <w:spacing w:val="3"/>
          <w:sz w:val="24"/>
        </w:rPr>
        <w:t>由于承包人原因，未能按合同进度计划完成工作，或监理人认为承包人</w:t>
      </w:r>
      <w:r>
        <w:rPr>
          <w:rFonts w:hint="eastAsia"/>
          <w:spacing w:val="-6"/>
          <w:sz w:val="24"/>
        </w:rPr>
        <w:t>施工进度不能满足合同工期要求的，承包人应采取措施加快进度，并承担加快进度所增加的费用。由于承包人原因造成工期延误，承包人应支付逾期违约金。逾期交</w:t>
      </w:r>
      <w:r>
        <w:rPr>
          <w:rFonts w:hint="eastAsia"/>
          <w:spacing w:val="-5"/>
          <w:sz w:val="24"/>
        </w:rPr>
        <w:t>工违约金的计算方法在合同条款数据表中约定，时间自预定的交工日期起到交工验</w:t>
      </w:r>
      <w:r>
        <w:rPr>
          <w:rFonts w:hint="eastAsia"/>
          <w:spacing w:val="-2"/>
          <w:sz w:val="24"/>
        </w:rPr>
        <w:t>收证书中写明的实际交工日期止</w:t>
      </w:r>
      <w:r>
        <w:rPr>
          <w:rFonts w:hint="eastAsia"/>
          <w:spacing w:val="4"/>
          <w:sz w:val="24"/>
        </w:rPr>
        <w:t>（</w:t>
      </w:r>
      <w:r>
        <w:rPr>
          <w:rFonts w:hint="eastAsia"/>
          <w:sz w:val="24"/>
        </w:rPr>
        <w:t>扣除已批准的延长工期</w:t>
      </w:r>
      <w:r>
        <w:rPr>
          <w:rFonts w:hint="eastAsia"/>
          <w:spacing w:val="-23"/>
          <w:sz w:val="24"/>
        </w:rPr>
        <w:t>）</w:t>
      </w:r>
      <w:r>
        <w:rPr>
          <w:rFonts w:hint="eastAsia"/>
          <w:spacing w:val="-5"/>
          <w:sz w:val="24"/>
        </w:rPr>
        <w:t>，按天计算。逾期交工违约金累计金额最高不超过合同条款数据表中写明的限额。但不免除承包人完成工</w:t>
      </w:r>
      <w:r>
        <w:rPr>
          <w:rFonts w:hint="eastAsia"/>
          <w:sz w:val="24"/>
        </w:rPr>
        <w:t>程及修补缺陷的义务。</w:t>
      </w:r>
    </w:p>
    <w:p>
      <w:pPr>
        <w:pStyle w:val="20"/>
        <w:numPr>
          <w:ilvl w:val="3"/>
          <w:numId w:val="5"/>
        </w:numPr>
        <w:tabs>
          <w:tab w:val="left" w:pos="1005"/>
        </w:tabs>
        <w:spacing w:before="182"/>
        <w:ind w:hanging="182"/>
        <w:jc w:val="left"/>
        <w:rPr>
          <w:sz w:val="24"/>
        </w:rPr>
      </w:pPr>
      <w:r>
        <w:rPr>
          <w:rFonts w:hint="eastAsia"/>
          <w:sz w:val="24"/>
        </w:rPr>
        <w:t>工期提前</w:t>
      </w:r>
    </w:p>
    <w:p>
      <w:pPr>
        <w:pStyle w:val="10"/>
        <w:spacing w:before="2"/>
        <w:rPr>
          <w:sz w:val="21"/>
        </w:rPr>
      </w:pPr>
    </w:p>
    <w:p>
      <w:pPr>
        <w:pStyle w:val="10"/>
        <w:spacing w:line="312" w:lineRule="auto"/>
        <w:ind w:left="384" w:right="266" w:firstLine="480"/>
      </w:pPr>
      <w:r>
        <w:rPr>
          <w:rFonts w:hint="eastAsia"/>
        </w:rPr>
        <w:t>发包人不得随意要求承包人提前交工，承包人也不得随意提出提前交工的建议。如遇特殊情况，发包人确需将工期提前的，发生的费用由发包人承担，发包人和承包人必须采取有效措施，确保工程质量。</w:t>
      </w:r>
    </w:p>
    <w:p>
      <w:pPr>
        <w:pStyle w:val="20"/>
        <w:numPr>
          <w:ilvl w:val="3"/>
          <w:numId w:val="5"/>
        </w:numPr>
        <w:tabs>
          <w:tab w:val="left" w:pos="1125"/>
        </w:tabs>
        <w:spacing w:before="181"/>
        <w:ind w:left="1124" w:hanging="302"/>
        <w:jc w:val="left"/>
        <w:rPr>
          <w:sz w:val="24"/>
        </w:rPr>
      </w:pPr>
      <w:r>
        <w:rPr>
          <w:rFonts w:hint="eastAsia"/>
          <w:sz w:val="24"/>
        </w:rPr>
        <w:t>暂停施工及复工</w:t>
      </w:r>
    </w:p>
    <w:p>
      <w:pPr>
        <w:pStyle w:val="10"/>
        <w:spacing w:before="4"/>
        <w:rPr>
          <w:sz w:val="21"/>
        </w:rPr>
      </w:pPr>
    </w:p>
    <w:p>
      <w:pPr>
        <w:pStyle w:val="20"/>
        <w:numPr>
          <w:ilvl w:val="4"/>
          <w:numId w:val="5"/>
        </w:numPr>
        <w:tabs>
          <w:tab w:val="left" w:pos="1523"/>
          <w:tab w:val="left" w:pos="1524"/>
        </w:tabs>
        <w:ind w:left="1524" w:hanging="660"/>
        <w:rPr>
          <w:sz w:val="24"/>
        </w:rPr>
      </w:pPr>
      <w:r>
        <w:rPr>
          <w:rFonts w:hint="eastAsia"/>
          <w:sz w:val="24"/>
        </w:rPr>
        <w:t>承包人暂停施工增加的费用和（或）工期延误由承包人承担，包括：</w:t>
      </w:r>
    </w:p>
    <w:p>
      <w:pPr>
        <w:pStyle w:val="20"/>
        <w:numPr>
          <w:ilvl w:val="0"/>
          <w:numId w:val="11"/>
        </w:numPr>
        <w:tabs>
          <w:tab w:val="left" w:pos="1465"/>
        </w:tabs>
        <w:spacing w:before="93"/>
        <w:rPr>
          <w:sz w:val="24"/>
        </w:rPr>
      </w:pPr>
      <w:r>
        <w:rPr>
          <w:rFonts w:hint="eastAsia"/>
          <w:sz w:val="24"/>
        </w:rPr>
        <w:t>承包人违约引起的暂停施工；</w:t>
      </w:r>
    </w:p>
    <w:p>
      <w:pPr>
        <w:rPr>
          <w:sz w:val="24"/>
        </w:rPr>
        <w:sectPr>
          <w:pgSz w:w="11910" w:h="16840"/>
          <w:pgMar w:top="1360" w:right="1120" w:bottom="1080" w:left="1260" w:header="882" w:footer="880" w:gutter="0"/>
          <w:cols w:space="720" w:num="1"/>
        </w:sectPr>
      </w:pPr>
    </w:p>
    <w:p>
      <w:pPr>
        <w:pStyle w:val="10"/>
        <w:spacing w:before="12"/>
        <w:rPr>
          <w:sz w:val="17"/>
        </w:rPr>
      </w:pPr>
    </w:p>
    <w:p>
      <w:pPr>
        <w:pStyle w:val="20"/>
        <w:numPr>
          <w:ilvl w:val="0"/>
          <w:numId w:val="11"/>
        </w:numPr>
        <w:tabs>
          <w:tab w:val="left" w:pos="1465"/>
        </w:tabs>
        <w:spacing w:before="74"/>
        <w:rPr>
          <w:sz w:val="24"/>
        </w:rPr>
      </w:pPr>
      <w:r>
        <w:rPr>
          <w:rFonts w:hint="eastAsia"/>
          <w:sz w:val="24"/>
        </w:rPr>
        <w:t>由于承包人原因为工程合理施工和安全保障所必需的暂停施工；</w:t>
      </w:r>
    </w:p>
    <w:p>
      <w:pPr>
        <w:pStyle w:val="20"/>
        <w:numPr>
          <w:ilvl w:val="0"/>
          <w:numId w:val="11"/>
        </w:numPr>
        <w:tabs>
          <w:tab w:val="left" w:pos="1465"/>
        </w:tabs>
        <w:spacing w:before="93"/>
        <w:rPr>
          <w:sz w:val="24"/>
        </w:rPr>
      </w:pPr>
      <w:r>
        <w:rPr>
          <w:rFonts w:hint="eastAsia"/>
          <w:sz w:val="24"/>
        </w:rPr>
        <w:t>承包人擅自暂停施工；</w:t>
      </w:r>
    </w:p>
    <w:p>
      <w:pPr>
        <w:pStyle w:val="20"/>
        <w:numPr>
          <w:ilvl w:val="0"/>
          <w:numId w:val="11"/>
        </w:numPr>
        <w:tabs>
          <w:tab w:val="left" w:pos="1465"/>
        </w:tabs>
        <w:spacing w:before="91"/>
        <w:rPr>
          <w:sz w:val="24"/>
        </w:rPr>
      </w:pPr>
      <w:r>
        <w:rPr>
          <w:rFonts w:hint="eastAsia"/>
          <w:sz w:val="24"/>
        </w:rPr>
        <w:t>承包人其他原因引起的暂停施工；</w:t>
      </w:r>
    </w:p>
    <w:p>
      <w:pPr>
        <w:pStyle w:val="20"/>
        <w:numPr>
          <w:ilvl w:val="0"/>
          <w:numId w:val="11"/>
        </w:numPr>
        <w:tabs>
          <w:tab w:val="left" w:pos="1465"/>
        </w:tabs>
        <w:spacing w:before="94"/>
        <w:rPr>
          <w:sz w:val="24"/>
        </w:rPr>
      </w:pPr>
      <w:r>
        <w:rPr>
          <w:rFonts w:hint="eastAsia"/>
          <w:sz w:val="24"/>
        </w:rPr>
        <w:t>现场气候条件导致的必要停工（异常恶劣气候条件除外）。</w:t>
      </w:r>
    </w:p>
    <w:p>
      <w:pPr>
        <w:pStyle w:val="20"/>
        <w:numPr>
          <w:ilvl w:val="4"/>
          <w:numId w:val="5"/>
        </w:numPr>
        <w:tabs>
          <w:tab w:val="left" w:pos="1529"/>
        </w:tabs>
        <w:spacing w:before="93" w:line="312" w:lineRule="auto"/>
        <w:ind w:left="384" w:right="465" w:firstLine="480"/>
        <w:jc w:val="both"/>
        <w:rPr>
          <w:sz w:val="24"/>
        </w:rPr>
      </w:pPr>
      <w:r>
        <w:rPr>
          <w:rFonts w:hint="eastAsia"/>
          <w:sz w:val="24"/>
        </w:rPr>
        <w:t>监理人认为有必要时，可向承包人作出暂停施工的指示，承包人应按监</w:t>
      </w:r>
      <w:r>
        <w:rPr>
          <w:rFonts w:hint="eastAsia"/>
          <w:spacing w:val="-1"/>
          <w:sz w:val="24"/>
        </w:rPr>
        <w:t>理人指示暂停施工。不论由于何种原因引起的暂停施工，暂停施工期间承包人应负责妥善保护工程并提供安全保障。因发包人或监理人的行为或失误引起的停工，由发包人承担相应的费用补偿，相应工期顺延；由承包人原因造成的停工由承包人承</w:t>
      </w:r>
      <w:r>
        <w:rPr>
          <w:rFonts w:hint="eastAsia"/>
          <w:sz w:val="24"/>
        </w:rPr>
        <w:t>担发生的费用，工期不予顺延。</w:t>
      </w:r>
    </w:p>
    <w:p>
      <w:pPr>
        <w:pStyle w:val="20"/>
        <w:numPr>
          <w:ilvl w:val="4"/>
          <w:numId w:val="5"/>
        </w:numPr>
        <w:tabs>
          <w:tab w:val="left" w:pos="1529"/>
        </w:tabs>
        <w:spacing w:line="312" w:lineRule="auto"/>
        <w:ind w:left="384" w:right="466" w:firstLine="480"/>
        <w:jc w:val="both"/>
        <w:rPr>
          <w:sz w:val="24"/>
        </w:rPr>
      </w:pPr>
      <w:r>
        <w:rPr>
          <w:rFonts w:hint="eastAsia"/>
          <w:sz w:val="24"/>
        </w:rPr>
        <w:t>由于发包人原因引起的暂停施工造成工期延误的，承包人有权要求发包人延长工期和(或)</w:t>
      </w:r>
      <w:r>
        <w:rPr>
          <w:rFonts w:hint="eastAsia"/>
          <w:spacing w:val="-4"/>
          <w:sz w:val="24"/>
        </w:rPr>
        <w:t>增加费用，并支付合理利润。在自暂时停工之日起</w:t>
      </w:r>
      <w:r>
        <w:rPr>
          <w:rFonts w:hint="eastAsia"/>
          <w:sz w:val="24"/>
        </w:rPr>
        <w:t>28</w:t>
      </w:r>
      <w:r>
        <w:rPr>
          <w:rFonts w:hint="eastAsia"/>
          <w:spacing w:val="-5"/>
          <w:sz w:val="24"/>
        </w:rPr>
        <w:t>天内，监理</w:t>
      </w:r>
      <w:r>
        <w:rPr>
          <w:rFonts w:hint="eastAsia"/>
          <w:spacing w:val="-9"/>
          <w:sz w:val="24"/>
        </w:rPr>
        <w:t>人仍未发出复工通知，承包人可向监理人提交书面通知，要求自收到该通知后</w:t>
      </w:r>
      <w:r>
        <w:rPr>
          <w:rFonts w:hint="eastAsia"/>
          <w:sz w:val="24"/>
        </w:rPr>
        <w:t>14</w:t>
      </w:r>
      <w:r>
        <w:rPr>
          <w:rFonts w:hint="eastAsia"/>
          <w:spacing w:val="-18"/>
          <w:sz w:val="24"/>
        </w:rPr>
        <w:t>天</w:t>
      </w:r>
      <w:r>
        <w:rPr>
          <w:rFonts w:hint="eastAsia"/>
          <w:sz w:val="24"/>
        </w:rPr>
        <w:t>内准许已经暂停的工程（或其部分工程）</w:t>
      </w:r>
      <w:r>
        <w:rPr>
          <w:rFonts w:hint="eastAsia"/>
          <w:spacing w:val="-1"/>
          <w:sz w:val="24"/>
        </w:rPr>
        <w:t>继续施工。如果监理人逾期不予批准，则</w:t>
      </w:r>
      <w:r>
        <w:rPr>
          <w:rFonts w:hint="eastAsia"/>
          <w:sz w:val="24"/>
        </w:rPr>
        <w:t>承包人可以（但并非必须）作如下选择：</w:t>
      </w:r>
    </w:p>
    <w:p>
      <w:pPr>
        <w:pStyle w:val="20"/>
        <w:numPr>
          <w:ilvl w:val="0"/>
          <w:numId w:val="12"/>
        </w:numPr>
        <w:tabs>
          <w:tab w:val="left" w:pos="1465"/>
        </w:tabs>
        <w:spacing w:before="1" w:line="312" w:lineRule="auto"/>
        <w:ind w:right="466" w:firstLine="480"/>
        <w:rPr>
          <w:sz w:val="24"/>
        </w:rPr>
      </w:pPr>
      <w:r>
        <w:rPr>
          <w:rFonts w:hint="eastAsia"/>
          <w:spacing w:val="-3"/>
          <w:sz w:val="24"/>
        </w:rPr>
        <w:t>如果暂停施工仅涉及本工程的一部分时，则可将该部分工程从本合同中</w:t>
      </w:r>
      <w:r>
        <w:rPr>
          <w:rFonts w:hint="eastAsia"/>
          <w:spacing w:val="-5"/>
          <w:sz w:val="24"/>
        </w:rPr>
        <w:t>取消，同时将此事通知监理人；</w:t>
      </w:r>
    </w:p>
    <w:p>
      <w:pPr>
        <w:pStyle w:val="20"/>
        <w:numPr>
          <w:ilvl w:val="0"/>
          <w:numId w:val="12"/>
        </w:numPr>
        <w:tabs>
          <w:tab w:val="left" w:pos="1465"/>
        </w:tabs>
        <w:spacing w:before="2" w:line="312" w:lineRule="auto"/>
        <w:ind w:right="466" w:firstLine="480"/>
        <w:rPr>
          <w:sz w:val="24"/>
        </w:rPr>
      </w:pPr>
      <w:r>
        <w:rPr>
          <w:rFonts w:hint="eastAsia"/>
          <w:spacing w:val="-4"/>
          <w:sz w:val="24"/>
        </w:rPr>
        <w:t>如果暂停施工影响到整个合同工程时，可视为发包人违约，并由发包人</w:t>
      </w:r>
      <w:r>
        <w:rPr>
          <w:rFonts w:hint="eastAsia"/>
          <w:spacing w:val="-5"/>
          <w:sz w:val="24"/>
        </w:rPr>
        <w:t>承担违约责任。</w:t>
      </w:r>
    </w:p>
    <w:p>
      <w:pPr>
        <w:pStyle w:val="20"/>
        <w:numPr>
          <w:ilvl w:val="4"/>
          <w:numId w:val="5"/>
        </w:numPr>
        <w:tabs>
          <w:tab w:val="left" w:pos="1523"/>
          <w:tab w:val="left" w:pos="1524"/>
        </w:tabs>
        <w:spacing w:line="300" w:lineRule="exact"/>
        <w:ind w:left="1524" w:hanging="660"/>
        <w:rPr>
          <w:sz w:val="24"/>
        </w:rPr>
      </w:pPr>
      <w:r>
        <w:rPr>
          <w:rFonts w:hint="eastAsia"/>
          <w:sz w:val="24"/>
        </w:rPr>
        <w:t>复工</w:t>
      </w:r>
    </w:p>
    <w:p>
      <w:pPr>
        <w:pStyle w:val="20"/>
        <w:numPr>
          <w:ilvl w:val="0"/>
          <w:numId w:val="13"/>
        </w:numPr>
        <w:tabs>
          <w:tab w:val="left" w:pos="1465"/>
        </w:tabs>
        <w:spacing w:before="84" w:line="307" w:lineRule="auto"/>
        <w:ind w:right="346" w:firstLine="480"/>
        <w:rPr>
          <w:sz w:val="24"/>
        </w:rPr>
      </w:pPr>
      <w:r>
        <w:rPr>
          <w:rFonts w:hint="eastAsia"/>
          <w:spacing w:val="-7"/>
          <w:sz w:val="24"/>
        </w:rPr>
        <w:t>暂停施工后，发包人、监理人和承包人应积极协商，采取有效措施积极消</w:t>
      </w:r>
      <w:r>
        <w:rPr>
          <w:rFonts w:hint="eastAsia"/>
          <w:spacing w:val="-13"/>
          <w:sz w:val="24"/>
        </w:rPr>
        <w:t>除暂停施工的影响。当工程具备复工条件时，监理人应立即向承包人发出复工通知。</w:t>
      </w:r>
      <w:r>
        <w:rPr>
          <w:rFonts w:hint="eastAsia"/>
          <w:sz w:val="24"/>
        </w:rPr>
        <w:t>承包人收到复工通知后，应在监理人指定的期限内复工；</w:t>
      </w:r>
    </w:p>
    <w:p>
      <w:pPr>
        <w:pStyle w:val="20"/>
        <w:numPr>
          <w:ilvl w:val="0"/>
          <w:numId w:val="13"/>
        </w:numPr>
        <w:tabs>
          <w:tab w:val="left" w:pos="1465"/>
        </w:tabs>
        <w:spacing w:line="307" w:lineRule="auto"/>
        <w:ind w:right="346" w:firstLine="480"/>
        <w:rPr>
          <w:sz w:val="24"/>
        </w:rPr>
      </w:pPr>
      <w:r>
        <w:rPr>
          <w:rFonts w:hint="eastAsia"/>
          <w:spacing w:val="-8"/>
          <w:sz w:val="24"/>
        </w:rPr>
        <w:t>承包人无故拖延和拒绝复工的，由此增加的费用和工期延误由承包人承担</w:t>
      </w:r>
      <w:r>
        <w:rPr>
          <w:rFonts w:hint="eastAsia"/>
          <w:spacing w:val="-3"/>
          <w:sz w:val="24"/>
        </w:rPr>
        <w:t>；因发包人原因无法按时复工的，承包人有权要求发包人延长工期和</w:t>
      </w:r>
      <w:r>
        <w:rPr>
          <w:rFonts w:hint="eastAsia"/>
          <w:spacing w:val="4"/>
          <w:sz w:val="24"/>
        </w:rPr>
        <w:t>(</w:t>
      </w:r>
      <w:r>
        <w:rPr>
          <w:rFonts w:hint="eastAsia"/>
          <w:sz w:val="24"/>
        </w:rPr>
        <w:t>或</w:t>
      </w:r>
      <w:r>
        <w:rPr>
          <w:rFonts w:hint="eastAsia"/>
          <w:spacing w:val="4"/>
          <w:sz w:val="24"/>
        </w:rPr>
        <w:t>)</w:t>
      </w:r>
      <w:r>
        <w:rPr>
          <w:rFonts w:hint="eastAsia"/>
          <w:sz w:val="24"/>
        </w:rPr>
        <w:t>增加费用，并支付合理利润。</w:t>
      </w:r>
    </w:p>
    <w:p>
      <w:pPr>
        <w:pStyle w:val="20"/>
        <w:numPr>
          <w:ilvl w:val="3"/>
          <w:numId w:val="5"/>
        </w:numPr>
        <w:tabs>
          <w:tab w:val="left" w:pos="1125"/>
        </w:tabs>
        <w:spacing w:before="163"/>
        <w:ind w:left="1124" w:hanging="302"/>
        <w:jc w:val="left"/>
        <w:rPr>
          <w:sz w:val="24"/>
        </w:rPr>
      </w:pPr>
      <w:r>
        <w:rPr>
          <w:rFonts w:hint="eastAsia"/>
          <w:sz w:val="24"/>
        </w:rPr>
        <w:t>工程竣（交）工</w:t>
      </w:r>
    </w:p>
    <w:p>
      <w:pPr>
        <w:pStyle w:val="10"/>
        <w:spacing w:before="7"/>
        <w:rPr>
          <w:sz w:val="20"/>
        </w:rPr>
      </w:pPr>
    </w:p>
    <w:p>
      <w:pPr>
        <w:pStyle w:val="20"/>
        <w:numPr>
          <w:ilvl w:val="4"/>
          <w:numId w:val="5"/>
        </w:numPr>
        <w:tabs>
          <w:tab w:val="left" w:pos="1528"/>
          <w:tab w:val="left" w:pos="1529"/>
        </w:tabs>
        <w:spacing w:line="304" w:lineRule="auto"/>
        <w:ind w:left="384" w:right="346" w:firstLine="480"/>
        <w:rPr>
          <w:sz w:val="24"/>
        </w:rPr>
      </w:pPr>
      <w:r>
        <w:rPr>
          <w:rFonts w:hint="eastAsia"/>
          <w:sz w:val="24"/>
        </w:rPr>
        <w:t>工程完工，通过交工验收质量达到合格，并已按《新疆维吾尔自治区重要农村公路竣（交）工验收办法（试行）》的规定和地方交通主管部门的规定编制</w:t>
      </w:r>
      <w:r>
        <w:rPr>
          <w:rFonts w:hint="eastAsia"/>
          <w:spacing w:val="-7"/>
          <w:sz w:val="24"/>
        </w:rPr>
        <w:t>了竣工图表和竣工资料后，承包人可就此向监理人申请交工验收，同时抄送发包人。</w:t>
      </w:r>
      <w:r>
        <w:rPr>
          <w:rFonts w:hint="eastAsia"/>
          <w:spacing w:val="-8"/>
          <w:sz w:val="24"/>
        </w:rPr>
        <w:t>监理人在收到该申请后，应在</w:t>
      </w:r>
      <w:r>
        <w:rPr>
          <w:rFonts w:hint="eastAsia"/>
          <w:sz w:val="24"/>
        </w:rPr>
        <w:t>7</w:t>
      </w:r>
      <w:r>
        <w:rPr>
          <w:rFonts w:hint="eastAsia"/>
          <w:spacing w:val="-8"/>
          <w:sz w:val="24"/>
        </w:rPr>
        <w:t>天内审核并报发包人，发包人在收到申请后</w:t>
      </w:r>
      <w:r>
        <w:rPr>
          <w:rFonts w:hint="eastAsia"/>
          <w:sz w:val="24"/>
        </w:rPr>
        <w:t>14天内应组织交工验收，并写出交工验收报告报上级主管部门备案，同时发包人在交工验</w:t>
      </w:r>
      <w:r>
        <w:rPr>
          <w:rFonts w:hint="eastAsia"/>
          <w:spacing w:val="-12"/>
          <w:sz w:val="24"/>
        </w:rPr>
        <w:t>收合格后</w:t>
      </w:r>
      <w:r>
        <w:rPr>
          <w:rFonts w:hint="eastAsia"/>
          <w:sz w:val="24"/>
        </w:rPr>
        <w:t>14</w:t>
      </w:r>
      <w:r>
        <w:rPr>
          <w:rFonts w:hint="eastAsia"/>
          <w:spacing w:val="-10"/>
          <w:sz w:val="24"/>
        </w:rPr>
        <w:t>天内，向承包人签发交工证书，各合同段交工验收工作所需费用由承包人承担。并办理合同工程移交管养工作。工程进入缺陷责任期。</w:t>
      </w:r>
    </w:p>
    <w:p>
      <w:pPr>
        <w:spacing w:line="304" w:lineRule="auto"/>
        <w:rPr>
          <w:sz w:val="24"/>
        </w:rPr>
        <w:sectPr>
          <w:pgSz w:w="11910" w:h="16840"/>
          <w:pgMar w:top="1360" w:right="1120" w:bottom="1080" w:left="1260" w:header="882" w:footer="880" w:gutter="0"/>
          <w:cols w:space="720" w:num="1"/>
        </w:sectPr>
      </w:pPr>
    </w:p>
    <w:p>
      <w:pPr>
        <w:pStyle w:val="10"/>
        <w:spacing w:before="5"/>
        <w:rPr>
          <w:sz w:val="17"/>
        </w:rPr>
      </w:pPr>
    </w:p>
    <w:p>
      <w:pPr>
        <w:pStyle w:val="20"/>
        <w:numPr>
          <w:ilvl w:val="4"/>
          <w:numId w:val="5"/>
        </w:numPr>
        <w:tabs>
          <w:tab w:val="left" w:pos="1529"/>
        </w:tabs>
        <w:spacing w:before="74" w:line="304" w:lineRule="auto"/>
        <w:ind w:left="384" w:right="465" w:firstLine="480"/>
        <w:jc w:val="both"/>
        <w:rPr>
          <w:sz w:val="24"/>
        </w:rPr>
      </w:pPr>
      <w:r>
        <w:rPr>
          <w:rFonts w:hint="eastAsia"/>
          <w:sz w:val="24"/>
        </w:rPr>
        <w:t>全部工程完工后，在全部工程交工证书签发之前，承包人须向发包人提</w:t>
      </w:r>
      <w:r>
        <w:rPr>
          <w:rFonts w:hint="eastAsia"/>
          <w:spacing w:val="-25"/>
          <w:sz w:val="24"/>
        </w:rPr>
        <w:t>交</w:t>
      </w:r>
      <w:r>
        <w:rPr>
          <w:rFonts w:hint="eastAsia"/>
          <w:sz w:val="24"/>
        </w:rPr>
        <w:t>3</w:t>
      </w:r>
      <w:r>
        <w:rPr>
          <w:rFonts w:hint="eastAsia"/>
          <w:spacing w:val="-1"/>
          <w:sz w:val="24"/>
        </w:rPr>
        <w:t>套完整、合格的竣工文件与施工文件。在缺陷责任期内应补充的竣工资料应在签发缺陷责任证书之前提交。在承包人实施和完成本合同工程及其缺陷修复的义务后，应由监理人根据合同规定核查缺陷责任修复完成后填写缺陷责任终止证书，报</w:t>
      </w:r>
      <w:r>
        <w:rPr>
          <w:rFonts w:hint="eastAsia"/>
          <w:spacing w:val="-3"/>
          <w:sz w:val="24"/>
        </w:rPr>
        <w:t>发包人同意后，由发包人在缺陷责任期终止后</w:t>
      </w:r>
      <w:r>
        <w:rPr>
          <w:rFonts w:hint="eastAsia"/>
          <w:sz w:val="24"/>
        </w:rPr>
        <w:t>21天之内发出。</w:t>
      </w:r>
    </w:p>
    <w:p>
      <w:pPr>
        <w:pStyle w:val="20"/>
        <w:numPr>
          <w:ilvl w:val="4"/>
          <w:numId w:val="5"/>
        </w:numPr>
        <w:tabs>
          <w:tab w:val="left" w:pos="1529"/>
        </w:tabs>
        <w:spacing w:before="8" w:line="304" w:lineRule="auto"/>
        <w:ind w:left="384" w:right="467" w:firstLine="480"/>
        <w:jc w:val="both"/>
        <w:rPr>
          <w:sz w:val="24"/>
        </w:rPr>
      </w:pPr>
      <w:r>
        <w:rPr>
          <w:rFonts w:hint="eastAsia"/>
          <w:sz w:val="24"/>
        </w:rPr>
        <w:t>工程全部完工并通过交工验收后，发包人应向上级主管部门申请进行竣工验收。组织办理竣工验收的费用，由发包人承担。</w:t>
      </w:r>
    </w:p>
    <w:p>
      <w:pPr>
        <w:pStyle w:val="20"/>
        <w:numPr>
          <w:ilvl w:val="4"/>
          <w:numId w:val="5"/>
        </w:numPr>
        <w:tabs>
          <w:tab w:val="left" w:pos="1529"/>
        </w:tabs>
        <w:spacing w:before="1" w:line="307" w:lineRule="auto"/>
        <w:ind w:left="384" w:right="467" w:firstLine="480"/>
        <w:jc w:val="both"/>
        <w:rPr>
          <w:sz w:val="24"/>
        </w:rPr>
      </w:pPr>
      <w:r>
        <w:rPr>
          <w:rFonts w:hint="eastAsia"/>
          <w:sz w:val="24"/>
        </w:rPr>
        <w:t>工程接收证书颁发后，承包人应按要求对施工场地进行清理，直至监理人检验合格为止。竣工清场费用由承包人承担。</w:t>
      </w:r>
    </w:p>
    <w:p>
      <w:pPr>
        <w:pStyle w:val="20"/>
        <w:numPr>
          <w:ilvl w:val="4"/>
          <w:numId w:val="5"/>
        </w:numPr>
        <w:tabs>
          <w:tab w:val="left" w:pos="1344"/>
        </w:tabs>
        <w:spacing w:line="305" w:lineRule="exact"/>
        <w:ind w:left="1344" w:hanging="480"/>
        <w:jc w:val="both"/>
        <w:rPr>
          <w:sz w:val="24"/>
        </w:rPr>
      </w:pPr>
      <w:r>
        <w:rPr>
          <w:rFonts w:hint="eastAsia"/>
          <w:sz w:val="24"/>
        </w:rPr>
        <w:t>施工期运行</w:t>
      </w:r>
    </w:p>
    <w:p>
      <w:pPr>
        <w:pStyle w:val="20"/>
        <w:numPr>
          <w:ilvl w:val="5"/>
          <w:numId w:val="5"/>
        </w:numPr>
        <w:tabs>
          <w:tab w:val="left" w:pos="1584"/>
        </w:tabs>
        <w:spacing w:before="84" w:line="307" w:lineRule="auto"/>
        <w:ind w:right="465" w:firstLine="480"/>
        <w:jc w:val="both"/>
        <w:rPr>
          <w:sz w:val="24"/>
        </w:rPr>
      </w:pPr>
      <w:r>
        <w:rPr>
          <w:rFonts w:hint="eastAsia"/>
          <w:spacing w:val="-1"/>
          <w:sz w:val="24"/>
        </w:rPr>
        <w:t>施工期运行是指合同工程尚未全部竣工，其中某项或某几项单位工程或工程设备安装已竣工，根据专用合同条款约定，需要投入施工期运行的，经发包人</w:t>
      </w:r>
      <w:r>
        <w:rPr>
          <w:rFonts w:hint="eastAsia"/>
          <w:spacing w:val="-20"/>
          <w:sz w:val="24"/>
        </w:rPr>
        <w:t xml:space="preserve">按第 </w:t>
      </w:r>
      <w:r>
        <w:rPr>
          <w:rFonts w:hint="eastAsia"/>
          <w:sz w:val="24"/>
        </w:rPr>
        <w:t>11.1 款的约定验收合格，证明能确保安全后，才能在施工期投入运行。</w:t>
      </w:r>
    </w:p>
    <w:p>
      <w:pPr>
        <w:pStyle w:val="20"/>
        <w:numPr>
          <w:ilvl w:val="5"/>
          <w:numId w:val="5"/>
        </w:numPr>
        <w:tabs>
          <w:tab w:val="left" w:pos="1584"/>
        </w:tabs>
        <w:spacing w:line="303" w:lineRule="exact"/>
        <w:ind w:left="1584"/>
        <w:jc w:val="both"/>
        <w:rPr>
          <w:sz w:val="24"/>
        </w:rPr>
      </w:pPr>
      <w:r>
        <w:rPr>
          <w:rFonts w:hint="eastAsia"/>
          <w:sz w:val="24"/>
        </w:rPr>
        <w:t>在施工期运行中发现工程或工程设备损坏或存在缺陷的，由承包人按第</w:t>
      </w:r>
    </w:p>
    <w:p>
      <w:pPr>
        <w:pStyle w:val="10"/>
        <w:spacing w:before="86"/>
        <w:ind w:left="384"/>
        <w:jc w:val="both"/>
      </w:pPr>
      <w:r>
        <w:rPr>
          <w:rFonts w:hint="eastAsia"/>
        </w:rPr>
        <w:t>21.2 款约定进行修复。</w:t>
      </w:r>
    </w:p>
    <w:p>
      <w:pPr>
        <w:pStyle w:val="20"/>
        <w:numPr>
          <w:ilvl w:val="1"/>
          <w:numId w:val="14"/>
        </w:numPr>
        <w:tabs>
          <w:tab w:val="left" w:pos="1404"/>
        </w:tabs>
        <w:spacing w:before="84"/>
        <w:jc w:val="both"/>
        <w:rPr>
          <w:sz w:val="24"/>
        </w:rPr>
      </w:pPr>
      <w:r>
        <w:rPr>
          <w:rFonts w:hint="eastAsia"/>
          <w:sz w:val="24"/>
        </w:rPr>
        <w:t>试运行</w:t>
      </w:r>
    </w:p>
    <w:p>
      <w:pPr>
        <w:pStyle w:val="20"/>
        <w:numPr>
          <w:ilvl w:val="2"/>
          <w:numId w:val="14"/>
        </w:numPr>
        <w:tabs>
          <w:tab w:val="left" w:pos="1584"/>
        </w:tabs>
        <w:spacing w:before="100" w:line="312" w:lineRule="auto"/>
        <w:ind w:right="502" w:firstLine="480"/>
        <w:jc w:val="both"/>
        <w:rPr>
          <w:sz w:val="24"/>
        </w:rPr>
      </w:pPr>
      <w:r>
        <w:rPr>
          <w:rFonts w:hint="eastAsia"/>
          <w:spacing w:val="-1"/>
          <w:sz w:val="24"/>
        </w:rPr>
        <w:t>除专用合同条款另有约定外，承包人应按专用合同条款约定进行工程及工程设备试运行，负责提供试运行所需的人员、器材和必要的条件，并承担全部试</w:t>
      </w:r>
      <w:r>
        <w:rPr>
          <w:rFonts w:hint="eastAsia"/>
          <w:sz w:val="24"/>
        </w:rPr>
        <w:t>运行费用。</w:t>
      </w:r>
    </w:p>
    <w:p>
      <w:pPr>
        <w:pStyle w:val="20"/>
        <w:numPr>
          <w:ilvl w:val="2"/>
          <w:numId w:val="14"/>
        </w:numPr>
        <w:tabs>
          <w:tab w:val="left" w:pos="1527"/>
        </w:tabs>
        <w:spacing w:line="291" w:lineRule="exact"/>
        <w:ind w:left="1526" w:hanging="663"/>
        <w:jc w:val="both"/>
        <w:rPr>
          <w:sz w:val="24"/>
        </w:rPr>
      </w:pPr>
      <w:r>
        <w:rPr>
          <w:rFonts w:hint="eastAsia"/>
          <w:sz w:val="24"/>
        </w:rPr>
        <w:t>由于承包人的原因导致试运行失败的，承包人应采取措施保证试运行合</w:t>
      </w:r>
    </w:p>
    <w:p>
      <w:pPr>
        <w:pStyle w:val="10"/>
        <w:spacing w:before="87" w:line="304" w:lineRule="auto"/>
        <w:ind w:left="384" w:right="465"/>
      </w:pPr>
      <w:r>
        <w:rPr>
          <w:rFonts w:hint="eastAsia"/>
        </w:rPr>
        <w:t>格，并承担相应费用。由于发包人的原因导致试运行失败的，承包人应当采取措施保证试运行合格，发包人应承担由此产生的费用，并支付承包人合理利润。</w:t>
      </w:r>
    </w:p>
    <w:p>
      <w:pPr>
        <w:pStyle w:val="10"/>
        <w:spacing w:before="174"/>
        <w:ind w:left="583"/>
      </w:pPr>
      <w:r>
        <w:rPr>
          <w:rFonts w:hint="eastAsia"/>
        </w:rPr>
        <w:t>四、质量与检验</w:t>
      </w:r>
    </w:p>
    <w:p>
      <w:pPr>
        <w:pStyle w:val="10"/>
        <w:spacing w:before="10"/>
        <w:rPr>
          <w:sz w:val="19"/>
        </w:rPr>
      </w:pPr>
    </w:p>
    <w:p>
      <w:pPr>
        <w:pStyle w:val="20"/>
        <w:numPr>
          <w:ilvl w:val="3"/>
          <w:numId w:val="5"/>
        </w:numPr>
        <w:tabs>
          <w:tab w:val="left" w:pos="1125"/>
        </w:tabs>
        <w:ind w:left="1124" w:hanging="302"/>
        <w:jc w:val="left"/>
        <w:rPr>
          <w:sz w:val="24"/>
        </w:rPr>
      </w:pPr>
      <w:r>
        <w:rPr>
          <w:rFonts w:hint="eastAsia"/>
          <w:sz w:val="24"/>
        </w:rPr>
        <w:t>工程质量与检验</w:t>
      </w:r>
    </w:p>
    <w:p>
      <w:pPr>
        <w:pStyle w:val="10"/>
        <w:spacing w:before="8"/>
        <w:rPr>
          <w:sz w:val="20"/>
        </w:rPr>
      </w:pPr>
    </w:p>
    <w:p>
      <w:pPr>
        <w:pStyle w:val="20"/>
        <w:numPr>
          <w:ilvl w:val="4"/>
          <w:numId w:val="5"/>
        </w:numPr>
        <w:tabs>
          <w:tab w:val="left" w:pos="1528"/>
          <w:tab w:val="left" w:pos="1529"/>
        </w:tabs>
        <w:spacing w:line="304" w:lineRule="auto"/>
        <w:ind w:left="384" w:right="346" w:firstLine="480"/>
        <w:rPr>
          <w:sz w:val="24"/>
        </w:rPr>
      </w:pPr>
      <w:r>
        <w:rPr>
          <w:rFonts w:hint="eastAsia"/>
          <w:sz w:val="24"/>
        </w:rPr>
        <w:t>承包人应保证其实施的工程质量达到约定的质量标准，质量标准的评定</w:t>
      </w:r>
      <w:r>
        <w:rPr>
          <w:rFonts w:hint="eastAsia"/>
          <w:spacing w:val="-4"/>
          <w:sz w:val="24"/>
        </w:rPr>
        <w:t xml:space="preserve">以交通运输部及新疆交通运输厅有关质量检验评定标准规定为依据。因承包人原因， </w:t>
      </w:r>
      <w:r>
        <w:rPr>
          <w:rFonts w:hint="eastAsia"/>
          <w:sz w:val="24"/>
        </w:rPr>
        <w:t>工程质量达不到合同约定验收标准的，监理人有权要求承包人返工直至符合合同要求为止，承包人承担由此造成的费用增加和（或）工期延误。</w:t>
      </w:r>
    </w:p>
    <w:p>
      <w:pPr>
        <w:pStyle w:val="10"/>
        <w:spacing w:before="5" w:line="304" w:lineRule="auto"/>
        <w:ind w:left="384" w:right="465" w:firstLine="480"/>
      </w:pPr>
      <w:r>
        <w:rPr>
          <w:rFonts w:hint="eastAsia"/>
        </w:rPr>
        <w:t>因发包人原因造成工程质量达不到合同约定验收标准的，发包人应承担由于承包人返工造成的费用增加和（或）工期延误，并支付承包人合理利润。</w:t>
      </w:r>
    </w:p>
    <w:p>
      <w:pPr>
        <w:pStyle w:val="20"/>
        <w:numPr>
          <w:ilvl w:val="4"/>
          <w:numId w:val="5"/>
        </w:numPr>
        <w:tabs>
          <w:tab w:val="left" w:pos="1523"/>
          <w:tab w:val="left" w:pos="1524"/>
        </w:tabs>
        <w:spacing w:before="4"/>
        <w:ind w:left="1524" w:hanging="660"/>
        <w:rPr>
          <w:sz w:val="24"/>
        </w:rPr>
      </w:pPr>
      <w:r>
        <w:rPr>
          <w:rFonts w:hint="eastAsia"/>
          <w:sz w:val="24"/>
        </w:rPr>
        <w:t>承包人的质量管理</w:t>
      </w:r>
    </w:p>
    <w:p>
      <w:pPr>
        <w:pStyle w:val="20"/>
        <w:numPr>
          <w:ilvl w:val="0"/>
          <w:numId w:val="15"/>
        </w:numPr>
        <w:tabs>
          <w:tab w:val="left" w:pos="1465"/>
        </w:tabs>
        <w:spacing w:before="83" w:line="304" w:lineRule="auto"/>
        <w:ind w:right="382" w:firstLine="480"/>
        <w:rPr>
          <w:sz w:val="24"/>
        </w:rPr>
      </w:pPr>
      <w:r>
        <w:rPr>
          <w:rFonts w:hint="eastAsia"/>
          <w:spacing w:val="-1"/>
          <w:sz w:val="24"/>
        </w:rPr>
        <w:t xml:space="preserve">承包人应在施工场地设置专门的质量检查机构，配备专职质量检查人员， </w:t>
      </w:r>
      <w:r>
        <w:rPr>
          <w:rFonts w:hint="eastAsia"/>
          <w:sz w:val="24"/>
        </w:rPr>
        <w:t>建立完善的质量检查制度。承包人应在合同约定的期限内，提交工程质量保证措施</w:t>
      </w:r>
    </w:p>
    <w:p>
      <w:pPr>
        <w:spacing w:line="304" w:lineRule="auto"/>
        <w:rPr>
          <w:sz w:val="24"/>
        </w:rPr>
        <w:sectPr>
          <w:pgSz w:w="11910" w:h="16840"/>
          <w:pgMar w:top="1360" w:right="1120" w:bottom="1080" w:left="1260" w:header="882" w:footer="880" w:gutter="0"/>
          <w:cols w:space="720" w:num="1"/>
        </w:sectPr>
      </w:pPr>
    </w:p>
    <w:p>
      <w:pPr>
        <w:pStyle w:val="10"/>
        <w:rPr>
          <w:sz w:val="18"/>
        </w:rPr>
      </w:pPr>
    </w:p>
    <w:p>
      <w:pPr>
        <w:pStyle w:val="10"/>
        <w:spacing w:before="66" w:line="304" w:lineRule="auto"/>
        <w:ind w:left="384" w:right="465"/>
      </w:pPr>
      <w:r>
        <w:rPr>
          <w:rFonts w:hint="eastAsia"/>
        </w:rPr>
        <w:t>文件，包括质量检查机构的组织和岗位责任、质检人员的组成、质量检查程序和实施细则等，报送监理人审批；</w:t>
      </w:r>
    </w:p>
    <w:p>
      <w:pPr>
        <w:pStyle w:val="20"/>
        <w:numPr>
          <w:ilvl w:val="0"/>
          <w:numId w:val="15"/>
        </w:numPr>
        <w:tabs>
          <w:tab w:val="left" w:pos="1465"/>
        </w:tabs>
        <w:spacing w:before="4" w:line="304" w:lineRule="auto"/>
        <w:ind w:right="466" w:firstLine="480"/>
        <w:jc w:val="both"/>
        <w:rPr>
          <w:sz w:val="24"/>
        </w:rPr>
      </w:pPr>
      <w:r>
        <w:rPr>
          <w:rFonts w:hint="eastAsia"/>
          <w:sz w:val="24"/>
        </w:rPr>
        <w:t>发包人和承包人应严格遵守交通运输部和新疆交通运输厅有关公路工程</w:t>
      </w:r>
      <w:r>
        <w:rPr>
          <w:rFonts w:hint="eastAsia"/>
          <w:spacing w:val="-5"/>
          <w:sz w:val="24"/>
        </w:rPr>
        <w:t>质量责任制和质量问题责任追究的相关规定，施行质量责任终身制，制定相关质量</w:t>
      </w:r>
      <w:r>
        <w:rPr>
          <w:rFonts w:hint="eastAsia"/>
          <w:spacing w:val="-3"/>
          <w:sz w:val="24"/>
        </w:rPr>
        <w:t>保证措施；</w:t>
      </w:r>
    </w:p>
    <w:p>
      <w:pPr>
        <w:pStyle w:val="20"/>
        <w:numPr>
          <w:ilvl w:val="0"/>
          <w:numId w:val="15"/>
        </w:numPr>
        <w:tabs>
          <w:tab w:val="left" w:pos="1465"/>
        </w:tabs>
        <w:spacing w:before="4" w:line="304" w:lineRule="auto"/>
        <w:ind w:right="466" w:firstLine="480"/>
        <w:jc w:val="both"/>
        <w:rPr>
          <w:sz w:val="24"/>
        </w:rPr>
      </w:pPr>
      <w:r>
        <w:rPr>
          <w:rFonts w:hint="eastAsia"/>
          <w:spacing w:val="-3"/>
          <w:sz w:val="24"/>
        </w:rPr>
        <w:t>用于本工程的材料和设备进场以前，承包人必须向监理人提交生产厂商</w:t>
      </w:r>
      <w:r>
        <w:rPr>
          <w:rFonts w:hint="eastAsia"/>
          <w:spacing w:val="-5"/>
          <w:sz w:val="24"/>
        </w:rPr>
        <w:t>出具的质量合格证书和承包人检验合格证书，证明材料、设备质量符合技术规范的规定；</w:t>
      </w:r>
    </w:p>
    <w:p>
      <w:pPr>
        <w:pStyle w:val="20"/>
        <w:numPr>
          <w:ilvl w:val="0"/>
          <w:numId w:val="15"/>
        </w:numPr>
        <w:tabs>
          <w:tab w:val="left" w:pos="1465"/>
        </w:tabs>
        <w:spacing w:before="5" w:line="304" w:lineRule="auto"/>
        <w:ind w:right="466" w:firstLine="480"/>
        <w:rPr>
          <w:sz w:val="24"/>
        </w:rPr>
      </w:pPr>
      <w:r>
        <w:rPr>
          <w:rFonts w:hint="eastAsia"/>
          <w:spacing w:val="-3"/>
          <w:sz w:val="24"/>
        </w:rPr>
        <w:t>承包人应随时按监理人的指令在制造、加工或施工现场对材料和设备进</w:t>
      </w:r>
      <w:r>
        <w:rPr>
          <w:rFonts w:hint="eastAsia"/>
          <w:spacing w:val="-6"/>
          <w:sz w:val="24"/>
        </w:rPr>
        <w:t>行检验；</w:t>
      </w:r>
    </w:p>
    <w:p>
      <w:pPr>
        <w:pStyle w:val="20"/>
        <w:numPr>
          <w:ilvl w:val="0"/>
          <w:numId w:val="15"/>
        </w:numPr>
        <w:tabs>
          <w:tab w:val="left" w:pos="1465"/>
        </w:tabs>
        <w:spacing w:before="1" w:line="307" w:lineRule="auto"/>
        <w:ind w:right="466" w:firstLine="480"/>
        <w:rPr>
          <w:sz w:val="24"/>
        </w:rPr>
      </w:pPr>
      <w:r>
        <w:rPr>
          <w:rFonts w:hint="eastAsia"/>
          <w:spacing w:val="-2"/>
          <w:sz w:val="24"/>
        </w:rPr>
        <w:t>承包人应为监理人对材料或设备的检验提供一切必要的协助，在材料用</w:t>
      </w:r>
      <w:r>
        <w:rPr>
          <w:rFonts w:hint="eastAsia"/>
          <w:spacing w:val="-5"/>
          <w:sz w:val="24"/>
        </w:rPr>
        <w:t>于工程之前，应按监理人的要求提供材料样品以供检验；</w:t>
      </w:r>
    </w:p>
    <w:p>
      <w:pPr>
        <w:pStyle w:val="20"/>
        <w:numPr>
          <w:ilvl w:val="0"/>
          <w:numId w:val="15"/>
        </w:numPr>
        <w:tabs>
          <w:tab w:val="left" w:pos="1465"/>
        </w:tabs>
        <w:spacing w:line="304" w:lineRule="auto"/>
        <w:ind w:right="466" w:firstLine="480"/>
        <w:rPr>
          <w:sz w:val="24"/>
        </w:rPr>
      </w:pPr>
      <w:r>
        <w:rPr>
          <w:rFonts w:hint="eastAsia"/>
          <w:spacing w:val="-5"/>
          <w:sz w:val="24"/>
        </w:rPr>
        <w:t>承包人应加强质量监控，确保规范规定的检验、抽检频率，现场质检的原</w:t>
      </w:r>
      <w:r>
        <w:rPr>
          <w:rFonts w:hint="eastAsia"/>
          <w:sz w:val="24"/>
        </w:rPr>
        <w:t>始资料必须真实、准确、可靠，不得追记，接受质量检查时必须出示原始资料；</w:t>
      </w:r>
    </w:p>
    <w:p>
      <w:pPr>
        <w:pStyle w:val="20"/>
        <w:numPr>
          <w:ilvl w:val="0"/>
          <w:numId w:val="15"/>
        </w:numPr>
        <w:tabs>
          <w:tab w:val="left" w:pos="1465"/>
        </w:tabs>
        <w:spacing w:before="1" w:line="304" w:lineRule="auto"/>
        <w:ind w:right="466" w:firstLine="480"/>
        <w:jc w:val="both"/>
        <w:rPr>
          <w:sz w:val="24"/>
        </w:rPr>
      </w:pPr>
      <w:r>
        <w:rPr>
          <w:rFonts w:hint="eastAsia"/>
          <w:spacing w:val="-4"/>
          <w:sz w:val="24"/>
        </w:rPr>
        <w:t>承包人必须完善检验手段，根据技术规范的规定配齐检测和试验仪器、</w:t>
      </w:r>
      <w:r>
        <w:rPr>
          <w:rFonts w:hint="eastAsia"/>
          <w:spacing w:val="-5"/>
          <w:sz w:val="24"/>
        </w:rPr>
        <w:t>仪表，并应及时校正确保其精度；根据合同要求加强工地试验室的管理；加强标准</w:t>
      </w:r>
      <w:r>
        <w:rPr>
          <w:rFonts w:hint="eastAsia"/>
          <w:spacing w:val="-4"/>
          <w:sz w:val="24"/>
        </w:rPr>
        <w:t>计量基础工作和材料检验工作，不得违规计量，不合格材料严禁用于本工程；</w:t>
      </w:r>
    </w:p>
    <w:p>
      <w:pPr>
        <w:pStyle w:val="20"/>
        <w:numPr>
          <w:ilvl w:val="0"/>
          <w:numId w:val="15"/>
        </w:numPr>
        <w:tabs>
          <w:tab w:val="left" w:pos="1465"/>
        </w:tabs>
        <w:spacing w:before="5"/>
        <w:ind w:left="1465"/>
        <w:rPr>
          <w:sz w:val="24"/>
        </w:rPr>
      </w:pPr>
      <w:r>
        <w:rPr>
          <w:rFonts w:hint="eastAsia"/>
          <w:sz w:val="24"/>
        </w:rPr>
        <w:t>所有施工操作工艺应符合本合同的规定以及监理人的指令；</w:t>
      </w:r>
    </w:p>
    <w:p>
      <w:pPr>
        <w:pStyle w:val="20"/>
        <w:numPr>
          <w:ilvl w:val="0"/>
          <w:numId w:val="15"/>
        </w:numPr>
        <w:tabs>
          <w:tab w:val="left" w:pos="1465"/>
        </w:tabs>
        <w:spacing w:before="84" w:line="307" w:lineRule="auto"/>
        <w:ind w:right="466" w:firstLine="480"/>
        <w:jc w:val="both"/>
        <w:rPr>
          <w:sz w:val="24"/>
        </w:rPr>
      </w:pPr>
      <w:r>
        <w:rPr>
          <w:rFonts w:hint="eastAsia"/>
          <w:spacing w:val="-5"/>
          <w:sz w:val="24"/>
        </w:rPr>
        <w:t>对工程质量有争议，监理人可委托独立的工程质量检测机构鉴定，所需费用及因此造成的损失，由责任方承担。双方均有责任的，由双方根据其责任大小</w:t>
      </w:r>
      <w:r>
        <w:rPr>
          <w:rFonts w:hint="eastAsia"/>
          <w:spacing w:val="-4"/>
          <w:sz w:val="24"/>
        </w:rPr>
        <w:t>分别承担；</w:t>
      </w:r>
    </w:p>
    <w:p>
      <w:pPr>
        <w:pStyle w:val="20"/>
        <w:numPr>
          <w:ilvl w:val="0"/>
          <w:numId w:val="15"/>
        </w:numPr>
        <w:tabs>
          <w:tab w:val="left" w:pos="1588"/>
        </w:tabs>
        <w:spacing w:line="307" w:lineRule="auto"/>
        <w:ind w:right="465" w:firstLine="480"/>
        <w:jc w:val="both"/>
        <w:rPr>
          <w:sz w:val="24"/>
        </w:rPr>
      </w:pPr>
      <w:r>
        <w:rPr>
          <w:rFonts w:hint="eastAsia"/>
          <w:spacing w:val="-1"/>
          <w:sz w:val="24"/>
        </w:rPr>
        <w:t>承包人应合理安排施工计划，合理安排工期，尽量避免工程越冬施工。如必须越冬，要采取必要的措施，保证工程质量；所发生的费用，承包人在报价中</w:t>
      </w:r>
      <w:r>
        <w:rPr>
          <w:rFonts w:hint="eastAsia"/>
          <w:sz w:val="24"/>
        </w:rPr>
        <w:t>要充分考虑，发包人不单独支付。</w:t>
      </w:r>
    </w:p>
    <w:p>
      <w:pPr>
        <w:pStyle w:val="20"/>
        <w:numPr>
          <w:ilvl w:val="4"/>
          <w:numId w:val="5"/>
        </w:numPr>
        <w:tabs>
          <w:tab w:val="left" w:pos="1529"/>
        </w:tabs>
        <w:spacing w:line="304" w:lineRule="auto"/>
        <w:ind w:left="384" w:right="465" w:firstLine="480"/>
        <w:jc w:val="both"/>
        <w:rPr>
          <w:sz w:val="24"/>
        </w:rPr>
      </w:pPr>
      <w:r>
        <w:rPr>
          <w:rFonts w:hint="eastAsia"/>
          <w:sz w:val="24"/>
        </w:rPr>
        <w:t>监理人根据检查或检验结果可以拒收有缺陷或不符合合同要求的材料或</w:t>
      </w:r>
      <w:r>
        <w:rPr>
          <w:rFonts w:hint="eastAsia"/>
          <w:spacing w:val="-1"/>
          <w:sz w:val="24"/>
        </w:rPr>
        <w:t>设备，并通知承包人说明拒收的理由；承包人应立即修复所述缺陷或替换被拒收材料或设备使其符合合同规定；如果监理人要求在相同条件下进行被拒收材料或设备</w:t>
      </w:r>
      <w:r>
        <w:rPr>
          <w:rFonts w:hint="eastAsia"/>
          <w:sz w:val="24"/>
        </w:rPr>
        <w:t>的检验，其检验所发生的费用由承包人承担。</w:t>
      </w:r>
    </w:p>
    <w:p>
      <w:pPr>
        <w:pStyle w:val="20"/>
        <w:numPr>
          <w:ilvl w:val="4"/>
          <w:numId w:val="5"/>
        </w:numPr>
        <w:tabs>
          <w:tab w:val="left" w:pos="1524"/>
        </w:tabs>
        <w:ind w:left="1524" w:hanging="660"/>
        <w:jc w:val="both"/>
        <w:rPr>
          <w:sz w:val="24"/>
        </w:rPr>
      </w:pPr>
      <w:r>
        <w:rPr>
          <w:rFonts w:hint="eastAsia"/>
          <w:sz w:val="24"/>
        </w:rPr>
        <w:t>监理人有权随时就下述事项发出指令：</w:t>
      </w:r>
    </w:p>
    <w:p>
      <w:pPr>
        <w:pStyle w:val="20"/>
        <w:numPr>
          <w:ilvl w:val="0"/>
          <w:numId w:val="16"/>
        </w:numPr>
        <w:tabs>
          <w:tab w:val="left" w:pos="1465"/>
        </w:tabs>
        <w:spacing w:before="81" w:line="304" w:lineRule="auto"/>
        <w:ind w:right="466" w:firstLine="480"/>
        <w:rPr>
          <w:sz w:val="24"/>
        </w:rPr>
      </w:pPr>
      <w:r>
        <w:rPr>
          <w:rFonts w:hint="eastAsia"/>
          <w:spacing w:val="-4"/>
          <w:sz w:val="24"/>
        </w:rPr>
        <w:t>责成承包人在规定的时间内，一次或分次将不符合合同规定的材料或设</w:t>
      </w:r>
      <w:r>
        <w:rPr>
          <w:rFonts w:hint="eastAsia"/>
          <w:spacing w:val="-5"/>
          <w:sz w:val="24"/>
        </w:rPr>
        <w:t>备从现场运走，并用合格适用的材料或设备取代；</w:t>
      </w:r>
    </w:p>
    <w:p>
      <w:pPr>
        <w:pStyle w:val="20"/>
        <w:numPr>
          <w:ilvl w:val="0"/>
          <w:numId w:val="16"/>
        </w:numPr>
        <w:tabs>
          <w:tab w:val="left" w:pos="1465"/>
        </w:tabs>
        <w:spacing w:before="2" w:line="307" w:lineRule="auto"/>
        <w:ind w:right="466" w:firstLine="480"/>
        <w:jc w:val="both"/>
        <w:rPr>
          <w:sz w:val="24"/>
        </w:rPr>
      </w:pPr>
      <w:r>
        <w:rPr>
          <w:rFonts w:hint="eastAsia"/>
          <w:spacing w:val="-3"/>
          <w:sz w:val="24"/>
        </w:rPr>
        <w:t>不管先前是否已经检验或中期付款，如果监理人认为工程的任何部分由</w:t>
      </w:r>
      <w:r>
        <w:rPr>
          <w:rFonts w:hint="eastAsia"/>
          <w:spacing w:val="-5"/>
          <w:sz w:val="24"/>
        </w:rPr>
        <w:t>于材料、设备或操作工艺或承包人设计的局部工程不符合合同规定时，由承包人将</w:t>
      </w:r>
      <w:r>
        <w:rPr>
          <w:rFonts w:hint="eastAsia"/>
          <w:spacing w:val="-4"/>
          <w:sz w:val="24"/>
        </w:rPr>
        <w:t>这些工程拆除并彻底重做；</w:t>
      </w:r>
    </w:p>
    <w:p>
      <w:pPr>
        <w:spacing w:line="307" w:lineRule="auto"/>
        <w:jc w:val="both"/>
        <w:rPr>
          <w:sz w:val="24"/>
        </w:rPr>
        <w:sectPr>
          <w:footerReference r:id="rId9" w:type="default"/>
          <w:pgSz w:w="11910" w:h="16840"/>
          <w:pgMar w:top="1360" w:right="1120" w:bottom="1080" w:left="1260" w:header="882" w:footer="880" w:gutter="0"/>
          <w:cols w:space="720" w:num="1"/>
        </w:sectPr>
      </w:pPr>
    </w:p>
    <w:p>
      <w:pPr>
        <w:pStyle w:val="10"/>
        <w:spacing w:before="5"/>
        <w:rPr>
          <w:sz w:val="17"/>
        </w:rPr>
      </w:pPr>
    </w:p>
    <w:p>
      <w:pPr>
        <w:pStyle w:val="20"/>
        <w:numPr>
          <w:ilvl w:val="0"/>
          <w:numId w:val="16"/>
        </w:numPr>
        <w:tabs>
          <w:tab w:val="left" w:pos="1465"/>
        </w:tabs>
        <w:spacing w:before="74" w:line="304" w:lineRule="auto"/>
        <w:ind w:right="466" w:firstLine="480"/>
        <w:jc w:val="both"/>
        <w:rPr>
          <w:sz w:val="24"/>
        </w:rPr>
      </w:pPr>
      <w:r>
        <w:rPr>
          <w:rFonts w:hint="eastAsia"/>
          <w:spacing w:val="-6"/>
          <w:sz w:val="24"/>
        </w:rPr>
        <w:t>承包人使用不合格材料、工程设备，或采用不适当的施工工艺，或施工不</w:t>
      </w:r>
      <w:r>
        <w:rPr>
          <w:rFonts w:hint="eastAsia"/>
          <w:spacing w:val="-1"/>
          <w:sz w:val="24"/>
        </w:rPr>
        <w:t>当，造成工程不合格的，监理人可以随时发出指示，要求承包人立即采取措施进行</w:t>
      </w:r>
      <w:r>
        <w:rPr>
          <w:rFonts w:hint="eastAsia"/>
          <w:sz w:val="24"/>
        </w:rPr>
        <w:t>替换、补救或拆除重建，直至达到合同要求的质量标准，由此增加的费用和(或</w:t>
      </w:r>
      <w:r>
        <w:rPr>
          <w:rFonts w:hint="eastAsia"/>
          <w:spacing w:val="4"/>
          <w:sz w:val="24"/>
        </w:rPr>
        <w:t>)</w:t>
      </w:r>
      <w:r>
        <w:rPr>
          <w:rFonts w:hint="eastAsia"/>
          <w:sz w:val="24"/>
        </w:rPr>
        <w:t>工期延误由承包人承担；</w:t>
      </w:r>
    </w:p>
    <w:p>
      <w:pPr>
        <w:pStyle w:val="20"/>
        <w:numPr>
          <w:ilvl w:val="0"/>
          <w:numId w:val="16"/>
        </w:numPr>
        <w:tabs>
          <w:tab w:val="left" w:pos="1465"/>
        </w:tabs>
        <w:spacing w:before="5" w:line="307" w:lineRule="auto"/>
        <w:ind w:right="346" w:firstLine="480"/>
        <w:rPr>
          <w:sz w:val="24"/>
        </w:rPr>
      </w:pPr>
      <w:r>
        <w:rPr>
          <w:rFonts w:hint="eastAsia"/>
          <w:spacing w:val="-5"/>
          <w:sz w:val="24"/>
        </w:rPr>
        <w:t>如果承包人未在规定时间内执行监理人的指示，发包人有权雇用他人执行，由此增加的费用和</w:t>
      </w:r>
      <w:r>
        <w:rPr>
          <w:rFonts w:hint="eastAsia"/>
          <w:sz w:val="24"/>
        </w:rPr>
        <w:t>(或)工期延误由承包人承担。</w:t>
      </w:r>
    </w:p>
    <w:p>
      <w:pPr>
        <w:pStyle w:val="20"/>
        <w:numPr>
          <w:ilvl w:val="4"/>
          <w:numId w:val="5"/>
        </w:numPr>
        <w:tabs>
          <w:tab w:val="left" w:pos="1523"/>
          <w:tab w:val="left" w:pos="1524"/>
        </w:tabs>
        <w:spacing w:line="305" w:lineRule="exact"/>
        <w:ind w:left="1524" w:hanging="660"/>
        <w:rPr>
          <w:sz w:val="24"/>
        </w:rPr>
      </w:pPr>
      <w:r>
        <w:rPr>
          <w:rFonts w:hint="eastAsia"/>
          <w:sz w:val="24"/>
        </w:rPr>
        <w:t>工程隐蔽部位覆盖前的检查</w:t>
      </w:r>
    </w:p>
    <w:p>
      <w:pPr>
        <w:pStyle w:val="20"/>
        <w:numPr>
          <w:ilvl w:val="0"/>
          <w:numId w:val="17"/>
        </w:numPr>
        <w:tabs>
          <w:tab w:val="left" w:pos="1465"/>
        </w:tabs>
        <w:spacing w:before="84" w:line="307" w:lineRule="auto"/>
        <w:ind w:right="466" w:firstLine="480"/>
        <w:jc w:val="both"/>
        <w:rPr>
          <w:sz w:val="24"/>
        </w:rPr>
      </w:pPr>
      <w:r>
        <w:rPr>
          <w:rFonts w:hint="eastAsia"/>
          <w:spacing w:val="-6"/>
          <w:sz w:val="24"/>
        </w:rPr>
        <w:t>没有监理人的批准，任何隐蔽工程均不得覆盖或掩蔽。当任何一部分工</w:t>
      </w:r>
      <w:r>
        <w:rPr>
          <w:rFonts w:hint="eastAsia"/>
          <w:spacing w:val="-5"/>
          <w:sz w:val="24"/>
        </w:rPr>
        <w:t>程或基础已经或即将为检查做好准备时，承包人应事先通知监理人，并约定检查的</w:t>
      </w:r>
      <w:r>
        <w:rPr>
          <w:rFonts w:hint="eastAsia"/>
          <w:spacing w:val="-4"/>
          <w:sz w:val="24"/>
        </w:rPr>
        <w:t>时间，监理人则应按时派员参加上述工程或基础的检查和量测；如果监理人认为没</w:t>
      </w:r>
      <w:r>
        <w:rPr>
          <w:rFonts w:hint="eastAsia"/>
          <w:spacing w:val="-6"/>
          <w:sz w:val="24"/>
        </w:rPr>
        <w:t>有必要参与检查，应就此通知承包人；如果上述约定时间后的</w:t>
      </w:r>
      <w:r>
        <w:rPr>
          <w:rFonts w:hint="eastAsia"/>
          <w:sz w:val="24"/>
        </w:rPr>
        <w:t>6小时内，监理人或</w:t>
      </w:r>
      <w:r>
        <w:rPr>
          <w:rFonts w:hint="eastAsia"/>
          <w:spacing w:val="-3"/>
          <w:sz w:val="24"/>
        </w:rPr>
        <w:t>其代表未能到场对上述工程或基础进行检查和量测，承包人即可自行检查，并如实</w:t>
      </w:r>
      <w:r>
        <w:rPr>
          <w:rFonts w:hint="eastAsia"/>
          <w:spacing w:val="-4"/>
          <w:sz w:val="24"/>
        </w:rPr>
        <w:t>作出自检报告后覆盖或掩蔽，监理人事后应予以认可；</w:t>
      </w:r>
    </w:p>
    <w:p>
      <w:pPr>
        <w:pStyle w:val="20"/>
        <w:numPr>
          <w:ilvl w:val="0"/>
          <w:numId w:val="17"/>
        </w:numPr>
        <w:tabs>
          <w:tab w:val="left" w:pos="1465"/>
        </w:tabs>
        <w:spacing w:line="298" w:lineRule="exact"/>
        <w:ind w:left="1465"/>
        <w:rPr>
          <w:sz w:val="24"/>
        </w:rPr>
      </w:pPr>
      <w:r>
        <w:rPr>
          <w:rFonts w:hint="eastAsia"/>
          <w:sz w:val="24"/>
        </w:rPr>
        <w:t>重新检验</w:t>
      </w:r>
    </w:p>
    <w:p>
      <w:pPr>
        <w:pStyle w:val="10"/>
        <w:spacing w:before="86" w:line="304" w:lineRule="auto"/>
        <w:ind w:left="384" w:right="465" w:firstLine="480"/>
        <w:jc w:val="both"/>
      </w:pPr>
      <w:r>
        <w:rPr>
          <w:rFonts w:hint="eastAsia"/>
        </w:rPr>
        <w:t>承包人应按监理人发出的指示，剥开工程的任何一部分或开孔，并负责使该部分恢复原状。检验符合合同规定，监理人在同发包人和承包人适当协商后，应确定剥开或开孔及恢复原状的费用，由发包人承担由此增加的费用和(或)工期延误，并支付承包人合理利润。如检验不符合合同规定，所发生的相关费用由承包人承担；</w:t>
      </w:r>
    </w:p>
    <w:p>
      <w:pPr>
        <w:pStyle w:val="20"/>
        <w:numPr>
          <w:ilvl w:val="0"/>
          <w:numId w:val="17"/>
        </w:numPr>
        <w:tabs>
          <w:tab w:val="left" w:pos="1465"/>
        </w:tabs>
        <w:spacing w:before="5" w:line="304" w:lineRule="auto"/>
        <w:ind w:right="466" w:firstLine="480"/>
        <w:rPr>
          <w:sz w:val="24"/>
        </w:rPr>
      </w:pPr>
      <w:r>
        <w:rPr>
          <w:rFonts w:hint="eastAsia"/>
          <w:spacing w:val="-3"/>
          <w:sz w:val="24"/>
        </w:rPr>
        <w:t>承包人未通知监理人到场检查，私自将工程隐蔽部位覆盖的，监理人有</w:t>
      </w:r>
      <w:r>
        <w:rPr>
          <w:rFonts w:hint="eastAsia"/>
          <w:spacing w:val="-5"/>
          <w:sz w:val="24"/>
        </w:rPr>
        <w:t>权指示承包人钻孔探测或揭开检查，由此增加的费用和</w:t>
      </w:r>
      <w:r>
        <w:rPr>
          <w:rFonts w:hint="eastAsia"/>
          <w:sz w:val="24"/>
        </w:rPr>
        <w:t>(或)工期延误由承包人承担。</w:t>
      </w:r>
    </w:p>
    <w:p>
      <w:pPr>
        <w:pStyle w:val="10"/>
        <w:spacing w:before="174"/>
        <w:ind w:left="583"/>
      </w:pPr>
      <w:r>
        <w:rPr>
          <w:rFonts w:hint="eastAsia"/>
        </w:rPr>
        <w:t>五、施工安全、治安保卫与环境保护</w:t>
      </w:r>
    </w:p>
    <w:p>
      <w:pPr>
        <w:pStyle w:val="10"/>
        <w:rPr>
          <w:sz w:val="20"/>
        </w:rPr>
      </w:pPr>
    </w:p>
    <w:p>
      <w:pPr>
        <w:pStyle w:val="20"/>
        <w:numPr>
          <w:ilvl w:val="3"/>
          <w:numId w:val="5"/>
        </w:numPr>
        <w:tabs>
          <w:tab w:val="left" w:pos="1125"/>
        </w:tabs>
        <w:ind w:left="1124" w:hanging="302"/>
        <w:jc w:val="left"/>
        <w:rPr>
          <w:sz w:val="24"/>
        </w:rPr>
      </w:pPr>
      <w:r>
        <w:rPr>
          <w:rFonts w:hint="eastAsia"/>
          <w:sz w:val="24"/>
        </w:rPr>
        <w:t>施工安全、治安保卫</w:t>
      </w:r>
    </w:p>
    <w:p>
      <w:pPr>
        <w:pStyle w:val="10"/>
        <w:spacing w:before="5"/>
        <w:rPr>
          <w:sz w:val="20"/>
        </w:rPr>
      </w:pPr>
    </w:p>
    <w:p>
      <w:pPr>
        <w:pStyle w:val="20"/>
        <w:numPr>
          <w:ilvl w:val="4"/>
          <w:numId w:val="5"/>
        </w:numPr>
        <w:tabs>
          <w:tab w:val="left" w:pos="1404"/>
        </w:tabs>
        <w:rPr>
          <w:sz w:val="24"/>
        </w:rPr>
      </w:pPr>
      <w:r>
        <w:rPr>
          <w:rFonts w:hint="eastAsia"/>
          <w:sz w:val="24"/>
        </w:rPr>
        <w:t>发包人的施工安全责任</w:t>
      </w:r>
    </w:p>
    <w:p>
      <w:pPr>
        <w:pStyle w:val="20"/>
        <w:numPr>
          <w:ilvl w:val="0"/>
          <w:numId w:val="18"/>
        </w:numPr>
        <w:tabs>
          <w:tab w:val="left" w:pos="1465"/>
        </w:tabs>
        <w:spacing w:before="84" w:line="307" w:lineRule="auto"/>
        <w:ind w:right="466" w:firstLine="480"/>
        <w:rPr>
          <w:sz w:val="24"/>
        </w:rPr>
      </w:pPr>
      <w:r>
        <w:rPr>
          <w:rFonts w:hint="eastAsia"/>
          <w:spacing w:val="-3"/>
          <w:sz w:val="24"/>
        </w:rPr>
        <w:t>发包人应按合同约定履行安全职责，授权监理人按合同约定的安全工作</w:t>
      </w:r>
      <w:r>
        <w:rPr>
          <w:rFonts w:hint="eastAsia"/>
          <w:spacing w:val="-5"/>
          <w:sz w:val="24"/>
        </w:rPr>
        <w:t>内容监督、检查承包人安全工作的实施，组织承包人和有关单位进行安全检查；</w:t>
      </w:r>
    </w:p>
    <w:p>
      <w:pPr>
        <w:pStyle w:val="20"/>
        <w:numPr>
          <w:ilvl w:val="0"/>
          <w:numId w:val="18"/>
        </w:numPr>
        <w:tabs>
          <w:tab w:val="left" w:pos="1465"/>
        </w:tabs>
        <w:spacing w:line="304" w:lineRule="auto"/>
        <w:ind w:right="466" w:firstLine="480"/>
        <w:rPr>
          <w:sz w:val="24"/>
        </w:rPr>
      </w:pPr>
      <w:r>
        <w:rPr>
          <w:rFonts w:hint="eastAsia"/>
          <w:spacing w:val="-2"/>
          <w:sz w:val="24"/>
        </w:rPr>
        <w:t>发包人应对其现场机构雇佣的全部人员的工伤事故承担责任，但由于承</w:t>
      </w:r>
      <w:r>
        <w:rPr>
          <w:rFonts w:hint="eastAsia"/>
          <w:spacing w:val="-5"/>
          <w:sz w:val="24"/>
        </w:rPr>
        <w:t>包人原因造成发包人人员工伤的，应由承包人承担责任；</w:t>
      </w:r>
    </w:p>
    <w:p>
      <w:pPr>
        <w:pStyle w:val="20"/>
        <w:numPr>
          <w:ilvl w:val="0"/>
          <w:numId w:val="18"/>
        </w:numPr>
        <w:tabs>
          <w:tab w:val="left" w:pos="1465"/>
        </w:tabs>
        <w:spacing w:before="1" w:line="304" w:lineRule="auto"/>
        <w:ind w:left="864" w:right="862" w:firstLine="0"/>
        <w:rPr>
          <w:sz w:val="24"/>
        </w:rPr>
      </w:pPr>
      <w:r>
        <w:rPr>
          <w:rFonts w:hint="eastAsia"/>
          <w:spacing w:val="-1"/>
          <w:sz w:val="24"/>
        </w:rPr>
        <w:t xml:space="preserve">发包人应负责赔偿以下各种情况造成的第三者人身伤亡和财产损失： </w:t>
      </w:r>
      <w:r>
        <w:rPr>
          <w:rFonts w:hint="eastAsia"/>
          <w:sz w:val="24"/>
        </w:rPr>
        <w:t>工程或工程的任何部分对土地的占用所造成的第三者财产损失；</w:t>
      </w:r>
    </w:p>
    <w:p>
      <w:pPr>
        <w:pStyle w:val="10"/>
        <w:spacing w:before="2"/>
        <w:ind w:left="864"/>
      </w:pPr>
      <w:r>
        <w:rPr>
          <w:rFonts w:hint="eastAsia"/>
        </w:rPr>
        <w:t>由于发包人原因在施工场地及其毗邻地带造成的第三者人身伤亡和财产损失。</w:t>
      </w:r>
    </w:p>
    <w:p>
      <w:pPr>
        <w:pStyle w:val="20"/>
        <w:numPr>
          <w:ilvl w:val="4"/>
          <w:numId w:val="5"/>
        </w:numPr>
        <w:tabs>
          <w:tab w:val="left" w:pos="1529"/>
        </w:tabs>
        <w:spacing w:before="86" w:line="304" w:lineRule="auto"/>
        <w:ind w:left="384" w:right="465" w:firstLine="480"/>
        <w:jc w:val="both"/>
        <w:rPr>
          <w:sz w:val="24"/>
        </w:rPr>
      </w:pPr>
      <w:r>
        <w:rPr>
          <w:rFonts w:hint="eastAsia"/>
          <w:sz w:val="24"/>
        </w:rPr>
        <w:t xml:space="preserve">承包人应遵守工程建设安全生产有关规定，采取有效的安全防护措施， </w:t>
      </w:r>
      <w:r>
        <w:rPr>
          <w:rFonts w:hint="eastAsia"/>
          <w:spacing w:val="-1"/>
          <w:sz w:val="24"/>
        </w:rPr>
        <w:t>消除事故隐患，确保所有在现场工作人员及机械设备的安全。由于承包人安全措施</w:t>
      </w:r>
      <w:r>
        <w:rPr>
          <w:rFonts w:hint="eastAsia"/>
          <w:sz w:val="24"/>
        </w:rPr>
        <w:t>不力造成事故的责任和由此发生的费用，由承包人承担。承包人还应该：</w:t>
      </w:r>
    </w:p>
    <w:p>
      <w:pPr>
        <w:spacing w:line="304" w:lineRule="auto"/>
        <w:jc w:val="both"/>
        <w:rPr>
          <w:sz w:val="24"/>
        </w:rPr>
        <w:sectPr>
          <w:pgSz w:w="11910" w:h="16840"/>
          <w:pgMar w:top="1360" w:right="1120" w:bottom="1080" w:left="1260" w:header="882" w:footer="880" w:gutter="0"/>
          <w:cols w:space="720" w:num="1"/>
        </w:sectPr>
      </w:pPr>
    </w:p>
    <w:p>
      <w:pPr>
        <w:pStyle w:val="10"/>
        <w:spacing w:before="5"/>
        <w:rPr>
          <w:sz w:val="17"/>
        </w:rPr>
      </w:pPr>
    </w:p>
    <w:p>
      <w:pPr>
        <w:pStyle w:val="20"/>
        <w:numPr>
          <w:ilvl w:val="0"/>
          <w:numId w:val="19"/>
        </w:numPr>
        <w:tabs>
          <w:tab w:val="left" w:pos="1465"/>
        </w:tabs>
        <w:spacing w:before="74" w:line="304" w:lineRule="auto"/>
        <w:ind w:right="466" w:firstLine="480"/>
        <w:rPr>
          <w:sz w:val="24"/>
        </w:rPr>
      </w:pPr>
      <w:r>
        <w:rPr>
          <w:rFonts w:hint="eastAsia"/>
          <w:spacing w:val="-5"/>
          <w:sz w:val="24"/>
        </w:rPr>
        <w:t>专职安全员的配备按《公路水运工程安全生产监督管理办法》</w:t>
      </w:r>
      <w:r>
        <w:rPr>
          <w:rFonts w:hint="eastAsia"/>
          <w:sz w:val="24"/>
        </w:rPr>
        <w:t>（</w:t>
      </w:r>
      <w:r>
        <w:rPr>
          <w:rFonts w:hint="eastAsia"/>
          <w:spacing w:val="-4"/>
          <w:sz w:val="24"/>
        </w:rPr>
        <w:t>交通运输</w:t>
      </w:r>
      <w:r>
        <w:rPr>
          <w:rFonts w:hint="eastAsia"/>
          <w:spacing w:val="-20"/>
          <w:sz w:val="24"/>
        </w:rPr>
        <w:t xml:space="preserve">部令 </w:t>
      </w:r>
      <w:r>
        <w:rPr>
          <w:rFonts w:hint="eastAsia"/>
          <w:sz w:val="24"/>
        </w:rPr>
        <w:t xml:space="preserve">2017 </w:t>
      </w:r>
      <w:r>
        <w:rPr>
          <w:rFonts w:hint="eastAsia"/>
          <w:spacing w:val="-20"/>
          <w:sz w:val="24"/>
        </w:rPr>
        <w:t xml:space="preserve">年第 </w:t>
      </w:r>
      <w:r>
        <w:rPr>
          <w:rFonts w:hint="eastAsia"/>
          <w:sz w:val="24"/>
        </w:rPr>
        <w:t>25 号）的规定执行；</w:t>
      </w:r>
    </w:p>
    <w:p>
      <w:pPr>
        <w:pStyle w:val="20"/>
        <w:numPr>
          <w:ilvl w:val="0"/>
          <w:numId w:val="19"/>
        </w:numPr>
        <w:tabs>
          <w:tab w:val="left" w:pos="1465"/>
        </w:tabs>
        <w:spacing w:before="4" w:line="304" w:lineRule="auto"/>
        <w:ind w:right="466" w:firstLine="480"/>
        <w:rPr>
          <w:sz w:val="24"/>
        </w:rPr>
      </w:pPr>
      <w:r>
        <w:rPr>
          <w:rFonts w:hint="eastAsia"/>
          <w:sz w:val="24"/>
        </w:rPr>
        <w:t>特殊工种(</w:t>
      </w:r>
      <w:r>
        <w:rPr>
          <w:rFonts w:hint="eastAsia"/>
          <w:spacing w:val="-2"/>
          <w:sz w:val="24"/>
        </w:rPr>
        <w:t>电工、电梯工、起重工、电焊工、车船驾驶员、爆破工等</w:t>
      </w:r>
      <w:r>
        <w:rPr>
          <w:rFonts w:hint="eastAsia"/>
          <w:sz w:val="24"/>
        </w:rPr>
        <w:t>)</w:t>
      </w:r>
      <w:r>
        <w:rPr>
          <w:rFonts w:hint="eastAsia"/>
          <w:spacing w:val="-9"/>
          <w:sz w:val="24"/>
        </w:rPr>
        <w:t>要经</w:t>
      </w:r>
      <w:r>
        <w:rPr>
          <w:rFonts w:hint="eastAsia"/>
          <w:sz w:val="24"/>
        </w:rPr>
        <w:t>专业培训，并持有专业主管部门签发的合格证上岗；</w:t>
      </w:r>
    </w:p>
    <w:p>
      <w:pPr>
        <w:pStyle w:val="20"/>
        <w:numPr>
          <w:ilvl w:val="0"/>
          <w:numId w:val="19"/>
        </w:numPr>
        <w:tabs>
          <w:tab w:val="left" w:pos="1465"/>
        </w:tabs>
        <w:spacing w:line="297" w:lineRule="auto"/>
        <w:ind w:right="466" w:firstLine="480"/>
        <w:jc w:val="both"/>
        <w:rPr>
          <w:sz w:val="24"/>
        </w:rPr>
      </w:pPr>
      <w:r>
        <w:rPr>
          <w:rFonts w:hint="eastAsia"/>
          <w:spacing w:val="-4"/>
          <w:sz w:val="24"/>
        </w:rPr>
        <w:t>对于易燃易爆材料的运输、保管必须符合当地安全部门的有关规定，除</w:t>
      </w:r>
      <w:r>
        <w:rPr>
          <w:rFonts w:hint="eastAsia"/>
          <w:spacing w:val="-5"/>
          <w:sz w:val="24"/>
        </w:rPr>
        <w:t>应专门妥善保管外，并应配有足够的消防设备，所有施工人员都应熟悉消防设备的</w:t>
      </w:r>
      <w:r>
        <w:rPr>
          <w:rFonts w:hint="eastAsia"/>
          <w:spacing w:val="-4"/>
          <w:sz w:val="24"/>
        </w:rPr>
        <w:t>性能和使用方法；</w:t>
      </w:r>
    </w:p>
    <w:p>
      <w:pPr>
        <w:pStyle w:val="20"/>
        <w:numPr>
          <w:ilvl w:val="0"/>
          <w:numId w:val="19"/>
        </w:numPr>
        <w:tabs>
          <w:tab w:val="left" w:pos="1465"/>
        </w:tabs>
        <w:spacing w:line="297" w:lineRule="auto"/>
        <w:ind w:right="466" w:firstLine="480"/>
        <w:jc w:val="both"/>
        <w:rPr>
          <w:sz w:val="24"/>
        </w:rPr>
      </w:pPr>
      <w:r>
        <w:rPr>
          <w:rFonts w:hint="eastAsia"/>
          <w:sz w:val="24"/>
        </w:rPr>
        <w:t>承包人应严格按照国家安全标准关于公路工程施工安全技术规范制定的</w:t>
      </w:r>
      <w:r>
        <w:rPr>
          <w:rFonts w:hint="eastAsia"/>
          <w:spacing w:val="-5"/>
          <w:sz w:val="24"/>
        </w:rPr>
        <w:t>施工安全操作规程，配备必要的安全生产和劳动保护设施，加强对承包人人员的安</w:t>
      </w:r>
      <w:r>
        <w:rPr>
          <w:rFonts w:hint="eastAsia"/>
          <w:spacing w:val="-4"/>
          <w:sz w:val="24"/>
        </w:rPr>
        <w:t>全教育，并发放安全工作手册和劳动保护用具。由于承包人原因在施工场地内及其毗邻地带造成的第三者人员伤亡和财产损失，由承包人负责赔偿；</w:t>
      </w:r>
    </w:p>
    <w:p>
      <w:pPr>
        <w:pStyle w:val="20"/>
        <w:numPr>
          <w:ilvl w:val="0"/>
          <w:numId w:val="19"/>
        </w:numPr>
        <w:tabs>
          <w:tab w:val="left" w:pos="1465"/>
        </w:tabs>
        <w:spacing w:line="297" w:lineRule="auto"/>
        <w:ind w:right="466" w:firstLine="480"/>
        <w:rPr>
          <w:sz w:val="24"/>
        </w:rPr>
      </w:pPr>
      <w:r>
        <w:rPr>
          <w:rFonts w:hint="eastAsia"/>
          <w:spacing w:val="-2"/>
          <w:sz w:val="24"/>
        </w:rPr>
        <w:t>所有施工机具设备和高空作业的设备均应定期检查，并有安全员的签字</w:t>
      </w:r>
      <w:r>
        <w:rPr>
          <w:rFonts w:hint="eastAsia"/>
          <w:spacing w:val="-7"/>
          <w:sz w:val="24"/>
        </w:rPr>
        <w:t>记录。</w:t>
      </w:r>
    </w:p>
    <w:p>
      <w:pPr>
        <w:pStyle w:val="20"/>
        <w:numPr>
          <w:ilvl w:val="0"/>
          <w:numId w:val="19"/>
        </w:numPr>
        <w:tabs>
          <w:tab w:val="left" w:pos="1465"/>
        </w:tabs>
        <w:spacing w:before="1" w:line="297" w:lineRule="auto"/>
        <w:ind w:right="346" w:firstLine="480"/>
        <w:rPr>
          <w:sz w:val="24"/>
        </w:rPr>
      </w:pPr>
      <w:r>
        <w:rPr>
          <w:rFonts w:hint="eastAsia"/>
          <w:spacing w:val="-4"/>
          <w:sz w:val="24"/>
        </w:rPr>
        <w:t>除项目专用合同条款另有约定外，安全生产费用应为投标价</w:t>
      </w:r>
      <w:r>
        <w:rPr>
          <w:rFonts w:hint="eastAsia"/>
          <w:sz w:val="24"/>
        </w:rPr>
        <w:t>（不含安全生</w:t>
      </w:r>
      <w:r>
        <w:rPr>
          <w:rFonts w:hint="eastAsia"/>
          <w:spacing w:val="2"/>
          <w:sz w:val="24"/>
        </w:rPr>
        <w:t>产费</w:t>
      </w:r>
      <w:r>
        <w:rPr>
          <w:rFonts w:hint="eastAsia"/>
          <w:spacing w:val="4"/>
          <w:sz w:val="24"/>
        </w:rPr>
        <w:t>）</w:t>
      </w:r>
      <w:r>
        <w:rPr>
          <w:rFonts w:hint="eastAsia"/>
          <w:spacing w:val="-25"/>
          <w:sz w:val="24"/>
        </w:rPr>
        <w:t>的</w:t>
      </w:r>
      <w:r>
        <w:rPr>
          <w:rFonts w:hint="eastAsia"/>
          <w:sz w:val="24"/>
        </w:rPr>
        <w:t>1.5%（</w:t>
      </w:r>
      <w:r>
        <w:rPr>
          <w:rFonts w:hint="eastAsia"/>
          <w:spacing w:val="-3"/>
          <w:sz w:val="24"/>
        </w:rPr>
        <w:t>若发包人公布了最高投标限价时，按最高投标限价的</w:t>
      </w:r>
      <w:r>
        <w:rPr>
          <w:rFonts w:hint="eastAsia"/>
          <w:sz w:val="24"/>
        </w:rPr>
        <w:t>1.5%</w:t>
      </w:r>
      <w:r>
        <w:rPr>
          <w:rFonts w:hint="eastAsia"/>
          <w:spacing w:val="4"/>
          <w:sz w:val="24"/>
        </w:rPr>
        <w:t>计</w:t>
      </w:r>
      <w:r>
        <w:rPr>
          <w:rFonts w:hint="eastAsia"/>
          <w:sz w:val="24"/>
        </w:rPr>
        <w:t>）。</w:t>
      </w:r>
      <w:r>
        <w:rPr>
          <w:rFonts w:hint="eastAsia"/>
          <w:spacing w:val="-5"/>
          <w:sz w:val="24"/>
        </w:rPr>
        <w:t>安全生产费用应用于施工安全防护用具及设施的采购和更新、安全施工措施的落实、</w:t>
      </w:r>
      <w:r>
        <w:rPr>
          <w:rFonts w:hint="eastAsia"/>
          <w:sz w:val="24"/>
        </w:rPr>
        <w:t>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商定或确定。</w:t>
      </w:r>
    </w:p>
    <w:p>
      <w:pPr>
        <w:pStyle w:val="20"/>
        <w:numPr>
          <w:ilvl w:val="4"/>
          <w:numId w:val="5"/>
        </w:numPr>
        <w:tabs>
          <w:tab w:val="left" w:pos="1529"/>
        </w:tabs>
        <w:spacing w:before="5" w:line="297" w:lineRule="auto"/>
        <w:ind w:left="384" w:right="465" w:firstLine="480"/>
        <w:jc w:val="both"/>
        <w:rPr>
          <w:sz w:val="24"/>
        </w:rPr>
      </w:pPr>
      <w:r>
        <w:rPr>
          <w:rFonts w:hint="eastAsia"/>
          <w:sz w:val="24"/>
        </w:rPr>
        <w:t xml:space="preserve">为了保护本合同工程免遭破坏或为了现场附近过往人群的安全、方便， </w:t>
      </w:r>
      <w:r>
        <w:rPr>
          <w:rFonts w:hint="eastAsia"/>
          <w:spacing w:val="-1"/>
          <w:sz w:val="24"/>
        </w:rPr>
        <w:t>在确有必要的时间和地方，当监理人或有关主管部门要求时，应自费提供照明、警卫、护栅、警告标志等安全防护措施。发包人或监理人不得以任何理由要求承包人违反安全管理的规定进行施工，由此导致的安全事故，由发包人承担相应责任及发</w:t>
      </w:r>
      <w:r>
        <w:rPr>
          <w:rFonts w:hint="eastAsia"/>
          <w:sz w:val="24"/>
        </w:rPr>
        <w:t>生的费用。</w:t>
      </w:r>
    </w:p>
    <w:p>
      <w:pPr>
        <w:pStyle w:val="20"/>
        <w:numPr>
          <w:ilvl w:val="4"/>
          <w:numId w:val="5"/>
        </w:numPr>
        <w:tabs>
          <w:tab w:val="left" w:pos="1529"/>
        </w:tabs>
        <w:spacing w:before="4" w:line="297" w:lineRule="auto"/>
        <w:ind w:left="384" w:right="465" w:firstLine="480"/>
        <w:jc w:val="both"/>
        <w:rPr>
          <w:sz w:val="24"/>
        </w:rPr>
      </w:pPr>
      <w:r>
        <w:rPr>
          <w:rFonts w:hint="eastAsia"/>
          <w:sz w:val="24"/>
        </w:rPr>
        <w:t>承包人应按监理人的指示制定应对灾害的紧急预案，报送监理人审批。</w:t>
      </w:r>
      <w:r>
        <w:rPr>
          <w:rFonts w:hint="eastAsia"/>
          <w:spacing w:val="-1"/>
          <w:sz w:val="24"/>
        </w:rPr>
        <w:t>承包人还应按预案做好安全检查，配置必要的救助物资和器材，切实保护好有关人</w:t>
      </w:r>
      <w:r>
        <w:rPr>
          <w:rFonts w:hint="eastAsia"/>
          <w:sz w:val="24"/>
        </w:rPr>
        <w:t>员的人身和财产安全。</w:t>
      </w:r>
    </w:p>
    <w:p>
      <w:pPr>
        <w:pStyle w:val="20"/>
        <w:numPr>
          <w:ilvl w:val="4"/>
          <w:numId w:val="5"/>
        </w:numPr>
        <w:tabs>
          <w:tab w:val="left" w:pos="1529"/>
        </w:tabs>
        <w:spacing w:before="1" w:line="297" w:lineRule="auto"/>
        <w:ind w:left="384" w:right="467" w:firstLine="480"/>
        <w:jc w:val="both"/>
        <w:rPr>
          <w:sz w:val="24"/>
        </w:rPr>
      </w:pPr>
      <w:r>
        <w:rPr>
          <w:rFonts w:hint="eastAsia"/>
          <w:sz w:val="24"/>
        </w:rPr>
        <w:t>合同约定的安全作业环境及安全施工措施所需费用应遵守有关规定，并包括在相关工作的合同价格中。</w:t>
      </w:r>
    </w:p>
    <w:p>
      <w:pPr>
        <w:pStyle w:val="20"/>
        <w:numPr>
          <w:ilvl w:val="4"/>
          <w:numId w:val="5"/>
        </w:numPr>
        <w:tabs>
          <w:tab w:val="left" w:pos="1529"/>
        </w:tabs>
        <w:spacing w:line="300" w:lineRule="auto"/>
        <w:ind w:left="384" w:right="467" w:firstLine="480"/>
        <w:jc w:val="both"/>
        <w:rPr>
          <w:sz w:val="24"/>
        </w:rPr>
      </w:pPr>
      <w:r>
        <w:rPr>
          <w:rFonts w:hint="eastAsia"/>
          <w:sz w:val="24"/>
        </w:rPr>
        <w:t>承包人应充分关注和保障所有在现场工作的人员安全，采取有效措施， 使现场和本合同工程的实施保持有条不紊，以免使上述人员的安全受到威胁。</w:t>
      </w:r>
    </w:p>
    <w:p>
      <w:pPr>
        <w:pStyle w:val="20"/>
        <w:numPr>
          <w:ilvl w:val="4"/>
          <w:numId w:val="5"/>
        </w:numPr>
        <w:tabs>
          <w:tab w:val="left" w:pos="1529"/>
        </w:tabs>
        <w:spacing w:line="297" w:lineRule="auto"/>
        <w:ind w:left="384" w:right="465" w:firstLine="480"/>
        <w:jc w:val="both"/>
        <w:rPr>
          <w:sz w:val="24"/>
        </w:rPr>
      </w:pPr>
      <w:r>
        <w:rPr>
          <w:rFonts w:hint="eastAsia"/>
          <w:sz w:val="24"/>
        </w:rPr>
        <w:t>在整个施工过程中对承包人采取的施工安全措施，发包人和监理人有权</w:t>
      </w:r>
      <w:r>
        <w:rPr>
          <w:rFonts w:hint="eastAsia"/>
          <w:spacing w:val="-1"/>
          <w:sz w:val="24"/>
        </w:rPr>
        <w:t>监督，并向承包人提出整改要求。如果由于承包人未能对其负责的上述事项采取各</w:t>
      </w:r>
    </w:p>
    <w:p>
      <w:pPr>
        <w:spacing w:line="297" w:lineRule="auto"/>
        <w:jc w:val="both"/>
        <w:rPr>
          <w:sz w:val="24"/>
        </w:rPr>
        <w:sectPr>
          <w:pgSz w:w="11910" w:h="16840"/>
          <w:pgMar w:top="1360" w:right="1120" w:bottom="1080" w:left="1260" w:header="882" w:footer="880" w:gutter="0"/>
          <w:cols w:space="720" w:num="1"/>
        </w:sectPr>
      </w:pPr>
    </w:p>
    <w:p>
      <w:pPr>
        <w:pStyle w:val="10"/>
        <w:spacing w:before="5"/>
        <w:rPr>
          <w:sz w:val="17"/>
        </w:rPr>
      </w:pPr>
    </w:p>
    <w:p>
      <w:pPr>
        <w:pStyle w:val="10"/>
        <w:spacing w:before="67" w:line="297" w:lineRule="auto"/>
        <w:ind w:left="384" w:right="465"/>
      </w:pPr>
      <w:r>
        <w:rPr>
          <w:rFonts w:hint="eastAsia"/>
        </w:rPr>
        <w:t>种必要的措施而导致或发生与此有关的人身伤亡、罚款、索赔、损失补偿、诉讼费用及其他一切责任应由承包人负责。</w:t>
      </w:r>
    </w:p>
    <w:p>
      <w:pPr>
        <w:pStyle w:val="20"/>
        <w:numPr>
          <w:ilvl w:val="4"/>
          <w:numId w:val="5"/>
        </w:numPr>
        <w:tabs>
          <w:tab w:val="left" w:pos="1523"/>
          <w:tab w:val="left" w:pos="1524"/>
        </w:tabs>
        <w:ind w:left="1524" w:hanging="660"/>
        <w:rPr>
          <w:sz w:val="24"/>
        </w:rPr>
      </w:pPr>
      <w:r>
        <w:rPr>
          <w:rFonts w:hint="eastAsia"/>
          <w:sz w:val="24"/>
        </w:rPr>
        <w:t>治安保卫</w:t>
      </w:r>
    </w:p>
    <w:p>
      <w:pPr>
        <w:pStyle w:val="20"/>
        <w:numPr>
          <w:ilvl w:val="0"/>
          <w:numId w:val="20"/>
        </w:numPr>
        <w:tabs>
          <w:tab w:val="left" w:pos="1465"/>
        </w:tabs>
        <w:spacing w:before="74" w:line="297" w:lineRule="auto"/>
        <w:ind w:right="466" w:firstLine="480"/>
        <w:rPr>
          <w:sz w:val="24"/>
        </w:rPr>
      </w:pPr>
      <w:r>
        <w:rPr>
          <w:rFonts w:hint="eastAsia"/>
          <w:spacing w:val="-3"/>
          <w:sz w:val="24"/>
        </w:rPr>
        <w:t xml:space="preserve">发包人应与当地公安部门协商，在现场建立治安管理机构或联防组织， </w:t>
      </w:r>
      <w:r>
        <w:rPr>
          <w:rFonts w:hint="eastAsia"/>
          <w:spacing w:val="-5"/>
          <w:sz w:val="24"/>
        </w:rPr>
        <w:t>统一管理施工场地的治安保卫事项，履行合同工程的治安保卫职责；</w:t>
      </w:r>
    </w:p>
    <w:p>
      <w:pPr>
        <w:pStyle w:val="20"/>
        <w:numPr>
          <w:ilvl w:val="0"/>
          <w:numId w:val="20"/>
        </w:numPr>
        <w:tabs>
          <w:tab w:val="left" w:pos="1465"/>
        </w:tabs>
        <w:spacing w:before="3" w:line="297" w:lineRule="auto"/>
        <w:ind w:right="466" w:firstLine="480"/>
        <w:rPr>
          <w:sz w:val="24"/>
        </w:rPr>
      </w:pPr>
      <w:r>
        <w:rPr>
          <w:rFonts w:hint="eastAsia"/>
          <w:sz w:val="24"/>
        </w:rPr>
        <w:t>发包人和承包人除应协助现场治安管理机构或联防组织维护施工场地的</w:t>
      </w:r>
      <w:r>
        <w:rPr>
          <w:rFonts w:hint="eastAsia"/>
          <w:spacing w:val="-5"/>
          <w:sz w:val="24"/>
        </w:rPr>
        <w:t>社会治安外，还应做好包括生活区在内的各自管辖区的治安保卫工作；</w:t>
      </w:r>
    </w:p>
    <w:p>
      <w:pPr>
        <w:pStyle w:val="20"/>
        <w:numPr>
          <w:ilvl w:val="0"/>
          <w:numId w:val="20"/>
        </w:numPr>
        <w:tabs>
          <w:tab w:val="left" w:pos="1465"/>
        </w:tabs>
        <w:spacing w:before="1" w:line="297" w:lineRule="auto"/>
        <w:ind w:right="346" w:firstLine="480"/>
        <w:rPr>
          <w:sz w:val="24"/>
        </w:rPr>
      </w:pPr>
      <w:r>
        <w:rPr>
          <w:rFonts w:hint="eastAsia"/>
          <w:spacing w:val="-3"/>
          <w:sz w:val="24"/>
        </w:rPr>
        <w:t>发包人和承包人应在工程开工后，共同编制施工场地治安管理计划，并制</w:t>
      </w:r>
      <w:r>
        <w:rPr>
          <w:rFonts w:hint="eastAsia"/>
          <w:spacing w:val="-8"/>
          <w:sz w:val="24"/>
        </w:rPr>
        <w:t xml:space="preserve">定应对突发治安事件的紧急预案。在工程施工过程中，发生暴乱、爆炸等恐怖事件， </w:t>
      </w:r>
      <w:r>
        <w:rPr>
          <w:rFonts w:hint="eastAsia"/>
          <w:spacing w:val="-10"/>
          <w:sz w:val="24"/>
        </w:rPr>
        <w:t>以及群殴、械斗等群体性突发治安事件的，发包人和承包人应立即向当地政府报告。</w:t>
      </w:r>
      <w:r>
        <w:rPr>
          <w:rFonts w:hint="eastAsia"/>
          <w:sz w:val="24"/>
        </w:rPr>
        <w:t>发包人和承包人应积极协助当地有关部门采取措施平息事态，防止事态扩大，尽量减少财产损失和避免人员伤亡。</w:t>
      </w:r>
    </w:p>
    <w:p>
      <w:pPr>
        <w:pStyle w:val="20"/>
        <w:numPr>
          <w:ilvl w:val="3"/>
          <w:numId w:val="5"/>
        </w:numPr>
        <w:tabs>
          <w:tab w:val="left" w:pos="1125"/>
        </w:tabs>
        <w:spacing w:before="184"/>
        <w:ind w:left="1124" w:hanging="302"/>
        <w:jc w:val="left"/>
        <w:rPr>
          <w:sz w:val="24"/>
        </w:rPr>
      </w:pPr>
      <w:r>
        <w:rPr>
          <w:rFonts w:hint="eastAsia"/>
          <w:sz w:val="24"/>
        </w:rPr>
        <w:t>环境保护</w:t>
      </w:r>
    </w:p>
    <w:p>
      <w:pPr>
        <w:pStyle w:val="10"/>
        <w:spacing w:before="5"/>
        <w:rPr>
          <w:sz w:val="20"/>
        </w:rPr>
      </w:pPr>
    </w:p>
    <w:p>
      <w:pPr>
        <w:pStyle w:val="20"/>
        <w:numPr>
          <w:ilvl w:val="4"/>
          <w:numId w:val="5"/>
        </w:numPr>
        <w:tabs>
          <w:tab w:val="left" w:pos="1529"/>
        </w:tabs>
        <w:spacing w:line="307" w:lineRule="auto"/>
        <w:ind w:left="384" w:right="465" w:firstLine="480"/>
        <w:jc w:val="both"/>
        <w:rPr>
          <w:sz w:val="24"/>
        </w:rPr>
      </w:pPr>
      <w:r>
        <w:rPr>
          <w:rFonts w:hint="eastAsia"/>
          <w:sz w:val="24"/>
        </w:rPr>
        <w:t>承包人在施工过程中，应遵守有关环境保护的法律，并切实执行环境保</w:t>
      </w:r>
      <w:r>
        <w:rPr>
          <w:rFonts w:hint="eastAsia"/>
          <w:spacing w:val="-1"/>
          <w:sz w:val="24"/>
        </w:rPr>
        <w:t>护方面的要求和规定，并对违反法律和合同约定的义务所造成的环境破坏、人为伤</w:t>
      </w:r>
      <w:r>
        <w:rPr>
          <w:rFonts w:hint="eastAsia"/>
          <w:sz w:val="24"/>
        </w:rPr>
        <w:t>害和财产损失负责。</w:t>
      </w:r>
    </w:p>
    <w:p>
      <w:pPr>
        <w:pStyle w:val="20"/>
        <w:numPr>
          <w:ilvl w:val="0"/>
          <w:numId w:val="21"/>
        </w:numPr>
        <w:tabs>
          <w:tab w:val="left" w:pos="1465"/>
        </w:tabs>
        <w:spacing w:line="304" w:lineRule="auto"/>
        <w:ind w:right="466" w:firstLine="480"/>
        <w:jc w:val="both"/>
        <w:rPr>
          <w:sz w:val="24"/>
        </w:rPr>
      </w:pPr>
      <w:r>
        <w:rPr>
          <w:rFonts w:hint="eastAsia"/>
          <w:spacing w:val="-4"/>
          <w:sz w:val="24"/>
        </w:rPr>
        <w:t>对于来自施工机械和运输车辆的施工噪声，应遵守《中华人民共和国环</w:t>
      </w:r>
      <w:r>
        <w:rPr>
          <w:rFonts w:hint="eastAsia"/>
          <w:spacing w:val="-5"/>
          <w:sz w:val="24"/>
        </w:rPr>
        <w:t>境噪声污染防治法》并依据《工业企业噪声卫生标准》合理安排工作人员轮流操作</w:t>
      </w:r>
      <w:r>
        <w:rPr>
          <w:rFonts w:hint="eastAsia"/>
          <w:spacing w:val="-4"/>
          <w:sz w:val="24"/>
        </w:rPr>
        <w:t>筑路机械，减少接触高噪声的时间或穿插安排高噪声的工作。对距噪声源较近的施工人员，除取得防护罩或头盔等有效措施外并应当缩短其劳动时间保护施工人员的</w:t>
      </w:r>
      <w:r>
        <w:rPr>
          <w:rFonts w:hint="eastAsia"/>
          <w:spacing w:val="-5"/>
          <w:sz w:val="24"/>
        </w:rPr>
        <w:t>健康。为保护施工现场附近的居民的夜间休息，对居民区</w:t>
      </w:r>
      <w:r>
        <w:rPr>
          <w:rFonts w:hint="eastAsia"/>
          <w:sz w:val="24"/>
        </w:rPr>
        <w:t>150m以内的施工现场、施工时间应加以控制。同时，要注意对机械的经常性保养，尽量使其噪声降低到最</w:t>
      </w:r>
      <w:r>
        <w:rPr>
          <w:rFonts w:hint="eastAsia"/>
          <w:spacing w:val="-4"/>
          <w:sz w:val="24"/>
        </w:rPr>
        <w:t>低水平；</w:t>
      </w:r>
    </w:p>
    <w:p>
      <w:pPr>
        <w:pStyle w:val="20"/>
        <w:numPr>
          <w:ilvl w:val="0"/>
          <w:numId w:val="21"/>
        </w:numPr>
        <w:tabs>
          <w:tab w:val="left" w:pos="1465"/>
        </w:tabs>
        <w:spacing w:before="7" w:line="304" w:lineRule="auto"/>
        <w:ind w:right="466" w:firstLine="480"/>
        <w:rPr>
          <w:sz w:val="24"/>
        </w:rPr>
      </w:pPr>
      <w:r>
        <w:rPr>
          <w:rFonts w:hint="eastAsia"/>
          <w:spacing w:val="-3"/>
          <w:sz w:val="24"/>
        </w:rPr>
        <w:t>应采取有效措施减轻施工现场的灰土拌合、施工车辆和筑路机械运转和</w:t>
      </w:r>
      <w:r>
        <w:rPr>
          <w:rFonts w:hint="eastAsia"/>
          <w:spacing w:val="-5"/>
          <w:sz w:val="24"/>
        </w:rPr>
        <w:t>运输产生的扬尘污染，保护人民健康，如：</w:t>
      </w:r>
    </w:p>
    <w:p>
      <w:pPr>
        <w:pStyle w:val="10"/>
        <w:spacing w:before="1"/>
        <w:ind w:left="864"/>
      </w:pPr>
      <w:r>
        <w:rPr>
          <w:rFonts w:hint="eastAsia"/>
        </w:rPr>
        <w:t>—拌合设备应有较好密封或有防尘设备。</w:t>
      </w:r>
    </w:p>
    <w:p>
      <w:pPr>
        <w:pStyle w:val="10"/>
        <w:spacing w:before="87"/>
        <w:ind w:left="864"/>
      </w:pPr>
      <w:r>
        <w:rPr>
          <w:rFonts w:hint="eastAsia"/>
        </w:rPr>
        <w:t>—施工道路、沥青混凝土拌合站及稳定灰土拌合站应经常进行洒水处理。</w:t>
      </w:r>
    </w:p>
    <w:p>
      <w:pPr>
        <w:pStyle w:val="10"/>
        <w:spacing w:before="83"/>
        <w:ind w:left="864"/>
      </w:pPr>
      <w:r>
        <w:rPr>
          <w:rFonts w:hint="eastAsia"/>
        </w:rPr>
        <w:t>—路面施工应注意保持水分，以免扬尘。</w:t>
      </w:r>
    </w:p>
    <w:p>
      <w:pPr>
        <w:pStyle w:val="10"/>
        <w:spacing w:before="84"/>
        <w:ind w:left="864"/>
      </w:pPr>
      <w:r>
        <w:rPr>
          <w:rFonts w:hint="eastAsia"/>
        </w:rPr>
        <w:t>—桥梁钻孔灌注桩施工时排除的泥浆要作妥善处理，严禁向河流或农田排放；</w:t>
      </w:r>
    </w:p>
    <w:p>
      <w:pPr>
        <w:pStyle w:val="20"/>
        <w:numPr>
          <w:ilvl w:val="0"/>
          <w:numId w:val="21"/>
        </w:numPr>
        <w:tabs>
          <w:tab w:val="left" w:pos="1465"/>
        </w:tabs>
        <w:spacing w:before="86" w:line="304" w:lineRule="auto"/>
        <w:ind w:right="466" w:firstLine="480"/>
        <w:rPr>
          <w:sz w:val="24"/>
        </w:rPr>
      </w:pPr>
      <w:r>
        <w:rPr>
          <w:rFonts w:hint="eastAsia"/>
          <w:spacing w:val="-2"/>
          <w:sz w:val="24"/>
        </w:rPr>
        <w:t>采取可靠措施保证原有交通的正常通行和维护沿线村镇的居民饮水、农</w:t>
      </w:r>
      <w:r>
        <w:rPr>
          <w:rFonts w:hint="eastAsia"/>
          <w:spacing w:val="-5"/>
          <w:sz w:val="24"/>
        </w:rPr>
        <w:t>田灌溉、生产生活用电及通讯等管线的正常使用。</w:t>
      </w:r>
    </w:p>
    <w:p>
      <w:pPr>
        <w:pStyle w:val="20"/>
        <w:numPr>
          <w:ilvl w:val="4"/>
          <w:numId w:val="5"/>
        </w:numPr>
        <w:tabs>
          <w:tab w:val="left" w:pos="1528"/>
          <w:tab w:val="left" w:pos="1529"/>
        </w:tabs>
        <w:spacing w:before="1" w:line="307" w:lineRule="auto"/>
        <w:ind w:left="384" w:right="467" w:firstLine="480"/>
        <w:rPr>
          <w:sz w:val="24"/>
        </w:rPr>
      </w:pPr>
      <w:r>
        <w:rPr>
          <w:rFonts w:hint="eastAsia"/>
          <w:sz w:val="24"/>
        </w:rPr>
        <w:t>承包人应按合同约定的环保工作内容，编制施工环保措施计划，报送监理人审批。</w:t>
      </w:r>
    </w:p>
    <w:p>
      <w:pPr>
        <w:spacing w:line="307" w:lineRule="auto"/>
        <w:rPr>
          <w:sz w:val="24"/>
        </w:rPr>
        <w:sectPr>
          <w:pgSz w:w="11910" w:h="16840"/>
          <w:pgMar w:top="1360" w:right="1120" w:bottom="1080" w:left="1260" w:header="882" w:footer="880" w:gutter="0"/>
          <w:cols w:space="720" w:num="1"/>
        </w:sectPr>
      </w:pPr>
    </w:p>
    <w:p>
      <w:pPr>
        <w:pStyle w:val="10"/>
        <w:spacing w:before="5"/>
        <w:rPr>
          <w:sz w:val="17"/>
        </w:rPr>
      </w:pPr>
    </w:p>
    <w:p>
      <w:pPr>
        <w:pStyle w:val="20"/>
        <w:numPr>
          <w:ilvl w:val="4"/>
          <w:numId w:val="5"/>
        </w:numPr>
        <w:tabs>
          <w:tab w:val="left" w:pos="1529"/>
        </w:tabs>
        <w:spacing w:before="74" w:line="307" w:lineRule="auto"/>
        <w:ind w:left="384" w:right="465" w:firstLine="480"/>
        <w:jc w:val="both"/>
        <w:rPr>
          <w:sz w:val="24"/>
        </w:rPr>
      </w:pPr>
      <w:r>
        <w:rPr>
          <w:rFonts w:hint="eastAsia"/>
          <w:sz w:val="24"/>
        </w:rPr>
        <w:t xml:space="preserve">在施工期间，承包人应合理设置取土场和弃土场，做好施工防护措施， </w:t>
      </w:r>
      <w:r>
        <w:rPr>
          <w:rFonts w:hint="eastAsia"/>
          <w:spacing w:val="-1"/>
          <w:sz w:val="24"/>
        </w:rPr>
        <w:t>防止水土流失。施工过程中要采取有效措施防止污染农田，项目完工后承包人应将</w:t>
      </w:r>
      <w:r>
        <w:rPr>
          <w:rFonts w:hint="eastAsia"/>
          <w:sz w:val="24"/>
        </w:rPr>
        <w:t>临时占地自费恢复到临时占地使用前的状况。</w:t>
      </w:r>
    </w:p>
    <w:p>
      <w:pPr>
        <w:pStyle w:val="20"/>
        <w:numPr>
          <w:ilvl w:val="4"/>
          <w:numId w:val="5"/>
        </w:numPr>
        <w:tabs>
          <w:tab w:val="left" w:pos="1528"/>
          <w:tab w:val="left" w:pos="1529"/>
        </w:tabs>
        <w:spacing w:line="304" w:lineRule="auto"/>
        <w:ind w:left="384" w:right="346" w:firstLine="480"/>
        <w:rPr>
          <w:sz w:val="24"/>
        </w:rPr>
      </w:pPr>
      <w:r>
        <w:rPr>
          <w:rFonts w:hint="eastAsia"/>
          <w:sz w:val="24"/>
        </w:rPr>
        <w:t>承包人应严格按照国家有关法规要求，做好施工过程中的生态保护和水土保持工作。施工中要尽可能减少对原地面的扰动，减少对地面草木的破坏，需要</w:t>
      </w:r>
      <w:r>
        <w:rPr>
          <w:rFonts w:hint="eastAsia"/>
          <w:spacing w:val="-8"/>
          <w:sz w:val="24"/>
        </w:rPr>
        <w:t>爆破作业的，应按规定进行控爆设计。加强施工便道的管理，严禁在指定的取</w:t>
      </w:r>
      <w:r>
        <w:rPr>
          <w:rFonts w:hint="eastAsia"/>
          <w:spacing w:val="-3"/>
          <w:sz w:val="24"/>
        </w:rPr>
        <w:t>（</w:t>
      </w:r>
      <w:r>
        <w:rPr>
          <w:rFonts w:hint="eastAsia"/>
          <w:sz w:val="24"/>
        </w:rPr>
        <w:t>弃</w:t>
      </w:r>
      <w:r>
        <w:rPr>
          <w:rFonts w:hint="eastAsia"/>
          <w:spacing w:val="-16"/>
          <w:sz w:val="24"/>
        </w:rPr>
        <w:t xml:space="preserve">） </w:t>
      </w:r>
      <w:r>
        <w:rPr>
          <w:rFonts w:hint="eastAsia"/>
          <w:sz w:val="24"/>
        </w:rPr>
        <w:t>土场以外的地方乱挖乱弃。</w:t>
      </w:r>
    </w:p>
    <w:p>
      <w:pPr>
        <w:pStyle w:val="20"/>
        <w:numPr>
          <w:ilvl w:val="4"/>
          <w:numId w:val="5"/>
        </w:numPr>
        <w:tabs>
          <w:tab w:val="left" w:pos="1529"/>
        </w:tabs>
        <w:spacing w:line="304" w:lineRule="auto"/>
        <w:ind w:left="384" w:right="465" w:firstLine="480"/>
        <w:jc w:val="both"/>
        <w:rPr>
          <w:sz w:val="24"/>
        </w:rPr>
      </w:pPr>
      <w:r>
        <w:rPr>
          <w:rFonts w:hint="eastAsia"/>
          <w:sz w:val="24"/>
        </w:rPr>
        <w:t>在整个施工过程中对承包人采取的环境保护措施，发包人和监理人有权</w:t>
      </w:r>
      <w:r>
        <w:rPr>
          <w:rFonts w:hint="eastAsia"/>
          <w:spacing w:val="-1"/>
          <w:sz w:val="24"/>
        </w:rPr>
        <w:t>监督，并向承包人提出整改要求。如果由于承包人未能对其负责的上述事项采取各种必要的措施而导致或发生与此有关的人身伤亡、罚款、索赔、损失补偿、诉讼费</w:t>
      </w:r>
      <w:r>
        <w:rPr>
          <w:rFonts w:hint="eastAsia"/>
          <w:sz w:val="24"/>
        </w:rPr>
        <w:t>用及其他一切责任应由承包人负责。</w:t>
      </w:r>
    </w:p>
    <w:p>
      <w:pPr>
        <w:pStyle w:val="20"/>
        <w:numPr>
          <w:ilvl w:val="3"/>
          <w:numId w:val="5"/>
        </w:numPr>
        <w:tabs>
          <w:tab w:val="left" w:pos="1125"/>
        </w:tabs>
        <w:spacing w:before="178"/>
        <w:ind w:left="1124" w:hanging="302"/>
        <w:jc w:val="left"/>
        <w:rPr>
          <w:sz w:val="24"/>
        </w:rPr>
      </w:pPr>
      <w:r>
        <w:rPr>
          <w:rFonts w:hint="eastAsia"/>
          <w:sz w:val="24"/>
        </w:rPr>
        <w:t>事故处理</w:t>
      </w:r>
    </w:p>
    <w:p>
      <w:pPr>
        <w:pStyle w:val="10"/>
        <w:spacing w:before="10"/>
        <w:rPr>
          <w:sz w:val="20"/>
        </w:rPr>
      </w:pPr>
    </w:p>
    <w:p>
      <w:pPr>
        <w:pStyle w:val="10"/>
        <w:spacing w:line="307" w:lineRule="auto"/>
        <w:ind w:left="384" w:right="466" w:firstLine="480"/>
        <w:jc w:val="both"/>
      </w:pPr>
      <w:r>
        <w:rPr>
          <w:rFonts w:hint="eastAsia"/>
          <w:spacing w:val="-2"/>
        </w:rPr>
        <w:t>如果工程施工过程中，发生重大安全事故、质量事故，承包人必须在</w:t>
      </w:r>
      <w:r>
        <w:rPr>
          <w:rFonts w:hint="eastAsia"/>
        </w:rPr>
        <w:t>2</w:t>
      </w:r>
      <w:r>
        <w:rPr>
          <w:rFonts w:hint="eastAsia"/>
          <w:spacing w:val="-4"/>
        </w:rPr>
        <w:t>小时内</w:t>
      </w:r>
      <w:r>
        <w:rPr>
          <w:rFonts w:hint="eastAsia"/>
          <w:spacing w:val="-1"/>
        </w:rPr>
        <w:t>口头报告，</w:t>
      </w:r>
      <w:r>
        <w:rPr>
          <w:rFonts w:hint="eastAsia"/>
          <w:spacing w:val="-4"/>
        </w:rPr>
        <w:t>24</w:t>
      </w:r>
      <w:r>
        <w:rPr>
          <w:rFonts w:hint="eastAsia"/>
          <w:spacing w:val="-2"/>
        </w:rPr>
        <w:t>小时内将事故详细情况书面报监理人和发包人。如果现场发生一般安</w:t>
      </w:r>
      <w:r>
        <w:rPr>
          <w:rFonts w:hint="eastAsia"/>
          <w:spacing w:val="-3"/>
        </w:rPr>
        <w:t>全事故，或质量事故，承包人必须在</w:t>
      </w:r>
      <w:r>
        <w:rPr>
          <w:rFonts w:hint="eastAsia"/>
        </w:rPr>
        <w:t>3</w:t>
      </w:r>
      <w:r>
        <w:rPr>
          <w:rFonts w:hint="eastAsia"/>
          <w:spacing w:val="-1"/>
        </w:rPr>
        <w:t>天内将事故详细情况书面报告监理人和发包</w:t>
      </w:r>
      <w:r>
        <w:rPr>
          <w:rFonts w:hint="eastAsia"/>
        </w:rPr>
        <w:t>人。如果现场(包括临时道路)发生重大交通事故，承包人应尽快报告监理人，同时</w:t>
      </w:r>
      <w:r>
        <w:rPr>
          <w:rFonts w:hint="eastAsia"/>
          <w:spacing w:val="-1"/>
        </w:rPr>
        <w:t>应迅速报告当地交通安全管理部门。质量事故等级划分遵照交通运输部公路工程质</w:t>
      </w:r>
      <w:r>
        <w:rPr>
          <w:rFonts w:hint="eastAsia"/>
        </w:rPr>
        <w:t>量管理办法的规定。</w:t>
      </w:r>
    </w:p>
    <w:p>
      <w:pPr>
        <w:pStyle w:val="10"/>
        <w:spacing w:before="182"/>
        <w:ind w:right="7021"/>
        <w:jc w:val="right"/>
      </w:pPr>
      <w:r>
        <w:rPr>
          <w:rFonts w:hint="eastAsia"/>
        </w:rPr>
        <w:t>六、合同价款支付</w:t>
      </w:r>
    </w:p>
    <w:p>
      <w:pPr>
        <w:pStyle w:val="10"/>
        <w:spacing w:before="10"/>
        <w:rPr>
          <w:sz w:val="20"/>
        </w:rPr>
      </w:pPr>
    </w:p>
    <w:p>
      <w:pPr>
        <w:pStyle w:val="20"/>
        <w:numPr>
          <w:ilvl w:val="3"/>
          <w:numId w:val="5"/>
        </w:numPr>
        <w:tabs>
          <w:tab w:val="left" w:pos="301"/>
        </w:tabs>
        <w:ind w:left="1124" w:right="6961" w:hanging="1125"/>
        <w:rPr>
          <w:sz w:val="24"/>
        </w:rPr>
      </w:pPr>
      <w:r>
        <w:rPr>
          <w:rFonts w:hint="eastAsia"/>
          <w:sz w:val="24"/>
          <w:lang w:val="en-US" w:eastAsia="zh-CN"/>
        </w:rPr>
        <w:t xml:space="preserve"> </w:t>
      </w:r>
      <w:r>
        <w:rPr>
          <w:rFonts w:hint="eastAsia"/>
          <w:sz w:val="24"/>
        </w:rPr>
        <w:t>合同价款支付</w:t>
      </w:r>
    </w:p>
    <w:p>
      <w:pPr>
        <w:pStyle w:val="10"/>
        <w:spacing w:before="10"/>
        <w:rPr>
          <w:sz w:val="20"/>
        </w:rPr>
      </w:pPr>
    </w:p>
    <w:p>
      <w:pPr>
        <w:pStyle w:val="20"/>
        <w:numPr>
          <w:ilvl w:val="4"/>
          <w:numId w:val="5"/>
        </w:numPr>
        <w:tabs>
          <w:tab w:val="left" w:pos="1524"/>
        </w:tabs>
        <w:ind w:left="1524" w:hanging="660"/>
        <w:jc w:val="both"/>
        <w:rPr>
          <w:sz w:val="24"/>
        </w:rPr>
      </w:pPr>
      <w:r>
        <w:rPr>
          <w:rFonts w:hint="eastAsia"/>
          <w:sz w:val="24"/>
        </w:rPr>
        <w:t>发包人与承包人依据中标价在合同协议书内约定合同价款。</w:t>
      </w:r>
    </w:p>
    <w:p>
      <w:pPr>
        <w:pStyle w:val="20"/>
        <w:numPr>
          <w:ilvl w:val="4"/>
          <w:numId w:val="5"/>
        </w:numPr>
        <w:tabs>
          <w:tab w:val="left" w:pos="1524"/>
        </w:tabs>
        <w:spacing w:before="86" w:line="307" w:lineRule="auto"/>
        <w:ind w:left="384" w:right="442" w:firstLine="480"/>
        <w:jc w:val="both"/>
        <w:rPr>
          <w:sz w:val="24"/>
        </w:rPr>
      </w:pPr>
      <w:r>
        <w:rPr>
          <w:rFonts w:hint="eastAsia"/>
          <w:spacing w:val="-7"/>
          <w:sz w:val="24"/>
        </w:rPr>
        <w:t>承包人应在每月的</w:t>
      </w:r>
      <w:r>
        <w:rPr>
          <w:rFonts w:hint="eastAsia"/>
          <w:sz w:val="24"/>
        </w:rPr>
        <w:t>25</w:t>
      </w:r>
      <w:r>
        <w:rPr>
          <w:rFonts w:hint="eastAsia"/>
          <w:spacing w:val="-1"/>
          <w:sz w:val="24"/>
        </w:rPr>
        <w:t>日前，按监理人审定的《工程进度中期支付报表》</w:t>
      </w:r>
      <w:r>
        <w:rPr>
          <w:rFonts w:hint="eastAsia"/>
          <w:sz w:val="24"/>
        </w:rPr>
        <w:t>的工程数量及相关的支付额报发包人，发包人据以支付工程进度款。除不可抗拒的自然灾害、特殊社会风险及发包人批准的设计变更外，工程总支付金额不应超过合同价（不包括暂列金额）。</w:t>
      </w:r>
    </w:p>
    <w:p>
      <w:pPr>
        <w:pStyle w:val="20"/>
        <w:numPr>
          <w:ilvl w:val="3"/>
          <w:numId w:val="5"/>
        </w:numPr>
        <w:tabs>
          <w:tab w:val="left" w:pos="1125"/>
        </w:tabs>
        <w:spacing w:before="183"/>
        <w:ind w:left="1124" w:hanging="302"/>
        <w:jc w:val="left"/>
        <w:rPr>
          <w:sz w:val="24"/>
        </w:rPr>
      </w:pPr>
      <w:r>
        <w:rPr>
          <w:rFonts w:hint="eastAsia"/>
          <w:sz w:val="24"/>
        </w:rPr>
        <w:t>预付款</w:t>
      </w:r>
    </w:p>
    <w:p>
      <w:pPr>
        <w:pStyle w:val="10"/>
        <w:spacing w:before="9"/>
        <w:rPr>
          <w:sz w:val="20"/>
        </w:rPr>
      </w:pPr>
    </w:p>
    <w:p>
      <w:pPr>
        <w:pStyle w:val="20"/>
        <w:numPr>
          <w:ilvl w:val="4"/>
          <w:numId w:val="5"/>
        </w:numPr>
        <w:tabs>
          <w:tab w:val="left" w:pos="1529"/>
        </w:tabs>
        <w:spacing w:line="307" w:lineRule="auto"/>
        <w:ind w:left="384" w:right="467" w:firstLine="480"/>
        <w:jc w:val="both"/>
        <w:rPr>
          <w:sz w:val="24"/>
        </w:rPr>
      </w:pPr>
      <w:r>
        <w:rPr>
          <w:rFonts w:hint="eastAsia"/>
          <w:sz w:val="24"/>
        </w:rPr>
        <w:t>承包人在合同文件载明的人员、主要设备进场后，可得到预付款支付， 预付款必须专用于合同工程。</w:t>
      </w:r>
    </w:p>
    <w:p>
      <w:pPr>
        <w:pStyle w:val="20"/>
        <w:numPr>
          <w:ilvl w:val="4"/>
          <w:numId w:val="5"/>
        </w:numPr>
        <w:tabs>
          <w:tab w:val="left" w:pos="1529"/>
        </w:tabs>
        <w:spacing w:line="307" w:lineRule="auto"/>
        <w:ind w:left="384" w:right="465" w:firstLine="480"/>
        <w:jc w:val="both"/>
        <w:rPr>
          <w:sz w:val="24"/>
        </w:rPr>
      </w:pPr>
      <w:r>
        <w:rPr>
          <w:rFonts w:hint="eastAsia"/>
          <w:sz w:val="24"/>
        </w:rPr>
        <w:t>预付款在进度付款中扣回，在颁发工程接收证书前，由于不可抗力或其</w:t>
      </w:r>
      <w:r>
        <w:rPr>
          <w:rFonts w:hint="eastAsia"/>
          <w:spacing w:val="-1"/>
          <w:sz w:val="24"/>
        </w:rPr>
        <w:t>他原因解除合同时，预付款尚未扣清的，尚未扣清的预付款余额应作为承包人的到</w:t>
      </w:r>
      <w:r>
        <w:rPr>
          <w:rFonts w:hint="eastAsia"/>
          <w:sz w:val="24"/>
        </w:rPr>
        <w:t>期应付款。</w:t>
      </w:r>
    </w:p>
    <w:p>
      <w:pPr>
        <w:spacing w:line="307" w:lineRule="auto"/>
        <w:jc w:val="both"/>
        <w:rPr>
          <w:sz w:val="24"/>
        </w:rPr>
        <w:sectPr>
          <w:pgSz w:w="11910" w:h="16840"/>
          <w:pgMar w:top="1360" w:right="1120" w:bottom="1080" w:left="1260" w:header="882" w:footer="880" w:gutter="0"/>
          <w:cols w:space="720" w:num="1"/>
        </w:sectPr>
      </w:pPr>
    </w:p>
    <w:p>
      <w:pPr>
        <w:pStyle w:val="10"/>
        <w:spacing w:before="5"/>
        <w:rPr>
          <w:sz w:val="17"/>
        </w:rPr>
      </w:pPr>
    </w:p>
    <w:p>
      <w:pPr>
        <w:pStyle w:val="20"/>
        <w:numPr>
          <w:ilvl w:val="4"/>
          <w:numId w:val="5"/>
        </w:numPr>
        <w:tabs>
          <w:tab w:val="left" w:pos="1409"/>
        </w:tabs>
        <w:spacing w:before="76" w:line="307" w:lineRule="auto"/>
        <w:ind w:left="384" w:right="462" w:firstLine="480"/>
        <w:jc w:val="both"/>
        <w:rPr>
          <w:sz w:val="24"/>
        </w:rPr>
      </w:pPr>
      <w:r>
        <w:rPr>
          <w:rFonts w:hint="eastAsia"/>
          <w:spacing w:val="1"/>
          <w:sz w:val="24"/>
        </w:rPr>
        <w:t>开工预付款在进度付款证书的累计金额未达到签约合同价的</w:t>
      </w:r>
      <w:r>
        <w:rPr>
          <w:rFonts w:hint="eastAsia"/>
          <w:sz w:val="24"/>
        </w:rPr>
        <w:t>30%</w:t>
      </w:r>
      <w:r>
        <w:rPr>
          <w:rFonts w:hint="eastAsia"/>
          <w:spacing w:val="3"/>
          <w:sz w:val="24"/>
        </w:rPr>
        <w:t>之前不</w:t>
      </w:r>
      <w:r>
        <w:rPr>
          <w:rFonts w:hint="eastAsia"/>
          <w:spacing w:val="-10"/>
          <w:sz w:val="24"/>
        </w:rPr>
        <w:t>予扣回，在达到签约合同价</w:t>
      </w:r>
      <w:r>
        <w:rPr>
          <w:rFonts w:hint="eastAsia"/>
          <w:sz w:val="24"/>
        </w:rPr>
        <w:t>30%</w:t>
      </w:r>
      <w:r>
        <w:rPr>
          <w:rFonts w:hint="eastAsia"/>
          <w:spacing w:val="-6"/>
          <w:sz w:val="24"/>
        </w:rPr>
        <w:t>之后，开始按工程进度以固定比例</w:t>
      </w:r>
      <w:r>
        <w:rPr>
          <w:rFonts w:hint="eastAsia"/>
          <w:sz w:val="24"/>
        </w:rPr>
        <w:t>(</w:t>
      </w:r>
      <w:r>
        <w:rPr>
          <w:rFonts w:hint="eastAsia"/>
          <w:spacing w:val="-2"/>
          <w:sz w:val="24"/>
        </w:rPr>
        <w:t>即每完成签约合</w:t>
      </w:r>
      <w:r>
        <w:rPr>
          <w:rFonts w:hint="eastAsia"/>
          <w:spacing w:val="-15"/>
          <w:sz w:val="24"/>
        </w:rPr>
        <w:t>同价的</w:t>
      </w:r>
      <w:r>
        <w:rPr>
          <w:rFonts w:hint="eastAsia"/>
          <w:spacing w:val="-14"/>
          <w:sz w:val="24"/>
        </w:rPr>
        <w:t>1%</w:t>
      </w:r>
      <w:r>
        <w:rPr>
          <w:rFonts w:hint="eastAsia"/>
          <w:spacing w:val="-10"/>
          <w:sz w:val="24"/>
        </w:rPr>
        <w:t>，扣回开工预付款的</w:t>
      </w:r>
      <w:r>
        <w:rPr>
          <w:rFonts w:hint="eastAsia"/>
          <w:sz w:val="24"/>
        </w:rPr>
        <w:t>2%)</w:t>
      </w:r>
      <w:r>
        <w:rPr>
          <w:rFonts w:hint="eastAsia"/>
          <w:spacing w:val="-5"/>
          <w:sz w:val="24"/>
        </w:rPr>
        <w:t>分期从各月的进度付款证书中扣回，全部金额在</w:t>
      </w:r>
      <w:r>
        <w:rPr>
          <w:rFonts w:hint="eastAsia"/>
          <w:spacing w:val="-4"/>
          <w:sz w:val="24"/>
        </w:rPr>
        <w:t>进度付款证书的累计金额达到签约合同价的</w:t>
      </w:r>
      <w:r>
        <w:rPr>
          <w:rFonts w:hint="eastAsia"/>
          <w:sz w:val="24"/>
        </w:rPr>
        <w:t>80%时扣完。</w:t>
      </w:r>
    </w:p>
    <w:p>
      <w:pPr>
        <w:pStyle w:val="20"/>
        <w:numPr>
          <w:ilvl w:val="4"/>
          <w:numId w:val="5"/>
        </w:numPr>
        <w:tabs>
          <w:tab w:val="left" w:pos="1528"/>
          <w:tab w:val="left" w:pos="1529"/>
        </w:tabs>
        <w:spacing w:before="3" w:line="307" w:lineRule="auto"/>
        <w:ind w:left="384" w:right="346" w:firstLine="480"/>
        <w:rPr>
          <w:sz w:val="24"/>
        </w:rPr>
      </w:pPr>
      <w:r>
        <w:rPr>
          <w:rFonts w:hint="eastAsia"/>
          <w:sz w:val="24"/>
        </w:rPr>
        <w:t>材料预付款按合同条款数据表中所列主要材料单据费用（进口的材料、</w:t>
      </w:r>
      <w:r>
        <w:rPr>
          <w:rFonts w:hint="eastAsia"/>
          <w:spacing w:val="-11"/>
          <w:sz w:val="24"/>
        </w:rPr>
        <w:t>设备为到岸价，国内采购的为出厂价或销售价，地方材料为堆场价</w:t>
      </w:r>
      <w:r>
        <w:fldChar w:fldCharType="begin"/>
      </w:r>
      <w:r>
        <w:instrText xml:space="preserve"> HYPERLINK \l "_bookmark43" </w:instrText>
      </w:r>
      <w:r>
        <w:fldChar w:fldCharType="separate"/>
      </w:r>
      <w:r>
        <w:rPr>
          <w:rFonts w:hint="eastAsia"/>
          <w:spacing w:val="-1"/>
          <w:w w:val="98"/>
          <w:position w:val="9"/>
          <w:sz w:val="9"/>
        </w:rPr>
        <w:t>①</w:t>
      </w:r>
      <w:r>
        <w:rPr>
          <w:rFonts w:hint="eastAsia"/>
          <w:spacing w:val="-1"/>
          <w:w w:val="98"/>
          <w:position w:val="9"/>
          <w:sz w:val="9"/>
        </w:rPr>
        <w:fldChar w:fldCharType="end"/>
      </w:r>
      <w:r>
        <w:rPr>
          <w:rFonts w:hint="eastAsia"/>
          <w:spacing w:val="-58"/>
          <w:sz w:val="24"/>
        </w:rPr>
        <w:t>）</w:t>
      </w:r>
      <w:r>
        <w:rPr>
          <w:rFonts w:hint="eastAsia"/>
          <w:spacing w:val="-3"/>
          <w:sz w:val="24"/>
        </w:rPr>
        <w:t>的百分比支付，</w:t>
      </w:r>
      <w:r>
        <w:rPr>
          <w:rFonts w:hint="eastAsia"/>
          <w:sz w:val="24"/>
        </w:rPr>
        <w:t>预付款比例按照项目专用合同条款数据表的规定计算。其余附加条件为：</w:t>
      </w:r>
    </w:p>
    <w:p>
      <w:pPr>
        <w:pStyle w:val="20"/>
        <w:numPr>
          <w:ilvl w:val="0"/>
          <w:numId w:val="22"/>
        </w:numPr>
        <w:tabs>
          <w:tab w:val="left" w:pos="1465"/>
        </w:tabs>
        <w:rPr>
          <w:sz w:val="24"/>
        </w:rPr>
      </w:pPr>
      <w:r>
        <w:rPr>
          <w:rFonts w:hint="eastAsia"/>
          <w:sz w:val="24"/>
        </w:rPr>
        <w:t>材料符合规范要求并经监理人认可；</w:t>
      </w:r>
    </w:p>
    <w:p>
      <w:pPr>
        <w:pStyle w:val="20"/>
        <w:numPr>
          <w:ilvl w:val="0"/>
          <w:numId w:val="22"/>
        </w:numPr>
        <w:tabs>
          <w:tab w:val="left" w:pos="1465"/>
        </w:tabs>
        <w:spacing w:before="86"/>
        <w:rPr>
          <w:sz w:val="24"/>
        </w:rPr>
      </w:pPr>
      <w:r>
        <w:rPr>
          <w:rFonts w:hint="eastAsia"/>
          <w:sz w:val="24"/>
        </w:rPr>
        <w:t>承包人已出具材料费用凭证或支付单据；</w:t>
      </w:r>
    </w:p>
    <w:p>
      <w:pPr>
        <w:pStyle w:val="20"/>
        <w:numPr>
          <w:ilvl w:val="0"/>
          <w:numId w:val="22"/>
        </w:numPr>
        <w:tabs>
          <w:tab w:val="left" w:pos="1465"/>
        </w:tabs>
        <w:spacing w:before="86" w:line="309" w:lineRule="auto"/>
        <w:ind w:left="864" w:right="382" w:firstLine="0"/>
        <w:rPr>
          <w:sz w:val="24"/>
        </w:rPr>
      </w:pPr>
      <w:r>
        <w:rPr>
          <w:rFonts w:hint="eastAsia"/>
          <w:spacing w:val="-1"/>
          <w:sz w:val="24"/>
        </w:rPr>
        <w:t>材料已在现场交货，且存储良好，监理人认为材料的存储方法符合要求。</w:t>
      </w:r>
      <w:r>
        <w:rPr>
          <w:rFonts w:hint="eastAsia"/>
          <w:sz w:val="24"/>
        </w:rPr>
        <w:t>则监理人应将此项金额作为材料预付款计入下一次的进度付款证书中，在预计</w:t>
      </w:r>
    </w:p>
    <w:p>
      <w:pPr>
        <w:pStyle w:val="10"/>
        <w:spacing w:line="304" w:lineRule="exact"/>
        <w:ind w:left="384"/>
      </w:pPr>
      <w:r>
        <w:rPr>
          <w:rFonts w:hint="eastAsia"/>
        </w:rPr>
        <w:t>交工前3个月，将不再支付材料预付款。</w:t>
      </w:r>
    </w:p>
    <w:p>
      <w:pPr>
        <w:pStyle w:val="10"/>
        <w:spacing w:before="10"/>
        <w:rPr>
          <w:sz w:val="20"/>
        </w:rPr>
      </w:pPr>
    </w:p>
    <w:p>
      <w:pPr>
        <w:pStyle w:val="20"/>
        <w:numPr>
          <w:ilvl w:val="3"/>
          <w:numId w:val="5"/>
        </w:numPr>
        <w:tabs>
          <w:tab w:val="left" w:pos="1125"/>
        </w:tabs>
        <w:ind w:left="1124" w:hanging="302"/>
        <w:jc w:val="left"/>
        <w:rPr>
          <w:sz w:val="24"/>
        </w:rPr>
      </w:pPr>
      <w:r>
        <w:rPr>
          <w:rFonts w:hint="eastAsia"/>
          <w:sz w:val="24"/>
        </w:rPr>
        <w:t>计量与支付</w:t>
      </w:r>
    </w:p>
    <w:p>
      <w:pPr>
        <w:pStyle w:val="10"/>
        <w:spacing w:before="9"/>
        <w:rPr>
          <w:sz w:val="20"/>
        </w:rPr>
      </w:pPr>
    </w:p>
    <w:p>
      <w:pPr>
        <w:pStyle w:val="20"/>
        <w:numPr>
          <w:ilvl w:val="4"/>
          <w:numId w:val="5"/>
        </w:numPr>
        <w:tabs>
          <w:tab w:val="left" w:pos="1523"/>
          <w:tab w:val="left" w:pos="1524"/>
        </w:tabs>
        <w:spacing w:before="1" w:line="307" w:lineRule="auto"/>
        <w:ind w:left="384" w:right="466" w:firstLine="480"/>
        <w:rPr>
          <w:sz w:val="24"/>
        </w:rPr>
      </w:pPr>
      <w:r>
        <w:rPr>
          <w:rFonts w:hint="eastAsia"/>
          <w:spacing w:val="-8"/>
          <w:sz w:val="24"/>
        </w:rPr>
        <w:t>承包人应在每月</w:t>
      </w:r>
      <w:r>
        <w:rPr>
          <w:rFonts w:hint="eastAsia"/>
          <w:sz w:val="24"/>
        </w:rPr>
        <w:t>25</w:t>
      </w:r>
      <w:r>
        <w:rPr>
          <w:rFonts w:hint="eastAsia"/>
          <w:spacing w:val="-5"/>
          <w:sz w:val="24"/>
        </w:rPr>
        <w:t>日前，经监理人现场核实已完成的合格工程数量，确</w:t>
      </w:r>
      <w:r>
        <w:rPr>
          <w:rFonts w:hint="eastAsia"/>
          <w:sz w:val="24"/>
        </w:rPr>
        <w:t>定其价款，监理人签字后作为工程价款支付的依据。</w:t>
      </w:r>
    </w:p>
    <w:p>
      <w:pPr>
        <w:pStyle w:val="10"/>
        <w:spacing w:line="309" w:lineRule="auto"/>
        <w:ind w:left="384" w:right="465" w:firstLine="480"/>
      </w:pPr>
      <w:r>
        <w:rPr>
          <w:rFonts w:hint="eastAsia"/>
        </w:rPr>
        <w:t>本项目工程量清单中总额价子目的支付原则和支付进度按实际完成工程量及时限计量支付，并执行以下原则：</w:t>
      </w:r>
    </w:p>
    <w:p>
      <w:pPr>
        <w:pStyle w:val="20"/>
        <w:numPr>
          <w:ilvl w:val="1"/>
          <w:numId w:val="23"/>
        </w:numPr>
        <w:tabs>
          <w:tab w:val="left" w:pos="1484"/>
        </w:tabs>
        <w:spacing w:line="304" w:lineRule="exact"/>
        <w:rPr>
          <w:sz w:val="24"/>
        </w:rPr>
      </w:pPr>
      <w:r>
        <w:rPr>
          <w:rFonts w:hint="eastAsia"/>
          <w:spacing w:val="-11"/>
          <w:sz w:val="24"/>
        </w:rPr>
        <w:t>竣工文件：按交通运输部及新疆交通运输厅规定的竣工文件和施工文件编</w:t>
      </w:r>
    </w:p>
    <w:p>
      <w:pPr>
        <w:pStyle w:val="10"/>
        <w:spacing w:before="86" w:line="307" w:lineRule="auto"/>
        <w:ind w:left="384" w:right="465"/>
        <w:jc w:val="both"/>
      </w:pPr>
      <w:r>
        <w:rPr>
          <w:rFonts w:hint="eastAsia"/>
          <w:spacing w:val="-5"/>
        </w:rPr>
        <w:t>制的有关规定，编制出</w:t>
      </w:r>
      <w:r>
        <w:rPr>
          <w:rFonts w:hint="eastAsia"/>
        </w:rPr>
        <w:t>3</w:t>
      </w:r>
      <w:r>
        <w:rPr>
          <w:rFonts w:hint="eastAsia"/>
          <w:spacing w:val="-1"/>
        </w:rPr>
        <w:t>套完整合格的竣工文件；装订尺寸及方法符合档案管理的</w:t>
      </w:r>
      <w:r>
        <w:rPr>
          <w:rFonts w:hint="eastAsia"/>
          <w:spacing w:val="-3"/>
        </w:rPr>
        <w:t>有关规定。竣工验收后支付此项费用的</w:t>
      </w:r>
      <w:r>
        <w:rPr>
          <w:rFonts w:hint="eastAsia"/>
        </w:rPr>
        <w:t>90%</w:t>
      </w:r>
      <w:r>
        <w:rPr>
          <w:rFonts w:hint="eastAsia"/>
          <w:spacing w:val="-1"/>
        </w:rPr>
        <w:t>，剩余部分在缺陷责任期满、应补齐的</w:t>
      </w:r>
      <w:r>
        <w:rPr>
          <w:rFonts w:hint="eastAsia"/>
        </w:rPr>
        <w:t>资料补齐后支付。</w:t>
      </w:r>
    </w:p>
    <w:p>
      <w:pPr>
        <w:pStyle w:val="20"/>
        <w:numPr>
          <w:ilvl w:val="1"/>
          <w:numId w:val="23"/>
        </w:numPr>
        <w:tabs>
          <w:tab w:val="left" w:pos="1484"/>
        </w:tabs>
        <w:spacing w:line="307" w:lineRule="auto"/>
        <w:ind w:left="384" w:right="361" w:firstLine="480"/>
        <w:rPr>
          <w:sz w:val="24"/>
        </w:rPr>
      </w:pPr>
      <w:r>
        <w:rPr>
          <w:rFonts w:hint="eastAsia"/>
          <w:spacing w:val="-1"/>
          <w:sz w:val="24"/>
        </w:rPr>
        <w:t>施工环保费：施工过程中注意保护工程范围以外的土地植被、当地水源、</w:t>
      </w:r>
      <w:r>
        <w:rPr>
          <w:rFonts w:hint="eastAsia"/>
          <w:sz w:val="24"/>
        </w:rPr>
        <w:t>灌溉渠道，污水排放达到国家规定标准；沥青混合料拌合场必须设置在离居民区、</w:t>
      </w:r>
      <w:r>
        <w:rPr>
          <w:rFonts w:hint="eastAsia"/>
          <w:spacing w:val="-8"/>
          <w:sz w:val="24"/>
        </w:rPr>
        <w:t>学校、医院</w:t>
      </w:r>
      <w:r>
        <w:rPr>
          <w:rFonts w:hint="eastAsia"/>
          <w:sz w:val="24"/>
        </w:rPr>
        <w:t>300m以外的下风处；将扬尘、噪音控制在最低水平。工程开工后，监</w:t>
      </w:r>
      <w:r>
        <w:rPr>
          <w:rFonts w:hint="eastAsia"/>
          <w:spacing w:val="-3"/>
          <w:sz w:val="24"/>
        </w:rPr>
        <w:t>理人对承包人实施环保措施满意，支付此项费用的</w:t>
      </w:r>
      <w:r>
        <w:rPr>
          <w:rFonts w:hint="eastAsia"/>
          <w:sz w:val="24"/>
        </w:rPr>
        <w:t>30%，工程交工验收时没有被投</w:t>
      </w:r>
      <w:r>
        <w:rPr>
          <w:rFonts w:hint="eastAsia"/>
          <w:spacing w:val="-8"/>
          <w:sz w:val="24"/>
        </w:rPr>
        <w:t>诉，支付剩余的</w:t>
      </w:r>
      <w:r>
        <w:rPr>
          <w:rFonts w:hint="eastAsia"/>
          <w:sz w:val="24"/>
        </w:rPr>
        <w:t>70%。如被罚款费用自负。</w:t>
      </w:r>
    </w:p>
    <w:p>
      <w:pPr>
        <w:pStyle w:val="20"/>
        <w:numPr>
          <w:ilvl w:val="1"/>
          <w:numId w:val="24"/>
        </w:numPr>
        <w:tabs>
          <w:tab w:val="left" w:pos="1484"/>
        </w:tabs>
        <w:spacing w:before="2" w:line="307" w:lineRule="auto"/>
        <w:ind w:right="462" w:firstLine="480"/>
        <w:rPr>
          <w:sz w:val="24"/>
        </w:rPr>
      </w:pPr>
      <w:r>
        <w:rPr>
          <w:rFonts w:hint="eastAsia"/>
          <w:spacing w:val="-6"/>
          <w:sz w:val="24"/>
        </w:rPr>
        <w:t>临时道路修建、养护与拆除</w:t>
      </w:r>
      <w:r>
        <w:rPr>
          <w:rFonts w:hint="eastAsia"/>
          <w:sz w:val="24"/>
        </w:rPr>
        <w:t>（包括原道路的养护</w:t>
      </w:r>
      <w:r>
        <w:rPr>
          <w:rFonts w:hint="eastAsia"/>
          <w:spacing w:val="-26"/>
          <w:sz w:val="24"/>
        </w:rPr>
        <w:t>）</w:t>
      </w:r>
      <w:r>
        <w:rPr>
          <w:rFonts w:hint="eastAsia"/>
          <w:spacing w:val="-7"/>
          <w:sz w:val="24"/>
        </w:rPr>
        <w:t>：承包人根据需求和需</w:t>
      </w:r>
      <w:r>
        <w:rPr>
          <w:rFonts w:hint="eastAsia"/>
          <w:sz w:val="24"/>
        </w:rPr>
        <w:t>要修建的社会交通便道和施工现场的临时道路，并设置必要的交通标志，临时道路</w:t>
      </w:r>
    </w:p>
    <w:p>
      <w:pPr>
        <w:pStyle w:val="10"/>
        <w:spacing w:before="3" w:line="307" w:lineRule="auto"/>
        <w:ind w:left="384" w:right="465"/>
      </w:pPr>
      <w:r>
        <w:rPr>
          <w:rFonts w:hint="eastAsia"/>
        </w:rPr>
        <w:t>（包括原有道路）应加强养护、降低扬尘。临时道路修建后经监理人签认后支付此项费用的80%，交工后拆除恢复原地貌，工程交工验收后支付剩余的20%。</w:t>
      </w:r>
    </w:p>
    <w:p>
      <w:pPr>
        <w:pStyle w:val="20"/>
        <w:numPr>
          <w:ilvl w:val="1"/>
          <w:numId w:val="24"/>
        </w:numPr>
        <w:tabs>
          <w:tab w:val="left" w:pos="1484"/>
        </w:tabs>
        <w:spacing w:line="307" w:lineRule="auto"/>
        <w:ind w:right="466" w:firstLine="480"/>
        <w:rPr>
          <w:sz w:val="24"/>
        </w:rPr>
      </w:pPr>
      <w:r>
        <w:rPr>
          <w:rFonts w:hint="eastAsia"/>
          <w:spacing w:val="-12"/>
          <w:sz w:val="24"/>
        </w:rPr>
        <w:t>临时工程用地：承包人根据现场考察和施工组织计划确定临时工程用地及</w:t>
      </w:r>
      <w:r>
        <w:rPr>
          <w:rFonts w:hint="eastAsia"/>
          <w:spacing w:val="-1"/>
          <w:sz w:val="24"/>
        </w:rPr>
        <w:t>费用。该项费用包含承包人生产、生活用地，施工中取土场、料场用地，临时工程</w:t>
      </w:r>
    </w:p>
    <w:p>
      <w:pPr>
        <w:pStyle w:val="10"/>
        <w:rPr>
          <w:sz w:val="26"/>
        </w:rPr>
      </w:pPr>
      <w:r>
        <mc:AlternateContent>
          <mc:Choice Requires="wps">
            <w:drawing>
              <wp:anchor distT="0" distB="0" distL="114300" distR="114300" simplePos="0" relativeHeight="251662336" behindDoc="1" locked="0" layoutInCell="1" allowOverlap="1">
                <wp:simplePos x="0" y="0"/>
                <wp:positionH relativeFrom="page">
                  <wp:posOffset>1043305</wp:posOffset>
                </wp:positionH>
                <wp:positionV relativeFrom="paragraph">
                  <wp:posOffset>236220</wp:posOffset>
                </wp:positionV>
                <wp:extent cx="1828800" cy="0"/>
                <wp:effectExtent l="0" t="0" r="0" b="0"/>
                <wp:wrapTopAndBottom/>
                <wp:docPr id="12" name="直线 29"/>
                <wp:cNvGraphicFramePr/>
                <a:graphic xmlns:a="http://schemas.openxmlformats.org/drawingml/2006/main">
                  <a:graphicData uri="http://schemas.microsoft.com/office/word/2010/wordprocessingShape">
                    <wps:wsp>
                      <wps:cNvCnPr/>
                      <wps:spPr>
                        <a:xfrm>
                          <a:off x="0" y="0"/>
                          <a:ext cx="1828800" cy="0"/>
                        </a:xfrm>
                        <a:prstGeom prst="line">
                          <a:avLst/>
                        </a:prstGeom>
                        <a:ln w="0" cap="flat" cmpd="sng">
                          <a:solidFill>
                            <a:srgbClr val="000000"/>
                          </a:solidFill>
                          <a:prstDash val="solid"/>
                          <a:headEnd type="none" w="med" len="med"/>
                          <a:tailEnd type="none" w="med" len="med"/>
                        </a:ln>
                      </wps:spPr>
                      <wps:bodyPr upright="1"/>
                    </wps:wsp>
                  </a:graphicData>
                </a:graphic>
              </wp:anchor>
            </w:drawing>
          </mc:Choice>
          <mc:Fallback>
            <w:pict>
              <v:line id="直线 29" o:spid="_x0000_s1026" o:spt="20" style="position:absolute;left:0pt;margin-left:82.15pt;margin-top:18.6pt;height:0pt;width:144pt;mso-position-horizontal-relative:page;mso-wrap-distance-bottom:0pt;mso-wrap-distance-top:0pt;z-index:-251654144;mso-width-relative:page;mso-height-relative:page;" filled="f" stroked="t" coordsize="21600,21600" o:gfxdata="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2AAtx9cAAAAJ&#10;AQAADwAAAAAAAAABACAAAAAiAAAAZHJzL2Rvd25yZXYueG1sUEsBAhQAFAAAAAgAh07iQFYvoj/k&#10;AQAA2gMAAA4AAAAAAAAAAQAgAAAAJgEAAGRycy9lMm9Eb2MueG1sUEsFBgAAAAAGAAYAWQEAAHwF&#10;AAAAAA==&#10;">
                <v:fill on="f" focussize="0,0"/>
                <v:stroke weight="0pt" color="#000000" joinstyle="round"/>
                <v:imagedata o:title=""/>
                <o:lock v:ext="edit" aspectratio="f"/>
                <w10:wrap type="topAndBottom"/>
              </v:line>
            </w:pict>
          </mc:Fallback>
        </mc:AlternateContent>
      </w:r>
    </w:p>
    <w:p>
      <w:pPr>
        <w:spacing w:before="100"/>
        <w:ind w:left="384"/>
        <w:rPr>
          <w:sz w:val="18"/>
        </w:rPr>
      </w:pPr>
      <w:r>
        <w:rPr>
          <w:rFonts w:hint="eastAsia"/>
          <w:position w:val="9"/>
          <w:sz w:val="9"/>
        </w:rPr>
        <w:t xml:space="preserve">① </w:t>
      </w:r>
      <w:r>
        <w:rPr>
          <w:rFonts w:hint="eastAsia"/>
          <w:sz w:val="18"/>
        </w:rPr>
        <w:t>堆场价为材料（或设备）的出厂价或销售价。</w:t>
      </w:r>
    </w:p>
    <w:p>
      <w:pPr>
        <w:rPr>
          <w:sz w:val="18"/>
        </w:rPr>
        <w:sectPr>
          <w:pgSz w:w="11910" w:h="16840"/>
          <w:pgMar w:top="1360" w:right="1120" w:bottom="1080" w:left="1260" w:header="882" w:footer="880" w:gutter="0"/>
          <w:cols w:space="720" w:num="1"/>
        </w:sectPr>
      </w:pPr>
    </w:p>
    <w:p>
      <w:pPr>
        <w:pStyle w:val="10"/>
        <w:spacing w:before="5"/>
        <w:rPr>
          <w:sz w:val="17"/>
        </w:rPr>
      </w:pPr>
    </w:p>
    <w:p>
      <w:pPr>
        <w:pStyle w:val="10"/>
        <w:spacing w:before="76" w:line="307" w:lineRule="auto"/>
        <w:ind w:left="384" w:right="465"/>
        <w:jc w:val="both"/>
      </w:pPr>
      <w:r>
        <w:rPr>
          <w:rFonts w:hint="eastAsia"/>
          <w:spacing w:val="-3"/>
        </w:rPr>
        <w:t>及附属工作临时用地。经监理人签认后支付此项费用的</w:t>
      </w:r>
      <w:r>
        <w:rPr>
          <w:rFonts w:hint="eastAsia"/>
        </w:rPr>
        <w:t>80%</w:t>
      </w:r>
      <w:r>
        <w:rPr>
          <w:rFonts w:hint="eastAsia"/>
          <w:spacing w:val="-2"/>
        </w:rPr>
        <w:t>，交工后拆除恢复原地</w:t>
      </w:r>
      <w:r>
        <w:rPr>
          <w:rFonts w:hint="eastAsia"/>
          <w:spacing w:val="-4"/>
        </w:rPr>
        <w:t>貌后，工程交工验收后支付剩余的</w:t>
      </w:r>
      <w:r>
        <w:rPr>
          <w:rFonts w:hint="eastAsia"/>
        </w:rPr>
        <w:t>20%。</w:t>
      </w:r>
    </w:p>
    <w:p>
      <w:pPr>
        <w:pStyle w:val="20"/>
        <w:numPr>
          <w:ilvl w:val="1"/>
          <w:numId w:val="24"/>
        </w:numPr>
        <w:tabs>
          <w:tab w:val="left" w:pos="1484"/>
        </w:tabs>
        <w:spacing w:line="307" w:lineRule="auto"/>
        <w:ind w:right="466" w:firstLine="480"/>
        <w:jc w:val="both"/>
        <w:rPr>
          <w:sz w:val="24"/>
        </w:rPr>
      </w:pPr>
      <w:r>
        <w:rPr>
          <w:rFonts w:hint="eastAsia"/>
          <w:spacing w:val="-11"/>
          <w:sz w:val="24"/>
        </w:rPr>
        <w:t>临时供电设施架设、维护与拆除：开工报告批准的临时供电设施安装后支</w:t>
      </w:r>
      <w:r>
        <w:rPr>
          <w:rFonts w:hint="eastAsia"/>
          <w:spacing w:val="-8"/>
          <w:sz w:val="24"/>
        </w:rPr>
        <w:t>付此项费用的</w:t>
      </w:r>
      <w:r>
        <w:rPr>
          <w:rFonts w:hint="eastAsia"/>
          <w:sz w:val="24"/>
        </w:rPr>
        <w:t>80%</w:t>
      </w:r>
      <w:r>
        <w:rPr>
          <w:rFonts w:hint="eastAsia"/>
          <w:spacing w:val="-1"/>
          <w:sz w:val="24"/>
        </w:rPr>
        <w:t>，交工后拆除所安装设备及系统恢复到工程实施前的状态，工程</w:t>
      </w:r>
      <w:r>
        <w:rPr>
          <w:rFonts w:hint="eastAsia"/>
          <w:spacing w:val="-6"/>
          <w:sz w:val="24"/>
        </w:rPr>
        <w:t>交工验收后支付剩余的</w:t>
      </w:r>
      <w:r>
        <w:rPr>
          <w:rFonts w:hint="eastAsia"/>
          <w:sz w:val="24"/>
        </w:rPr>
        <w:t>20%。</w:t>
      </w:r>
    </w:p>
    <w:p>
      <w:pPr>
        <w:pStyle w:val="20"/>
        <w:numPr>
          <w:ilvl w:val="1"/>
          <w:numId w:val="24"/>
        </w:numPr>
        <w:tabs>
          <w:tab w:val="left" w:pos="1484"/>
        </w:tabs>
        <w:spacing w:before="3" w:line="307" w:lineRule="auto"/>
        <w:ind w:right="466" w:firstLine="480"/>
        <w:jc w:val="both"/>
        <w:rPr>
          <w:sz w:val="24"/>
        </w:rPr>
      </w:pPr>
      <w:r>
        <w:rPr>
          <w:rFonts w:hint="eastAsia"/>
          <w:spacing w:val="-12"/>
          <w:sz w:val="24"/>
        </w:rPr>
        <w:t>电信设施的提供、维护与拆除：开工报告批准的临时电信设施安装后支付</w:t>
      </w:r>
      <w:r>
        <w:rPr>
          <w:rFonts w:hint="eastAsia"/>
          <w:spacing w:val="-9"/>
          <w:sz w:val="24"/>
        </w:rPr>
        <w:t>此项费用的</w:t>
      </w:r>
      <w:r>
        <w:rPr>
          <w:rFonts w:hint="eastAsia"/>
          <w:sz w:val="24"/>
        </w:rPr>
        <w:t>80%</w:t>
      </w:r>
      <w:r>
        <w:rPr>
          <w:rFonts w:hint="eastAsia"/>
          <w:spacing w:val="-1"/>
          <w:sz w:val="24"/>
        </w:rPr>
        <w:t>，交工后拆除所安装设备及系统恢复到工程实施前的状态，工程交</w:t>
      </w:r>
      <w:r>
        <w:rPr>
          <w:rFonts w:hint="eastAsia"/>
          <w:spacing w:val="-7"/>
          <w:sz w:val="24"/>
        </w:rPr>
        <w:t>工验收后支付剩余的</w:t>
      </w:r>
      <w:r>
        <w:rPr>
          <w:rFonts w:hint="eastAsia"/>
          <w:sz w:val="24"/>
        </w:rPr>
        <w:t>20%。</w:t>
      </w:r>
    </w:p>
    <w:p>
      <w:pPr>
        <w:pStyle w:val="20"/>
        <w:numPr>
          <w:ilvl w:val="1"/>
          <w:numId w:val="24"/>
        </w:numPr>
        <w:tabs>
          <w:tab w:val="left" w:pos="1484"/>
        </w:tabs>
        <w:spacing w:line="307" w:lineRule="auto"/>
        <w:ind w:right="466" w:firstLine="480"/>
        <w:jc w:val="both"/>
        <w:rPr>
          <w:sz w:val="24"/>
        </w:rPr>
      </w:pPr>
      <w:r>
        <w:rPr>
          <w:rFonts w:hint="eastAsia"/>
          <w:spacing w:val="-11"/>
          <w:sz w:val="24"/>
        </w:rPr>
        <w:t>临时供水与排污设施：供水与排污设施实施经监理人签认后支付此项费用</w:t>
      </w:r>
      <w:r>
        <w:rPr>
          <w:rFonts w:hint="eastAsia"/>
          <w:spacing w:val="-26"/>
          <w:sz w:val="24"/>
        </w:rPr>
        <w:t xml:space="preserve">的 </w:t>
      </w:r>
      <w:r>
        <w:rPr>
          <w:rFonts w:hint="eastAsia"/>
          <w:sz w:val="24"/>
        </w:rPr>
        <w:t>90%</w:t>
      </w:r>
      <w:r>
        <w:rPr>
          <w:rFonts w:hint="eastAsia"/>
          <w:spacing w:val="-1"/>
          <w:sz w:val="24"/>
        </w:rPr>
        <w:t>，交工后拆除其全部临时排污设施恢复到工程实施前的状态，工程交工验收</w:t>
      </w:r>
      <w:r>
        <w:rPr>
          <w:rFonts w:hint="eastAsia"/>
          <w:spacing w:val="-9"/>
          <w:sz w:val="24"/>
        </w:rPr>
        <w:t>后支付剩余的</w:t>
      </w:r>
      <w:r>
        <w:rPr>
          <w:rFonts w:hint="eastAsia"/>
          <w:sz w:val="24"/>
        </w:rPr>
        <w:t>10%。</w:t>
      </w:r>
    </w:p>
    <w:p>
      <w:pPr>
        <w:pStyle w:val="10"/>
        <w:spacing w:before="2" w:line="307" w:lineRule="auto"/>
        <w:ind w:left="384" w:right="466" w:firstLine="480"/>
        <w:jc w:val="both"/>
      </w:pPr>
      <w:r>
        <w:rPr>
          <w:rFonts w:hint="eastAsia"/>
        </w:rPr>
        <w:t xml:space="preserve">104-1 </w:t>
      </w:r>
      <w:r>
        <w:rPr>
          <w:rFonts w:hint="eastAsia"/>
          <w:spacing w:val="-11"/>
        </w:rPr>
        <w:t>承包人驻地建设：驻地建设完成、开工报告批准、工地试验室制备齐全后</w:t>
      </w:r>
      <w:r>
        <w:rPr>
          <w:rFonts w:hint="eastAsia"/>
          <w:spacing w:val="-7"/>
        </w:rPr>
        <w:t>支付此项费用的</w:t>
      </w:r>
      <w:r>
        <w:rPr>
          <w:rFonts w:hint="eastAsia"/>
        </w:rPr>
        <w:t>90%</w:t>
      </w:r>
      <w:r>
        <w:rPr>
          <w:rFonts w:hint="eastAsia"/>
          <w:spacing w:val="-1"/>
        </w:rPr>
        <w:t>，按照合同或协议将驻地移走、清除、恢复原貌后，工程交工</w:t>
      </w:r>
      <w:r>
        <w:rPr>
          <w:rFonts w:hint="eastAsia"/>
          <w:spacing w:val="-7"/>
        </w:rPr>
        <w:t>验收后支付剩余的</w:t>
      </w:r>
      <w:r>
        <w:rPr>
          <w:rFonts w:hint="eastAsia"/>
        </w:rPr>
        <w:t>10%。</w:t>
      </w:r>
    </w:p>
    <w:p>
      <w:pPr>
        <w:pStyle w:val="10"/>
        <w:spacing w:line="307" w:lineRule="auto"/>
        <w:ind w:left="384" w:right="466" w:firstLine="480"/>
        <w:jc w:val="both"/>
      </w:pPr>
      <w:r>
        <w:rPr>
          <w:rFonts w:hint="eastAsia"/>
        </w:rPr>
        <w:t xml:space="preserve">105-1 </w:t>
      </w:r>
      <w:r>
        <w:rPr>
          <w:rFonts w:hint="eastAsia"/>
          <w:spacing w:val="-12"/>
        </w:rPr>
        <w:t>安全生产费：施工安全设施费用及与此有关的一切作业经监理人对工程安</w:t>
      </w:r>
      <w:r>
        <w:rPr>
          <w:rFonts w:hint="eastAsia"/>
          <w:spacing w:val="-3"/>
        </w:rPr>
        <w:t>全生产情况检查达到安全合格标准后，以总额的</w:t>
      </w:r>
      <w:r>
        <w:rPr>
          <w:rFonts w:hint="eastAsia"/>
        </w:rPr>
        <w:t>90%按月（合同工期）</w:t>
      </w:r>
      <w:r>
        <w:rPr>
          <w:rFonts w:hint="eastAsia"/>
          <w:spacing w:val="-3"/>
        </w:rPr>
        <w:t>平均分次支付。交工验收后经监理人同意后支付剩余的</w:t>
      </w:r>
      <w:r>
        <w:rPr>
          <w:rFonts w:hint="eastAsia"/>
        </w:rPr>
        <w:t>10%</w:t>
      </w:r>
      <w:r>
        <w:rPr>
          <w:rFonts w:hint="eastAsia"/>
          <w:spacing w:val="-1"/>
        </w:rPr>
        <w:t>。如承包人在此基础上增加安全生产费用以满足项目施工需要，则承包人应在本项目工程量清单其他相关子目的单价</w:t>
      </w:r>
      <w:r>
        <w:rPr>
          <w:rFonts w:hint="eastAsia"/>
        </w:rPr>
        <w:t>或总额价中予以考虑，发包人不再另行支付。</w:t>
      </w:r>
    </w:p>
    <w:p>
      <w:pPr>
        <w:pStyle w:val="20"/>
        <w:numPr>
          <w:ilvl w:val="4"/>
          <w:numId w:val="5"/>
        </w:numPr>
        <w:tabs>
          <w:tab w:val="left" w:pos="1529"/>
        </w:tabs>
        <w:spacing w:line="307" w:lineRule="auto"/>
        <w:ind w:left="384" w:right="467" w:firstLine="480"/>
        <w:jc w:val="both"/>
        <w:rPr>
          <w:sz w:val="24"/>
        </w:rPr>
      </w:pPr>
      <w:r>
        <w:rPr>
          <w:rFonts w:hint="eastAsia"/>
          <w:sz w:val="24"/>
        </w:rPr>
        <w:t>对承包人超出设计图纸范围和因承包人原因造成返工的工程量，不予计量。</w:t>
      </w:r>
    </w:p>
    <w:p>
      <w:pPr>
        <w:pStyle w:val="20"/>
        <w:numPr>
          <w:ilvl w:val="4"/>
          <w:numId w:val="5"/>
        </w:numPr>
        <w:tabs>
          <w:tab w:val="left" w:pos="1523"/>
          <w:tab w:val="left" w:pos="1524"/>
        </w:tabs>
        <w:spacing w:line="305" w:lineRule="exact"/>
        <w:ind w:left="1524" w:hanging="660"/>
        <w:rPr>
          <w:sz w:val="24"/>
        </w:rPr>
      </w:pPr>
      <w:r>
        <w:rPr>
          <w:rFonts w:hint="eastAsia"/>
          <w:sz w:val="24"/>
        </w:rPr>
        <w:t>月支付：</w:t>
      </w:r>
    </w:p>
    <w:p>
      <w:pPr>
        <w:pStyle w:val="20"/>
        <w:numPr>
          <w:ilvl w:val="0"/>
          <w:numId w:val="25"/>
        </w:numPr>
        <w:tabs>
          <w:tab w:val="left" w:pos="1468"/>
        </w:tabs>
        <w:spacing w:before="84"/>
        <w:rPr>
          <w:sz w:val="24"/>
        </w:rPr>
      </w:pPr>
      <w:r>
        <w:rPr>
          <w:rFonts w:hint="eastAsia"/>
          <w:spacing w:val="-8"/>
          <w:sz w:val="24"/>
        </w:rPr>
        <w:t>承包人应在每月</w:t>
      </w:r>
      <w:r>
        <w:rPr>
          <w:rFonts w:hint="eastAsia"/>
          <w:sz w:val="24"/>
        </w:rPr>
        <w:t>25日前向监理人提交由其项目经理签署的按《工程进度</w:t>
      </w:r>
    </w:p>
    <w:p>
      <w:pPr>
        <w:pStyle w:val="10"/>
        <w:spacing w:before="86"/>
        <w:ind w:left="384"/>
      </w:pPr>
      <w:r>
        <w:rPr>
          <w:rFonts w:hint="eastAsia"/>
        </w:rPr>
        <w:t>计量报表》格式填写月结账单一式6份；</w:t>
      </w:r>
    </w:p>
    <w:p>
      <w:pPr>
        <w:pStyle w:val="20"/>
        <w:numPr>
          <w:ilvl w:val="0"/>
          <w:numId w:val="25"/>
        </w:numPr>
        <w:tabs>
          <w:tab w:val="left" w:pos="1465"/>
        </w:tabs>
        <w:spacing w:before="84" w:line="304" w:lineRule="auto"/>
        <w:ind w:left="384" w:right="466" w:firstLine="480"/>
        <w:rPr>
          <w:sz w:val="24"/>
        </w:rPr>
      </w:pPr>
      <w:r>
        <w:rPr>
          <w:rFonts w:hint="eastAsia"/>
          <w:spacing w:val="-5"/>
          <w:sz w:val="24"/>
        </w:rPr>
        <w:t>监理人在收到月结账单后</w:t>
      </w:r>
      <w:r>
        <w:rPr>
          <w:rFonts w:hint="eastAsia"/>
          <w:sz w:val="24"/>
        </w:rPr>
        <w:t>7</w:t>
      </w:r>
      <w:r>
        <w:rPr>
          <w:rFonts w:hint="eastAsia"/>
          <w:spacing w:val="-4"/>
          <w:sz w:val="24"/>
        </w:rPr>
        <w:t>天内签发中期支付证书，签发时应写明其认</w:t>
      </w:r>
      <w:r>
        <w:rPr>
          <w:rFonts w:hint="eastAsia"/>
          <w:spacing w:val="-5"/>
          <w:sz w:val="24"/>
        </w:rPr>
        <w:t>为应该到期结算的价款及需要扣留和扣回的款额并报发包人审批；</w:t>
      </w:r>
    </w:p>
    <w:p>
      <w:pPr>
        <w:pStyle w:val="20"/>
        <w:numPr>
          <w:ilvl w:val="0"/>
          <w:numId w:val="25"/>
        </w:numPr>
        <w:tabs>
          <w:tab w:val="left" w:pos="1468"/>
        </w:tabs>
        <w:spacing w:before="3"/>
        <w:rPr>
          <w:sz w:val="24"/>
        </w:rPr>
      </w:pPr>
      <w:r>
        <w:rPr>
          <w:rFonts w:hint="eastAsia"/>
          <w:spacing w:val="-4"/>
          <w:sz w:val="24"/>
        </w:rPr>
        <w:t>发包人应在收到该中期支付证书后</w:t>
      </w:r>
      <w:r>
        <w:rPr>
          <w:rFonts w:hint="eastAsia"/>
          <w:sz w:val="24"/>
        </w:rPr>
        <w:t>14天内支付给承包人。如果发包人在</w:t>
      </w:r>
    </w:p>
    <w:p>
      <w:pPr>
        <w:pStyle w:val="10"/>
        <w:spacing w:before="84" w:line="304" w:lineRule="auto"/>
        <w:ind w:left="384" w:right="416"/>
      </w:pPr>
      <w:r>
        <w:rPr>
          <w:rFonts w:hint="eastAsia"/>
        </w:rPr>
        <w:t>上述期限内未能付款，发包人应按全国银行间同业拆借中心公布的1年期贷款市场报价利率向承包人支付未付款额的利息，付息时间从应付而未付该款额之日算起。</w:t>
      </w:r>
    </w:p>
    <w:p>
      <w:pPr>
        <w:pStyle w:val="20"/>
        <w:numPr>
          <w:ilvl w:val="4"/>
          <w:numId w:val="5"/>
        </w:numPr>
        <w:tabs>
          <w:tab w:val="left" w:pos="1523"/>
          <w:tab w:val="left" w:pos="1524"/>
        </w:tabs>
        <w:spacing w:before="4" w:line="304" w:lineRule="auto"/>
        <w:ind w:left="384" w:right="466" w:firstLine="480"/>
        <w:rPr>
          <w:sz w:val="24"/>
        </w:rPr>
      </w:pPr>
      <w:r>
        <w:rPr>
          <w:rFonts w:hint="eastAsia"/>
          <w:spacing w:val="-5"/>
          <w:sz w:val="24"/>
        </w:rPr>
        <w:t>在合同工程交工证书签发后</w:t>
      </w:r>
      <w:r>
        <w:rPr>
          <w:rFonts w:hint="eastAsia"/>
          <w:sz w:val="24"/>
        </w:rPr>
        <w:t>42</w:t>
      </w:r>
      <w:r>
        <w:rPr>
          <w:rFonts w:hint="eastAsia"/>
          <w:spacing w:val="-6"/>
          <w:sz w:val="24"/>
        </w:rPr>
        <w:t>天之内，承包人应向监理人提交一份交工</w:t>
      </w:r>
      <w:r>
        <w:rPr>
          <w:rFonts w:hint="eastAsia"/>
          <w:sz w:val="24"/>
        </w:rPr>
        <w:t>结算单，并附上详细文件，表明：</w:t>
      </w:r>
    </w:p>
    <w:p>
      <w:pPr>
        <w:pStyle w:val="20"/>
        <w:numPr>
          <w:ilvl w:val="0"/>
          <w:numId w:val="26"/>
        </w:numPr>
        <w:tabs>
          <w:tab w:val="left" w:pos="1465"/>
        </w:tabs>
        <w:spacing w:before="1"/>
        <w:rPr>
          <w:sz w:val="24"/>
        </w:rPr>
      </w:pPr>
      <w:r>
        <w:rPr>
          <w:rFonts w:hint="eastAsia"/>
          <w:sz w:val="24"/>
        </w:rPr>
        <w:t>按交工证书中写明的交工日期，完成的合同全部工程的最终价值；</w:t>
      </w:r>
    </w:p>
    <w:p>
      <w:pPr>
        <w:pStyle w:val="20"/>
        <w:numPr>
          <w:ilvl w:val="0"/>
          <w:numId w:val="26"/>
        </w:numPr>
        <w:tabs>
          <w:tab w:val="left" w:pos="1465"/>
        </w:tabs>
        <w:spacing w:before="86"/>
        <w:rPr>
          <w:sz w:val="24"/>
        </w:rPr>
      </w:pPr>
      <w:r>
        <w:rPr>
          <w:rFonts w:hint="eastAsia"/>
          <w:sz w:val="24"/>
        </w:rPr>
        <w:t>承包人认为应支付的其他款项。</w:t>
      </w:r>
    </w:p>
    <w:p>
      <w:pPr>
        <w:pStyle w:val="20"/>
        <w:numPr>
          <w:ilvl w:val="4"/>
          <w:numId w:val="5"/>
        </w:numPr>
        <w:tabs>
          <w:tab w:val="left" w:pos="1523"/>
          <w:tab w:val="left" w:pos="1524"/>
        </w:tabs>
        <w:spacing w:before="84" w:line="304" w:lineRule="auto"/>
        <w:ind w:left="384" w:right="346" w:firstLine="480"/>
        <w:rPr>
          <w:sz w:val="24"/>
        </w:rPr>
      </w:pPr>
      <w:r>
        <w:rPr>
          <w:rFonts w:hint="eastAsia"/>
          <w:spacing w:val="-8"/>
          <w:sz w:val="24"/>
        </w:rPr>
        <w:t>在缺陷责任期满的</w:t>
      </w:r>
      <w:r>
        <w:rPr>
          <w:rFonts w:hint="eastAsia"/>
          <w:sz w:val="24"/>
        </w:rPr>
        <w:t>14</w:t>
      </w:r>
      <w:r>
        <w:rPr>
          <w:rFonts w:hint="eastAsia"/>
          <w:spacing w:val="-13"/>
          <w:sz w:val="24"/>
        </w:rPr>
        <w:t xml:space="preserve">天内，承包人应向监理人提交一份最后结账单草案， </w:t>
      </w:r>
      <w:r>
        <w:rPr>
          <w:rFonts w:hint="eastAsia"/>
          <w:sz w:val="24"/>
        </w:rPr>
        <w:t>并附上详细的证明文件，供监理人考虑，表明：</w:t>
      </w:r>
    </w:p>
    <w:p>
      <w:pPr>
        <w:pStyle w:val="20"/>
        <w:numPr>
          <w:ilvl w:val="0"/>
          <w:numId w:val="27"/>
        </w:numPr>
        <w:tabs>
          <w:tab w:val="left" w:pos="1465"/>
        </w:tabs>
        <w:spacing w:before="74"/>
        <w:rPr>
          <w:sz w:val="24"/>
        </w:rPr>
      </w:pPr>
      <w:r>
        <w:rPr>
          <w:rFonts w:hint="eastAsia"/>
          <w:sz w:val="24"/>
        </w:rPr>
        <w:t>根据合同规定已经完成的全部工程价值；</w:t>
      </w:r>
    </w:p>
    <w:p>
      <w:pPr>
        <w:pStyle w:val="20"/>
        <w:numPr>
          <w:ilvl w:val="0"/>
          <w:numId w:val="27"/>
        </w:numPr>
        <w:tabs>
          <w:tab w:val="left" w:pos="1465"/>
        </w:tabs>
        <w:spacing w:before="84"/>
        <w:rPr>
          <w:sz w:val="24"/>
        </w:rPr>
      </w:pPr>
      <w:r>
        <w:rPr>
          <w:rFonts w:hint="eastAsia"/>
          <w:sz w:val="24"/>
        </w:rPr>
        <w:t>承包人根据合同规定认为应该支付的任何其他的款项。</w:t>
      </w:r>
    </w:p>
    <w:p>
      <w:pPr>
        <w:pStyle w:val="20"/>
        <w:numPr>
          <w:ilvl w:val="4"/>
          <w:numId w:val="5"/>
        </w:numPr>
        <w:tabs>
          <w:tab w:val="left" w:pos="1528"/>
          <w:tab w:val="left" w:pos="1529"/>
        </w:tabs>
        <w:spacing w:before="86" w:line="304" w:lineRule="auto"/>
        <w:ind w:left="384" w:right="467" w:firstLine="480"/>
        <w:rPr>
          <w:sz w:val="24"/>
        </w:rPr>
      </w:pPr>
      <w:r>
        <w:rPr>
          <w:rFonts w:hint="eastAsia"/>
          <w:sz w:val="24"/>
        </w:rPr>
        <w:t>在提交最后结账单的同时，承包人应给发包人一份书面清账书并抄送监理人，确认最后结账单中的总额作为应付给承包人的全部款项的最后结算。</w:t>
      </w:r>
    </w:p>
    <w:p>
      <w:pPr>
        <w:pStyle w:val="10"/>
        <w:spacing w:before="1" w:line="307" w:lineRule="auto"/>
        <w:ind w:left="384" w:right="415" w:firstLine="480"/>
      </w:pPr>
      <w:r>
        <w:rPr>
          <w:rFonts w:hint="eastAsia"/>
        </w:rPr>
        <w:t>在最后结账单收到7天内，监理人应该签发一份最后支付证书报发包人批准， 并抄送承包人，说明：</w:t>
      </w:r>
    </w:p>
    <w:p>
      <w:pPr>
        <w:pStyle w:val="20"/>
        <w:numPr>
          <w:ilvl w:val="0"/>
          <w:numId w:val="28"/>
        </w:numPr>
        <w:tabs>
          <w:tab w:val="left" w:pos="1465"/>
        </w:tabs>
        <w:spacing w:line="305" w:lineRule="exact"/>
        <w:rPr>
          <w:sz w:val="24"/>
        </w:rPr>
      </w:pPr>
      <w:r>
        <w:rPr>
          <w:rFonts w:hint="eastAsia"/>
          <w:sz w:val="24"/>
        </w:rPr>
        <w:t>根据合同规定的最后应付的款额；</w:t>
      </w:r>
    </w:p>
    <w:p>
      <w:pPr>
        <w:pStyle w:val="20"/>
        <w:numPr>
          <w:ilvl w:val="0"/>
          <w:numId w:val="28"/>
        </w:numPr>
        <w:tabs>
          <w:tab w:val="left" w:pos="1465"/>
        </w:tabs>
        <w:spacing w:before="84" w:line="307" w:lineRule="auto"/>
        <w:ind w:left="384" w:right="466" w:firstLine="480"/>
        <w:rPr>
          <w:sz w:val="24"/>
        </w:rPr>
      </w:pPr>
      <w:r>
        <w:rPr>
          <w:rFonts w:hint="eastAsia"/>
          <w:sz w:val="24"/>
        </w:rPr>
        <w:t>在对发包人以前所付的全部款额和发包人根据合同规定应得的全部款项</w:t>
      </w:r>
      <w:r>
        <w:rPr>
          <w:rFonts w:hint="eastAsia"/>
          <w:spacing w:val="-5"/>
          <w:sz w:val="24"/>
        </w:rPr>
        <w:t>予以确认后，发包人欠承包人或承包人欠发包人的差额；</w:t>
      </w:r>
    </w:p>
    <w:p>
      <w:pPr>
        <w:pStyle w:val="20"/>
        <w:numPr>
          <w:ilvl w:val="0"/>
          <w:numId w:val="28"/>
        </w:numPr>
        <w:tabs>
          <w:tab w:val="left" w:pos="1465"/>
        </w:tabs>
        <w:spacing w:line="307" w:lineRule="auto"/>
        <w:ind w:left="384" w:right="466" w:firstLine="480"/>
        <w:jc w:val="both"/>
        <w:rPr>
          <w:sz w:val="24"/>
        </w:rPr>
      </w:pPr>
      <w:r>
        <w:rPr>
          <w:rFonts w:hint="eastAsia"/>
          <w:spacing w:val="-5"/>
          <w:sz w:val="24"/>
        </w:rPr>
        <w:t>工程进度付款的修正，在对以往历次已签发的进度付款证书进行汇总和审核中发现错、漏或重复的，监理人有权修正，承包人也有权提出修正申请。经双</w:t>
      </w:r>
      <w:r>
        <w:rPr>
          <w:rFonts w:hint="eastAsia"/>
          <w:spacing w:val="-4"/>
          <w:sz w:val="24"/>
        </w:rPr>
        <w:t>方复核同意的修正，应在本次进度付款中支付或扣除。</w:t>
      </w:r>
    </w:p>
    <w:p>
      <w:pPr>
        <w:pStyle w:val="20"/>
        <w:numPr>
          <w:ilvl w:val="4"/>
          <w:numId w:val="5"/>
        </w:numPr>
        <w:tabs>
          <w:tab w:val="left" w:pos="1524"/>
        </w:tabs>
        <w:spacing w:line="303" w:lineRule="exact"/>
        <w:ind w:left="1524" w:hanging="660"/>
        <w:jc w:val="both"/>
        <w:rPr>
          <w:sz w:val="24"/>
        </w:rPr>
      </w:pPr>
      <w:r>
        <w:rPr>
          <w:rFonts w:hint="eastAsia"/>
          <w:sz w:val="24"/>
        </w:rPr>
        <w:t>质量保证金</w:t>
      </w:r>
    </w:p>
    <w:p>
      <w:pPr>
        <w:pStyle w:val="20"/>
        <w:numPr>
          <w:ilvl w:val="0"/>
          <w:numId w:val="29"/>
        </w:numPr>
        <w:tabs>
          <w:tab w:val="left" w:pos="1468"/>
        </w:tabs>
        <w:spacing w:before="81" w:line="304" w:lineRule="auto"/>
        <w:ind w:right="465" w:firstLine="480"/>
        <w:jc w:val="both"/>
        <w:rPr>
          <w:sz w:val="24"/>
        </w:rPr>
      </w:pPr>
      <w:r>
        <w:rPr>
          <w:rFonts w:hint="eastAsia"/>
          <w:spacing w:val="-5"/>
          <w:sz w:val="24"/>
        </w:rPr>
        <w:t xml:space="preserve">交工验收证书签发后 </w:t>
      </w:r>
      <w:r>
        <w:rPr>
          <w:rFonts w:hint="eastAsia"/>
          <w:sz w:val="24"/>
        </w:rPr>
        <w:t>14</w:t>
      </w:r>
      <w:r>
        <w:rPr>
          <w:rFonts w:hint="eastAsia"/>
          <w:spacing w:val="11"/>
          <w:sz w:val="24"/>
        </w:rPr>
        <w:t xml:space="preserve"> </w:t>
      </w:r>
      <w:r>
        <w:rPr>
          <w:rFonts w:hint="eastAsia"/>
          <w:spacing w:val="-1"/>
          <w:sz w:val="24"/>
        </w:rPr>
        <w:t>天内，承包人应向发包人缴纳质量保证金。质量保证金可采用银行保函或现金、支票形式，金额应符合项目专用合同条款数据表的规定。采用银行保函时，出具保函的银行须具有相应担保能力，且按照发包人批准</w:t>
      </w:r>
      <w:r>
        <w:rPr>
          <w:rFonts w:hint="eastAsia"/>
          <w:sz w:val="24"/>
        </w:rPr>
        <w:t>的格式出具，所需费用由承包人承担。</w:t>
      </w:r>
    </w:p>
    <w:p>
      <w:pPr>
        <w:pStyle w:val="10"/>
        <w:spacing w:before="8" w:line="304" w:lineRule="auto"/>
        <w:ind w:left="384" w:right="465" w:firstLine="480"/>
      </w:pPr>
      <w:r>
        <w:rPr>
          <w:rFonts w:hint="eastAsia"/>
        </w:rPr>
        <w:t>质量保证金采用现金、支票形式提交的，发包人应在项目专用合同条款数据表中明确是否计付利息以及利息的计算方式。</w:t>
      </w:r>
    </w:p>
    <w:p>
      <w:pPr>
        <w:pStyle w:val="20"/>
        <w:numPr>
          <w:ilvl w:val="0"/>
          <w:numId w:val="29"/>
        </w:numPr>
        <w:tabs>
          <w:tab w:val="left" w:pos="1465"/>
        </w:tabs>
        <w:spacing w:before="1" w:line="304" w:lineRule="auto"/>
        <w:ind w:right="466" w:firstLine="480"/>
        <w:jc w:val="both"/>
        <w:rPr>
          <w:sz w:val="24"/>
        </w:rPr>
      </w:pPr>
      <w:r>
        <w:rPr>
          <w:rFonts w:hint="eastAsia"/>
          <w:spacing w:val="-5"/>
          <w:sz w:val="24"/>
        </w:rPr>
        <w:t xml:space="preserve">在缺陷责任期满，且质量监督机构已按规定对工程质量检测鉴定合格， </w:t>
      </w:r>
      <w:r>
        <w:rPr>
          <w:rFonts w:hint="eastAsia"/>
          <w:spacing w:val="-10"/>
          <w:sz w:val="24"/>
        </w:rPr>
        <w:t xml:space="preserve">承包人向发包人申请到期应返还承包人剩余的质量保证金金额，发包人应在 </w:t>
      </w:r>
      <w:r>
        <w:rPr>
          <w:rFonts w:hint="eastAsia"/>
          <w:sz w:val="24"/>
        </w:rPr>
        <w:t>14 天内</w:t>
      </w:r>
      <w:r>
        <w:rPr>
          <w:rFonts w:hint="eastAsia"/>
          <w:spacing w:val="-5"/>
          <w:sz w:val="24"/>
        </w:rPr>
        <w:t>会同承包人按照合同约定的内容核实承包人是否完成缺陷责任。如无异议，发包人</w:t>
      </w:r>
      <w:r>
        <w:rPr>
          <w:rFonts w:hint="eastAsia"/>
          <w:spacing w:val="-4"/>
          <w:sz w:val="24"/>
        </w:rPr>
        <w:t>应当在核实后将剩余的质量保证金返还承包人。</w:t>
      </w:r>
    </w:p>
    <w:p>
      <w:pPr>
        <w:pStyle w:val="20"/>
        <w:numPr>
          <w:ilvl w:val="0"/>
          <w:numId w:val="29"/>
        </w:numPr>
        <w:tabs>
          <w:tab w:val="left" w:pos="1465"/>
        </w:tabs>
        <w:spacing w:before="7" w:line="304" w:lineRule="auto"/>
        <w:ind w:right="466" w:firstLine="480"/>
        <w:jc w:val="both"/>
        <w:rPr>
          <w:sz w:val="24"/>
        </w:rPr>
      </w:pPr>
      <w:r>
        <w:rPr>
          <w:rFonts w:hint="eastAsia"/>
          <w:spacing w:val="-6"/>
          <w:sz w:val="24"/>
        </w:rPr>
        <w:t>在缺陷责任期满时，承包人没有完成缺陷责任的，发包人有权扣留与未</w:t>
      </w:r>
      <w:r>
        <w:rPr>
          <w:rFonts w:hint="eastAsia"/>
          <w:spacing w:val="-8"/>
          <w:sz w:val="24"/>
        </w:rPr>
        <w:t xml:space="preserve">履行责任剩余工作所需金额相应的质量保证金余额，并有权根据第 </w:t>
      </w:r>
      <w:r>
        <w:rPr>
          <w:rFonts w:hint="eastAsia"/>
          <w:sz w:val="24"/>
        </w:rPr>
        <w:t>21.4 款约定要求</w:t>
      </w:r>
      <w:r>
        <w:rPr>
          <w:rFonts w:hint="eastAsia"/>
          <w:spacing w:val="-5"/>
          <w:sz w:val="24"/>
        </w:rPr>
        <w:t>延长缺陷责任期，直至完成剩余工作为止。</w:t>
      </w:r>
    </w:p>
    <w:p>
      <w:pPr>
        <w:pStyle w:val="10"/>
        <w:spacing w:before="175"/>
        <w:ind w:left="703"/>
      </w:pPr>
      <w:r>
        <w:rPr>
          <w:rFonts w:hint="eastAsia"/>
        </w:rPr>
        <w:t>七、试验和检验</w:t>
      </w:r>
    </w:p>
    <w:p>
      <w:pPr>
        <w:pStyle w:val="10"/>
        <w:rPr>
          <w:sz w:val="20"/>
        </w:rPr>
      </w:pPr>
    </w:p>
    <w:p>
      <w:pPr>
        <w:pStyle w:val="20"/>
        <w:numPr>
          <w:ilvl w:val="3"/>
          <w:numId w:val="5"/>
        </w:numPr>
        <w:tabs>
          <w:tab w:val="left" w:pos="1244"/>
        </w:tabs>
        <w:spacing w:before="1"/>
        <w:ind w:left="1243" w:hanging="421"/>
        <w:jc w:val="both"/>
        <w:rPr>
          <w:sz w:val="24"/>
        </w:rPr>
      </w:pPr>
      <w:r>
        <w:rPr>
          <w:rFonts w:hint="eastAsia"/>
          <w:sz w:val="24"/>
        </w:rPr>
        <w:t>试验和检验</w:t>
      </w:r>
    </w:p>
    <w:p>
      <w:pPr>
        <w:pStyle w:val="10"/>
        <w:spacing w:before="4"/>
        <w:rPr>
          <w:sz w:val="20"/>
        </w:rPr>
      </w:pPr>
    </w:p>
    <w:p>
      <w:pPr>
        <w:pStyle w:val="20"/>
        <w:numPr>
          <w:ilvl w:val="4"/>
          <w:numId w:val="5"/>
        </w:numPr>
        <w:tabs>
          <w:tab w:val="left" w:pos="1524"/>
        </w:tabs>
        <w:spacing w:before="1"/>
        <w:ind w:left="1524" w:hanging="660"/>
        <w:jc w:val="both"/>
        <w:rPr>
          <w:sz w:val="24"/>
        </w:rPr>
      </w:pPr>
      <w:r>
        <w:rPr>
          <w:rFonts w:hint="eastAsia"/>
          <w:sz w:val="24"/>
        </w:rPr>
        <w:t>材料、工程设备和工程的试验和检验</w:t>
      </w:r>
    </w:p>
    <w:p>
      <w:pPr>
        <w:pStyle w:val="20"/>
        <w:numPr>
          <w:ilvl w:val="0"/>
          <w:numId w:val="30"/>
        </w:numPr>
        <w:tabs>
          <w:tab w:val="left" w:pos="1465"/>
        </w:tabs>
        <w:spacing w:before="83" w:line="304" w:lineRule="auto"/>
        <w:ind w:right="466" w:firstLine="480"/>
        <w:jc w:val="both"/>
        <w:rPr>
          <w:sz w:val="24"/>
        </w:rPr>
      </w:pPr>
      <w:r>
        <w:rPr>
          <w:rFonts w:hint="eastAsia"/>
          <w:spacing w:val="-3"/>
          <w:sz w:val="24"/>
        </w:rPr>
        <w:t>承包人应按合同约定进行材料、工程设备和工程的试验和检验，并为监</w:t>
      </w:r>
      <w:r>
        <w:rPr>
          <w:rFonts w:hint="eastAsia"/>
          <w:spacing w:val="-5"/>
          <w:sz w:val="24"/>
        </w:rPr>
        <w:t>理人对上述材料、工程设备和工程的质量检查提供必要的试验资料和原始记录。按</w:t>
      </w:r>
      <w:r>
        <w:rPr>
          <w:rFonts w:hint="eastAsia"/>
          <w:spacing w:val="-4"/>
          <w:sz w:val="24"/>
        </w:rPr>
        <w:t>合同约定应由监理人与承包人共同进行试验和检验的，由承包人负责提供必要的试验资料和原始记录；</w:t>
      </w:r>
    </w:p>
    <w:p>
      <w:pPr>
        <w:spacing w:line="304" w:lineRule="auto"/>
        <w:jc w:val="both"/>
        <w:rPr>
          <w:sz w:val="24"/>
        </w:rPr>
        <w:sectPr>
          <w:pgSz w:w="11910" w:h="16840"/>
          <w:pgMar w:top="1360" w:right="1120" w:bottom="1080" w:left="1260" w:header="882" w:footer="880" w:gutter="0"/>
          <w:cols w:space="720" w:num="1"/>
        </w:sectPr>
      </w:pPr>
    </w:p>
    <w:p>
      <w:pPr>
        <w:pStyle w:val="10"/>
        <w:spacing w:before="5"/>
        <w:rPr>
          <w:sz w:val="17"/>
        </w:rPr>
      </w:pPr>
    </w:p>
    <w:p>
      <w:pPr>
        <w:pStyle w:val="20"/>
        <w:numPr>
          <w:ilvl w:val="0"/>
          <w:numId w:val="30"/>
        </w:numPr>
        <w:tabs>
          <w:tab w:val="left" w:pos="1465"/>
        </w:tabs>
        <w:spacing w:before="74" w:line="304" w:lineRule="auto"/>
        <w:ind w:right="346" w:firstLine="480"/>
        <w:rPr>
          <w:sz w:val="24"/>
        </w:rPr>
      </w:pPr>
      <w:r>
        <w:rPr>
          <w:rFonts w:hint="eastAsia"/>
          <w:spacing w:val="-3"/>
          <w:sz w:val="24"/>
        </w:rPr>
        <w:t>监理人未按合同约定派员参加试验和检验的，除监理人另有指示外，承包</w:t>
      </w:r>
      <w:r>
        <w:rPr>
          <w:rFonts w:hint="eastAsia"/>
          <w:spacing w:val="-11"/>
          <w:sz w:val="24"/>
        </w:rPr>
        <w:t>人可自行试验和检验，并应立即将试验和检验结果报送监理人，监理人应签字确认；</w:t>
      </w:r>
    </w:p>
    <w:p>
      <w:pPr>
        <w:pStyle w:val="20"/>
        <w:numPr>
          <w:ilvl w:val="0"/>
          <w:numId w:val="30"/>
        </w:numPr>
        <w:tabs>
          <w:tab w:val="left" w:pos="1465"/>
        </w:tabs>
        <w:spacing w:before="4" w:line="304" w:lineRule="auto"/>
        <w:ind w:right="466" w:firstLine="480"/>
        <w:jc w:val="both"/>
        <w:rPr>
          <w:sz w:val="24"/>
        </w:rPr>
      </w:pPr>
      <w:r>
        <w:rPr>
          <w:rFonts w:hint="eastAsia"/>
          <w:spacing w:val="-3"/>
          <w:sz w:val="24"/>
        </w:rPr>
        <w:t>监理人对承包人的试验和检验结果有疑问的，或为查清承包人试验和检</w:t>
      </w:r>
      <w:r>
        <w:rPr>
          <w:rFonts w:hint="eastAsia"/>
          <w:spacing w:val="-5"/>
          <w:sz w:val="24"/>
        </w:rPr>
        <w:t>验成果的可靠性要求承包人重新试验和检验的，可按合同约定由监理人与承包人共</w:t>
      </w:r>
      <w:r>
        <w:rPr>
          <w:rFonts w:hint="eastAsia"/>
          <w:spacing w:val="-4"/>
          <w:sz w:val="24"/>
        </w:rPr>
        <w:t>同进行。重新试验和检验的结果证明该项材料、工程设备或工程的质量不符合合同</w:t>
      </w:r>
      <w:r>
        <w:rPr>
          <w:rFonts w:hint="eastAsia"/>
          <w:spacing w:val="-2"/>
          <w:sz w:val="24"/>
        </w:rPr>
        <w:t>要求的，由此增加的费用和</w:t>
      </w:r>
      <w:r>
        <w:rPr>
          <w:rFonts w:hint="eastAsia"/>
          <w:sz w:val="24"/>
        </w:rPr>
        <w:t>(</w:t>
      </w:r>
      <w:r>
        <w:rPr>
          <w:rFonts w:hint="eastAsia"/>
          <w:spacing w:val="4"/>
          <w:sz w:val="24"/>
        </w:rPr>
        <w:t>或</w:t>
      </w:r>
      <w:r>
        <w:rPr>
          <w:rFonts w:hint="eastAsia"/>
          <w:sz w:val="24"/>
        </w:rPr>
        <w:t>)工期延误由承包人承担；重新试验和检验结果证明该项材料、工程设备和工程符合合同要求，由发包人承担由此增加的费用和</w:t>
      </w:r>
      <w:r>
        <w:rPr>
          <w:rFonts w:hint="eastAsia"/>
          <w:spacing w:val="4"/>
          <w:sz w:val="24"/>
        </w:rPr>
        <w:t>(</w:t>
      </w:r>
      <w:r>
        <w:rPr>
          <w:rFonts w:hint="eastAsia"/>
          <w:sz w:val="24"/>
        </w:rPr>
        <w:t>或</w:t>
      </w:r>
      <w:r>
        <w:rPr>
          <w:rFonts w:hint="eastAsia"/>
          <w:spacing w:val="4"/>
          <w:sz w:val="24"/>
        </w:rPr>
        <w:t>)</w:t>
      </w:r>
      <w:r>
        <w:rPr>
          <w:rFonts w:hint="eastAsia"/>
          <w:sz w:val="24"/>
        </w:rPr>
        <w:t>工期延误，并支付承包人合理利润。</w:t>
      </w:r>
    </w:p>
    <w:p>
      <w:pPr>
        <w:pStyle w:val="20"/>
        <w:numPr>
          <w:ilvl w:val="4"/>
          <w:numId w:val="5"/>
        </w:numPr>
        <w:tabs>
          <w:tab w:val="left" w:pos="1524"/>
        </w:tabs>
        <w:spacing w:before="9"/>
        <w:ind w:left="1524" w:hanging="660"/>
        <w:jc w:val="both"/>
        <w:rPr>
          <w:sz w:val="24"/>
        </w:rPr>
      </w:pPr>
      <w:r>
        <w:rPr>
          <w:rFonts w:hint="eastAsia"/>
          <w:sz w:val="24"/>
        </w:rPr>
        <w:t>现场材料试验</w:t>
      </w:r>
    </w:p>
    <w:p>
      <w:pPr>
        <w:pStyle w:val="20"/>
        <w:numPr>
          <w:ilvl w:val="0"/>
          <w:numId w:val="31"/>
        </w:numPr>
        <w:tabs>
          <w:tab w:val="left" w:pos="1465"/>
        </w:tabs>
        <w:spacing w:before="83" w:line="304" w:lineRule="auto"/>
        <w:ind w:right="466" w:firstLine="480"/>
        <w:rPr>
          <w:sz w:val="24"/>
        </w:rPr>
      </w:pPr>
      <w:r>
        <w:rPr>
          <w:rFonts w:hint="eastAsia"/>
          <w:spacing w:val="-2"/>
          <w:sz w:val="24"/>
        </w:rPr>
        <w:t>承包人根据合同约定或监理人指示进行的现场材料试验，应由承包人提</w:t>
      </w:r>
      <w:r>
        <w:rPr>
          <w:rFonts w:hint="eastAsia"/>
          <w:spacing w:val="-5"/>
          <w:sz w:val="24"/>
        </w:rPr>
        <w:t>供试验场所、试验人员、试验设备器材以及其他必要的试验条件；</w:t>
      </w:r>
    </w:p>
    <w:p>
      <w:pPr>
        <w:pStyle w:val="20"/>
        <w:numPr>
          <w:ilvl w:val="0"/>
          <w:numId w:val="31"/>
        </w:numPr>
        <w:tabs>
          <w:tab w:val="left" w:pos="1465"/>
        </w:tabs>
        <w:spacing w:before="4" w:line="304" w:lineRule="auto"/>
        <w:ind w:right="466" w:firstLine="480"/>
        <w:rPr>
          <w:sz w:val="24"/>
        </w:rPr>
      </w:pPr>
      <w:r>
        <w:rPr>
          <w:rFonts w:hint="eastAsia"/>
          <w:spacing w:val="-3"/>
          <w:sz w:val="24"/>
        </w:rPr>
        <w:t>监理人在必要时可以使用承包人的试验场所、试验设备器材以及其他试</w:t>
      </w:r>
      <w:r>
        <w:rPr>
          <w:rFonts w:hint="eastAsia"/>
          <w:spacing w:val="-5"/>
          <w:sz w:val="24"/>
        </w:rPr>
        <w:t>验条件，进行以工程质量检查为目的的复核性材料试验，承包人应予以协助。</w:t>
      </w:r>
    </w:p>
    <w:p>
      <w:pPr>
        <w:pStyle w:val="20"/>
        <w:numPr>
          <w:ilvl w:val="4"/>
          <w:numId w:val="5"/>
        </w:numPr>
        <w:tabs>
          <w:tab w:val="left" w:pos="1344"/>
        </w:tabs>
        <w:spacing w:before="1"/>
        <w:ind w:left="1344" w:hanging="480"/>
        <w:rPr>
          <w:sz w:val="24"/>
        </w:rPr>
      </w:pPr>
      <w:r>
        <w:rPr>
          <w:rFonts w:hint="eastAsia"/>
          <w:sz w:val="24"/>
        </w:rPr>
        <w:t>承包人采购材料设备</w:t>
      </w:r>
    </w:p>
    <w:p>
      <w:pPr>
        <w:pStyle w:val="20"/>
        <w:numPr>
          <w:ilvl w:val="0"/>
          <w:numId w:val="32"/>
        </w:numPr>
        <w:tabs>
          <w:tab w:val="left" w:pos="1465"/>
        </w:tabs>
        <w:spacing w:before="86" w:line="304" w:lineRule="auto"/>
        <w:ind w:right="466" w:firstLine="480"/>
        <w:rPr>
          <w:sz w:val="24"/>
        </w:rPr>
      </w:pPr>
      <w:r>
        <w:rPr>
          <w:rFonts w:hint="eastAsia"/>
          <w:spacing w:val="-5"/>
          <w:sz w:val="24"/>
        </w:rPr>
        <w:t>除合同另有规定外，为完成本合同各项工作所需的材料和工程设备，均由承包人负责采购、验收、运输和保管；</w:t>
      </w:r>
    </w:p>
    <w:p>
      <w:pPr>
        <w:pStyle w:val="20"/>
        <w:numPr>
          <w:ilvl w:val="0"/>
          <w:numId w:val="32"/>
        </w:numPr>
        <w:tabs>
          <w:tab w:val="left" w:pos="1465"/>
        </w:tabs>
        <w:spacing w:before="2"/>
        <w:ind w:left="1465"/>
        <w:rPr>
          <w:sz w:val="24"/>
        </w:rPr>
      </w:pPr>
      <w:r>
        <w:rPr>
          <w:rFonts w:hint="eastAsia"/>
          <w:sz w:val="24"/>
        </w:rPr>
        <w:t>承包人与供货厂家的供货协议一经签订，应将一份副本提交监理人。</w:t>
      </w:r>
    </w:p>
    <w:p>
      <w:pPr>
        <w:pStyle w:val="20"/>
        <w:numPr>
          <w:ilvl w:val="4"/>
          <w:numId w:val="5"/>
        </w:numPr>
        <w:tabs>
          <w:tab w:val="left" w:pos="1528"/>
          <w:tab w:val="left" w:pos="1529"/>
        </w:tabs>
        <w:spacing w:before="86" w:line="304" w:lineRule="auto"/>
        <w:ind w:left="384" w:right="466" w:firstLine="480"/>
        <w:rPr>
          <w:sz w:val="24"/>
        </w:rPr>
      </w:pPr>
      <w:r>
        <w:rPr>
          <w:rFonts w:hint="eastAsia"/>
          <w:sz w:val="24"/>
        </w:rPr>
        <w:t>进场材料、设备必须符合合同规定，并经监理人认可。不合格的材料、设备应立即搬运出施工场地，不得用于本合同工程。</w:t>
      </w:r>
    </w:p>
    <w:p>
      <w:pPr>
        <w:pStyle w:val="10"/>
        <w:spacing w:before="174"/>
        <w:ind w:left="583"/>
      </w:pPr>
      <w:r>
        <w:rPr>
          <w:rFonts w:hint="eastAsia"/>
        </w:rPr>
        <w:t>八、工程变更</w:t>
      </w:r>
    </w:p>
    <w:p>
      <w:pPr>
        <w:pStyle w:val="10"/>
        <w:spacing w:before="11"/>
        <w:rPr>
          <w:sz w:val="19"/>
        </w:rPr>
      </w:pPr>
    </w:p>
    <w:p>
      <w:pPr>
        <w:pStyle w:val="20"/>
        <w:numPr>
          <w:ilvl w:val="3"/>
          <w:numId w:val="5"/>
        </w:numPr>
        <w:tabs>
          <w:tab w:val="left" w:pos="925"/>
        </w:tabs>
        <w:ind w:left="925" w:hanging="301"/>
        <w:jc w:val="left"/>
        <w:rPr>
          <w:sz w:val="24"/>
        </w:rPr>
      </w:pPr>
      <w:r>
        <w:rPr>
          <w:rFonts w:hint="eastAsia"/>
          <w:sz w:val="24"/>
        </w:rPr>
        <w:t>工程数量及价格的变更</w:t>
      </w:r>
    </w:p>
    <w:p>
      <w:pPr>
        <w:pStyle w:val="10"/>
        <w:spacing w:before="7"/>
        <w:rPr>
          <w:sz w:val="20"/>
        </w:rPr>
      </w:pPr>
    </w:p>
    <w:p>
      <w:pPr>
        <w:pStyle w:val="20"/>
        <w:numPr>
          <w:ilvl w:val="4"/>
          <w:numId w:val="5"/>
        </w:numPr>
        <w:tabs>
          <w:tab w:val="left" w:pos="1528"/>
          <w:tab w:val="left" w:pos="1529"/>
        </w:tabs>
        <w:spacing w:line="304" w:lineRule="auto"/>
        <w:ind w:left="384" w:right="467" w:firstLine="480"/>
        <w:rPr>
          <w:sz w:val="24"/>
        </w:rPr>
      </w:pPr>
      <w:r>
        <w:rPr>
          <w:rFonts w:hint="eastAsia"/>
          <w:sz w:val="24"/>
        </w:rPr>
        <w:t>发包人或监理人如认为有必要时，可根据规定对本合同工程中任何部分的结构形式、质量、等级或数量作出变更，包括：</w:t>
      </w:r>
    </w:p>
    <w:p>
      <w:pPr>
        <w:pStyle w:val="20"/>
        <w:numPr>
          <w:ilvl w:val="0"/>
          <w:numId w:val="33"/>
        </w:numPr>
        <w:tabs>
          <w:tab w:val="left" w:pos="1465"/>
        </w:tabs>
        <w:spacing w:before="2"/>
        <w:rPr>
          <w:sz w:val="24"/>
        </w:rPr>
      </w:pPr>
      <w:r>
        <w:rPr>
          <w:rFonts w:hint="eastAsia"/>
          <w:sz w:val="24"/>
        </w:rPr>
        <w:t>增加或减少本合同中的任何工程的数量；</w:t>
      </w:r>
    </w:p>
    <w:p>
      <w:pPr>
        <w:pStyle w:val="20"/>
        <w:numPr>
          <w:ilvl w:val="0"/>
          <w:numId w:val="33"/>
        </w:numPr>
        <w:tabs>
          <w:tab w:val="left" w:pos="1465"/>
        </w:tabs>
        <w:spacing w:before="86" w:line="304" w:lineRule="auto"/>
        <w:ind w:left="384" w:right="466" w:firstLine="480"/>
        <w:rPr>
          <w:sz w:val="24"/>
        </w:rPr>
      </w:pPr>
      <w:r>
        <w:rPr>
          <w:rFonts w:hint="eastAsia"/>
          <w:spacing w:val="-4"/>
          <w:sz w:val="24"/>
        </w:rPr>
        <w:t>取消合同中的任何单项工程，但被取消的工程不能转由发包人或其他人</w:t>
      </w:r>
      <w:r>
        <w:rPr>
          <w:rFonts w:hint="eastAsia"/>
          <w:spacing w:val="-5"/>
          <w:sz w:val="24"/>
        </w:rPr>
        <w:t>实施，由于承包人违约造成的情况除外；</w:t>
      </w:r>
    </w:p>
    <w:p>
      <w:pPr>
        <w:pStyle w:val="20"/>
        <w:numPr>
          <w:ilvl w:val="0"/>
          <w:numId w:val="33"/>
        </w:numPr>
        <w:tabs>
          <w:tab w:val="left" w:pos="1465"/>
        </w:tabs>
        <w:spacing w:before="1"/>
        <w:rPr>
          <w:sz w:val="24"/>
        </w:rPr>
      </w:pPr>
      <w:r>
        <w:rPr>
          <w:rFonts w:hint="eastAsia"/>
          <w:sz w:val="24"/>
        </w:rPr>
        <w:t>改变合同中的任何一项工作的质量或其他特性；</w:t>
      </w:r>
    </w:p>
    <w:p>
      <w:pPr>
        <w:pStyle w:val="20"/>
        <w:numPr>
          <w:ilvl w:val="0"/>
          <w:numId w:val="33"/>
        </w:numPr>
        <w:tabs>
          <w:tab w:val="left" w:pos="1465"/>
        </w:tabs>
        <w:spacing w:before="86"/>
        <w:rPr>
          <w:sz w:val="24"/>
        </w:rPr>
      </w:pPr>
      <w:r>
        <w:rPr>
          <w:rFonts w:hint="eastAsia"/>
          <w:sz w:val="24"/>
        </w:rPr>
        <w:t>改变本工程任何部分的标高、基线、位置或尺寸；</w:t>
      </w:r>
    </w:p>
    <w:p>
      <w:pPr>
        <w:pStyle w:val="20"/>
        <w:numPr>
          <w:ilvl w:val="0"/>
          <w:numId w:val="33"/>
        </w:numPr>
        <w:tabs>
          <w:tab w:val="left" w:pos="1465"/>
        </w:tabs>
        <w:spacing w:before="84"/>
        <w:rPr>
          <w:sz w:val="24"/>
        </w:rPr>
      </w:pPr>
      <w:r>
        <w:rPr>
          <w:rFonts w:hint="eastAsia"/>
          <w:sz w:val="24"/>
        </w:rPr>
        <w:t>改变合同中任何一项工作的施工时间或改变已批准的施工工艺或顺序；</w:t>
      </w:r>
    </w:p>
    <w:p>
      <w:pPr>
        <w:pStyle w:val="20"/>
        <w:numPr>
          <w:ilvl w:val="0"/>
          <w:numId w:val="33"/>
        </w:numPr>
        <w:tabs>
          <w:tab w:val="left" w:pos="1465"/>
        </w:tabs>
        <w:spacing w:before="83"/>
        <w:rPr>
          <w:sz w:val="24"/>
        </w:rPr>
      </w:pPr>
      <w:r>
        <w:rPr>
          <w:rFonts w:hint="eastAsia"/>
          <w:sz w:val="24"/>
        </w:rPr>
        <w:t>完成本工程需要追加的额外工作。</w:t>
      </w:r>
    </w:p>
    <w:p>
      <w:pPr>
        <w:pStyle w:val="20"/>
        <w:numPr>
          <w:ilvl w:val="4"/>
          <w:numId w:val="5"/>
        </w:numPr>
        <w:tabs>
          <w:tab w:val="left" w:pos="1523"/>
          <w:tab w:val="left" w:pos="1524"/>
        </w:tabs>
        <w:spacing w:before="87"/>
        <w:ind w:left="1524" w:hanging="660"/>
        <w:rPr>
          <w:sz w:val="24"/>
        </w:rPr>
      </w:pPr>
      <w:r>
        <w:rPr>
          <w:rFonts w:hint="eastAsia"/>
          <w:sz w:val="24"/>
        </w:rPr>
        <w:t>价格调整</w:t>
      </w:r>
    </w:p>
    <w:p>
      <w:pPr>
        <w:rPr>
          <w:sz w:val="24"/>
        </w:rPr>
        <w:sectPr>
          <w:pgSz w:w="11910" w:h="16840"/>
          <w:pgMar w:top="1360" w:right="1120" w:bottom="1080" w:left="1260" w:header="882" w:footer="880" w:gutter="0"/>
          <w:cols w:space="720" w:num="1"/>
        </w:sectPr>
      </w:pPr>
    </w:p>
    <w:p>
      <w:pPr>
        <w:pStyle w:val="10"/>
        <w:rPr>
          <w:sz w:val="18"/>
        </w:rPr>
      </w:pPr>
    </w:p>
    <w:p>
      <w:pPr>
        <w:pStyle w:val="10"/>
        <w:spacing w:before="66" w:line="307" w:lineRule="auto"/>
        <w:ind w:left="384" w:right="465" w:firstLine="480"/>
        <w:jc w:val="both"/>
      </w:pPr>
      <w:r>
        <w:rPr>
          <w:rFonts w:hint="eastAsia"/>
        </w:rPr>
        <w:t>在合同实施期间，投标人填写的单价、合价和总额价不会由于物价波动进行价格调整；由于法律变化引起的价格调整，监理人应根据法律、国家或自治区有关部门的规定，商定确定需调整的合同价款。</w:t>
      </w:r>
    </w:p>
    <w:p>
      <w:pPr>
        <w:pStyle w:val="20"/>
        <w:numPr>
          <w:ilvl w:val="4"/>
          <w:numId w:val="5"/>
        </w:numPr>
        <w:tabs>
          <w:tab w:val="left" w:pos="1529"/>
        </w:tabs>
        <w:spacing w:line="304" w:lineRule="auto"/>
        <w:ind w:left="384" w:right="467" w:firstLine="480"/>
        <w:jc w:val="both"/>
        <w:rPr>
          <w:sz w:val="24"/>
        </w:rPr>
      </w:pPr>
      <w:r>
        <w:rPr>
          <w:rFonts w:hint="eastAsia"/>
          <w:sz w:val="24"/>
        </w:rPr>
        <w:t>如果发出本工程的变更指令是因承包人过错，承包人违反合同或因承包人责任造成的，则这种违约引起的任何额外费用应由承包人承担。</w:t>
      </w:r>
    </w:p>
    <w:p>
      <w:pPr>
        <w:pStyle w:val="20"/>
        <w:numPr>
          <w:ilvl w:val="4"/>
          <w:numId w:val="5"/>
        </w:numPr>
        <w:tabs>
          <w:tab w:val="left" w:pos="1529"/>
        </w:tabs>
        <w:spacing w:line="304" w:lineRule="auto"/>
        <w:ind w:left="384" w:right="465" w:firstLine="480"/>
        <w:jc w:val="both"/>
        <w:rPr>
          <w:sz w:val="24"/>
        </w:rPr>
      </w:pPr>
      <w:r>
        <w:rPr>
          <w:rFonts w:hint="eastAsia"/>
          <w:sz w:val="24"/>
        </w:rPr>
        <w:t>没有监理人指令，承包人不得擅自变更。变更指令应说明变更的目的、</w:t>
      </w:r>
      <w:r>
        <w:rPr>
          <w:rFonts w:hint="eastAsia"/>
          <w:spacing w:val="-1"/>
          <w:sz w:val="24"/>
        </w:rPr>
        <w:t>范围、变更内容以及变更的工程量及其进度和技术要求，并附有关图纸和文件。承</w:t>
      </w:r>
      <w:r>
        <w:rPr>
          <w:rFonts w:hint="eastAsia"/>
          <w:sz w:val="24"/>
        </w:rPr>
        <w:t>包人收到变更指令后，应按变更指令进行变更工作。</w:t>
      </w:r>
    </w:p>
    <w:p>
      <w:pPr>
        <w:pStyle w:val="20"/>
        <w:numPr>
          <w:ilvl w:val="4"/>
          <w:numId w:val="5"/>
        </w:numPr>
        <w:tabs>
          <w:tab w:val="left" w:pos="1529"/>
        </w:tabs>
        <w:spacing w:before="4" w:line="304" w:lineRule="auto"/>
        <w:ind w:left="384" w:right="465" w:firstLine="480"/>
        <w:jc w:val="both"/>
        <w:rPr>
          <w:sz w:val="24"/>
        </w:rPr>
      </w:pPr>
      <w:r>
        <w:rPr>
          <w:rFonts w:hint="eastAsia"/>
          <w:sz w:val="24"/>
        </w:rPr>
        <w:t>变更工程的价格增加或减少额，应以已标价工程量清单中的单价或合计为依据。除专用合同条款另有约定外，因变更引起的价格调整按照以下约定处理。</w:t>
      </w:r>
    </w:p>
    <w:p>
      <w:pPr>
        <w:pStyle w:val="20"/>
        <w:numPr>
          <w:ilvl w:val="0"/>
          <w:numId w:val="34"/>
        </w:numPr>
        <w:tabs>
          <w:tab w:val="left" w:pos="1465"/>
        </w:tabs>
        <w:spacing w:before="18"/>
        <w:rPr>
          <w:sz w:val="24"/>
        </w:rPr>
      </w:pPr>
      <w:r>
        <w:rPr>
          <w:rFonts w:hint="eastAsia"/>
          <w:sz w:val="24"/>
        </w:rPr>
        <w:t>已标价工程量清单中有适用于变更工作的子目的，采用该子目的单价。</w:t>
      </w:r>
    </w:p>
    <w:p>
      <w:pPr>
        <w:pStyle w:val="20"/>
        <w:numPr>
          <w:ilvl w:val="0"/>
          <w:numId w:val="34"/>
        </w:numPr>
        <w:tabs>
          <w:tab w:val="left" w:pos="1465"/>
        </w:tabs>
        <w:spacing w:before="93" w:line="312" w:lineRule="auto"/>
        <w:ind w:left="384" w:right="466" w:firstLine="480"/>
        <w:rPr>
          <w:sz w:val="24"/>
        </w:rPr>
      </w:pPr>
      <w:r>
        <w:rPr>
          <w:rFonts w:hint="eastAsia"/>
          <w:spacing w:val="-3"/>
          <w:sz w:val="24"/>
        </w:rPr>
        <w:t>已标价工程量清单中无适用于变更工作的子目，但有类似子目的，可在</w:t>
      </w:r>
      <w:r>
        <w:rPr>
          <w:rFonts w:hint="eastAsia"/>
          <w:spacing w:val="-4"/>
          <w:sz w:val="24"/>
        </w:rPr>
        <w:t>合理范围内参照类似子目的单价，由监理人按商定或确定原则变更工作的单价。</w:t>
      </w:r>
    </w:p>
    <w:p>
      <w:pPr>
        <w:pStyle w:val="20"/>
        <w:numPr>
          <w:ilvl w:val="0"/>
          <w:numId w:val="34"/>
        </w:numPr>
        <w:tabs>
          <w:tab w:val="left" w:pos="1465"/>
        </w:tabs>
        <w:spacing w:line="290" w:lineRule="exact"/>
        <w:rPr>
          <w:sz w:val="24"/>
        </w:rPr>
      </w:pPr>
      <w:r>
        <w:rPr>
          <w:rFonts w:hint="eastAsia"/>
          <w:spacing w:val="-5"/>
          <w:sz w:val="24"/>
        </w:rPr>
        <w:t>已标价工程量清单中无适用或类似子目的单价，可按照成本加利润的原则，</w:t>
      </w:r>
    </w:p>
    <w:p>
      <w:pPr>
        <w:pStyle w:val="10"/>
        <w:spacing w:before="86" w:line="304" w:lineRule="auto"/>
        <w:ind w:left="384" w:right="465"/>
      </w:pPr>
      <w:r>
        <w:rPr>
          <w:rFonts w:hint="eastAsia"/>
        </w:rPr>
        <w:t>由监理人依据交通运输部或新疆交通运输厅的相关概算预算编制办法及定额编制编制单价，按商定或确定原则变更工作的单价。</w:t>
      </w:r>
    </w:p>
    <w:p>
      <w:pPr>
        <w:pStyle w:val="20"/>
        <w:numPr>
          <w:ilvl w:val="4"/>
          <w:numId w:val="5"/>
        </w:numPr>
        <w:tabs>
          <w:tab w:val="left" w:pos="1523"/>
          <w:tab w:val="left" w:pos="1524"/>
        </w:tabs>
        <w:spacing w:before="1"/>
        <w:ind w:left="1524" w:hanging="660"/>
        <w:rPr>
          <w:sz w:val="24"/>
        </w:rPr>
      </w:pPr>
      <w:r>
        <w:rPr>
          <w:rFonts w:hint="eastAsia"/>
          <w:sz w:val="24"/>
        </w:rPr>
        <w:t>暂列金额只能按监理人的批示使用，并对合同价款进行相应调整。</w:t>
      </w:r>
    </w:p>
    <w:p>
      <w:pPr>
        <w:pStyle w:val="20"/>
        <w:numPr>
          <w:ilvl w:val="4"/>
          <w:numId w:val="5"/>
        </w:numPr>
        <w:tabs>
          <w:tab w:val="left" w:pos="1523"/>
          <w:tab w:val="left" w:pos="1524"/>
        </w:tabs>
        <w:spacing w:before="87"/>
        <w:ind w:left="1524" w:hanging="660"/>
        <w:rPr>
          <w:sz w:val="24"/>
        </w:rPr>
      </w:pPr>
      <w:r>
        <w:rPr>
          <w:rFonts w:hint="eastAsia"/>
          <w:sz w:val="24"/>
        </w:rPr>
        <w:t>未经批准的设计变更，其费用不得进入决算。</w:t>
      </w:r>
    </w:p>
    <w:p>
      <w:pPr>
        <w:pStyle w:val="20"/>
        <w:numPr>
          <w:ilvl w:val="4"/>
          <w:numId w:val="5"/>
        </w:numPr>
        <w:tabs>
          <w:tab w:val="left" w:pos="1528"/>
          <w:tab w:val="left" w:pos="1529"/>
        </w:tabs>
        <w:spacing w:before="83" w:line="304" w:lineRule="auto"/>
        <w:ind w:left="384" w:right="467" w:firstLine="480"/>
        <w:rPr>
          <w:sz w:val="24"/>
        </w:rPr>
      </w:pPr>
      <w:r>
        <w:rPr>
          <w:rFonts w:hint="eastAsia"/>
          <w:sz w:val="24"/>
        </w:rPr>
        <w:t>变更类型及程序依照《新疆维吾尔自治区农村公路工程设计变更管理办法（试行）》的规定施行。</w:t>
      </w:r>
    </w:p>
    <w:p>
      <w:pPr>
        <w:pStyle w:val="10"/>
        <w:spacing w:before="174"/>
        <w:ind w:left="583"/>
      </w:pPr>
      <w:r>
        <w:rPr>
          <w:rFonts w:hint="eastAsia"/>
        </w:rPr>
        <w:t>九、缺陷责任</w:t>
      </w:r>
    </w:p>
    <w:p>
      <w:pPr>
        <w:pStyle w:val="10"/>
        <w:rPr>
          <w:sz w:val="20"/>
        </w:rPr>
      </w:pPr>
    </w:p>
    <w:p>
      <w:pPr>
        <w:pStyle w:val="20"/>
        <w:numPr>
          <w:ilvl w:val="3"/>
          <w:numId w:val="5"/>
        </w:numPr>
        <w:tabs>
          <w:tab w:val="left" w:pos="1244"/>
        </w:tabs>
        <w:spacing w:before="1"/>
        <w:ind w:left="1243" w:hanging="421"/>
        <w:jc w:val="left"/>
        <w:rPr>
          <w:sz w:val="24"/>
        </w:rPr>
      </w:pPr>
      <w:r>
        <w:rPr>
          <w:rFonts w:hint="eastAsia"/>
          <w:sz w:val="24"/>
        </w:rPr>
        <w:t>缺陷责任及修复</w:t>
      </w:r>
    </w:p>
    <w:p>
      <w:pPr>
        <w:pStyle w:val="10"/>
        <w:spacing w:before="4"/>
        <w:rPr>
          <w:sz w:val="20"/>
        </w:rPr>
      </w:pPr>
    </w:p>
    <w:p>
      <w:pPr>
        <w:pStyle w:val="20"/>
        <w:numPr>
          <w:ilvl w:val="4"/>
          <w:numId w:val="5"/>
        </w:numPr>
        <w:tabs>
          <w:tab w:val="left" w:pos="1529"/>
        </w:tabs>
        <w:spacing w:before="1" w:line="304" w:lineRule="auto"/>
        <w:ind w:left="384" w:right="467" w:firstLine="480"/>
        <w:jc w:val="both"/>
        <w:rPr>
          <w:sz w:val="24"/>
        </w:rPr>
      </w:pPr>
      <w:r>
        <w:rPr>
          <w:rFonts w:hint="eastAsia"/>
          <w:sz w:val="24"/>
        </w:rPr>
        <w:t>缺陷责任期从本合同工程交工证书签发之日起计算。承包人应在缺陷责任期内对已交付使用的工程承担缺陷责任。</w:t>
      </w:r>
    </w:p>
    <w:p>
      <w:pPr>
        <w:pStyle w:val="20"/>
        <w:numPr>
          <w:ilvl w:val="4"/>
          <w:numId w:val="5"/>
        </w:numPr>
        <w:tabs>
          <w:tab w:val="left" w:pos="1529"/>
        </w:tabs>
        <w:spacing w:before="3" w:line="304" w:lineRule="auto"/>
        <w:ind w:left="384" w:right="465" w:firstLine="480"/>
        <w:jc w:val="both"/>
        <w:rPr>
          <w:sz w:val="24"/>
        </w:rPr>
      </w:pPr>
      <w:r>
        <w:rPr>
          <w:rFonts w:hint="eastAsia"/>
          <w:sz w:val="24"/>
        </w:rPr>
        <w:t>在缺陷责任期满前，由发包人会同监理人在有关部门参加下，对工程进</w:t>
      </w:r>
      <w:r>
        <w:rPr>
          <w:rFonts w:hint="eastAsia"/>
          <w:spacing w:val="-1"/>
          <w:sz w:val="24"/>
        </w:rPr>
        <w:t>行一次全面核查，使本工程按合同所要求的条件，达到发包人和监理人认为合格的</w:t>
      </w:r>
      <w:r>
        <w:rPr>
          <w:rFonts w:hint="eastAsia"/>
          <w:sz w:val="24"/>
        </w:rPr>
        <w:t>程度。要求承包人：</w:t>
      </w:r>
    </w:p>
    <w:p>
      <w:pPr>
        <w:pStyle w:val="20"/>
        <w:numPr>
          <w:ilvl w:val="0"/>
          <w:numId w:val="35"/>
        </w:numPr>
        <w:tabs>
          <w:tab w:val="left" w:pos="1465"/>
        </w:tabs>
        <w:spacing w:before="5" w:line="304" w:lineRule="auto"/>
        <w:ind w:right="466" w:firstLine="480"/>
        <w:rPr>
          <w:sz w:val="24"/>
        </w:rPr>
      </w:pPr>
      <w:r>
        <w:rPr>
          <w:rFonts w:hint="eastAsia"/>
          <w:spacing w:val="-5"/>
          <w:sz w:val="24"/>
        </w:rPr>
        <w:t>在缺陷责任期内，尽快完成在交工证书中写明的未完工作，并完成对本工程缺陷的修复或监理人指令的修补工作；</w:t>
      </w:r>
    </w:p>
    <w:p>
      <w:pPr>
        <w:pStyle w:val="20"/>
        <w:numPr>
          <w:ilvl w:val="0"/>
          <w:numId w:val="35"/>
        </w:numPr>
        <w:tabs>
          <w:tab w:val="left" w:pos="1468"/>
        </w:tabs>
        <w:spacing w:before="1" w:line="304" w:lineRule="auto"/>
        <w:ind w:right="465" w:firstLine="480"/>
        <w:jc w:val="both"/>
        <w:rPr>
          <w:sz w:val="24"/>
        </w:rPr>
      </w:pPr>
      <w:r>
        <w:rPr>
          <w:rFonts w:hint="eastAsia"/>
          <w:spacing w:val="-5"/>
          <w:sz w:val="24"/>
        </w:rPr>
        <w:t xml:space="preserve">在缺陷责任期满后的 </w:t>
      </w:r>
      <w:r>
        <w:rPr>
          <w:rFonts w:hint="eastAsia"/>
          <w:sz w:val="24"/>
        </w:rPr>
        <w:t>14</w:t>
      </w:r>
      <w:r>
        <w:rPr>
          <w:rFonts w:hint="eastAsia"/>
          <w:spacing w:val="11"/>
          <w:sz w:val="24"/>
        </w:rPr>
        <w:t xml:space="preserve"> </w:t>
      </w:r>
      <w:r>
        <w:rPr>
          <w:rFonts w:hint="eastAsia"/>
          <w:spacing w:val="-1"/>
          <w:sz w:val="24"/>
        </w:rPr>
        <w:t>天内，按照发包人和监理人在缺陷责任期满前检查结果而发出的指令，对存在的缺陷或其他不合格之处进行修补、重建及修复。承包人不能在合理时间内修复缺陷的，发包人可自行修复或委托其他人修复，所需费</w:t>
      </w:r>
      <w:r>
        <w:rPr>
          <w:rFonts w:hint="eastAsia"/>
          <w:sz w:val="24"/>
        </w:rPr>
        <w:t>用和利润由承包人承担。</w:t>
      </w:r>
    </w:p>
    <w:p>
      <w:pPr>
        <w:spacing w:line="304" w:lineRule="auto"/>
        <w:jc w:val="both"/>
        <w:rPr>
          <w:sz w:val="24"/>
        </w:rPr>
        <w:sectPr>
          <w:pgSz w:w="11910" w:h="16840"/>
          <w:pgMar w:top="1360" w:right="1120" w:bottom="1080" w:left="1260" w:header="882" w:footer="880" w:gutter="0"/>
          <w:cols w:space="720" w:num="1"/>
        </w:sectPr>
      </w:pPr>
    </w:p>
    <w:p>
      <w:pPr>
        <w:pStyle w:val="10"/>
        <w:spacing w:before="5"/>
        <w:rPr>
          <w:sz w:val="17"/>
        </w:rPr>
      </w:pPr>
    </w:p>
    <w:p>
      <w:pPr>
        <w:pStyle w:val="20"/>
        <w:numPr>
          <w:ilvl w:val="4"/>
          <w:numId w:val="5"/>
        </w:numPr>
        <w:tabs>
          <w:tab w:val="left" w:pos="1529"/>
        </w:tabs>
        <w:spacing w:before="74" w:line="307" w:lineRule="auto"/>
        <w:ind w:left="384" w:right="465" w:firstLine="480"/>
        <w:jc w:val="both"/>
        <w:rPr>
          <w:sz w:val="24"/>
        </w:rPr>
      </w:pPr>
      <w:r>
        <w:rPr>
          <w:rFonts w:hint="eastAsia"/>
          <w:sz w:val="24"/>
        </w:rPr>
        <w:t>在缺陷责任期内，因承包人原因造成的缺陷修复费用和复验费用应由承</w:t>
      </w:r>
      <w:r>
        <w:rPr>
          <w:rFonts w:hint="eastAsia"/>
          <w:spacing w:val="-1"/>
          <w:sz w:val="24"/>
        </w:rPr>
        <w:t>包人自行负责；不属于承包人原因造成的缺陷修复费用由监理人同承包人协商并报</w:t>
      </w:r>
      <w:r>
        <w:rPr>
          <w:rFonts w:hint="eastAsia"/>
          <w:sz w:val="24"/>
        </w:rPr>
        <w:t>发包人批准。</w:t>
      </w:r>
    </w:p>
    <w:p>
      <w:pPr>
        <w:pStyle w:val="20"/>
        <w:numPr>
          <w:ilvl w:val="4"/>
          <w:numId w:val="5"/>
        </w:numPr>
        <w:tabs>
          <w:tab w:val="left" w:pos="1529"/>
        </w:tabs>
        <w:spacing w:line="307" w:lineRule="auto"/>
        <w:ind w:left="384" w:right="465" w:firstLine="480"/>
        <w:jc w:val="both"/>
        <w:rPr>
          <w:sz w:val="24"/>
        </w:rPr>
      </w:pPr>
      <w:r>
        <w:rPr>
          <w:rFonts w:hint="eastAsia"/>
          <w:sz w:val="24"/>
        </w:rPr>
        <w:t>由于承包人原因造成某项缺陷或损坏使某项工程不能按原定目标使用而</w:t>
      </w:r>
      <w:r>
        <w:rPr>
          <w:rFonts w:hint="eastAsia"/>
          <w:spacing w:val="-1"/>
          <w:sz w:val="24"/>
        </w:rPr>
        <w:t>需要再次检查、检验和修复的，发包人有权要求承包人相应延长缺陷责任期，但缺</w:t>
      </w:r>
      <w:r>
        <w:rPr>
          <w:rFonts w:hint="eastAsia"/>
          <w:spacing w:val="-6"/>
          <w:sz w:val="24"/>
        </w:rPr>
        <w:t xml:space="preserve">陷责任期最长不超过 </w:t>
      </w:r>
      <w:r>
        <w:rPr>
          <w:rFonts w:hint="eastAsia"/>
          <w:sz w:val="24"/>
        </w:rPr>
        <w:t>2 年，自该项工程或设备修复之日算起。</w:t>
      </w:r>
    </w:p>
    <w:p>
      <w:pPr>
        <w:pStyle w:val="20"/>
        <w:numPr>
          <w:ilvl w:val="4"/>
          <w:numId w:val="5"/>
        </w:numPr>
        <w:tabs>
          <w:tab w:val="left" w:pos="1529"/>
        </w:tabs>
        <w:spacing w:line="304" w:lineRule="auto"/>
        <w:ind w:left="384" w:right="467" w:firstLine="480"/>
        <w:jc w:val="both"/>
        <w:rPr>
          <w:sz w:val="24"/>
        </w:rPr>
      </w:pPr>
      <w:r>
        <w:rPr>
          <w:rFonts w:hint="eastAsia"/>
          <w:sz w:val="24"/>
        </w:rPr>
        <w:t>保修期自实际交工日期起计算，具体期限在合同条款数据表中约定。在保修期内承包人应对由于施工质量原因造成的损坏自费进行修复。</w:t>
      </w:r>
    </w:p>
    <w:p>
      <w:pPr>
        <w:pStyle w:val="20"/>
        <w:numPr>
          <w:ilvl w:val="4"/>
          <w:numId w:val="5"/>
        </w:numPr>
        <w:tabs>
          <w:tab w:val="left" w:pos="1524"/>
        </w:tabs>
        <w:ind w:left="1524" w:hanging="660"/>
        <w:jc w:val="both"/>
        <w:rPr>
          <w:sz w:val="24"/>
        </w:rPr>
      </w:pPr>
      <w:r>
        <w:rPr>
          <w:rFonts w:hint="eastAsia"/>
          <w:spacing w:val="-7"/>
          <w:sz w:val="24"/>
        </w:rPr>
        <w:t xml:space="preserve">工程保修期终止后 </w:t>
      </w:r>
      <w:r>
        <w:rPr>
          <w:rFonts w:hint="eastAsia"/>
          <w:sz w:val="24"/>
        </w:rPr>
        <w:t>28 天内，监理人签发保修期终止证书。</w:t>
      </w:r>
    </w:p>
    <w:p>
      <w:pPr>
        <w:pStyle w:val="20"/>
        <w:numPr>
          <w:ilvl w:val="4"/>
          <w:numId w:val="5"/>
        </w:numPr>
        <w:tabs>
          <w:tab w:val="left" w:pos="1529"/>
        </w:tabs>
        <w:spacing w:before="78" w:line="307" w:lineRule="auto"/>
        <w:ind w:left="384" w:right="465" w:firstLine="480"/>
        <w:jc w:val="both"/>
        <w:rPr>
          <w:sz w:val="24"/>
        </w:rPr>
      </w:pPr>
      <w:r>
        <w:rPr>
          <w:rFonts w:hint="eastAsia"/>
          <w:sz w:val="24"/>
        </w:rPr>
        <w:t>若承包人不履行保修义务和责任，则承包人应承担由于违约造成的法律</w:t>
      </w:r>
      <w:r>
        <w:rPr>
          <w:rFonts w:hint="eastAsia"/>
          <w:spacing w:val="-1"/>
          <w:sz w:val="24"/>
        </w:rPr>
        <w:t>后果，并由发包人将其违约行为上报交通运输主管部门，并作为不良记录纳入公路</w:t>
      </w:r>
      <w:r>
        <w:rPr>
          <w:rFonts w:hint="eastAsia"/>
          <w:sz w:val="24"/>
        </w:rPr>
        <w:t>建设市场信用信息管理系统。</w:t>
      </w:r>
    </w:p>
    <w:p>
      <w:pPr>
        <w:pStyle w:val="20"/>
        <w:numPr>
          <w:ilvl w:val="4"/>
          <w:numId w:val="5"/>
        </w:numPr>
        <w:tabs>
          <w:tab w:val="left" w:pos="1534"/>
        </w:tabs>
        <w:spacing w:line="304" w:lineRule="auto"/>
        <w:ind w:left="384" w:right="467" w:firstLine="480"/>
        <w:jc w:val="both"/>
        <w:rPr>
          <w:sz w:val="24"/>
        </w:rPr>
      </w:pPr>
      <w:r>
        <w:rPr>
          <w:rFonts w:hint="eastAsia"/>
          <w:spacing w:val="-5"/>
          <w:sz w:val="24"/>
        </w:rPr>
        <w:t xml:space="preserve">缺陷责任期满后 </w:t>
      </w:r>
      <w:r>
        <w:rPr>
          <w:rFonts w:hint="eastAsia"/>
          <w:sz w:val="24"/>
        </w:rPr>
        <w:t>14</w:t>
      </w:r>
      <w:r>
        <w:rPr>
          <w:rFonts w:hint="eastAsia"/>
          <w:spacing w:val="4"/>
          <w:sz w:val="24"/>
        </w:rPr>
        <w:t xml:space="preserve"> 天内,</w:t>
      </w:r>
      <w:r>
        <w:rPr>
          <w:rFonts w:hint="eastAsia"/>
          <w:spacing w:val="3"/>
          <w:sz w:val="24"/>
        </w:rPr>
        <w:t>由监理人向承包人出具经发包人签认的缺陷责任终止证书，并退还剩余的质量保证金。</w:t>
      </w:r>
    </w:p>
    <w:p>
      <w:pPr>
        <w:pStyle w:val="10"/>
        <w:spacing w:before="169"/>
        <w:ind w:left="583"/>
      </w:pPr>
      <w:r>
        <w:rPr>
          <w:rFonts w:hint="eastAsia"/>
        </w:rPr>
        <w:t>十、违约、索赔和争议</w:t>
      </w:r>
    </w:p>
    <w:p>
      <w:pPr>
        <w:pStyle w:val="10"/>
        <w:rPr>
          <w:sz w:val="20"/>
        </w:rPr>
      </w:pPr>
    </w:p>
    <w:p>
      <w:pPr>
        <w:pStyle w:val="20"/>
        <w:numPr>
          <w:ilvl w:val="3"/>
          <w:numId w:val="5"/>
        </w:numPr>
        <w:tabs>
          <w:tab w:val="left" w:pos="1125"/>
        </w:tabs>
        <w:ind w:left="1124" w:hanging="302"/>
        <w:jc w:val="left"/>
        <w:rPr>
          <w:sz w:val="24"/>
        </w:rPr>
      </w:pPr>
      <w:r>
        <w:rPr>
          <w:rFonts w:hint="eastAsia"/>
          <w:sz w:val="24"/>
        </w:rPr>
        <w:t>违约</w:t>
      </w:r>
    </w:p>
    <w:p>
      <w:pPr>
        <w:pStyle w:val="10"/>
        <w:spacing w:before="5"/>
        <w:rPr>
          <w:sz w:val="20"/>
        </w:rPr>
      </w:pPr>
    </w:p>
    <w:p>
      <w:pPr>
        <w:pStyle w:val="20"/>
        <w:numPr>
          <w:ilvl w:val="4"/>
          <w:numId w:val="5"/>
        </w:numPr>
        <w:tabs>
          <w:tab w:val="left" w:pos="1523"/>
          <w:tab w:val="left" w:pos="1524"/>
        </w:tabs>
        <w:ind w:left="1524" w:hanging="660"/>
        <w:rPr>
          <w:sz w:val="24"/>
        </w:rPr>
      </w:pPr>
      <w:r>
        <w:rPr>
          <w:rFonts w:hint="eastAsia"/>
          <w:sz w:val="24"/>
        </w:rPr>
        <w:t>发包人违约</w:t>
      </w:r>
    </w:p>
    <w:p>
      <w:pPr>
        <w:pStyle w:val="20"/>
        <w:numPr>
          <w:ilvl w:val="5"/>
          <w:numId w:val="5"/>
        </w:numPr>
        <w:tabs>
          <w:tab w:val="left" w:pos="1703"/>
          <w:tab w:val="left" w:pos="1704"/>
        </w:tabs>
        <w:spacing w:before="84"/>
        <w:ind w:left="1704" w:hanging="840"/>
        <w:rPr>
          <w:sz w:val="24"/>
        </w:rPr>
      </w:pPr>
      <w:r>
        <w:rPr>
          <w:rFonts w:hint="eastAsia"/>
          <w:sz w:val="24"/>
        </w:rPr>
        <w:t>下列情况属发包人违约：</w:t>
      </w:r>
    </w:p>
    <w:p>
      <w:pPr>
        <w:pStyle w:val="20"/>
        <w:numPr>
          <w:ilvl w:val="0"/>
          <w:numId w:val="36"/>
        </w:numPr>
        <w:tabs>
          <w:tab w:val="left" w:pos="1465"/>
        </w:tabs>
        <w:spacing w:before="86" w:line="304" w:lineRule="auto"/>
        <w:ind w:right="346" w:firstLine="480"/>
        <w:rPr>
          <w:sz w:val="24"/>
        </w:rPr>
      </w:pPr>
      <w:r>
        <w:rPr>
          <w:rFonts w:hint="eastAsia"/>
          <w:spacing w:val="-11"/>
          <w:sz w:val="24"/>
        </w:rPr>
        <w:t>按合同约定，未向承包人支付根据监理人签发的支付证书项下的应付款额</w:t>
      </w:r>
      <w:r>
        <w:rPr>
          <w:rFonts w:hint="eastAsia"/>
          <w:spacing w:val="-5"/>
          <w:sz w:val="24"/>
        </w:rPr>
        <w:t>，或拖延、拒绝批准付款申请和支付凭证，导致付款延误的；</w:t>
      </w:r>
    </w:p>
    <w:p>
      <w:pPr>
        <w:pStyle w:val="20"/>
        <w:numPr>
          <w:ilvl w:val="0"/>
          <w:numId w:val="36"/>
        </w:numPr>
        <w:tabs>
          <w:tab w:val="left" w:pos="1465"/>
        </w:tabs>
        <w:spacing w:before="2"/>
        <w:ind w:left="1465"/>
        <w:rPr>
          <w:sz w:val="24"/>
        </w:rPr>
      </w:pPr>
      <w:r>
        <w:rPr>
          <w:rFonts w:hint="eastAsia"/>
          <w:sz w:val="24"/>
        </w:rPr>
        <w:t>发包人原因造成停工的；</w:t>
      </w:r>
    </w:p>
    <w:p>
      <w:pPr>
        <w:pStyle w:val="20"/>
        <w:numPr>
          <w:ilvl w:val="0"/>
          <w:numId w:val="36"/>
        </w:numPr>
        <w:tabs>
          <w:tab w:val="left" w:pos="1465"/>
        </w:tabs>
        <w:spacing w:before="86" w:line="304" w:lineRule="auto"/>
        <w:ind w:right="466" w:firstLine="480"/>
        <w:rPr>
          <w:sz w:val="24"/>
        </w:rPr>
      </w:pPr>
      <w:r>
        <w:rPr>
          <w:rFonts w:hint="eastAsia"/>
          <w:spacing w:val="-4"/>
          <w:sz w:val="24"/>
        </w:rPr>
        <w:t>监理人无正当理由没有在约定期限内，发出复工指示，导致承包人无法</w:t>
      </w:r>
      <w:r>
        <w:rPr>
          <w:rFonts w:hint="eastAsia"/>
          <w:spacing w:val="-6"/>
          <w:sz w:val="24"/>
        </w:rPr>
        <w:t>复工的；</w:t>
      </w:r>
    </w:p>
    <w:p>
      <w:pPr>
        <w:pStyle w:val="20"/>
        <w:numPr>
          <w:ilvl w:val="0"/>
          <w:numId w:val="36"/>
        </w:numPr>
        <w:tabs>
          <w:tab w:val="left" w:pos="1479"/>
        </w:tabs>
        <w:spacing w:before="1" w:line="304" w:lineRule="auto"/>
        <w:ind w:right="466" w:firstLine="480"/>
        <w:jc w:val="both"/>
        <w:rPr>
          <w:sz w:val="24"/>
        </w:rPr>
      </w:pPr>
      <w:r>
        <w:rPr>
          <w:rFonts w:hint="eastAsia"/>
          <w:spacing w:val="2"/>
          <w:sz w:val="24"/>
        </w:rPr>
        <w:t>未根据本合同任何条款而无理阻碍或拒绝对任何上述证书颁发的所需批</w:t>
      </w:r>
      <w:r>
        <w:rPr>
          <w:rFonts w:hint="eastAsia"/>
          <w:spacing w:val="1"/>
          <w:sz w:val="24"/>
        </w:rPr>
        <w:t>准，则承包人有权终止对本合同项下的承包，并通知发包人，抄送监理人，该终止</w:t>
      </w:r>
      <w:r>
        <w:rPr>
          <w:rFonts w:hint="eastAsia"/>
          <w:spacing w:val="-10"/>
          <w:sz w:val="24"/>
        </w:rPr>
        <w:t xml:space="preserve">在发出通知 </w:t>
      </w:r>
      <w:r>
        <w:rPr>
          <w:rFonts w:hint="eastAsia"/>
          <w:sz w:val="24"/>
        </w:rPr>
        <w:t xml:space="preserve">14 </w:t>
      </w:r>
      <w:r>
        <w:rPr>
          <w:rFonts w:hint="eastAsia"/>
          <w:spacing w:val="-11"/>
          <w:sz w:val="24"/>
        </w:rPr>
        <w:t>天后生效，发包人应承担违约责任，赔偿因其违约给承包人造成的损</w:t>
      </w:r>
      <w:r>
        <w:rPr>
          <w:rFonts w:hint="eastAsia"/>
          <w:sz w:val="24"/>
        </w:rPr>
        <w:t>失，顺延延误的工期。</w:t>
      </w:r>
    </w:p>
    <w:p>
      <w:pPr>
        <w:pStyle w:val="20"/>
        <w:numPr>
          <w:ilvl w:val="5"/>
          <w:numId w:val="5"/>
        </w:numPr>
        <w:tabs>
          <w:tab w:val="left" w:pos="1703"/>
          <w:tab w:val="left" w:pos="1704"/>
        </w:tabs>
        <w:spacing w:before="8" w:line="304" w:lineRule="auto"/>
        <w:ind w:right="346" w:firstLine="480"/>
        <w:rPr>
          <w:sz w:val="24"/>
        </w:rPr>
      </w:pPr>
      <w:r>
        <w:rPr>
          <w:rFonts w:hint="eastAsia"/>
          <w:spacing w:val="-6"/>
          <w:sz w:val="24"/>
        </w:rPr>
        <w:t>发包人发生违约情况时，承包人可向发包人发出通知，要求发包人采取</w:t>
      </w:r>
      <w:r>
        <w:rPr>
          <w:rFonts w:hint="eastAsia"/>
          <w:spacing w:val="-13"/>
          <w:sz w:val="24"/>
        </w:rPr>
        <w:t xml:space="preserve">有效措施纠正违约行为。发包人收到承包人通知后的 </w:t>
      </w:r>
      <w:r>
        <w:rPr>
          <w:rFonts w:hint="eastAsia"/>
          <w:sz w:val="24"/>
        </w:rPr>
        <w:t xml:space="preserve">28 </w:t>
      </w:r>
      <w:r>
        <w:rPr>
          <w:rFonts w:hint="eastAsia"/>
          <w:spacing w:val="-4"/>
          <w:sz w:val="24"/>
        </w:rPr>
        <w:t>天内仍不履行合同义务，承包人有权暂停施工，并通知监理人，发包人应承担由此增加的费用和</w:t>
      </w:r>
      <w:r>
        <w:rPr>
          <w:rFonts w:hint="eastAsia"/>
          <w:sz w:val="24"/>
        </w:rPr>
        <w:t>(或)</w:t>
      </w:r>
      <w:r>
        <w:rPr>
          <w:rFonts w:hint="eastAsia"/>
          <w:spacing w:val="-4"/>
          <w:sz w:val="24"/>
        </w:rPr>
        <w:t xml:space="preserve">工期延误， </w:t>
      </w:r>
      <w:r>
        <w:rPr>
          <w:rFonts w:hint="eastAsia"/>
          <w:sz w:val="24"/>
        </w:rPr>
        <w:t>并支付承包人合理利润。</w:t>
      </w:r>
    </w:p>
    <w:p>
      <w:pPr>
        <w:pStyle w:val="20"/>
        <w:numPr>
          <w:ilvl w:val="4"/>
          <w:numId w:val="5"/>
        </w:numPr>
        <w:tabs>
          <w:tab w:val="left" w:pos="1523"/>
          <w:tab w:val="left" w:pos="1524"/>
        </w:tabs>
        <w:spacing w:before="5"/>
        <w:ind w:left="1524" w:hanging="660"/>
        <w:rPr>
          <w:sz w:val="24"/>
        </w:rPr>
      </w:pPr>
      <w:r>
        <w:rPr>
          <w:rFonts w:hint="eastAsia"/>
          <w:sz w:val="24"/>
        </w:rPr>
        <w:t>承包人违约</w:t>
      </w:r>
    </w:p>
    <w:p>
      <w:pPr>
        <w:pStyle w:val="20"/>
        <w:numPr>
          <w:ilvl w:val="5"/>
          <w:numId w:val="5"/>
        </w:numPr>
        <w:tabs>
          <w:tab w:val="left" w:pos="1703"/>
          <w:tab w:val="left" w:pos="1704"/>
        </w:tabs>
        <w:spacing w:before="83"/>
        <w:ind w:left="1704" w:hanging="840"/>
        <w:rPr>
          <w:sz w:val="24"/>
        </w:rPr>
      </w:pPr>
      <w:r>
        <w:rPr>
          <w:rFonts w:hint="eastAsia"/>
          <w:sz w:val="24"/>
        </w:rPr>
        <w:t>下列情况属承包人违约：</w:t>
      </w:r>
    </w:p>
    <w:p>
      <w:pPr>
        <w:rPr>
          <w:sz w:val="24"/>
        </w:rPr>
        <w:sectPr>
          <w:footerReference r:id="rId10" w:type="default"/>
          <w:pgSz w:w="11910" w:h="16840"/>
          <w:pgMar w:top="1360" w:right="1120" w:bottom="1080" w:left="1260" w:header="882" w:footer="880" w:gutter="0"/>
          <w:cols w:space="720" w:num="1"/>
        </w:sectPr>
      </w:pPr>
    </w:p>
    <w:p>
      <w:pPr>
        <w:pStyle w:val="10"/>
        <w:spacing w:before="5"/>
        <w:rPr>
          <w:sz w:val="17"/>
        </w:rPr>
      </w:pPr>
    </w:p>
    <w:p>
      <w:pPr>
        <w:pStyle w:val="20"/>
        <w:numPr>
          <w:ilvl w:val="0"/>
          <w:numId w:val="37"/>
        </w:numPr>
        <w:tabs>
          <w:tab w:val="left" w:pos="1465"/>
        </w:tabs>
        <w:spacing w:before="74"/>
        <w:rPr>
          <w:sz w:val="24"/>
        </w:rPr>
      </w:pPr>
      <w:r>
        <w:rPr>
          <w:rFonts w:hint="eastAsia"/>
          <w:sz w:val="24"/>
        </w:rPr>
        <w:t>无视监理人事先的书面警告，不履行其合同规定的义务；</w:t>
      </w:r>
    </w:p>
    <w:p>
      <w:pPr>
        <w:pStyle w:val="20"/>
        <w:numPr>
          <w:ilvl w:val="0"/>
          <w:numId w:val="37"/>
        </w:numPr>
        <w:tabs>
          <w:tab w:val="left" w:pos="1465"/>
        </w:tabs>
        <w:spacing w:before="84" w:line="307" w:lineRule="auto"/>
        <w:ind w:left="384" w:right="466" w:firstLine="480"/>
        <w:rPr>
          <w:sz w:val="24"/>
        </w:rPr>
      </w:pPr>
      <w:r>
        <w:rPr>
          <w:rFonts w:hint="eastAsia"/>
          <w:spacing w:val="-6"/>
          <w:sz w:val="24"/>
        </w:rPr>
        <w:t>违反合同规定，私自将合同的全部或部分权利转让给其他人，或私自将</w:t>
      </w:r>
      <w:r>
        <w:rPr>
          <w:rFonts w:hint="eastAsia"/>
          <w:spacing w:val="-5"/>
          <w:sz w:val="24"/>
        </w:rPr>
        <w:t>合同的全部或部分义务转让给其他人；</w:t>
      </w:r>
    </w:p>
    <w:p>
      <w:pPr>
        <w:pStyle w:val="20"/>
        <w:numPr>
          <w:ilvl w:val="0"/>
          <w:numId w:val="37"/>
        </w:numPr>
        <w:tabs>
          <w:tab w:val="left" w:pos="1465"/>
        </w:tabs>
        <w:spacing w:line="307" w:lineRule="auto"/>
        <w:ind w:left="384" w:right="466" w:firstLine="480"/>
        <w:jc w:val="both"/>
        <w:rPr>
          <w:sz w:val="24"/>
        </w:rPr>
      </w:pPr>
      <w:r>
        <w:rPr>
          <w:rFonts w:hint="eastAsia"/>
          <w:spacing w:val="-2"/>
          <w:sz w:val="24"/>
        </w:rPr>
        <w:t>未按在合同谈判阶段确定的内容配备其他管理和技术人员、主要机械设</w:t>
      </w:r>
      <w:r>
        <w:rPr>
          <w:rFonts w:hint="eastAsia"/>
          <w:spacing w:val="-5"/>
          <w:sz w:val="24"/>
        </w:rPr>
        <w:t>备和试验检测设备、未按期提交施工组织计划；私自将已按合同约定进入场地的施</w:t>
      </w:r>
      <w:r>
        <w:rPr>
          <w:rFonts w:hint="eastAsia"/>
          <w:spacing w:val="-4"/>
          <w:sz w:val="24"/>
        </w:rPr>
        <w:t>工设备、临时设备或材料撤离施工场地；</w:t>
      </w:r>
    </w:p>
    <w:p>
      <w:pPr>
        <w:pStyle w:val="20"/>
        <w:numPr>
          <w:ilvl w:val="0"/>
          <w:numId w:val="37"/>
        </w:numPr>
        <w:tabs>
          <w:tab w:val="left" w:pos="1468"/>
        </w:tabs>
        <w:spacing w:line="304" w:lineRule="auto"/>
        <w:ind w:left="384" w:right="467" w:firstLine="480"/>
        <w:jc w:val="both"/>
        <w:rPr>
          <w:sz w:val="24"/>
        </w:rPr>
      </w:pPr>
      <w:r>
        <w:rPr>
          <w:rFonts w:hint="eastAsia"/>
          <w:spacing w:val="-4"/>
          <w:sz w:val="24"/>
        </w:rPr>
        <w:t xml:space="preserve">在监理人通知或指令发出 </w:t>
      </w:r>
      <w:r>
        <w:rPr>
          <w:rFonts w:hint="eastAsia"/>
          <w:sz w:val="24"/>
        </w:rPr>
        <w:t>28</w:t>
      </w:r>
      <w:r>
        <w:rPr>
          <w:rFonts w:hint="eastAsia"/>
          <w:spacing w:val="10"/>
          <w:sz w:val="24"/>
        </w:rPr>
        <w:t xml:space="preserve"> </w:t>
      </w:r>
      <w:r>
        <w:rPr>
          <w:rFonts w:hint="eastAsia"/>
          <w:spacing w:val="-1"/>
          <w:sz w:val="24"/>
        </w:rPr>
        <w:t>天内不遵守该通知或指令修复或运走、替换</w:t>
      </w:r>
      <w:r>
        <w:rPr>
          <w:rFonts w:hint="eastAsia"/>
          <w:sz w:val="24"/>
        </w:rPr>
        <w:t>不合格材料、设备的；</w:t>
      </w:r>
    </w:p>
    <w:p>
      <w:pPr>
        <w:pStyle w:val="20"/>
        <w:numPr>
          <w:ilvl w:val="0"/>
          <w:numId w:val="37"/>
        </w:numPr>
        <w:tabs>
          <w:tab w:val="left" w:pos="1468"/>
        </w:tabs>
        <w:spacing w:line="304" w:lineRule="auto"/>
        <w:ind w:left="384" w:right="467" w:firstLine="480"/>
        <w:jc w:val="both"/>
        <w:rPr>
          <w:sz w:val="24"/>
        </w:rPr>
      </w:pPr>
      <w:r>
        <w:rPr>
          <w:rFonts w:hint="eastAsia"/>
          <w:spacing w:val="-2"/>
          <w:sz w:val="24"/>
        </w:rPr>
        <w:t xml:space="preserve">无正当理由延期开工或因进度滞后，在接到监理人加快进度通知 </w:t>
      </w:r>
      <w:r>
        <w:rPr>
          <w:rFonts w:hint="eastAsia"/>
          <w:sz w:val="24"/>
        </w:rPr>
        <w:t>28</w:t>
      </w:r>
      <w:r>
        <w:rPr>
          <w:rFonts w:hint="eastAsia"/>
          <w:spacing w:val="12"/>
          <w:sz w:val="24"/>
        </w:rPr>
        <w:t xml:space="preserve"> </w:t>
      </w:r>
      <w:r>
        <w:rPr>
          <w:rFonts w:hint="eastAsia"/>
          <w:spacing w:val="-6"/>
          <w:sz w:val="24"/>
        </w:rPr>
        <w:t>天内</w:t>
      </w:r>
      <w:r>
        <w:rPr>
          <w:rFonts w:hint="eastAsia"/>
          <w:sz w:val="24"/>
        </w:rPr>
        <w:t>无正当理由、未能采取措施加快进行本工程或其关键部分的施工；</w:t>
      </w:r>
    </w:p>
    <w:p>
      <w:pPr>
        <w:pStyle w:val="20"/>
        <w:numPr>
          <w:ilvl w:val="0"/>
          <w:numId w:val="37"/>
        </w:numPr>
        <w:tabs>
          <w:tab w:val="left" w:pos="1465"/>
        </w:tabs>
        <w:rPr>
          <w:sz w:val="24"/>
        </w:rPr>
      </w:pPr>
      <w:r>
        <w:rPr>
          <w:rFonts w:hint="eastAsia"/>
          <w:sz w:val="24"/>
        </w:rPr>
        <w:t>未达到规定质量目标的；</w:t>
      </w:r>
    </w:p>
    <w:p>
      <w:pPr>
        <w:pStyle w:val="20"/>
        <w:numPr>
          <w:ilvl w:val="0"/>
          <w:numId w:val="37"/>
        </w:numPr>
        <w:tabs>
          <w:tab w:val="left" w:pos="1465"/>
        </w:tabs>
        <w:spacing w:before="84"/>
        <w:rPr>
          <w:sz w:val="24"/>
        </w:rPr>
      </w:pPr>
      <w:r>
        <w:rPr>
          <w:rFonts w:hint="eastAsia"/>
          <w:sz w:val="24"/>
        </w:rPr>
        <w:t>出现三级一般质量事故以上的；</w:t>
      </w:r>
    </w:p>
    <w:p>
      <w:pPr>
        <w:pStyle w:val="20"/>
        <w:numPr>
          <w:ilvl w:val="0"/>
          <w:numId w:val="37"/>
        </w:numPr>
        <w:tabs>
          <w:tab w:val="left" w:pos="1465"/>
        </w:tabs>
        <w:spacing w:before="83"/>
        <w:rPr>
          <w:sz w:val="24"/>
        </w:rPr>
      </w:pPr>
      <w:r>
        <w:rPr>
          <w:rFonts w:hint="eastAsia"/>
          <w:sz w:val="24"/>
        </w:rPr>
        <w:t>发生野蛮施工，造成环保事件或损坏原有建筑物的；</w:t>
      </w:r>
    </w:p>
    <w:p>
      <w:pPr>
        <w:pStyle w:val="20"/>
        <w:numPr>
          <w:ilvl w:val="0"/>
          <w:numId w:val="37"/>
        </w:numPr>
        <w:tabs>
          <w:tab w:val="left" w:pos="1465"/>
        </w:tabs>
        <w:spacing w:before="84"/>
        <w:rPr>
          <w:sz w:val="24"/>
        </w:rPr>
      </w:pPr>
      <w:r>
        <w:rPr>
          <w:rFonts w:hint="eastAsia"/>
          <w:sz w:val="24"/>
        </w:rPr>
        <w:t>因通行便道维护不力，造成社会恶劣影响的；</w:t>
      </w:r>
    </w:p>
    <w:p>
      <w:pPr>
        <w:pStyle w:val="20"/>
        <w:numPr>
          <w:ilvl w:val="0"/>
          <w:numId w:val="37"/>
        </w:numPr>
        <w:tabs>
          <w:tab w:val="left" w:pos="1585"/>
        </w:tabs>
        <w:spacing w:before="86"/>
        <w:ind w:left="1585" w:hanging="721"/>
        <w:rPr>
          <w:sz w:val="24"/>
        </w:rPr>
      </w:pPr>
      <w:r>
        <w:rPr>
          <w:rFonts w:hint="eastAsia"/>
          <w:sz w:val="24"/>
        </w:rPr>
        <w:t>拖欠劳务工资、设备、材料款，造成恶劣影响的；</w:t>
      </w:r>
    </w:p>
    <w:p>
      <w:pPr>
        <w:pStyle w:val="20"/>
        <w:numPr>
          <w:ilvl w:val="0"/>
          <w:numId w:val="37"/>
        </w:numPr>
        <w:tabs>
          <w:tab w:val="left" w:pos="1585"/>
        </w:tabs>
        <w:spacing w:before="84"/>
        <w:ind w:left="1585" w:hanging="721"/>
        <w:rPr>
          <w:sz w:val="24"/>
        </w:rPr>
      </w:pPr>
      <w:r>
        <w:rPr>
          <w:rFonts w:hint="eastAsia"/>
          <w:sz w:val="24"/>
        </w:rPr>
        <w:t>违反分包、转包规定的；</w:t>
      </w:r>
    </w:p>
    <w:p>
      <w:pPr>
        <w:pStyle w:val="20"/>
        <w:numPr>
          <w:ilvl w:val="0"/>
          <w:numId w:val="37"/>
        </w:numPr>
        <w:tabs>
          <w:tab w:val="left" w:pos="1588"/>
        </w:tabs>
        <w:spacing w:before="84" w:line="307" w:lineRule="auto"/>
        <w:ind w:left="384" w:right="467" w:firstLine="480"/>
        <w:rPr>
          <w:sz w:val="24"/>
        </w:rPr>
      </w:pPr>
      <w:r>
        <w:rPr>
          <w:rFonts w:hint="eastAsia"/>
          <w:spacing w:val="-1"/>
          <w:sz w:val="24"/>
        </w:rPr>
        <w:t>承包人在缺陷责任期内，未能对工程接收证书所列的缺陷清单的内容或</w:t>
      </w:r>
      <w:r>
        <w:rPr>
          <w:rFonts w:hint="eastAsia"/>
          <w:sz w:val="24"/>
        </w:rPr>
        <w:t>缺陷责任期内发生的缺陷进行修复，而又拒绝按监理人指示再进行修补的；</w:t>
      </w:r>
    </w:p>
    <w:p>
      <w:pPr>
        <w:pStyle w:val="20"/>
        <w:numPr>
          <w:ilvl w:val="0"/>
          <w:numId w:val="37"/>
        </w:numPr>
        <w:tabs>
          <w:tab w:val="left" w:pos="1585"/>
        </w:tabs>
        <w:spacing w:line="305" w:lineRule="exact"/>
        <w:ind w:left="1585" w:hanging="721"/>
        <w:rPr>
          <w:sz w:val="24"/>
        </w:rPr>
      </w:pPr>
      <w:r>
        <w:rPr>
          <w:rFonts w:hint="eastAsia"/>
          <w:sz w:val="24"/>
        </w:rPr>
        <w:t>违反其他合同规定履约义务的。</w:t>
      </w:r>
    </w:p>
    <w:p>
      <w:pPr>
        <w:pStyle w:val="20"/>
        <w:numPr>
          <w:ilvl w:val="5"/>
          <w:numId w:val="5"/>
        </w:numPr>
        <w:tabs>
          <w:tab w:val="left" w:pos="1704"/>
        </w:tabs>
        <w:spacing w:before="83"/>
        <w:ind w:left="1704" w:hanging="840"/>
        <w:jc w:val="both"/>
        <w:rPr>
          <w:sz w:val="24"/>
        </w:rPr>
      </w:pPr>
      <w:r>
        <w:rPr>
          <w:rFonts w:hint="eastAsia"/>
          <w:sz w:val="24"/>
        </w:rPr>
        <w:t>承包人承担违约责任，赔偿因其违约给发包人造成的损失。</w:t>
      </w:r>
    </w:p>
    <w:p>
      <w:pPr>
        <w:pStyle w:val="20"/>
        <w:numPr>
          <w:ilvl w:val="5"/>
          <w:numId w:val="5"/>
        </w:numPr>
        <w:tabs>
          <w:tab w:val="left" w:pos="1707"/>
        </w:tabs>
        <w:spacing w:before="86" w:line="304" w:lineRule="auto"/>
        <w:ind w:right="465" w:firstLine="480"/>
        <w:jc w:val="both"/>
        <w:rPr>
          <w:sz w:val="24"/>
        </w:rPr>
      </w:pPr>
      <w:r>
        <w:rPr>
          <w:rFonts w:hint="eastAsia"/>
          <w:spacing w:val="-5"/>
          <w:sz w:val="24"/>
        </w:rPr>
        <w:t xml:space="preserve">监理人发出整改通知 </w:t>
      </w:r>
      <w:r>
        <w:rPr>
          <w:rFonts w:hint="eastAsia"/>
          <w:sz w:val="24"/>
        </w:rPr>
        <w:t>28</w:t>
      </w:r>
      <w:r>
        <w:rPr>
          <w:rFonts w:hint="eastAsia"/>
          <w:spacing w:val="11"/>
          <w:sz w:val="24"/>
        </w:rPr>
        <w:t xml:space="preserve"> </w:t>
      </w:r>
      <w:r>
        <w:rPr>
          <w:rFonts w:hint="eastAsia"/>
          <w:spacing w:val="-1"/>
          <w:sz w:val="24"/>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为不免除承包人应承担的违</w:t>
      </w:r>
      <w:r>
        <w:rPr>
          <w:rFonts w:hint="eastAsia"/>
          <w:sz w:val="24"/>
        </w:rPr>
        <w:t>约责任，也不影响发包人根据合同约定享有的索赔权利。</w:t>
      </w:r>
    </w:p>
    <w:p>
      <w:pPr>
        <w:pStyle w:val="20"/>
        <w:numPr>
          <w:ilvl w:val="4"/>
          <w:numId w:val="5"/>
        </w:numPr>
        <w:tabs>
          <w:tab w:val="left" w:pos="1529"/>
        </w:tabs>
        <w:spacing w:before="6" w:line="307" w:lineRule="auto"/>
        <w:ind w:left="384" w:right="465" w:firstLine="480"/>
        <w:jc w:val="both"/>
        <w:rPr>
          <w:sz w:val="24"/>
        </w:rPr>
      </w:pPr>
      <w:r>
        <w:rPr>
          <w:rFonts w:hint="eastAsia"/>
          <w:sz w:val="24"/>
        </w:rPr>
        <w:t>在履行合同过程中，一方当事人因第三人的原因造成违约的，应当向对</w:t>
      </w:r>
      <w:r>
        <w:rPr>
          <w:rFonts w:hint="eastAsia"/>
          <w:spacing w:val="-1"/>
          <w:sz w:val="24"/>
        </w:rPr>
        <w:t>方当事人承担违约责任。一方当事人和第三人之间的纠纷，依照法律规定或者按照</w:t>
      </w:r>
      <w:r>
        <w:rPr>
          <w:rFonts w:hint="eastAsia"/>
          <w:sz w:val="24"/>
        </w:rPr>
        <w:t>约定解决。</w:t>
      </w:r>
    </w:p>
    <w:p>
      <w:pPr>
        <w:pStyle w:val="20"/>
        <w:numPr>
          <w:ilvl w:val="4"/>
          <w:numId w:val="5"/>
        </w:numPr>
        <w:tabs>
          <w:tab w:val="left" w:pos="1524"/>
        </w:tabs>
        <w:spacing w:line="303" w:lineRule="exact"/>
        <w:ind w:left="1524" w:hanging="660"/>
        <w:jc w:val="both"/>
        <w:rPr>
          <w:sz w:val="24"/>
        </w:rPr>
      </w:pPr>
      <w:r>
        <w:rPr>
          <w:rFonts w:hint="eastAsia"/>
          <w:sz w:val="24"/>
        </w:rPr>
        <w:t>合同解除后的估价、付款和结清</w:t>
      </w:r>
    </w:p>
    <w:p>
      <w:pPr>
        <w:pStyle w:val="20"/>
        <w:numPr>
          <w:ilvl w:val="0"/>
          <w:numId w:val="38"/>
        </w:numPr>
        <w:tabs>
          <w:tab w:val="left" w:pos="1465"/>
        </w:tabs>
        <w:spacing w:before="86" w:line="304" w:lineRule="auto"/>
        <w:ind w:right="466" w:firstLine="480"/>
        <w:rPr>
          <w:sz w:val="24"/>
        </w:rPr>
      </w:pPr>
      <w:r>
        <w:rPr>
          <w:rFonts w:hint="eastAsia"/>
          <w:spacing w:val="-6"/>
          <w:sz w:val="24"/>
        </w:rPr>
        <w:t>合同解除后，监理人商定或确定承包人实际完成工作的价值，以及承包</w:t>
      </w:r>
      <w:r>
        <w:rPr>
          <w:rFonts w:hint="eastAsia"/>
          <w:spacing w:val="-5"/>
          <w:sz w:val="24"/>
        </w:rPr>
        <w:t>人已提供的材料、施工设备、工程设备和临时工程等的价值；</w:t>
      </w:r>
    </w:p>
    <w:p>
      <w:pPr>
        <w:pStyle w:val="20"/>
        <w:numPr>
          <w:ilvl w:val="0"/>
          <w:numId w:val="38"/>
        </w:numPr>
        <w:tabs>
          <w:tab w:val="left" w:pos="1465"/>
        </w:tabs>
        <w:spacing w:before="2" w:line="307" w:lineRule="auto"/>
        <w:ind w:right="466" w:firstLine="480"/>
        <w:rPr>
          <w:sz w:val="24"/>
        </w:rPr>
      </w:pPr>
      <w:r>
        <w:rPr>
          <w:rFonts w:hint="eastAsia"/>
          <w:spacing w:val="-7"/>
          <w:sz w:val="24"/>
        </w:rPr>
        <w:t>合同解除后，发包人应暂停对承包人的一切付款，查清各项付款和已扣</w:t>
      </w:r>
      <w:r>
        <w:rPr>
          <w:rFonts w:hint="eastAsia"/>
          <w:spacing w:val="-5"/>
          <w:sz w:val="24"/>
        </w:rPr>
        <w:t>款金额，包括承包人应支付的违约金；</w:t>
      </w:r>
    </w:p>
    <w:p>
      <w:pPr>
        <w:pStyle w:val="20"/>
        <w:numPr>
          <w:ilvl w:val="0"/>
          <w:numId w:val="38"/>
        </w:numPr>
        <w:tabs>
          <w:tab w:val="left" w:pos="1465"/>
        </w:tabs>
        <w:spacing w:line="304" w:lineRule="auto"/>
        <w:ind w:right="466" w:firstLine="480"/>
        <w:rPr>
          <w:sz w:val="24"/>
        </w:rPr>
      </w:pPr>
      <w:r>
        <w:rPr>
          <w:rFonts w:hint="eastAsia"/>
          <w:spacing w:val="-6"/>
          <w:sz w:val="24"/>
        </w:rPr>
        <w:t>合同解除后，发包人应约定向承包人索赔由于解除合同给发包人造成的</w:t>
      </w:r>
      <w:r>
        <w:rPr>
          <w:rFonts w:hint="eastAsia"/>
          <w:spacing w:val="-7"/>
          <w:sz w:val="24"/>
        </w:rPr>
        <w:t>损失；</w:t>
      </w:r>
    </w:p>
    <w:p>
      <w:pPr>
        <w:spacing w:line="304" w:lineRule="auto"/>
        <w:rPr>
          <w:sz w:val="24"/>
        </w:rPr>
        <w:sectPr>
          <w:pgSz w:w="11910" w:h="16840"/>
          <w:pgMar w:top="1360" w:right="1120" w:bottom="1080" w:left="1260" w:header="882" w:footer="880" w:gutter="0"/>
          <w:cols w:space="720" w:num="1"/>
        </w:sectPr>
      </w:pPr>
    </w:p>
    <w:p>
      <w:pPr>
        <w:pStyle w:val="10"/>
        <w:spacing w:before="5"/>
        <w:rPr>
          <w:sz w:val="17"/>
        </w:rPr>
      </w:pPr>
    </w:p>
    <w:p>
      <w:pPr>
        <w:pStyle w:val="20"/>
        <w:numPr>
          <w:ilvl w:val="0"/>
          <w:numId w:val="38"/>
        </w:numPr>
        <w:tabs>
          <w:tab w:val="left" w:pos="1465"/>
        </w:tabs>
        <w:spacing w:before="74" w:line="304" w:lineRule="auto"/>
        <w:ind w:right="466" w:firstLine="480"/>
        <w:rPr>
          <w:sz w:val="24"/>
        </w:rPr>
      </w:pPr>
      <w:r>
        <w:rPr>
          <w:rFonts w:hint="eastAsia"/>
          <w:spacing w:val="-4"/>
          <w:sz w:val="24"/>
        </w:rPr>
        <w:t>合同双方确认上述往来款项后，出具最终结清付款证书，结清全部合同</w:t>
      </w:r>
      <w:r>
        <w:rPr>
          <w:rFonts w:hint="eastAsia"/>
          <w:spacing w:val="-7"/>
          <w:sz w:val="24"/>
        </w:rPr>
        <w:t>款项；</w:t>
      </w:r>
    </w:p>
    <w:p>
      <w:pPr>
        <w:pStyle w:val="20"/>
        <w:numPr>
          <w:ilvl w:val="0"/>
          <w:numId w:val="38"/>
        </w:numPr>
        <w:tabs>
          <w:tab w:val="left" w:pos="1470"/>
        </w:tabs>
        <w:spacing w:before="4"/>
        <w:ind w:left="1469" w:hanging="606"/>
        <w:rPr>
          <w:sz w:val="24"/>
        </w:rPr>
      </w:pPr>
      <w:r>
        <w:rPr>
          <w:rFonts w:hint="eastAsia"/>
          <w:spacing w:val="-12"/>
          <w:sz w:val="24"/>
        </w:rPr>
        <w:t>发包人和承包人未能就解除合同后的结清达成一致而形成争议的，按约定办</w:t>
      </w:r>
    </w:p>
    <w:p>
      <w:pPr>
        <w:pStyle w:val="10"/>
        <w:spacing w:before="83"/>
        <w:ind w:left="384"/>
      </w:pPr>
      <w:r>
        <w:rPr>
          <w:rFonts w:hint="eastAsia"/>
        </w:rPr>
        <w:t>理。</w:t>
      </w:r>
    </w:p>
    <w:p>
      <w:pPr>
        <w:pStyle w:val="10"/>
        <w:rPr>
          <w:sz w:val="20"/>
        </w:rPr>
      </w:pPr>
    </w:p>
    <w:p>
      <w:pPr>
        <w:pStyle w:val="20"/>
        <w:numPr>
          <w:ilvl w:val="3"/>
          <w:numId w:val="5"/>
        </w:numPr>
        <w:tabs>
          <w:tab w:val="left" w:pos="1125"/>
        </w:tabs>
        <w:spacing w:before="1"/>
        <w:ind w:left="1124" w:hanging="302"/>
        <w:jc w:val="left"/>
        <w:rPr>
          <w:sz w:val="24"/>
        </w:rPr>
      </w:pPr>
      <w:r>
        <w:rPr>
          <w:rFonts w:hint="eastAsia"/>
          <w:sz w:val="24"/>
        </w:rPr>
        <w:t>索赔</w:t>
      </w:r>
    </w:p>
    <w:p>
      <w:pPr>
        <w:pStyle w:val="10"/>
        <w:spacing w:before="7"/>
        <w:rPr>
          <w:sz w:val="20"/>
        </w:rPr>
      </w:pPr>
    </w:p>
    <w:p>
      <w:pPr>
        <w:pStyle w:val="20"/>
        <w:numPr>
          <w:ilvl w:val="4"/>
          <w:numId w:val="5"/>
        </w:numPr>
        <w:tabs>
          <w:tab w:val="left" w:pos="1529"/>
        </w:tabs>
        <w:spacing w:line="304" w:lineRule="auto"/>
        <w:ind w:left="384" w:right="467" w:firstLine="480"/>
        <w:jc w:val="both"/>
        <w:rPr>
          <w:sz w:val="24"/>
        </w:rPr>
      </w:pPr>
      <w:r>
        <w:rPr>
          <w:rFonts w:hint="eastAsia"/>
          <w:sz w:val="24"/>
        </w:rPr>
        <w:t>当一方向另一方提出索赔时，要有正当索赔理由，并向监理人提交索赔事件发生时的有效证据。</w:t>
      </w:r>
    </w:p>
    <w:p>
      <w:pPr>
        <w:pStyle w:val="20"/>
        <w:numPr>
          <w:ilvl w:val="4"/>
          <w:numId w:val="5"/>
        </w:numPr>
        <w:tabs>
          <w:tab w:val="left" w:pos="1529"/>
        </w:tabs>
        <w:spacing w:before="1" w:line="307" w:lineRule="auto"/>
        <w:ind w:left="384" w:right="467" w:firstLine="480"/>
        <w:jc w:val="both"/>
        <w:rPr>
          <w:sz w:val="24"/>
        </w:rPr>
      </w:pPr>
      <w:r>
        <w:rPr>
          <w:rFonts w:hint="eastAsia"/>
          <w:sz w:val="24"/>
        </w:rPr>
        <w:t>发包人未能按合同约定履行自己的各项义务或发生错误，造成工期延误和承包人经济损失，承包人可按下列程序以书面形式申请索赔：</w:t>
      </w:r>
    </w:p>
    <w:p>
      <w:pPr>
        <w:pStyle w:val="20"/>
        <w:numPr>
          <w:ilvl w:val="0"/>
          <w:numId w:val="39"/>
        </w:numPr>
        <w:tabs>
          <w:tab w:val="left" w:pos="1468"/>
        </w:tabs>
        <w:spacing w:line="304" w:lineRule="auto"/>
        <w:ind w:right="467" w:firstLine="480"/>
        <w:jc w:val="both"/>
        <w:rPr>
          <w:sz w:val="24"/>
        </w:rPr>
      </w:pPr>
      <w:r>
        <w:rPr>
          <w:rFonts w:hint="eastAsia"/>
          <w:spacing w:val="-5"/>
          <w:sz w:val="24"/>
        </w:rPr>
        <w:t xml:space="preserve">索赔事件首次发生的 </w:t>
      </w:r>
      <w:r>
        <w:rPr>
          <w:rFonts w:hint="eastAsia"/>
          <w:sz w:val="24"/>
        </w:rPr>
        <w:t>21</w:t>
      </w:r>
      <w:r>
        <w:rPr>
          <w:rFonts w:hint="eastAsia"/>
          <w:spacing w:val="11"/>
          <w:sz w:val="24"/>
        </w:rPr>
        <w:t xml:space="preserve"> </w:t>
      </w:r>
      <w:r>
        <w:rPr>
          <w:rFonts w:hint="eastAsia"/>
          <w:spacing w:val="-1"/>
          <w:sz w:val="24"/>
        </w:rPr>
        <w:t>天之内，向监理人提出索赔意向书，并抄送发包</w:t>
      </w:r>
      <w:r>
        <w:rPr>
          <w:rFonts w:hint="eastAsia"/>
          <w:sz w:val="24"/>
        </w:rPr>
        <w:t>人；</w:t>
      </w:r>
    </w:p>
    <w:p>
      <w:pPr>
        <w:pStyle w:val="20"/>
        <w:numPr>
          <w:ilvl w:val="0"/>
          <w:numId w:val="39"/>
        </w:numPr>
        <w:tabs>
          <w:tab w:val="left" w:pos="1468"/>
        </w:tabs>
        <w:spacing w:before="2" w:line="304" w:lineRule="auto"/>
        <w:ind w:right="467" w:firstLine="480"/>
        <w:jc w:val="both"/>
        <w:rPr>
          <w:sz w:val="24"/>
        </w:rPr>
      </w:pPr>
      <w:r>
        <w:rPr>
          <w:rFonts w:hint="eastAsia"/>
          <w:spacing w:val="-5"/>
          <w:sz w:val="24"/>
        </w:rPr>
        <w:t xml:space="preserve">发出索赔意向通知后 </w:t>
      </w:r>
      <w:r>
        <w:rPr>
          <w:rFonts w:hint="eastAsia"/>
          <w:sz w:val="24"/>
        </w:rPr>
        <w:t>21</w:t>
      </w:r>
      <w:r>
        <w:rPr>
          <w:rFonts w:hint="eastAsia"/>
          <w:spacing w:val="11"/>
          <w:sz w:val="24"/>
        </w:rPr>
        <w:t xml:space="preserve"> </w:t>
      </w:r>
      <w:r>
        <w:rPr>
          <w:rFonts w:hint="eastAsia"/>
          <w:spacing w:val="-1"/>
          <w:sz w:val="24"/>
        </w:rPr>
        <w:t>天内或监理人同意的另一期限内，承包人应送交</w:t>
      </w:r>
      <w:r>
        <w:rPr>
          <w:rFonts w:hint="eastAsia"/>
          <w:sz w:val="24"/>
        </w:rPr>
        <w:t>监理人一份拟索赔款额的详细账目，并说明索赔所依据的理由；</w:t>
      </w:r>
    </w:p>
    <w:p>
      <w:pPr>
        <w:pStyle w:val="20"/>
        <w:numPr>
          <w:ilvl w:val="0"/>
          <w:numId w:val="39"/>
        </w:numPr>
        <w:tabs>
          <w:tab w:val="left" w:pos="1468"/>
        </w:tabs>
        <w:spacing w:before="1" w:line="307" w:lineRule="auto"/>
        <w:ind w:right="346" w:firstLine="480"/>
        <w:jc w:val="both"/>
        <w:rPr>
          <w:sz w:val="24"/>
        </w:rPr>
      </w:pPr>
      <w:r>
        <w:rPr>
          <w:rFonts w:hint="eastAsia"/>
          <w:spacing w:val="-5"/>
          <w:sz w:val="24"/>
        </w:rPr>
        <w:t xml:space="preserve">在索赔事件影响结束后的 </w:t>
      </w:r>
      <w:r>
        <w:rPr>
          <w:rFonts w:hint="eastAsia"/>
          <w:sz w:val="24"/>
        </w:rPr>
        <w:t>28</w:t>
      </w:r>
      <w:r>
        <w:rPr>
          <w:rFonts w:hint="eastAsia"/>
          <w:spacing w:val="6"/>
          <w:sz w:val="24"/>
        </w:rPr>
        <w:t xml:space="preserve"> </w:t>
      </w:r>
      <w:r>
        <w:rPr>
          <w:rFonts w:hint="eastAsia"/>
          <w:sz w:val="24"/>
        </w:rPr>
        <w:t>天内，承包人应向监理人递交最终索赔通知</w:t>
      </w:r>
      <w:r>
        <w:rPr>
          <w:rFonts w:hint="eastAsia"/>
          <w:spacing w:val="-10"/>
          <w:sz w:val="24"/>
        </w:rPr>
        <w:t>书，说明最终要求索赔的追加付款金额和延长的工期，并附必要的记录和证明材料；</w:t>
      </w:r>
    </w:p>
    <w:p>
      <w:pPr>
        <w:pStyle w:val="20"/>
        <w:numPr>
          <w:ilvl w:val="0"/>
          <w:numId w:val="39"/>
        </w:numPr>
        <w:tabs>
          <w:tab w:val="left" w:pos="1465"/>
        </w:tabs>
        <w:spacing w:line="304" w:lineRule="auto"/>
        <w:ind w:right="466" w:firstLine="480"/>
        <w:jc w:val="both"/>
        <w:rPr>
          <w:sz w:val="24"/>
        </w:rPr>
      </w:pPr>
      <w:r>
        <w:rPr>
          <w:rFonts w:hint="eastAsia"/>
          <w:spacing w:val="-2"/>
          <w:sz w:val="24"/>
        </w:rPr>
        <w:t>监理人应对承包人按规定提供的索赔证据和详细账目进行审查核实，查</w:t>
      </w:r>
      <w:r>
        <w:rPr>
          <w:rFonts w:hint="eastAsia"/>
          <w:spacing w:val="-5"/>
          <w:sz w:val="24"/>
        </w:rPr>
        <w:t xml:space="preserve">验承包人的记录和证明材料，必要时监理人可要求承包人提交全部原始记录副本； </w:t>
      </w:r>
      <w:r>
        <w:rPr>
          <w:rFonts w:hint="eastAsia"/>
          <w:spacing w:val="-4"/>
          <w:sz w:val="24"/>
        </w:rPr>
        <w:t>在与承包人协商并报发包人批准后，确定承包人有权得到的全部的索赔款额，并按规定列入中期支付证书或最后支付证书内予以支付。监理人将此决定通知承包人， 并抄送发包人。</w:t>
      </w:r>
    </w:p>
    <w:p>
      <w:pPr>
        <w:pStyle w:val="20"/>
        <w:numPr>
          <w:ilvl w:val="4"/>
          <w:numId w:val="5"/>
        </w:numPr>
        <w:tabs>
          <w:tab w:val="left" w:pos="1524"/>
        </w:tabs>
        <w:spacing w:before="6"/>
        <w:ind w:left="1524" w:hanging="660"/>
        <w:jc w:val="both"/>
        <w:rPr>
          <w:sz w:val="24"/>
        </w:rPr>
      </w:pPr>
      <w:r>
        <w:rPr>
          <w:rFonts w:hint="eastAsia"/>
          <w:sz w:val="24"/>
        </w:rPr>
        <w:t>承包人提出索赔的期限</w:t>
      </w:r>
    </w:p>
    <w:p>
      <w:pPr>
        <w:pStyle w:val="20"/>
        <w:numPr>
          <w:ilvl w:val="0"/>
          <w:numId w:val="40"/>
        </w:numPr>
        <w:tabs>
          <w:tab w:val="left" w:pos="1465"/>
        </w:tabs>
        <w:spacing w:before="84" w:line="304" w:lineRule="auto"/>
        <w:ind w:right="466" w:firstLine="480"/>
        <w:rPr>
          <w:sz w:val="24"/>
        </w:rPr>
      </w:pPr>
      <w:r>
        <w:rPr>
          <w:rFonts w:hint="eastAsia"/>
          <w:spacing w:val="-3"/>
          <w:sz w:val="24"/>
        </w:rPr>
        <w:t>承包人按约定接受了竣工付款证书后，应被认为已无权再提出在合同工</w:t>
      </w:r>
      <w:r>
        <w:rPr>
          <w:rFonts w:hint="eastAsia"/>
          <w:spacing w:val="-5"/>
          <w:sz w:val="24"/>
        </w:rPr>
        <w:t>程接收证书颁发前所发生的任何索赔；</w:t>
      </w:r>
    </w:p>
    <w:p>
      <w:pPr>
        <w:pStyle w:val="20"/>
        <w:numPr>
          <w:ilvl w:val="0"/>
          <w:numId w:val="40"/>
        </w:numPr>
        <w:tabs>
          <w:tab w:val="left" w:pos="1465"/>
        </w:tabs>
        <w:spacing w:before="3" w:line="304" w:lineRule="auto"/>
        <w:ind w:right="466" w:firstLine="480"/>
        <w:rPr>
          <w:sz w:val="24"/>
        </w:rPr>
      </w:pPr>
      <w:r>
        <w:rPr>
          <w:rFonts w:hint="eastAsia"/>
          <w:spacing w:val="-3"/>
          <w:sz w:val="24"/>
        </w:rPr>
        <w:t>承包人按约定提交的最终结清申请单中，只限于提出工程接收证书颁发</w:t>
      </w:r>
      <w:r>
        <w:rPr>
          <w:rFonts w:hint="eastAsia"/>
          <w:spacing w:val="-5"/>
          <w:sz w:val="24"/>
        </w:rPr>
        <w:t>后发生的索赔。提出索赔的期限自接受最终结清证书时终止。</w:t>
      </w:r>
    </w:p>
    <w:p>
      <w:pPr>
        <w:pStyle w:val="20"/>
        <w:numPr>
          <w:ilvl w:val="4"/>
          <w:numId w:val="5"/>
        </w:numPr>
        <w:tabs>
          <w:tab w:val="left" w:pos="1523"/>
          <w:tab w:val="left" w:pos="1524"/>
        </w:tabs>
        <w:spacing w:before="2"/>
        <w:ind w:left="1524" w:hanging="660"/>
        <w:rPr>
          <w:sz w:val="24"/>
        </w:rPr>
      </w:pPr>
      <w:r>
        <w:rPr>
          <w:rFonts w:hint="eastAsia"/>
          <w:sz w:val="24"/>
        </w:rPr>
        <w:t>发包人的索赔</w:t>
      </w:r>
    </w:p>
    <w:p>
      <w:pPr>
        <w:pStyle w:val="20"/>
        <w:numPr>
          <w:ilvl w:val="0"/>
          <w:numId w:val="41"/>
        </w:numPr>
        <w:tabs>
          <w:tab w:val="left" w:pos="1465"/>
        </w:tabs>
        <w:spacing w:before="86" w:line="304" w:lineRule="auto"/>
        <w:ind w:right="466" w:firstLine="480"/>
        <w:jc w:val="both"/>
        <w:rPr>
          <w:sz w:val="24"/>
        </w:rPr>
      </w:pPr>
      <w:r>
        <w:rPr>
          <w:rFonts w:hint="eastAsia"/>
          <w:spacing w:val="-6"/>
          <w:sz w:val="24"/>
        </w:rPr>
        <w:t>发生索赔事件后，监理人应及时书面通知承包人，详细说明发包人有权</w:t>
      </w:r>
      <w:r>
        <w:rPr>
          <w:rFonts w:hint="eastAsia"/>
          <w:spacing w:val="-3"/>
          <w:sz w:val="24"/>
        </w:rPr>
        <w:t>得到的索赔金额和</w:t>
      </w:r>
      <w:r>
        <w:rPr>
          <w:rFonts w:hint="eastAsia"/>
          <w:spacing w:val="4"/>
          <w:sz w:val="24"/>
        </w:rPr>
        <w:t>(</w:t>
      </w:r>
      <w:r>
        <w:rPr>
          <w:rFonts w:hint="eastAsia"/>
          <w:sz w:val="24"/>
        </w:rPr>
        <w:t>或</w:t>
      </w:r>
      <w:r>
        <w:rPr>
          <w:rFonts w:hint="eastAsia"/>
          <w:spacing w:val="4"/>
          <w:sz w:val="24"/>
        </w:rPr>
        <w:t>)</w:t>
      </w:r>
      <w:r>
        <w:rPr>
          <w:rFonts w:hint="eastAsia"/>
          <w:sz w:val="24"/>
        </w:rPr>
        <w:t>延长缺陷责任期的细节和依据。发包人提出索赔的期限和要求与承包人提出索赔期限和要求约定相同，延长缺陷责任期的通知应在缺陷责任期</w:t>
      </w:r>
      <w:r>
        <w:rPr>
          <w:rFonts w:hint="eastAsia"/>
          <w:spacing w:val="-4"/>
          <w:sz w:val="24"/>
        </w:rPr>
        <w:t>届满前发出；</w:t>
      </w:r>
    </w:p>
    <w:p>
      <w:pPr>
        <w:pStyle w:val="20"/>
        <w:numPr>
          <w:ilvl w:val="0"/>
          <w:numId w:val="41"/>
        </w:numPr>
        <w:tabs>
          <w:tab w:val="left" w:pos="1465"/>
        </w:tabs>
        <w:spacing w:before="5" w:line="307" w:lineRule="auto"/>
        <w:ind w:right="466" w:firstLine="480"/>
        <w:jc w:val="both"/>
        <w:rPr>
          <w:sz w:val="24"/>
        </w:rPr>
      </w:pPr>
      <w:r>
        <w:rPr>
          <w:rFonts w:hint="eastAsia"/>
          <w:spacing w:val="-1"/>
          <w:sz w:val="24"/>
        </w:rPr>
        <w:t>监理人按商定或确定发包人从承包人处得到赔付的金额和</w:t>
      </w:r>
      <w:r>
        <w:rPr>
          <w:rFonts w:hint="eastAsia"/>
          <w:sz w:val="24"/>
        </w:rPr>
        <w:t>(或)</w:t>
      </w:r>
      <w:r>
        <w:rPr>
          <w:rFonts w:hint="eastAsia"/>
          <w:spacing w:val="-4"/>
          <w:sz w:val="24"/>
        </w:rPr>
        <w:t>缺陷责任期</w:t>
      </w:r>
      <w:r>
        <w:rPr>
          <w:rFonts w:hint="eastAsia"/>
          <w:spacing w:val="-1"/>
          <w:sz w:val="24"/>
        </w:rPr>
        <w:t>的延长期。承包人应付给发包人的金额可从拟支付给承包人的合同价款中扣除，或</w:t>
      </w:r>
      <w:r>
        <w:rPr>
          <w:rFonts w:hint="eastAsia"/>
          <w:sz w:val="24"/>
        </w:rPr>
        <w:t>由承包人以其他方式支付给发包人。</w:t>
      </w:r>
    </w:p>
    <w:p>
      <w:pPr>
        <w:spacing w:line="307" w:lineRule="auto"/>
        <w:jc w:val="both"/>
        <w:rPr>
          <w:sz w:val="24"/>
        </w:rPr>
        <w:sectPr>
          <w:pgSz w:w="11910" w:h="16840"/>
          <w:pgMar w:top="1360" w:right="1120" w:bottom="1080" w:left="1260" w:header="882" w:footer="880" w:gutter="0"/>
          <w:cols w:space="720" w:num="1"/>
        </w:sectPr>
      </w:pPr>
    </w:p>
    <w:p>
      <w:pPr>
        <w:pStyle w:val="10"/>
        <w:spacing w:before="8"/>
        <w:rPr>
          <w:sz w:val="16"/>
        </w:rPr>
      </w:pPr>
    </w:p>
    <w:p>
      <w:pPr>
        <w:pStyle w:val="20"/>
        <w:numPr>
          <w:ilvl w:val="3"/>
          <w:numId w:val="5"/>
        </w:numPr>
        <w:tabs>
          <w:tab w:val="left" w:pos="1125"/>
        </w:tabs>
        <w:spacing w:before="77"/>
        <w:ind w:left="1124" w:right="7098" w:hanging="1125"/>
        <w:jc w:val="left"/>
        <w:rPr>
          <w:sz w:val="24"/>
        </w:rPr>
      </w:pPr>
      <w:r>
        <w:rPr>
          <w:rFonts w:hint="eastAsia"/>
          <w:sz w:val="24"/>
        </w:rPr>
        <w:t>争议</w:t>
      </w:r>
    </w:p>
    <w:p>
      <w:pPr>
        <w:pStyle w:val="10"/>
        <w:spacing w:before="4"/>
        <w:rPr>
          <w:sz w:val="20"/>
        </w:rPr>
      </w:pPr>
    </w:p>
    <w:p>
      <w:pPr>
        <w:pStyle w:val="20"/>
        <w:numPr>
          <w:ilvl w:val="4"/>
          <w:numId w:val="5"/>
        </w:numPr>
        <w:tabs>
          <w:tab w:val="left" w:pos="1529"/>
        </w:tabs>
        <w:spacing w:before="1" w:line="307" w:lineRule="auto"/>
        <w:ind w:left="384" w:right="465" w:firstLine="480"/>
        <w:jc w:val="both"/>
        <w:rPr>
          <w:sz w:val="24"/>
        </w:rPr>
      </w:pPr>
      <w:r>
        <w:rPr>
          <w:rFonts w:hint="eastAsia"/>
          <w:sz w:val="24"/>
        </w:rPr>
        <w:t>无论在施工过程中或在工程竣工之后，无论在本合同的失效或终止之前</w:t>
      </w:r>
      <w:r>
        <w:rPr>
          <w:rFonts w:hint="eastAsia"/>
          <w:spacing w:val="-1"/>
          <w:sz w:val="24"/>
        </w:rPr>
        <w:t>或之后，如果发包人和承包人之间就本合同文件的条款、规定、规范、图纸、质量与进度要求，支付与扣除，延期与索赔发生任何法律上、经济上或技术上的纠纷， 包括对监理人作出指示、指令、决定、评定、认证和价格发生的纠纷，纠纷中的问题，首先应根据本条款规定书面提交给监理人解决，并抄送另一方。监理人在收到</w:t>
      </w:r>
      <w:r>
        <w:rPr>
          <w:rFonts w:hint="eastAsia"/>
          <w:spacing w:val="-9"/>
          <w:sz w:val="24"/>
        </w:rPr>
        <w:t xml:space="preserve">此提交文件后 </w:t>
      </w:r>
      <w:r>
        <w:rPr>
          <w:rFonts w:hint="eastAsia"/>
          <w:sz w:val="24"/>
        </w:rPr>
        <w:t>42 天之内应将自己的裁定通知发包人和承包人。</w:t>
      </w:r>
    </w:p>
    <w:p>
      <w:pPr>
        <w:pStyle w:val="20"/>
        <w:numPr>
          <w:ilvl w:val="4"/>
          <w:numId w:val="5"/>
        </w:numPr>
        <w:tabs>
          <w:tab w:val="left" w:pos="1529"/>
        </w:tabs>
        <w:spacing w:line="307" w:lineRule="auto"/>
        <w:ind w:left="384" w:right="382" w:firstLine="480"/>
        <w:jc w:val="both"/>
        <w:rPr>
          <w:sz w:val="24"/>
        </w:rPr>
      </w:pPr>
      <w:r>
        <w:rPr>
          <w:rFonts w:hint="eastAsia"/>
          <w:sz w:val="24"/>
        </w:rPr>
        <w:t>如果发包人或承包人有一方对监理人的裁定有异议，或如果监理人在收</w:t>
      </w:r>
      <w:r>
        <w:rPr>
          <w:rFonts w:hint="eastAsia"/>
          <w:spacing w:val="-9"/>
          <w:sz w:val="24"/>
        </w:rPr>
        <w:t xml:space="preserve">到提交文件后 </w:t>
      </w:r>
      <w:r>
        <w:rPr>
          <w:rFonts w:hint="eastAsia"/>
          <w:sz w:val="24"/>
        </w:rPr>
        <w:t xml:space="preserve">42 </w:t>
      </w:r>
      <w:r>
        <w:rPr>
          <w:rFonts w:hint="eastAsia"/>
          <w:spacing w:val="-1"/>
          <w:sz w:val="24"/>
        </w:rPr>
        <w:t>天内，没有发出自己裁定通知，则双方可采取下列程序解决争议：</w:t>
      </w:r>
    </w:p>
    <w:p>
      <w:pPr>
        <w:pStyle w:val="20"/>
        <w:numPr>
          <w:ilvl w:val="0"/>
          <w:numId w:val="42"/>
        </w:numPr>
        <w:tabs>
          <w:tab w:val="left" w:pos="1465"/>
        </w:tabs>
        <w:spacing w:line="304" w:lineRule="auto"/>
        <w:ind w:right="466" w:firstLine="480"/>
        <w:rPr>
          <w:sz w:val="24"/>
        </w:rPr>
      </w:pPr>
      <w:r>
        <w:rPr>
          <w:rFonts w:hint="eastAsia"/>
          <w:sz w:val="24"/>
        </w:rPr>
        <w:t>双方就纠纷事项进行友好协商解决或通过双方上级主管部门进行调解或</w:t>
      </w:r>
      <w:r>
        <w:rPr>
          <w:rFonts w:hint="eastAsia"/>
          <w:spacing w:val="-5"/>
          <w:sz w:val="24"/>
        </w:rPr>
        <w:t>争议评审解决；</w:t>
      </w:r>
    </w:p>
    <w:p>
      <w:pPr>
        <w:pStyle w:val="20"/>
        <w:numPr>
          <w:ilvl w:val="0"/>
          <w:numId w:val="42"/>
        </w:numPr>
        <w:tabs>
          <w:tab w:val="left" w:pos="1465"/>
        </w:tabs>
        <w:spacing w:before="6" w:line="319" w:lineRule="auto"/>
        <w:ind w:right="382" w:firstLine="480"/>
        <w:rPr>
          <w:sz w:val="24"/>
        </w:rPr>
      </w:pPr>
      <w:r>
        <w:rPr>
          <w:rFonts w:hint="eastAsia"/>
          <w:spacing w:val="-1"/>
          <w:sz w:val="24"/>
        </w:rPr>
        <w:t xml:space="preserve">发包人和承包人接受评审意见的，由监理人根据评审意见拟定执行协议， </w:t>
      </w:r>
      <w:r>
        <w:rPr>
          <w:rFonts w:hint="eastAsia"/>
          <w:sz w:val="24"/>
        </w:rPr>
        <w:t>经争议双方签字后作为合同的补充文件，并遵照执行；</w:t>
      </w:r>
    </w:p>
    <w:p>
      <w:pPr>
        <w:pStyle w:val="20"/>
        <w:numPr>
          <w:ilvl w:val="0"/>
          <w:numId w:val="42"/>
        </w:numPr>
        <w:tabs>
          <w:tab w:val="left" w:pos="1465"/>
        </w:tabs>
        <w:spacing w:line="319" w:lineRule="auto"/>
        <w:ind w:right="466" w:firstLine="480"/>
        <w:jc w:val="both"/>
        <w:rPr>
          <w:sz w:val="24"/>
        </w:rPr>
      </w:pPr>
      <w:r>
        <w:rPr>
          <w:rFonts w:hint="eastAsia"/>
          <w:spacing w:val="-3"/>
          <w:sz w:val="24"/>
        </w:rPr>
        <w:t>发包人或承包人不接受评审意见，并要求提交仲裁或提起诉讼的，应在</w:t>
      </w:r>
      <w:r>
        <w:rPr>
          <w:rFonts w:hint="eastAsia"/>
          <w:spacing w:val="-12"/>
          <w:sz w:val="24"/>
        </w:rPr>
        <w:t xml:space="preserve">收到评审意见后的 </w:t>
      </w:r>
      <w:r>
        <w:rPr>
          <w:rFonts w:hint="eastAsia"/>
          <w:sz w:val="24"/>
        </w:rPr>
        <w:t xml:space="preserve">14 </w:t>
      </w:r>
      <w:r>
        <w:rPr>
          <w:rFonts w:hint="eastAsia"/>
          <w:spacing w:val="-5"/>
          <w:sz w:val="24"/>
        </w:rPr>
        <w:t>天内将仲裁或起诉意向书面通知另一方，并抄送监理人，但在仲裁或诉讼结束前应暂按监理人的确定执行。</w:t>
      </w:r>
    </w:p>
    <w:p>
      <w:pPr>
        <w:pStyle w:val="20"/>
        <w:numPr>
          <w:ilvl w:val="4"/>
          <w:numId w:val="5"/>
        </w:numPr>
        <w:tabs>
          <w:tab w:val="left" w:pos="1529"/>
        </w:tabs>
        <w:spacing w:before="4" w:line="319" w:lineRule="auto"/>
        <w:ind w:left="384" w:right="465" w:firstLine="480"/>
        <w:jc w:val="both"/>
        <w:rPr>
          <w:sz w:val="24"/>
        </w:rPr>
      </w:pPr>
      <w:r>
        <w:rPr>
          <w:rFonts w:hint="eastAsia"/>
          <w:sz w:val="24"/>
        </w:rPr>
        <w:t>除非本合同已被终止，承包人无论在什么情况下都应尽一切努力继续完</w:t>
      </w:r>
      <w:r>
        <w:rPr>
          <w:rFonts w:hint="eastAsia"/>
          <w:spacing w:val="-1"/>
          <w:sz w:val="24"/>
        </w:rPr>
        <w:t>成本工程，承包人和发包人应使监理人的裁定付诸实施，除非监理人对裁定作出新</w:t>
      </w:r>
      <w:r>
        <w:rPr>
          <w:rFonts w:hint="eastAsia"/>
          <w:sz w:val="24"/>
        </w:rPr>
        <w:t>的更改。</w:t>
      </w:r>
    </w:p>
    <w:p>
      <w:pPr>
        <w:pStyle w:val="10"/>
        <w:spacing w:before="182"/>
        <w:ind w:left="372" w:right="7530"/>
        <w:jc w:val="center"/>
      </w:pPr>
      <w:r>
        <w:rPr>
          <w:rFonts w:hint="eastAsia"/>
        </w:rPr>
        <w:t>十一、其他</w:t>
      </w:r>
    </w:p>
    <w:p>
      <w:pPr>
        <w:pStyle w:val="10"/>
        <w:spacing w:before="1"/>
        <w:rPr>
          <w:sz w:val="22"/>
        </w:rPr>
      </w:pPr>
    </w:p>
    <w:p>
      <w:pPr>
        <w:pStyle w:val="20"/>
        <w:numPr>
          <w:ilvl w:val="3"/>
          <w:numId w:val="5"/>
        </w:numPr>
        <w:tabs>
          <w:tab w:val="left" w:pos="1125"/>
        </w:tabs>
        <w:ind w:left="1124" w:hanging="302"/>
        <w:jc w:val="left"/>
        <w:rPr>
          <w:sz w:val="24"/>
        </w:rPr>
      </w:pPr>
      <w:r>
        <w:rPr>
          <w:rFonts w:hint="eastAsia"/>
          <w:sz w:val="24"/>
        </w:rPr>
        <w:t>转让与分包</w:t>
      </w:r>
    </w:p>
    <w:p>
      <w:pPr>
        <w:pStyle w:val="10"/>
        <w:spacing w:before="4"/>
        <w:rPr>
          <w:sz w:val="22"/>
        </w:rPr>
      </w:pPr>
    </w:p>
    <w:p>
      <w:pPr>
        <w:pStyle w:val="20"/>
        <w:numPr>
          <w:ilvl w:val="4"/>
          <w:numId w:val="5"/>
        </w:numPr>
        <w:tabs>
          <w:tab w:val="left" w:pos="1523"/>
          <w:tab w:val="left" w:pos="1524"/>
        </w:tabs>
        <w:spacing w:line="312" w:lineRule="auto"/>
        <w:ind w:left="384" w:right="562" w:firstLine="480"/>
        <w:rPr>
          <w:sz w:val="24"/>
        </w:rPr>
      </w:pPr>
      <w:r>
        <w:rPr>
          <w:rFonts w:hint="eastAsia"/>
          <w:spacing w:val="-1"/>
          <w:sz w:val="24"/>
        </w:rPr>
        <w:t>除合同另有约定外，未经对方当事人同意，一方当事人不得将合同权利</w:t>
      </w:r>
      <w:r>
        <w:rPr>
          <w:rFonts w:hint="eastAsia"/>
          <w:sz w:val="24"/>
        </w:rPr>
        <w:t>全部或部分转让给第三人，也不得全部或部分转移合同义务。</w:t>
      </w:r>
    </w:p>
    <w:p>
      <w:pPr>
        <w:pStyle w:val="20"/>
        <w:numPr>
          <w:ilvl w:val="4"/>
          <w:numId w:val="5"/>
        </w:numPr>
        <w:tabs>
          <w:tab w:val="left" w:pos="1523"/>
          <w:tab w:val="left" w:pos="1524"/>
        </w:tabs>
        <w:spacing w:line="312" w:lineRule="auto"/>
        <w:ind w:left="384" w:right="346" w:firstLine="480"/>
        <w:rPr>
          <w:sz w:val="24"/>
        </w:rPr>
      </w:pPr>
      <w:r>
        <w:rPr>
          <w:rFonts w:hint="eastAsia"/>
          <w:sz w:val="24"/>
        </w:rPr>
        <w:t>承包人不得将其承包的全部工程转包给第三人，或将其承包的全部工程</w:t>
      </w:r>
      <w:r>
        <w:rPr>
          <w:rFonts w:hint="eastAsia"/>
          <w:spacing w:val="-6"/>
          <w:sz w:val="24"/>
        </w:rPr>
        <w:t>肢解后以分包的名义转包给第三人。本工程严禁转包和违规分包，且不得再次分包。</w:t>
      </w:r>
    </w:p>
    <w:p>
      <w:pPr>
        <w:pStyle w:val="20"/>
        <w:numPr>
          <w:ilvl w:val="4"/>
          <w:numId w:val="5"/>
        </w:numPr>
        <w:tabs>
          <w:tab w:val="left" w:pos="1523"/>
          <w:tab w:val="left" w:pos="1524"/>
        </w:tabs>
        <w:spacing w:before="2" w:line="312" w:lineRule="auto"/>
        <w:ind w:left="384" w:right="562" w:firstLine="480"/>
        <w:rPr>
          <w:sz w:val="24"/>
        </w:rPr>
      </w:pPr>
      <w:r>
        <w:rPr>
          <w:rFonts w:hint="eastAsia"/>
          <w:spacing w:val="-1"/>
          <w:sz w:val="24"/>
        </w:rPr>
        <w:t xml:space="preserve">承包人不得将工程主体、关键性工作分包给第三人。未经发包人同意， </w:t>
      </w:r>
      <w:r>
        <w:rPr>
          <w:rFonts w:hint="eastAsia"/>
          <w:sz w:val="24"/>
        </w:rPr>
        <w:t>承包人不得将工程的其他部分或工作分包给第三人。</w:t>
      </w:r>
    </w:p>
    <w:p>
      <w:pPr>
        <w:pStyle w:val="20"/>
        <w:numPr>
          <w:ilvl w:val="4"/>
          <w:numId w:val="5"/>
        </w:numPr>
        <w:tabs>
          <w:tab w:val="left" w:pos="1523"/>
          <w:tab w:val="left" w:pos="1524"/>
        </w:tabs>
        <w:spacing w:line="307" w:lineRule="exact"/>
        <w:ind w:left="1524" w:hanging="660"/>
        <w:rPr>
          <w:sz w:val="24"/>
        </w:rPr>
      </w:pPr>
      <w:r>
        <w:rPr>
          <w:rFonts w:hint="eastAsia"/>
          <w:sz w:val="24"/>
        </w:rPr>
        <w:t>分包人的资格能力应与其分包工程的标准和规模相适应。</w:t>
      </w:r>
    </w:p>
    <w:p>
      <w:pPr>
        <w:pStyle w:val="20"/>
        <w:numPr>
          <w:ilvl w:val="4"/>
          <w:numId w:val="5"/>
        </w:numPr>
        <w:tabs>
          <w:tab w:val="left" w:pos="1523"/>
          <w:tab w:val="left" w:pos="1524"/>
        </w:tabs>
        <w:spacing w:before="93"/>
        <w:ind w:left="1524" w:hanging="660"/>
        <w:rPr>
          <w:sz w:val="24"/>
        </w:rPr>
      </w:pPr>
      <w:r>
        <w:rPr>
          <w:rFonts w:hint="eastAsia"/>
          <w:sz w:val="24"/>
        </w:rPr>
        <w:t>承包人应与分包人就分包工程向发包人承担连带责任。</w:t>
      </w:r>
    </w:p>
    <w:p>
      <w:pPr>
        <w:pStyle w:val="20"/>
        <w:numPr>
          <w:ilvl w:val="4"/>
          <w:numId w:val="5"/>
        </w:numPr>
        <w:tabs>
          <w:tab w:val="left" w:pos="1545"/>
          <w:tab w:val="left" w:pos="1546"/>
        </w:tabs>
        <w:spacing w:before="91" w:line="312" w:lineRule="auto"/>
        <w:ind w:left="384" w:right="465" w:firstLine="480"/>
        <w:rPr>
          <w:sz w:val="24"/>
        </w:rPr>
      </w:pPr>
      <w:r>
        <w:rPr>
          <w:rFonts w:hint="eastAsia"/>
          <w:spacing w:val="8"/>
          <w:sz w:val="24"/>
        </w:rPr>
        <w:t>发包人对承包人与分包人之间的法律与经济纠纷不承担任何责任和义务。</w:t>
      </w:r>
    </w:p>
    <w:p>
      <w:pPr>
        <w:pStyle w:val="20"/>
        <w:numPr>
          <w:ilvl w:val="4"/>
          <w:numId w:val="5"/>
        </w:numPr>
        <w:tabs>
          <w:tab w:val="left" w:pos="1523"/>
          <w:tab w:val="left" w:pos="1524"/>
        </w:tabs>
        <w:spacing w:before="2"/>
        <w:ind w:left="1524" w:hanging="660"/>
        <w:rPr>
          <w:sz w:val="24"/>
        </w:rPr>
      </w:pPr>
      <w:r>
        <w:rPr>
          <w:rFonts w:hint="eastAsia"/>
          <w:sz w:val="24"/>
        </w:rPr>
        <w:t>各项分包工作均应遵守《公路工程施工分包管理办法》的有关规定。</w:t>
      </w:r>
    </w:p>
    <w:p>
      <w:pPr>
        <w:rPr>
          <w:sz w:val="24"/>
        </w:rPr>
        <w:sectPr>
          <w:pgSz w:w="11910" w:h="16840"/>
          <w:pgMar w:top="1360" w:right="1120" w:bottom="1080" w:left="1260" w:header="882" w:footer="880" w:gutter="0"/>
          <w:cols w:space="720" w:num="1"/>
        </w:sectPr>
      </w:pPr>
    </w:p>
    <w:p>
      <w:pPr>
        <w:pStyle w:val="10"/>
        <w:spacing w:before="6"/>
        <w:rPr>
          <w:sz w:val="18"/>
        </w:rPr>
      </w:pPr>
    </w:p>
    <w:p>
      <w:pPr>
        <w:pStyle w:val="20"/>
        <w:numPr>
          <w:ilvl w:val="3"/>
          <w:numId w:val="5"/>
        </w:numPr>
        <w:tabs>
          <w:tab w:val="left" w:pos="1125"/>
        </w:tabs>
        <w:spacing w:before="75"/>
        <w:ind w:left="1124" w:hanging="302"/>
        <w:jc w:val="left"/>
        <w:rPr>
          <w:sz w:val="24"/>
        </w:rPr>
      </w:pPr>
      <w:r>
        <w:rPr>
          <w:rFonts w:hint="eastAsia"/>
          <w:sz w:val="24"/>
        </w:rPr>
        <w:t>保险</w:t>
      </w:r>
    </w:p>
    <w:p>
      <w:pPr>
        <w:pStyle w:val="10"/>
        <w:rPr>
          <w:sz w:val="22"/>
        </w:rPr>
      </w:pPr>
    </w:p>
    <w:p>
      <w:pPr>
        <w:pStyle w:val="20"/>
        <w:numPr>
          <w:ilvl w:val="4"/>
          <w:numId w:val="5"/>
        </w:numPr>
        <w:tabs>
          <w:tab w:val="left" w:pos="1528"/>
          <w:tab w:val="left" w:pos="1529"/>
        </w:tabs>
        <w:spacing w:before="1" w:line="319" w:lineRule="auto"/>
        <w:ind w:left="384" w:right="346" w:firstLine="480"/>
        <w:rPr>
          <w:sz w:val="24"/>
        </w:rPr>
      </w:pPr>
      <w:r>
        <w:rPr>
          <w:rFonts w:hint="eastAsia"/>
          <w:sz w:val="24"/>
        </w:rPr>
        <w:t>承包人应为承包工程投保建筑工程一切险、安装工程一切险等工程保险</w:t>
      </w:r>
      <w:r>
        <w:rPr>
          <w:rFonts w:hint="eastAsia"/>
          <w:spacing w:val="-10"/>
          <w:sz w:val="24"/>
        </w:rPr>
        <w:t>及第三者责任险，保险期限为开工日起直至本合同工程签发缺陷责任期终止证书止。</w:t>
      </w:r>
      <w:r>
        <w:rPr>
          <w:rFonts w:hint="eastAsia"/>
          <w:sz w:val="24"/>
        </w:rPr>
        <w:t>相关费用均包含在工程量清单的单价及总额价中，发包人不单独支付。</w:t>
      </w:r>
    </w:p>
    <w:p>
      <w:pPr>
        <w:pStyle w:val="20"/>
        <w:numPr>
          <w:ilvl w:val="4"/>
          <w:numId w:val="5"/>
        </w:numPr>
        <w:tabs>
          <w:tab w:val="left" w:pos="1529"/>
        </w:tabs>
        <w:spacing w:before="4" w:line="319" w:lineRule="auto"/>
        <w:ind w:left="384" w:right="465" w:firstLine="480"/>
        <w:jc w:val="both"/>
        <w:rPr>
          <w:sz w:val="24"/>
        </w:rPr>
      </w:pPr>
      <w:r>
        <w:rPr>
          <w:rFonts w:hint="eastAsia"/>
          <w:sz w:val="24"/>
        </w:rPr>
        <w:t>承包人应依照有关法律规定参加工伤保险，为其履行合同所雇用的全部</w:t>
      </w:r>
      <w:r>
        <w:rPr>
          <w:rFonts w:hint="eastAsia"/>
          <w:spacing w:val="-1"/>
          <w:sz w:val="24"/>
        </w:rPr>
        <w:t>人员缴纳工伤保险费，并要求其分包人也进行此项保险。保险的一切费用应由承包</w:t>
      </w:r>
      <w:r>
        <w:rPr>
          <w:rFonts w:hint="eastAsia"/>
          <w:sz w:val="24"/>
        </w:rPr>
        <w:t>人承担并支付。</w:t>
      </w:r>
    </w:p>
    <w:p>
      <w:pPr>
        <w:pStyle w:val="20"/>
        <w:numPr>
          <w:ilvl w:val="4"/>
          <w:numId w:val="5"/>
        </w:numPr>
        <w:tabs>
          <w:tab w:val="left" w:pos="1529"/>
        </w:tabs>
        <w:spacing w:before="2" w:line="319" w:lineRule="auto"/>
        <w:ind w:left="384" w:right="467" w:firstLine="480"/>
        <w:jc w:val="both"/>
        <w:rPr>
          <w:sz w:val="24"/>
        </w:rPr>
      </w:pPr>
      <w:r>
        <w:rPr>
          <w:rFonts w:hint="eastAsia"/>
          <w:sz w:val="24"/>
        </w:rPr>
        <w:t>承包人应在整个施工期间为其现场机构雇用的全部人员，投保人身意外</w:t>
      </w:r>
      <w:r>
        <w:rPr>
          <w:rFonts w:hint="eastAsia"/>
          <w:spacing w:val="-1"/>
          <w:sz w:val="24"/>
        </w:rPr>
        <w:t>伤害险，缴纳保险费，并要求其分包人也进行此项保险。保险的一切费用应由承包</w:t>
      </w:r>
      <w:r>
        <w:rPr>
          <w:rFonts w:hint="eastAsia"/>
          <w:sz w:val="24"/>
        </w:rPr>
        <w:t>人承担并支付。</w:t>
      </w:r>
    </w:p>
    <w:p>
      <w:pPr>
        <w:pStyle w:val="20"/>
        <w:numPr>
          <w:ilvl w:val="4"/>
          <w:numId w:val="5"/>
        </w:numPr>
        <w:tabs>
          <w:tab w:val="left" w:pos="1529"/>
        </w:tabs>
        <w:spacing w:before="4" w:line="319" w:lineRule="auto"/>
        <w:ind w:left="384" w:right="465" w:firstLine="480"/>
        <w:jc w:val="both"/>
        <w:rPr>
          <w:sz w:val="24"/>
        </w:rPr>
      </w:pPr>
      <w:r>
        <w:rPr>
          <w:rFonts w:hint="eastAsia"/>
          <w:sz w:val="24"/>
        </w:rPr>
        <w:t>承包人应为其施工设备等办理保险，其投保金额应足以现场重置。办理</w:t>
      </w:r>
      <w:r>
        <w:rPr>
          <w:rFonts w:hint="eastAsia"/>
          <w:spacing w:val="-1"/>
          <w:sz w:val="24"/>
        </w:rPr>
        <w:t>本款保险的一切费用均由承包人承担，并包括在工程量清单的单价及总额价中，发</w:t>
      </w:r>
      <w:r>
        <w:rPr>
          <w:rFonts w:hint="eastAsia"/>
          <w:sz w:val="24"/>
        </w:rPr>
        <w:t>包人不单独支付。</w:t>
      </w:r>
    </w:p>
    <w:p>
      <w:pPr>
        <w:pStyle w:val="20"/>
        <w:numPr>
          <w:ilvl w:val="4"/>
          <w:numId w:val="5"/>
        </w:numPr>
        <w:tabs>
          <w:tab w:val="left" w:pos="1529"/>
        </w:tabs>
        <w:spacing w:before="2" w:line="319" w:lineRule="auto"/>
        <w:ind w:left="384" w:right="467" w:firstLine="480"/>
        <w:jc w:val="both"/>
        <w:rPr>
          <w:sz w:val="24"/>
        </w:rPr>
      </w:pPr>
      <w:r>
        <w:rPr>
          <w:rFonts w:hint="eastAsia"/>
          <w:sz w:val="24"/>
        </w:rPr>
        <w:t>承包人应在办理有关保险后，尽快向发包人提供按合同要求所报各种保</w:t>
      </w:r>
      <w:r>
        <w:rPr>
          <w:rFonts w:hint="eastAsia"/>
          <w:spacing w:val="-5"/>
          <w:sz w:val="24"/>
        </w:rPr>
        <w:t xml:space="preserve">险的生效证明，并在开工后 </w:t>
      </w:r>
      <w:r>
        <w:rPr>
          <w:rFonts w:hint="eastAsia"/>
          <w:sz w:val="24"/>
        </w:rPr>
        <w:t>56 天内提交保险单，同时向监理人提交副本。</w:t>
      </w:r>
    </w:p>
    <w:p>
      <w:pPr>
        <w:pStyle w:val="20"/>
        <w:numPr>
          <w:ilvl w:val="4"/>
          <w:numId w:val="5"/>
        </w:numPr>
        <w:tabs>
          <w:tab w:val="left" w:pos="1524"/>
        </w:tabs>
        <w:spacing w:before="3"/>
        <w:ind w:left="1524" w:hanging="660"/>
        <w:jc w:val="both"/>
        <w:rPr>
          <w:sz w:val="24"/>
        </w:rPr>
      </w:pPr>
      <w:r>
        <w:rPr>
          <w:rFonts w:hint="eastAsia"/>
          <w:spacing w:val="-3"/>
          <w:sz w:val="24"/>
        </w:rPr>
        <w:t>保险事故发生时，承包人有责任尽力采取必要措施，防止或者减少损失。</w:t>
      </w:r>
    </w:p>
    <w:p>
      <w:pPr>
        <w:pStyle w:val="10"/>
        <w:spacing w:before="1"/>
        <w:rPr>
          <w:sz w:val="22"/>
        </w:rPr>
      </w:pPr>
    </w:p>
    <w:p>
      <w:pPr>
        <w:pStyle w:val="20"/>
        <w:numPr>
          <w:ilvl w:val="3"/>
          <w:numId w:val="5"/>
        </w:numPr>
        <w:tabs>
          <w:tab w:val="left" w:pos="1125"/>
        </w:tabs>
        <w:ind w:left="1124" w:hanging="302"/>
        <w:jc w:val="left"/>
        <w:rPr>
          <w:sz w:val="24"/>
        </w:rPr>
      </w:pPr>
      <w:r>
        <w:rPr>
          <w:rFonts w:hint="eastAsia"/>
          <w:sz w:val="24"/>
        </w:rPr>
        <w:t>不利物质条件</w:t>
      </w:r>
    </w:p>
    <w:p>
      <w:pPr>
        <w:pStyle w:val="10"/>
        <w:spacing w:before="11"/>
        <w:rPr>
          <w:sz w:val="21"/>
        </w:rPr>
      </w:pPr>
    </w:p>
    <w:p>
      <w:pPr>
        <w:pStyle w:val="20"/>
        <w:numPr>
          <w:ilvl w:val="4"/>
          <w:numId w:val="5"/>
        </w:numPr>
        <w:tabs>
          <w:tab w:val="left" w:pos="1523"/>
          <w:tab w:val="left" w:pos="1524"/>
        </w:tabs>
        <w:spacing w:line="319" w:lineRule="auto"/>
        <w:ind w:left="384" w:right="346" w:firstLine="480"/>
        <w:rPr>
          <w:sz w:val="24"/>
        </w:rPr>
      </w:pPr>
      <w:r>
        <w:rPr>
          <w:rFonts w:hint="eastAsia"/>
          <w:spacing w:val="-5"/>
          <w:sz w:val="24"/>
        </w:rPr>
        <w:t>不利物质条件，是指承包人在施工场地遇到的不可预见的自然物质条件、</w:t>
      </w:r>
      <w:r>
        <w:rPr>
          <w:rFonts w:hint="eastAsia"/>
          <w:sz w:val="24"/>
        </w:rPr>
        <w:t>非自然的物质障碍和污染物，包括地下和水文条件，但不包括气候条件。</w:t>
      </w:r>
    </w:p>
    <w:p>
      <w:pPr>
        <w:pStyle w:val="20"/>
        <w:numPr>
          <w:ilvl w:val="4"/>
          <w:numId w:val="5"/>
        </w:numPr>
        <w:tabs>
          <w:tab w:val="left" w:pos="1528"/>
          <w:tab w:val="left" w:pos="1529"/>
        </w:tabs>
        <w:spacing w:before="3" w:line="319" w:lineRule="auto"/>
        <w:ind w:left="384" w:right="346" w:firstLine="480"/>
        <w:rPr>
          <w:sz w:val="24"/>
        </w:rPr>
      </w:pPr>
      <w:r>
        <w:rPr>
          <w:rFonts w:hint="eastAsia"/>
          <w:sz w:val="24"/>
        </w:rPr>
        <w:t>承包人遇到不利物质条件时，应采取适应不利物质条件的合理措施继续施工，并及时通知监理人。监理人应当及时发出指示，指示构成变更的，按约定办</w:t>
      </w:r>
      <w:r>
        <w:rPr>
          <w:rFonts w:hint="eastAsia"/>
          <w:spacing w:val="-3"/>
          <w:sz w:val="24"/>
        </w:rPr>
        <w:t>理。监理人没有发出指示的，承包人因采取合理措施而增加的费用和</w:t>
      </w:r>
      <w:r>
        <w:rPr>
          <w:rFonts w:hint="eastAsia"/>
          <w:sz w:val="24"/>
        </w:rPr>
        <w:t>(或)</w:t>
      </w:r>
      <w:r>
        <w:rPr>
          <w:rFonts w:hint="eastAsia"/>
          <w:spacing w:val="-4"/>
          <w:sz w:val="24"/>
        </w:rPr>
        <w:t xml:space="preserve">工期延误， </w:t>
      </w:r>
      <w:r>
        <w:rPr>
          <w:rFonts w:hint="eastAsia"/>
          <w:sz w:val="24"/>
        </w:rPr>
        <w:t>由发包人承担。</w:t>
      </w:r>
    </w:p>
    <w:p>
      <w:pPr>
        <w:pStyle w:val="20"/>
        <w:numPr>
          <w:ilvl w:val="3"/>
          <w:numId w:val="5"/>
        </w:numPr>
        <w:tabs>
          <w:tab w:val="left" w:pos="1125"/>
        </w:tabs>
        <w:spacing w:before="162"/>
        <w:ind w:left="1124" w:hanging="302"/>
        <w:jc w:val="left"/>
        <w:rPr>
          <w:sz w:val="24"/>
        </w:rPr>
      </w:pPr>
      <w:r>
        <w:rPr>
          <w:rFonts w:hint="eastAsia"/>
          <w:sz w:val="24"/>
        </w:rPr>
        <w:t>不可抗力后果及其处理</w:t>
      </w:r>
    </w:p>
    <w:p>
      <w:pPr>
        <w:pStyle w:val="10"/>
        <w:spacing w:before="5"/>
        <w:rPr>
          <w:sz w:val="20"/>
        </w:rPr>
      </w:pPr>
    </w:p>
    <w:p>
      <w:pPr>
        <w:pStyle w:val="20"/>
        <w:numPr>
          <w:ilvl w:val="4"/>
          <w:numId w:val="5"/>
        </w:numPr>
        <w:tabs>
          <w:tab w:val="left" w:pos="1528"/>
          <w:tab w:val="left" w:pos="1529"/>
        </w:tabs>
        <w:spacing w:line="307" w:lineRule="auto"/>
        <w:ind w:left="384" w:right="467" w:firstLine="480"/>
        <w:rPr>
          <w:sz w:val="24"/>
        </w:rPr>
      </w:pPr>
      <w:r>
        <w:rPr>
          <w:rFonts w:hint="eastAsia"/>
          <w:sz w:val="24"/>
        </w:rPr>
        <w:t>不可抗力是指承包人和发包人在订立合同时不可预见，在工程施工过程中不可避免发生并不能克服的自然灾害和社会性突发事件。包括但不限于：</w:t>
      </w:r>
    </w:p>
    <w:p>
      <w:pPr>
        <w:pStyle w:val="20"/>
        <w:numPr>
          <w:ilvl w:val="0"/>
          <w:numId w:val="43"/>
        </w:numPr>
        <w:tabs>
          <w:tab w:val="left" w:pos="1465"/>
        </w:tabs>
        <w:spacing w:line="304" w:lineRule="auto"/>
        <w:ind w:right="462" w:firstLine="480"/>
        <w:rPr>
          <w:sz w:val="24"/>
        </w:rPr>
      </w:pPr>
      <w:r>
        <w:rPr>
          <w:rFonts w:hint="eastAsia"/>
          <w:sz w:val="24"/>
        </w:rPr>
        <w:t>地震、海啸、火山爆发、泥石流、暴雨(雪)</w:t>
      </w:r>
      <w:r>
        <w:rPr>
          <w:rFonts w:hint="eastAsia"/>
          <w:spacing w:val="-4"/>
          <w:sz w:val="24"/>
        </w:rPr>
        <w:t>、台风、龙卷风、水灾等自然</w:t>
      </w:r>
      <w:r>
        <w:rPr>
          <w:rFonts w:hint="eastAsia"/>
          <w:sz w:val="24"/>
        </w:rPr>
        <w:t>灾害；</w:t>
      </w:r>
    </w:p>
    <w:p>
      <w:pPr>
        <w:pStyle w:val="20"/>
        <w:numPr>
          <w:ilvl w:val="0"/>
          <w:numId w:val="43"/>
        </w:numPr>
        <w:tabs>
          <w:tab w:val="left" w:pos="1465"/>
        </w:tabs>
        <w:spacing w:before="1" w:line="304" w:lineRule="auto"/>
        <w:ind w:right="462" w:firstLine="480"/>
        <w:rPr>
          <w:sz w:val="24"/>
        </w:rPr>
      </w:pPr>
      <w:r>
        <w:rPr>
          <w:rFonts w:hint="eastAsia"/>
          <w:spacing w:val="-9"/>
          <w:sz w:val="24"/>
        </w:rPr>
        <w:t xml:space="preserve">战争、骚乱、暴动，但纯属承包人或其分包人派遣与雇用的人员由于本 </w:t>
      </w:r>
      <w:r>
        <w:rPr>
          <w:rFonts w:hint="eastAsia"/>
          <w:spacing w:val="-4"/>
          <w:sz w:val="24"/>
        </w:rPr>
        <w:t>合同工程施工原因引起者除外；</w:t>
      </w:r>
    </w:p>
    <w:p>
      <w:pPr>
        <w:pStyle w:val="20"/>
        <w:numPr>
          <w:ilvl w:val="0"/>
          <w:numId w:val="43"/>
        </w:numPr>
        <w:tabs>
          <w:tab w:val="left" w:pos="1465"/>
        </w:tabs>
        <w:spacing w:before="1"/>
        <w:ind w:left="1465"/>
        <w:rPr>
          <w:sz w:val="24"/>
        </w:rPr>
      </w:pPr>
      <w:r>
        <w:rPr>
          <w:rFonts w:hint="eastAsia"/>
          <w:sz w:val="24"/>
        </w:rPr>
        <w:t>核反应、辐射或放射性污染；</w:t>
      </w:r>
    </w:p>
    <w:p>
      <w:pPr>
        <w:rPr>
          <w:sz w:val="24"/>
        </w:rPr>
        <w:sectPr>
          <w:pgSz w:w="11910" w:h="16840"/>
          <w:pgMar w:top="1360" w:right="1120" w:bottom="1080" w:left="1260" w:header="882" w:footer="880" w:gutter="0"/>
          <w:cols w:space="720" w:num="1"/>
        </w:sectPr>
      </w:pPr>
    </w:p>
    <w:p>
      <w:pPr>
        <w:pStyle w:val="10"/>
        <w:spacing w:before="5"/>
        <w:rPr>
          <w:sz w:val="17"/>
        </w:rPr>
      </w:pPr>
    </w:p>
    <w:p>
      <w:pPr>
        <w:pStyle w:val="20"/>
        <w:numPr>
          <w:ilvl w:val="0"/>
          <w:numId w:val="43"/>
        </w:numPr>
        <w:tabs>
          <w:tab w:val="left" w:pos="1465"/>
        </w:tabs>
        <w:spacing w:before="74"/>
        <w:ind w:left="1465"/>
        <w:rPr>
          <w:sz w:val="24"/>
        </w:rPr>
      </w:pPr>
      <w:r>
        <w:rPr>
          <w:rFonts w:hint="eastAsia"/>
          <w:sz w:val="24"/>
        </w:rPr>
        <w:t>空中飞行物体坠落或非发包人或承包人责任造成的爆炸、火灾；</w:t>
      </w:r>
    </w:p>
    <w:p>
      <w:pPr>
        <w:pStyle w:val="20"/>
        <w:numPr>
          <w:ilvl w:val="0"/>
          <w:numId w:val="43"/>
        </w:numPr>
        <w:tabs>
          <w:tab w:val="left" w:pos="1465"/>
        </w:tabs>
        <w:spacing w:before="84"/>
        <w:ind w:left="1465"/>
        <w:rPr>
          <w:sz w:val="24"/>
        </w:rPr>
      </w:pPr>
      <w:r>
        <w:rPr>
          <w:rFonts w:hint="eastAsia"/>
          <w:sz w:val="24"/>
        </w:rPr>
        <w:t>瘟疫；</w:t>
      </w:r>
    </w:p>
    <w:p>
      <w:pPr>
        <w:pStyle w:val="20"/>
        <w:numPr>
          <w:ilvl w:val="0"/>
          <w:numId w:val="43"/>
        </w:numPr>
        <w:tabs>
          <w:tab w:val="left" w:pos="1465"/>
        </w:tabs>
        <w:spacing w:before="86"/>
        <w:ind w:left="1465"/>
        <w:rPr>
          <w:sz w:val="24"/>
        </w:rPr>
      </w:pPr>
      <w:r>
        <w:rPr>
          <w:rFonts w:hint="eastAsia"/>
          <w:sz w:val="24"/>
        </w:rPr>
        <w:t>合同条款约定的其他情形。</w:t>
      </w:r>
    </w:p>
    <w:p>
      <w:pPr>
        <w:pStyle w:val="20"/>
        <w:numPr>
          <w:ilvl w:val="4"/>
          <w:numId w:val="5"/>
        </w:numPr>
        <w:tabs>
          <w:tab w:val="left" w:pos="1523"/>
          <w:tab w:val="left" w:pos="1524"/>
        </w:tabs>
        <w:spacing w:before="83"/>
        <w:ind w:left="1524" w:hanging="660"/>
        <w:rPr>
          <w:sz w:val="24"/>
        </w:rPr>
      </w:pPr>
      <w:r>
        <w:rPr>
          <w:rFonts w:hint="eastAsia"/>
          <w:sz w:val="24"/>
        </w:rPr>
        <w:t>不可抗力造成损害的责任</w:t>
      </w:r>
    </w:p>
    <w:p>
      <w:pPr>
        <w:pStyle w:val="10"/>
        <w:spacing w:before="84" w:line="307" w:lineRule="auto"/>
        <w:ind w:left="384" w:right="465" w:firstLine="480"/>
      </w:pPr>
      <w:r>
        <w:rPr>
          <w:rFonts w:hint="eastAsia"/>
        </w:rPr>
        <w:t>不可抗力导致的人员伤亡、财产损失、费用增加和(或)工期延误等后果，由合同双方按以下原则承担：</w:t>
      </w:r>
    </w:p>
    <w:p>
      <w:pPr>
        <w:pStyle w:val="20"/>
        <w:numPr>
          <w:ilvl w:val="0"/>
          <w:numId w:val="44"/>
        </w:numPr>
        <w:tabs>
          <w:tab w:val="left" w:pos="1465"/>
        </w:tabs>
        <w:spacing w:line="304" w:lineRule="auto"/>
        <w:ind w:right="466" w:firstLine="480"/>
        <w:rPr>
          <w:sz w:val="24"/>
        </w:rPr>
      </w:pPr>
      <w:r>
        <w:rPr>
          <w:rFonts w:hint="eastAsia"/>
          <w:spacing w:val="-6"/>
          <w:sz w:val="24"/>
        </w:rPr>
        <w:t>永久工程，包括已运至施工场地的材料和工程设备的损害，以及因工程</w:t>
      </w:r>
      <w:r>
        <w:rPr>
          <w:rFonts w:hint="eastAsia"/>
          <w:spacing w:val="-5"/>
          <w:sz w:val="24"/>
        </w:rPr>
        <w:t>损害造成的第三者人员伤亡和财产损失由发包人承担；</w:t>
      </w:r>
    </w:p>
    <w:p>
      <w:pPr>
        <w:pStyle w:val="20"/>
        <w:numPr>
          <w:ilvl w:val="0"/>
          <w:numId w:val="44"/>
        </w:numPr>
        <w:tabs>
          <w:tab w:val="left" w:pos="1465"/>
        </w:tabs>
        <w:spacing w:before="2"/>
        <w:ind w:left="1465"/>
        <w:rPr>
          <w:sz w:val="24"/>
        </w:rPr>
      </w:pPr>
      <w:r>
        <w:rPr>
          <w:rFonts w:hint="eastAsia"/>
          <w:sz w:val="24"/>
        </w:rPr>
        <w:t>承包人设备的损坏由承包人承担；</w:t>
      </w:r>
    </w:p>
    <w:p>
      <w:pPr>
        <w:pStyle w:val="20"/>
        <w:numPr>
          <w:ilvl w:val="0"/>
          <w:numId w:val="44"/>
        </w:numPr>
        <w:tabs>
          <w:tab w:val="left" w:pos="1465"/>
        </w:tabs>
        <w:spacing w:before="83"/>
        <w:ind w:left="1465"/>
        <w:rPr>
          <w:sz w:val="24"/>
        </w:rPr>
      </w:pPr>
      <w:r>
        <w:rPr>
          <w:rFonts w:hint="eastAsia"/>
          <w:sz w:val="24"/>
        </w:rPr>
        <w:t>发包人和承包人各自承担其人员伤亡和其他财产损失及其相关费用；</w:t>
      </w:r>
    </w:p>
    <w:p>
      <w:pPr>
        <w:pStyle w:val="20"/>
        <w:numPr>
          <w:ilvl w:val="0"/>
          <w:numId w:val="44"/>
        </w:numPr>
        <w:tabs>
          <w:tab w:val="left" w:pos="1465"/>
        </w:tabs>
        <w:spacing w:before="84" w:line="307" w:lineRule="auto"/>
        <w:ind w:right="466" w:firstLine="480"/>
        <w:rPr>
          <w:sz w:val="24"/>
        </w:rPr>
      </w:pPr>
      <w:r>
        <w:rPr>
          <w:rFonts w:hint="eastAsia"/>
          <w:spacing w:val="-3"/>
          <w:sz w:val="24"/>
        </w:rPr>
        <w:t>承包人的停工损失由承包人承担，但停工期间应监理人要求照管工程和</w:t>
      </w:r>
      <w:r>
        <w:rPr>
          <w:rFonts w:hint="eastAsia"/>
          <w:spacing w:val="-5"/>
          <w:sz w:val="24"/>
        </w:rPr>
        <w:t>清理、修复工程的金额由发包人承担；</w:t>
      </w:r>
    </w:p>
    <w:p>
      <w:pPr>
        <w:pStyle w:val="20"/>
        <w:numPr>
          <w:ilvl w:val="0"/>
          <w:numId w:val="44"/>
        </w:numPr>
        <w:tabs>
          <w:tab w:val="left" w:pos="1465"/>
        </w:tabs>
        <w:spacing w:line="304" w:lineRule="auto"/>
        <w:ind w:right="466" w:firstLine="480"/>
        <w:rPr>
          <w:sz w:val="24"/>
        </w:rPr>
      </w:pPr>
      <w:r>
        <w:rPr>
          <w:rFonts w:hint="eastAsia"/>
          <w:spacing w:val="-7"/>
          <w:sz w:val="24"/>
        </w:rPr>
        <w:t>不能按期竣工的，应合理延长工期，承包人不需支付逾期竣工违约金。发</w:t>
      </w:r>
      <w:r>
        <w:rPr>
          <w:rFonts w:hint="eastAsia"/>
          <w:sz w:val="24"/>
        </w:rPr>
        <w:t>包人要求赶工的，承包人应采取赶工措施，赶工费用由发包人承担。</w:t>
      </w:r>
    </w:p>
    <w:p>
      <w:pPr>
        <w:pStyle w:val="20"/>
        <w:numPr>
          <w:ilvl w:val="4"/>
          <w:numId w:val="5"/>
        </w:numPr>
        <w:tabs>
          <w:tab w:val="left" w:pos="1523"/>
          <w:tab w:val="left" w:pos="1524"/>
        </w:tabs>
        <w:spacing w:before="1"/>
        <w:ind w:left="1524" w:hanging="660"/>
        <w:rPr>
          <w:sz w:val="24"/>
        </w:rPr>
      </w:pPr>
      <w:r>
        <w:rPr>
          <w:rFonts w:hint="eastAsia"/>
          <w:sz w:val="24"/>
        </w:rPr>
        <w:t>延迟履行期间发生的不可抗力</w:t>
      </w:r>
    </w:p>
    <w:p>
      <w:pPr>
        <w:pStyle w:val="10"/>
        <w:spacing w:before="84"/>
        <w:ind w:left="864"/>
      </w:pPr>
      <w:r>
        <w:rPr>
          <w:rFonts w:hint="eastAsia"/>
        </w:rPr>
        <w:t>合同一方当事人延迟履行，在延迟履行期间发生不可抗力的，不免除其责任。</w:t>
      </w:r>
    </w:p>
    <w:p>
      <w:pPr>
        <w:pStyle w:val="20"/>
        <w:numPr>
          <w:ilvl w:val="4"/>
          <w:numId w:val="5"/>
        </w:numPr>
        <w:tabs>
          <w:tab w:val="left" w:pos="1523"/>
          <w:tab w:val="left" w:pos="1524"/>
        </w:tabs>
        <w:spacing w:before="84"/>
        <w:ind w:left="1524" w:hanging="660"/>
        <w:rPr>
          <w:sz w:val="24"/>
        </w:rPr>
      </w:pPr>
      <w:r>
        <w:rPr>
          <w:rFonts w:hint="eastAsia"/>
          <w:sz w:val="24"/>
        </w:rPr>
        <w:t>避免和减少不可抗力损失</w:t>
      </w:r>
    </w:p>
    <w:p>
      <w:pPr>
        <w:pStyle w:val="10"/>
        <w:spacing w:before="86" w:line="304" w:lineRule="auto"/>
        <w:ind w:left="384" w:right="465" w:firstLine="480"/>
      </w:pPr>
      <w:r>
        <w:rPr>
          <w:rFonts w:hint="eastAsia"/>
        </w:rPr>
        <w:t>不可抗力发生后，发包人和承包人均应采取措施尽量避免和减少损失的扩大， 任何一方没有采取有效措施导致损失扩大的，应对扩大的损失承担责任。</w:t>
      </w:r>
    </w:p>
    <w:p>
      <w:pPr>
        <w:pStyle w:val="20"/>
        <w:numPr>
          <w:ilvl w:val="4"/>
          <w:numId w:val="5"/>
        </w:numPr>
        <w:tabs>
          <w:tab w:val="left" w:pos="1523"/>
          <w:tab w:val="left" w:pos="1524"/>
        </w:tabs>
        <w:spacing w:before="1"/>
        <w:ind w:left="1524" w:hanging="660"/>
        <w:rPr>
          <w:sz w:val="24"/>
        </w:rPr>
      </w:pPr>
      <w:r>
        <w:rPr>
          <w:rFonts w:hint="eastAsia"/>
          <w:sz w:val="24"/>
        </w:rPr>
        <w:t>因不可抗力解除合同</w:t>
      </w:r>
    </w:p>
    <w:p>
      <w:pPr>
        <w:pStyle w:val="10"/>
        <w:spacing w:before="86" w:line="304" w:lineRule="auto"/>
        <w:ind w:left="384" w:right="465" w:firstLine="480"/>
        <w:jc w:val="both"/>
      </w:pPr>
      <w:r>
        <w:rPr>
          <w:rFonts w:hint="eastAsia"/>
          <w:spacing w:val="-1"/>
        </w:rPr>
        <w:t xml:space="preserve">合同一方当事人因不可抗力不能履行合同的，应当及时通知对方解除合同。合同解除后，承包人应按照约定撤离施工场地。已经订货的材料、设备由订货方负责退货或解除订货合同，不能退还的货款和因退货、解除订货合同发生的费用，由发包人承担，因未及时退货造成的损失由责任方承担。合同解除后的付款参照约定， </w:t>
      </w:r>
      <w:r>
        <w:rPr>
          <w:rFonts w:hint="eastAsia"/>
        </w:rPr>
        <w:t>由监理人按商定确定。</w:t>
      </w:r>
    </w:p>
    <w:p>
      <w:pPr>
        <w:pStyle w:val="20"/>
        <w:numPr>
          <w:ilvl w:val="3"/>
          <w:numId w:val="5"/>
        </w:numPr>
        <w:tabs>
          <w:tab w:val="left" w:pos="1125"/>
        </w:tabs>
        <w:spacing w:before="179"/>
        <w:ind w:left="1124" w:hanging="302"/>
        <w:jc w:val="left"/>
        <w:rPr>
          <w:sz w:val="24"/>
        </w:rPr>
      </w:pPr>
      <w:r>
        <w:rPr>
          <w:rFonts w:hint="eastAsia"/>
          <w:sz w:val="24"/>
        </w:rPr>
        <w:t>文物</w:t>
      </w:r>
    </w:p>
    <w:p>
      <w:pPr>
        <w:pStyle w:val="10"/>
        <w:spacing w:before="7"/>
        <w:rPr>
          <w:sz w:val="20"/>
        </w:rPr>
      </w:pPr>
    </w:p>
    <w:p>
      <w:pPr>
        <w:pStyle w:val="10"/>
        <w:spacing w:line="304" w:lineRule="auto"/>
        <w:ind w:left="384" w:right="346" w:firstLine="480"/>
      </w:pPr>
      <w:r>
        <w:rPr>
          <w:rFonts w:hint="eastAsia"/>
          <w:spacing w:val="-7"/>
        </w:rPr>
        <w:t>在施工场地发掘出的所有文物、古迹以及具有地质研究或考古价值的其他遗迹、</w:t>
      </w:r>
      <w:r>
        <w:rPr>
          <w:rFonts w:hint="eastAsia"/>
        </w:rPr>
        <w:t>化石、钱币或物品属于国家财产。承包人一旦发现上述文物时，应采取一切必要的措施保护现场，防止任何人员移动或损坏任何该类物品，并立即将此发现通知监理人，并执行监理人关于此事的指令。如果由于这样的指令使承包人工期受到拖延和</w:t>
      </w:r>
    </w:p>
    <w:p>
      <w:pPr>
        <w:pStyle w:val="10"/>
        <w:spacing w:before="5" w:line="307" w:lineRule="auto"/>
        <w:ind w:left="384" w:right="465"/>
        <w:jc w:val="both"/>
      </w:pPr>
      <w:r>
        <w:rPr>
          <w:rFonts w:hint="eastAsia"/>
        </w:rPr>
        <w:t>（或）增加了费用，则监理人在与承包人和发包人协商后应确定延长工期和（或） 增加费用，通知承包人并抄送发包人。承包人发现文物不及时报告或隐瞒不报致使文物丢失或损坏的，应赔偿损失并承担相应的法律责任。</w:t>
      </w:r>
    </w:p>
    <w:p>
      <w:pPr>
        <w:spacing w:line="307" w:lineRule="auto"/>
        <w:jc w:val="both"/>
        <w:sectPr>
          <w:pgSz w:w="11910" w:h="16840"/>
          <w:pgMar w:top="1360" w:right="1120" w:bottom="1080" w:left="1260" w:header="882" w:footer="880" w:gutter="0"/>
          <w:cols w:space="720" w:num="1"/>
        </w:sectPr>
      </w:pPr>
    </w:p>
    <w:p>
      <w:pPr>
        <w:pStyle w:val="10"/>
        <w:spacing w:before="8"/>
        <w:rPr>
          <w:sz w:val="16"/>
        </w:rPr>
      </w:pPr>
    </w:p>
    <w:p>
      <w:pPr>
        <w:pStyle w:val="20"/>
        <w:numPr>
          <w:ilvl w:val="3"/>
          <w:numId w:val="5"/>
        </w:numPr>
        <w:tabs>
          <w:tab w:val="left" w:pos="1125"/>
        </w:tabs>
        <w:spacing w:before="77"/>
        <w:ind w:left="1124" w:hanging="302"/>
        <w:jc w:val="left"/>
        <w:rPr>
          <w:sz w:val="24"/>
        </w:rPr>
      </w:pPr>
      <w:r>
        <w:rPr>
          <w:rFonts w:hint="eastAsia"/>
          <w:sz w:val="24"/>
        </w:rPr>
        <w:t>违约赔偿</w:t>
      </w:r>
    </w:p>
    <w:p>
      <w:pPr>
        <w:pStyle w:val="10"/>
        <w:spacing w:before="4"/>
        <w:rPr>
          <w:sz w:val="20"/>
        </w:rPr>
      </w:pPr>
    </w:p>
    <w:p>
      <w:pPr>
        <w:pStyle w:val="20"/>
        <w:numPr>
          <w:ilvl w:val="4"/>
          <w:numId w:val="5"/>
        </w:numPr>
        <w:tabs>
          <w:tab w:val="left" w:pos="1524"/>
        </w:tabs>
        <w:spacing w:before="1" w:line="307" w:lineRule="auto"/>
        <w:ind w:left="384" w:right="346" w:firstLine="480"/>
        <w:jc w:val="both"/>
        <w:rPr>
          <w:sz w:val="24"/>
        </w:rPr>
      </w:pPr>
      <w:r>
        <w:rPr>
          <w:rFonts w:hint="eastAsia"/>
          <w:spacing w:val="-5"/>
          <w:sz w:val="24"/>
        </w:rPr>
        <w:t xml:space="preserve">施工过程中发包人或监理人、质监机构抽检连续 </w:t>
      </w:r>
      <w:r>
        <w:rPr>
          <w:rFonts w:hint="eastAsia"/>
          <w:sz w:val="24"/>
        </w:rPr>
        <w:t xml:space="preserve">2 </w:t>
      </w:r>
      <w:r>
        <w:rPr>
          <w:rFonts w:hint="eastAsia"/>
          <w:spacing w:val="-2"/>
          <w:sz w:val="24"/>
        </w:rPr>
        <w:t xml:space="preserve">个分项工程不合格者， </w:t>
      </w:r>
      <w:r>
        <w:rPr>
          <w:rFonts w:hint="eastAsia"/>
          <w:spacing w:val="-7"/>
          <w:sz w:val="24"/>
        </w:rPr>
        <w:t xml:space="preserve">按合同条款的有关要求，承包人对不合格分项工程补做或返工，使其达到合格标准， </w:t>
      </w:r>
      <w:r>
        <w:rPr>
          <w:rFonts w:hint="eastAsia"/>
          <w:spacing w:val="-6"/>
          <w:sz w:val="24"/>
        </w:rPr>
        <w:t xml:space="preserve">并赔偿每个分项工程 </w:t>
      </w:r>
      <w:r>
        <w:rPr>
          <w:rFonts w:hint="eastAsia"/>
          <w:sz w:val="24"/>
        </w:rPr>
        <w:t>10000 元的违约金。</w:t>
      </w:r>
    </w:p>
    <w:p>
      <w:pPr>
        <w:pStyle w:val="20"/>
        <w:numPr>
          <w:ilvl w:val="4"/>
          <w:numId w:val="5"/>
        </w:numPr>
        <w:tabs>
          <w:tab w:val="left" w:pos="1523"/>
          <w:tab w:val="left" w:pos="1524"/>
        </w:tabs>
        <w:spacing w:line="307" w:lineRule="auto"/>
        <w:ind w:left="384" w:right="346" w:firstLine="480"/>
        <w:rPr>
          <w:sz w:val="24"/>
        </w:rPr>
      </w:pPr>
      <w:r>
        <w:rPr>
          <w:rFonts w:hint="eastAsia"/>
          <w:spacing w:val="-3"/>
          <w:sz w:val="24"/>
        </w:rPr>
        <w:t>承包人未按规定工期完成本合同工程，拖期损失赔偿见合同条款数据表。</w:t>
      </w:r>
      <w:r>
        <w:rPr>
          <w:rFonts w:hint="eastAsia"/>
          <w:sz w:val="24"/>
        </w:rPr>
        <w:t>工程进度严重滞后，承包人即使采取措施也不能保证工程按期完工，发包人有权指定分包并没收履约保证金。</w:t>
      </w:r>
    </w:p>
    <w:p>
      <w:pPr>
        <w:pStyle w:val="20"/>
        <w:numPr>
          <w:ilvl w:val="4"/>
          <w:numId w:val="5"/>
        </w:numPr>
        <w:tabs>
          <w:tab w:val="left" w:pos="1524"/>
        </w:tabs>
        <w:spacing w:line="307" w:lineRule="auto"/>
        <w:ind w:left="384" w:right="466" w:firstLine="480"/>
        <w:jc w:val="both"/>
        <w:rPr>
          <w:sz w:val="24"/>
        </w:rPr>
      </w:pPr>
      <w:r>
        <w:rPr>
          <w:rFonts w:hint="eastAsia"/>
          <w:spacing w:val="-9"/>
          <w:sz w:val="24"/>
        </w:rPr>
        <w:t xml:space="preserve">承包人主要管理人员、机械设备未按投标文件约定时间进场，人员按 </w:t>
      </w:r>
      <w:r>
        <w:rPr>
          <w:rFonts w:hint="eastAsia"/>
          <w:spacing w:val="-6"/>
          <w:sz w:val="24"/>
        </w:rPr>
        <w:t xml:space="preserve">200 </w:t>
      </w:r>
      <w:r>
        <w:rPr>
          <w:rFonts w:hint="eastAsia"/>
          <w:sz w:val="24"/>
        </w:rPr>
        <w:t>元/人·</w:t>
      </w:r>
      <w:r>
        <w:rPr>
          <w:rFonts w:hint="eastAsia"/>
          <w:spacing w:val="-12"/>
          <w:sz w:val="24"/>
        </w:rPr>
        <w:t>天，机械设备每天按《公路工程机械台班费用定额》台班基价两倍支付违约赔</w:t>
      </w:r>
      <w:r>
        <w:rPr>
          <w:rFonts w:hint="eastAsia"/>
          <w:sz w:val="24"/>
        </w:rPr>
        <w:t>偿。</w:t>
      </w:r>
    </w:p>
    <w:p>
      <w:pPr>
        <w:pStyle w:val="20"/>
        <w:numPr>
          <w:ilvl w:val="4"/>
          <w:numId w:val="5"/>
        </w:numPr>
        <w:tabs>
          <w:tab w:val="left" w:pos="1529"/>
        </w:tabs>
        <w:spacing w:line="307" w:lineRule="auto"/>
        <w:ind w:left="384" w:right="467" w:firstLine="480"/>
        <w:jc w:val="both"/>
        <w:rPr>
          <w:sz w:val="24"/>
        </w:rPr>
      </w:pPr>
      <w:r>
        <w:rPr>
          <w:rFonts w:hint="eastAsia"/>
          <w:sz w:val="24"/>
        </w:rPr>
        <w:t>发生克扣、拖欠劳务工资、设备材料款，造成恶劣影响的，承包人在限期内不予支付时，发包人将从其履约保证金中支付。</w:t>
      </w:r>
    </w:p>
    <w:p>
      <w:pPr>
        <w:pStyle w:val="20"/>
        <w:numPr>
          <w:ilvl w:val="4"/>
          <w:numId w:val="5"/>
        </w:numPr>
        <w:tabs>
          <w:tab w:val="left" w:pos="1529"/>
        </w:tabs>
        <w:spacing w:line="304" w:lineRule="auto"/>
        <w:ind w:left="384" w:right="467" w:firstLine="480"/>
        <w:jc w:val="both"/>
        <w:rPr>
          <w:sz w:val="24"/>
        </w:rPr>
      </w:pPr>
      <w:r>
        <w:rPr>
          <w:rFonts w:hint="eastAsia"/>
          <w:sz w:val="24"/>
        </w:rPr>
        <w:t>便道未按合同管养，影响社会车辆通行，造成恶劣影响的，承包人在限期内不予整改的，发包人可另行实施，其发生的费用从承包人工程款中扣回。</w:t>
      </w:r>
    </w:p>
    <w:p>
      <w:pPr>
        <w:pStyle w:val="20"/>
        <w:numPr>
          <w:ilvl w:val="4"/>
          <w:numId w:val="5"/>
        </w:numPr>
        <w:tabs>
          <w:tab w:val="left" w:pos="1529"/>
        </w:tabs>
        <w:spacing w:line="304" w:lineRule="auto"/>
        <w:ind w:left="384" w:right="467" w:firstLine="480"/>
        <w:jc w:val="both"/>
        <w:rPr>
          <w:sz w:val="24"/>
        </w:rPr>
      </w:pPr>
      <w:r>
        <w:rPr>
          <w:rFonts w:hint="eastAsia"/>
          <w:sz w:val="24"/>
        </w:rPr>
        <w:t>承包人违约转让或变相转让合同，发包人将没收履约保证金，并将其清除出场。</w:t>
      </w:r>
    </w:p>
    <w:p>
      <w:pPr>
        <w:pStyle w:val="20"/>
        <w:numPr>
          <w:ilvl w:val="4"/>
          <w:numId w:val="5"/>
        </w:numPr>
        <w:tabs>
          <w:tab w:val="left" w:pos="1528"/>
          <w:tab w:val="left" w:pos="1529"/>
        </w:tabs>
        <w:spacing w:line="304" w:lineRule="auto"/>
        <w:ind w:left="384" w:right="346" w:firstLine="480"/>
        <w:rPr>
          <w:sz w:val="24"/>
        </w:rPr>
      </w:pPr>
      <w:r>
        <w:rPr>
          <w:rFonts w:hint="eastAsia"/>
          <w:sz w:val="24"/>
        </w:rPr>
        <w:t>在工程施工过程中，如监理人或发包人认为承包人主要管理人员及技术人员不能胜任工作，提出更换人员要求，承包人必须执行，且更换人员资格不低于所换人员资格，无论是否征得发包人同意，均按下述规定扣除其违约金：项目经理</w:t>
      </w:r>
      <w:r>
        <w:rPr>
          <w:rFonts w:hint="eastAsia"/>
          <w:spacing w:val="-10"/>
          <w:sz w:val="24"/>
        </w:rPr>
        <w:t xml:space="preserve">每人次扣除 </w:t>
      </w:r>
      <w:r>
        <w:rPr>
          <w:rFonts w:hint="eastAsia"/>
          <w:sz w:val="24"/>
        </w:rPr>
        <w:t>6</w:t>
      </w:r>
      <w:r>
        <w:rPr>
          <w:rFonts w:hint="eastAsia"/>
          <w:spacing w:val="5"/>
          <w:sz w:val="24"/>
        </w:rPr>
        <w:t xml:space="preserve"> </w:t>
      </w:r>
      <w:r>
        <w:rPr>
          <w:rFonts w:hint="eastAsia"/>
          <w:spacing w:val="-5"/>
          <w:sz w:val="24"/>
        </w:rPr>
        <w:t xml:space="preserve">万元，项目总工每人次扣除 </w:t>
      </w:r>
      <w:r>
        <w:rPr>
          <w:rFonts w:hint="eastAsia"/>
          <w:sz w:val="24"/>
        </w:rPr>
        <w:t>5</w:t>
      </w:r>
      <w:r>
        <w:rPr>
          <w:rFonts w:hint="eastAsia"/>
          <w:spacing w:val="7"/>
          <w:sz w:val="24"/>
        </w:rPr>
        <w:t xml:space="preserve"> </w:t>
      </w:r>
      <w:r>
        <w:rPr>
          <w:rFonts w:hint="eastAsia"/>
          <w:sz w:val="24"/>
        </w:rPr>
        <w:t>万元，路基工程师、路面工程师、结构</w:t>
      </w:r>
      <w:r>
        <w:rPr>
          <w:rFonts w:hint="eastAsia"/>
          <w:spacing w:val="-11"/>
          <w:sz w:val="24"/>
        </w:rPr>
        <w:t xml:space="preserve">工程师、计量计划负责人、试验检测工程师每人次扣除 </w:t>
      </w:r>
      <w:r>
        <w:rPr>
          <w:rFonts w:hint="eastAsia"/>
          <w:sz w:val="24"/>
        </w:rPr>
        <w:t xml:space="preserve">3 </w:t>
      </w:r>
      <w:r>
        <w:rPr>
          <w:rFonts w:hint="eastAsia"/>
          <w:spacing w:val="-7"/>
          <w:sz w:val="24"/>
        </w:rPr>
        <w:t xml:space="preserve">万元。即使交纳了违约金， </w:t>
      </w:r>
      <w:r>
        <w:rPr>
          <w:rFonts w:hint="eastAsia"/>
          <w:spacing w:val="-3"/>
          <w:sz w:val="24"/>
        </w:rPr>
        <w:t xml:space="preserve">承包人仍有义务按合同规定纠正其违约行为；更换率达到 </w:t>
      </w:r>
      <w:r>
        <w:rPr>
          <w:rFonts w:hint="eastAsia"/>
          <w:sz w:val="24"/>
        </w:rPr>
        <w:t>50%的按照《新疆维吾尔自治区农村公路建设从业单位信用评价实施细则》的规定评价。</w:t>
      </w:r>
    </w:p>
    <w:p>
      <w:pPr>
        <w:pStyle w:val="20"/>
        <w:numPr>
          <w:ilvl w:val="3"/>
          <w:numId w:val="5"/>
        </w:numPr>
        <w:tabs>
          <w:tab w:val="left" w:pos="1125"/>
        </w:tabs>
        <w:spacing w:before="170"/>
        <w:ind w:left="1124" w:hanging="302"/>
        <w:jc w:val="left"/>
        <w:rPr>
          <w:sz w:val="24"/>
        </w:rPr>
      </w:pPr>
      <w:r>
        <w:rPr>
          <w:rFonts w:hint="eastAsia"/>
          <w:sz w:val="24"/>
        </w:rPr>
        <w:t>承包人需遵循的其他规定和要求</w:t>
      </w:r>
    </w:p>
    <w:p>
      <w:pPr>
        <w:pStyle w:val="10"/>
        <w:spacing w:before="8"/>
        <w:rPr>
          <w:sz w:val="20"/>
        </w:rPr>
      </w:pPr>
    </w:p>
    <w:p>
      <w:pPr>
        <w:pStyle w:val="20"/>
        <w:numPr>
          <w:ilvl w:val="4"/>
          <w:numId w:val="5"/>
        </w:numPr>
        <w:tabs>
          <w:tab w:val="left" w:pos="1523"/>
          <w:tab w:val="left" w:pos="1524"/>
        </w:tabs>
        <w:ind w:left="1524" w:hanging="660"/>
        <w:rPr>
          <w:sz w:val="24"/>
        </w:rPr>
      </w:pPr>
      <w:r>
        <w:rPr>
          <w:rFonts w:hint="eastAsia"/>
          <w:sz w:val="24"/>
        </w:rPr>
        <w:t>新疆公路工程现行通知、办法详见附件。</w:t>
      </w:r>
    </w:p>
    <w:p>
      <w:pPr>
        <w:pStyle w:val="20"/>
        <w:numPr>
          <w:ilvl w:val="4"/>
          <w:numId w:val="5"/>
        </w:numPr>
        <w:tabs>
          <w:tab w:val="left" w:pos="1523"/>
          <w:tab w:val="left" w:pos="1524"/>
        </w:tabs>
        <w:spacing w:before="83"/>
        <w:ind w:left="1524" w:hanging="660"/>
        <w:rPr>
          <w:sz w:val="24"/>
        </w:rPr>
      </w:pPr>
      <w:r>
        <w:rPr>
          <w:rFonts w:hint="eastAsia"/>
          <w:sz w:val="24"/>
        </w:rPr>
        <w:t>临时排水设施</w:t>
      </w:r>
    </w:p>
    <w:p>
      <w:pPr>
        <w:pStyle w:val="10"/>
        <w:spacing w:before="84" w:line="307" w:lineRule="auto"/>
        <w:ind w:left="384" w:right="465" w:firstLine="480"/>
      </w:pPr>
      <w:r>
        <w:rPr>
          <w:rFonts w:hint="eastAsia"/>
        </w:rPr>
        <w:t>承包人在施工中，道路的临时排水设施要与路基的施工同步，所需费用报价中要充分考虑。如因承包人排水设施不当，造成的工程损失由承包人承担。</w:t>
      </w:r>
    </w:p>
    <w:p>
      <w:pPr>
        <w:pStyle w:val="20"/>
        <w:numPr>
          <w:ilvl w:val="4"/>
          <w:numId w:val="5"/>
        </w:numPr>
        <w:tabs>
          <w:tab w:val="left" w:pos="1523"/>
          <w:tab w:val="left" w:pos="1524"/>
        </w:tabs>
        <w:spacing w:line="305" w:lineRule="exact"/>
        <w:ind w:left="1524" w:hanging="660"/>
        <w:rPr>
          <w:sz w:val="24"/>
        </w:rPr>
      </w:pPr>
      <w:r>
        <w:rPr>
          <w:rFonts w:hint="eastAsia"/>
          <w:sz w:val="24"/>
        </w:rPr>
        <w:t>突发公共卫生事件</w:t>
      </w:r>
    </w:p>
    <w:p>
      <w:pPr>
        <w:pStyle w:val="10"/>
        <w:spacing w:before="84" w:line="307" w:lineRule="auto"/>
        <w:ind w:left="384" w:right="465" w:firstLine="480"/>
        <w:jc w:val="both"/>
      </w:pPr>
      <w:r>
        <w:rPr>
          <w:rFonts w:hint="eastAsia"/>
        </w:rPr>
        <w:t>为了有效预防、及时控制和消除公共卫生事件的危害，保障全体施工人员（</w:t>
      </w:r>
      <w:r>
        <w:rPr>
          <w:rFonts w:hint="eastAsia"/>
          <w:spacing w:val="-12"/>
        </w:rPr>
        <w:t>包</w:t>
      </w:r>
      <w:r>
        <w:rPr>
          <w:rFonts w:hint="eastAsia"/>
        </w:rPr>
        <w:t>括雇用劳务人员）</w:t>
      </w:r>
      <w:r>
        <w:rPr>
          <w:rFonts w:hint="eastAsia"/>
          <w:spacing w:val="-1"/>
        </w:rPr>
        <w:t>及周围群众身体健康和生命安全，维持正常社会秩序，承包人应</w:t>
      </w:r>
      <w:r>
        <w:rPr>
          <w:rFonts w:hint="eastAsia"/>
          <w:spacing w:val="-6"/>
        </w:rPr>
        <w:t xml:space="preserve">全面贯彻国务院第 </w:t>
      </w:r>
      <w:r>
        <w:rPr>
          <w:rFonts w:hint="eastAsia"/>
        </w:rPr>
        <w:t xml:space="preserve">376 </w:t>
      </w:r>
      <w:r>
        <w:rPr>
          <w:rFonts w:hint="eastAsia"/>
          <w:spacing w:val="-1"/>
        </w:rPr>
        <w:t>号令《突发公共卫生事件应急条例》，其涉及内容均不单独</w:t>
      </w:r>
    </w:p>
    <w:p>
      <w:pPr>
        <w:spacing w:line="307" w:lineRule="auto"/>
        <w:jc w:val="both"/>
        <w:sectPr>
          <w:pgSz w:w="11910" w:h="16840"/>
          <w:pgMar w:top="1360" w:right="1120" w:bottom="1080" w:left="1260" w:header="882" w:footer="880" w:gutter="0"/>
          <w:cols w:space="720" w:num="1"/>
        </w:sectPr>
      </w:pPr>
    </w:p>
    <w:p>
      <w:pPr>
        <w:pStyle w:val="10"/>
        <w:rPr>
          <w:sz w:val="18"/>
        </w:rPr>
      </w:pPr>
    </w:p>
    <w:p>
      <w:pPr>
        <w:pStyle w:val="10"/>
        <w:spacing w:before="66" w:line="304" w:lineRule="auto"/>
        <w:ind w:left="384" w:right="465"/>
      </w:pPr>
      <w:r>
        <w:rPr>
          <w:rFonts w:hint="eastAsia"/>
        </w:rPr>
        <w:t>计量与支付，投标人报价时综合考虑其费用，所涉及的费用均包括在与之相关的工程细目的单价之中，发包人不单独支付。</w:t>
      </w:r>
    </w:p>
    <w:p>
      <w:pPr>
        <w:pStyle w:val="20"/>
        <w:numPr>
          <w:ilvl w:val="4"/>
          <w:numId w:val="5"/>
        </w:numPr>
        <w:tabs>
          <w:tab w:val="left" w:pos="1523"/>
          <w:tab w:val="left" w:pos="1524"/>
        </w:tabs>
        <w:spacing w:before="4"/>
        <w:ind w:left="1524" w:hanging="660"/>
        <w:rPr>
          <w:sz w:val="24"/>
        </w:rPr>
      </w:pPr>
      <w:r>
        <w:rPr>
          <w:rFonts w:hint="eastAsia"/>
          <w:sz w:val="24"/>
        </w:rPr>
        <w:t>反商业贿赂</w:t>
      </w:r>
    </w:p>
    <w:p>
      <w:pPr>
        <w:pStyle w:val="10"/>
        <w:spacing w:before="84" w:line="304" w:lineRule="auto"/>
        <w:ind w:left="384" w:right="467" w:firstLine="480"/>
      </w:pPr>
      <w:r>
        <w:rPr>
          <w:rFonts w:hint="eastAsia"/>
        </w:rPr>
        <w:t>严格执行国家、自治区、交通运输厅关于反商业贿赂的有关规定。承包人应严格按照廉政建设责任制度执行，并将廉政合同落到实处，制定相应的计划和措施。</w:t>
      </w:r>
    </w:p>
    <w:p>
      <w:pPr>
        <w:pStyle w:val="10"/>
        <w:spacing w:before="10"/>
        <w:rPr>
          <w:sz w:val="30"/>
        </w:rPr>
      </w:pPr>
    </w:p>
    <w:p>
      <w:pPr>
        <w:pStyle w:val="10"/>
        <w:ind w:left="864"/>
      </w:pPr>
      <w:r>
        <w:rPr>
          <w:rFonts w:hint="eastAsia"/>
        </w:rPr>
        <w:t>附件：</w:t>
      </w:r>
    </w:p>
    <w:p>
      <w:pPr>
        <w:pStyle w:val="20"/>
        <w:numPr>
          <w:ilvl w:val="0"/>
          <w:numId w:val="45"/>
        </w:numPr>
        <w:tabs>
          <w:tab w:val="left" w:pos="1145"/>
        </w:tabs>
        <w:spacing w:before="84"/>
        <w:rPr>
          <w:sz w:val="24"/>
        </w:rPr>
      </w:pPr>
      <w:r>
        <w:rPr>
          <w:rFonts w:hint="eastAsia"/>
          <w:sz w:val="24"/>
        </w:rPr>
        <w:t>《新疆维吾尔自治区农村公路建设管理办法》</w:t>
      </w:r>
    </w:p>
    <w:p>
      <w:pPr>
        <w:pStyle w:val="20"/>
        <w:numPr>
          <w:ilvl w:val="0"/>
          <w:numId w:val="45"/>
        </w:numPr>
        <w:tabs>
          <w:tab w:val="left" w:pos="1145"/>
        </w:tabs>
        <w:spacing w:before="86" w:line="304" w:lineRule="auto"/>
        <w:ind w:left="864" w:right="942" w:firstLine="0"/>
        <w:rPr>
          <w:sz w:val="24"/>
        </w:rPr>
      </w:pPr>
      <w:r>
        <w:rPr>
          <w:rFonts w:hint="eastAsia"/>
          <w:spacing w:val="-1"/>
          <w:sz w:val="24"/>
        </w:rPr>
        <w:t>《新疆维吾尔自治区农村公路建设工程质量监督机构和人员考核办法》</w:t>
      </w:r>
      <w:r>
        <w:rPr>
          <w:rFonts w:hint="eastAsia"/>
          <w:sz w:val="24"/>
        </w:rPr>
        <w:t>(3)《新疆维吾尔自治区农村公路工程质量监督管理细则》</w:t>
      </w:r>
    </w:p>
    <w:p>
      <w:pPr>
        <w:pStyle w:val="10"/>
        <w:spacing w:before="1" w:line="308" w:lineRule="auto"/>
        <w:ind w:left="862"/>
      </w:pPr>
      <w:r>
        <w:rPr>
          <w:rFonts w:hint="eastAsia"/>
        </w:rPr>
        <w:t>(4)《新疆维吾尔自治区农村公路工程设计变更管理办法（试行）》</w:t>
      </w:r>
    </w:p>
    <w:p>
      <w:pPr>
        <w:pStyle w:val="10"/>
        <w:spacing w:before="1" w:line="308" w:lineRule="auto"/>
        <w:ind w:left="862"/>
      </w:pPr>
      <w:r>
        <w:rPr>
          <w:rFonts w:hint="eastAsia"/>
        </w:rPr>
        <w:t>(5)《新疆维吾尔自治区农村公路工程施工监理工作规定》</w:t>
      </w:r>
    </w:p>
    <w:p>
      <w:pPr>
        <w:pStyle w:val="10"/>
        <w:spacing w:line="305" w:lineRule="auto"/>
        <w:ind w:left="862"/>
      </w:pPr>
      <w:r>
        <w:rPr>
          <w:rFonts w:hint="eastAsia"/>
        </w:rPr>
        <w:t>(6)《新疆维吾尔自治区农村公路工程试验检测工作规定》</w:t>
      </w:r>
    </w:p>
    <w:p>
      <w:pPr>
        <w:pStyle w:val="10"/>
        <w:spacing w:line="305" w:lineRule="auto"/>
        <w:ind w:left="862"/>
      </w:pPr>
      <w:r>
        <w:rPr>
          <w:rFonts w:hint="eastAsia"/>
        </w:rPr>
        <w:t>(7)《新疆小交通量农村公路工程技术指南》</w:t>
      </w:r>
    </w:p>
    <w:p>
      <w:pPr>
        <w:pStyle w:val="20"/>
        <w:numPr>
          <w:ilvl w:val="0"/>
          <w:numId w:val="46"/>
        </w:numPr>
        <w:tabs>
          <w:tab w:val="left" w:pos="1145"/>
        </w:tabs>
        <w:spacing w:before="2"/>
        <w:rPr>
          <w:sz w:val="24"/>
        </w:rPr>
      </w:pPr>
      <w:r>
        <w:rPr>
          <w:rFonts w:hint="eastAsia"/>
          <w:sz w:val="24"/>
        </w:rPr>
        <w:t>《新疆农村公路施工图设计外业勘察验收指南》</w:t>
      </w:r>
    </w:p>
    <w:p>
      <w:pPr>
        <w:pStyle w:val="20"/>
        <w:numPr>
          <w:ilvl w:val="0"/>
          <w:numId w:val="46"/>
        </w:numPr>
        <w:tabs>
          <w:tab w:val="left" w:pos="1152"/>
        </w:tabs>
        <w:spacing w:before="83"/>
        <w:ind w:left="1152" w:hanging="288"/>
        <w:rPr>
          <w:sz w:val="24"/>
        </w:rPr>
      </w:pPr>
      <w:r>
        <w:rPr>
          <w:rFonts w:hint="eastAsia"/>
          <w:spacing w:val="7"/>
          <w:sz w:val="24"/>
        </w:rPr>
        <w:t>《关于在公路改建改造工程中加强便道管理保障通行的通知》（</w:t>
      </w:r>
      <w:r>
        <w:rPr>
          <w:rFonts w:hint="eastAsia"/>
          <w:spacing w:val="5"/>
          <w:sz w:val="24"/>
        </w:rPr>
        <w:t>新交监察</w:t>
      </w:r>
    </w:p>
    <w:p>
      <w:pPr>
        <w:pStyle w:val="10"/>
        <w:spacing w:before="84"/>
        <w:ind w:left="384"/>
      </w:pPr>
      <w:r>
        <w:rPr>
          <w:rFonts w:hint="eastAsia"/>
        </w:rPr>
        <w:t>〔2001〕5 号文）；</w:t>
      </w:r>
    </w:p>
    <w:p>
      <w:pPr>
        <w:pStyle w:val="20"/>
        <w:numPr>
          <w:ilvl w:val="0"/>
          <w:numId w:val="46"/>
        </w:numPr>
        <w:tabs>
          <w:tab w:val="left" w:pos="1265"/>
        </w:tabs>
        <w:spacing w:before="86" w:line="304" w:lineRule="auto"/>
        <w:ind w:left="864" w:right="3702" w:firstLine="0"/>
        <w:rPr>
          <w:sz w:val="24"/>
        </w:rPr>
      </w:pPr>
      <w:r>
        <w:rPr>
          <w:rFonts w:hint="eastAsia"/>
          <w:sz w:val="24"/>
        </w:rPr>
        <w:t xml:space="preserve">《新疆公路工程台背回填管理办法》； </w:t>
      </w:r>
    </w:p>
    <w:p>
      <w:pPr>
        <w:pStyle w:val="20"/>
        <w:numPr>
          <w:ilvl w:val="0"/>
          <w:numId w:val="46"/>
        </w:numPr>
        <w:tabs>
          <w:tab w:val="left" w:pos="1265"/>
        </w:tabs>
        <w:spacing w:before="86" w:line="304" w:lineRule="auto"/>
        <w:ind w:left="864" w:right="3702" w:firstLine="0"/>
        <w:rPr>
          <w:sz w:val="24"/>
        </w:rPr>
      </w:pPr>
      <w:r>
        <w:rPr>
          <w:rFonts w:hint="eastAsia"/>
          <w:spacing w:val="-1"/>
          <w:sz w:val="24"/>
        </w:rPr>
        <w:t>《新疆公路工程建设项目便道管理办法》；</w:t>
      </w:r>
    </w:p>
    <w:p>
      <w:pPr>
        <w:pStyle w:val="20"/>
        <w:numPr>
          <w:ilvl w:val="0"/>
          <w:numId w:val="47"/>
        </w:numPr>
        <w:tabs>
          <w:tab w:val="left" w:pos="1268"/>
        </w:tabs>
        <w:spacing w:before="2" w:line="307" w:lineRule="auto"/>
        <w:ind w:right="465" w:firstLine="480"/>
        <w:rPr>
          <w:sz w:val="24"/>
        </w:rPr>
      </w:pPr>
      <w:r>
        <w:rPr>
          <w:rFonts w:hint="eastAsia"/>
          <w:sz w:val="24"/>
        </w:rPr>
        <w:t>《新疆维吾尔自治区公路工程路基下沉、路面破损、桥涵处跳车等质量问题责任追究》（新交政法〔2001〕20 号）；</w:t>
      </w:r>
    </w:p>
    <w:p>
      <w:pPr>
        <w:pStyle w:val="20"/>
        <w:numPr>
          <w:ilvl w:val="0"/>
          <w:numId w:val="47"/>
        </w:numPr>
        <w:tabs>
          <w:tab w:val="left" w:pos="1265"/>
        </w:tabs>
        <w:spacing w:line="304" w:lineRule="auto"/>
        <w:ind w:right="346" w:firstLine="480"/>
        <w:rPr>
          <w:sz w:val="24"/>
        </w:rPr>
      </w:pPr>
      <w:r>
        <w:rPr>
          <w:rFonts w:hint="eastAsia"/>
          <w:spacing w:val="-8"/>
          <w:sz w:val="24"/>
        </w:rPr>
        <w:t>《关于提高新疆公路工程路基、路面压实度指标的通知》</w:t>
      </w:r>
      <w:r>
        <w:rPr>
          <w:rFonts w:hint="eastAsia"/>
          <w:spacing w:val="-3"/>
          <w:sz w:val="24"/>
        </w:rPr>
        <w:t>（</w:t>
      </w:r>
      <w:r>
        <w:rPr>
          <w:rFonts w:hint="eastAsia"/>
          <w:spacing w:val="-10"/>
          <w:sz w:val="24"/>
        </w:rPr>
        <w:t>新交质监〔</w:t>
      </w:r>
      <w:r>
        <w:rPr>
          <w:rFonts w:hint="eastAsia"/>
          <w:sz w:val="24"/>
        </w:rPr>
        <w:t>2002</w:t>
      </w:r>
      <w:r>
        <w:rPr>
          <w:rFonts w:hint="eastAsia"/>
          <w:spacing w:val="-9"/>
          <w:sz w:val="24"/>
        </w:rPr>
        <w:t xml:space="preserve">〕 </w:t>
      </w:r>
      <w:r>
        <w:rPr>
          <w:rFonts w:hint="eastAsia"/>
          <w:sz w:val="24"/>
        </w:rPr>
        <w:t>2号）；</w:t>
      </w:r>
    </w:p>
    <w:p>
      <w:pPr>
        <w:pStyle w:val="20"/>
        <w:numPr>
          <w:ilvl w:val="0"/>
          <w:numId w:val="47"/>
        </w:numPr>
        <w:tabs>
          <w:tab w:val="left" w:pos="1268"/>
        </w:tabs>
        <w:spacing w:before="1" w:line="304" w:lineRule="auto"/>
        <w:ind w:right="465" w:firstLine="480"/>
        <w:rPr>
          <w:sz w:val="24"/>
        </w:rPr>
      </w:pPr>
      <w:r>
        <w:rPr>
          <w:rFonts w:hint="eastAsia"/>
          <w:sz w:val="24"/>
        </w:rPr>
        <w:t>《新疆维吾尔自治区公路路面透层油和下封层质量控制施工机械配套指导意见》（新交质监〔2008〕22 号）；</w:t>
      </w:r>
    </w:p>
    <w:p>
      <w:pPr>
        <w:pStyle w:val="20"/>
        <w:numPr>
          <w:ilvl w:val="0"/>
          <w:numId w:val="47"/>
        </w:numPr>
        <w:tabs>
          <w:tab w:val="left" w:pos="1268"/>
        </w:tabs>
        <w:spacing w:before="1"/>
        <w:ind w:left="1267"/>
        <w:rPr>
          <w:sz w:val="24"/>
        </w:rPr>
      </w:pPr>
      <w:r>
        <w:rPr>
          <w:rFonts w:hint="eastAsia"/>
          <w:sz w:val="24"/>
        </w:rPr>
        <w:t>《新疆维吾尔自治区农村公路建设廉政工作实施办法</w:t>
      </w:r>
      <w:r>
        <w:rPr>
          <w:rFonts w:hint="eastAsia"/>
          <w:spacing w:val="4"/>
          <w:sz w:val="24"/>
        </w:rPr>
        <w:t>（</w:t>
      </w:r>
      <w:r>
        <w:rPr>
          <w:rFonts w:hint="eastAsia"/>
          <w:spacing w:val="2"/>
          <w:sz w:val="24"/>
        </w:rPr>
        <w:t>试行</w:t>
      </w:r>
      <w:r>
        <w:rPr>
          <w:rFonts w:hint="eastAsia"/>
          <w:sz w:val="24"/>
        </w:rPr>
        <w:t>）</w:t>
      </w:r>
      <w:r>
        <w:rPr>
          <w:rFonts w:hint="eastAsia"/>
          <w:spacing w:val="4"/>
          <w:sz w:val="24"/>
        </w:rPr>
        <w:t>》</w:t>
      </w:r>
      <w:r>
        <w:rPr>
          <w:rFonts w:hint="eastAsia"/>
          <w:sz w:val="24"/>
        </w:rPr>
        <w:t>（</w:t>
      </w:r>
      <w:r>
        <w:rPr>
          <w:rFonts w:hint="eastAsia"/>
          <w:spacing w:val="1"/>
          <w:sz w:val="24"/>
        </w:rPr>
        <w:t>新交办</w:t>
      </w:r>
    </w:p>
    <w:p>
      <w:pPr>
        <w:pStyle w:val="10"/>
        <w:spacing w:before="86"/>
        <w:ind w:left="384"/>
      </w:pPr>
      <w:r>
        <w:rPr>
          <w:rFonts w:hint="eastAsia"/>
        </w:rPr>
        <w:t>〔2008〕80 号）；</w:t>
      </w:r>
    </w:p>
    <w:p>
      <w:pPr>
        <w:pStyle w:val="20"/>
        <w:numPr>
          <w:ilvl w:val="0"/>
          <w:numId w:val="47"/>
        </w:numPr>
        <w:tabs>
          <w:tab w:val="left" w:pos="1268"/>
        </w:tabs>
        <w:spacing w:before="84" w:line="304" w:lineRule="auto"/>
        <w:ind w:right="465" w:firstLine="480"/>
        <w:rPr>
          <w:sz w:val="24"/>
        </w:rPr>
      </w:pPr>
      <w:r>
        <w:rPr>
          <w:rFonts w:hint="eastAsia"/>
          <w:sz w:val="24"/>
        </w:rPr>
        <w:t>关于印发《新疆维吾尔自治区公路工程施工质量责任和责任追究制度》的通知（新交工程〔2016〕28 号）；</w:t>
      </w:r>
    </w:p>
    <w:p>
      <w:pPr>
        <w:pStyle w:val="20"/>
        <w:numPr>
          <w:ilvl w:val="0"/>
          <w:numId w:val="47"/>
        </w:numPr>
        <w:tabs>
          <w:tab w:val="left" w:pos="1265"/>
        </w:tabs>
        <w:spacing w:before="4" w:line="304" w:lineRule="auto"/>
        <w:ind w:right="342" w:firstLine="480"/>
        <w:rPr>
          <w:sz w:val="24"/>
        </w:rPr>
      </w:pPr>
      <w:r>
        <w:rPr>
          <w:rFonts w:hint="eastAsia"/>
          <w:spacing w:val="-5"/>
          <w:sz w:val="24"/>
        </w:rPr>
        <w:t>《关于在公路基础设施建设中使用农民工有关意见的通知》</w:t>
      </w:r>
      <w:r>
        <w:rPr>
          <w:rFonts w:hint="eastAsia"/>
          <w:sz w:val="24"/>
        </w:rPr>
        <w:t>（</w:t>
      </w:r>
      <w:r>
        <w:rPr>
          <w:rFonts w:hint="eastAsia"/>
          <w:spacing w:val="-16"/>
          <w:sz w:val="24"/>
        </w:rPr>
        <w:t>新交综〔</w:t>
      </w:r>
      <w:r>
        <w:rPr>
          <w:rFonts w:hint="eastAsia"/>
          <w:sz w:val="24"/>
        </w:rPr>
        <w:t>2003</w:t>
      </w:r>
      <w:r>
        <w:rPr>
          <w:rFonts w:hint="eastAsia"/>
          <w:spacing w:val="-8"/>
          <w:sz w:val="24"/>
        </w:rPr>
        <w:t>〕</w:t>
      </w:r>
      <w:r>
        <w:rPr>
          <w:rFonts w:hint="eastAsia"/>
          <w:sz w:val="24"/>
        </w:rPr>
        <w:t>42号）；</w:t>
      </w:r>
    </w:p>
    <w:p>
      <w:pPr>
        <w:pStyle w:val="20"/>
        <w:numPr>
          <w:ilvl w:val="0"/>
          <w:numId w:val="47"/>
        </w:numPr>
        <w:tabs>
          <w:tab w:val="left" w:pos="1268"/>
        </w:tabs>
        <w:spacing w:before="1" w:line="307" w:lineRule="auto"/>
        <w:ind w:right="465" w:firstLine="480"/>
        <w:rPr>
          <w:sz w:val="24"/>
        </w:rPr>
      </w:pPr>
      <w:r>
        <w:rPr>
          <w:rFonts w:hint="eastAsia"/>
          <w:sz w:val="24"/>
        </w:rPr>
        <w:t>关于印发《新疆维吾尔自治区交通厅关于交通建设项目防止拖欠工程款和农民工工资管理暂行办法（试行）》（新交综〔2005〕42 号）；</w:t>
      </w:r>
    </w:p>
    <w:p>
      <w:pPr>
        <w:pStyle w:val="20"/>
        <w:numPr>
          <w:ilvl w:val="0"/>
          <w:numId w:val="47"/>
        </w:numPr>
        <w:tabs>
          <w:tab w:val="left" w:pos="1265"/>
        </w:tabs>
        <w:spacing w:line="304" w:lineRule="auto"/>
        <w:ind w:right="342" w:firstLine="480"/>
        <w:rPr>
          <w:sz w:val="24"/>
        </w:rPr>
      </w:pPr>
      <w:r>
        <w:rPr>
          <w:rFonts w:hint="eastAsia"/>
          <w:spacing w:val="-5"/>
          <w:sz w:val="24"/>
        </w:rPr>
        <w:t>《关于在公路基础设施建设中使用农民工有关事宜的通知》</w:t>
      </w:r>
      <w:r>
        <w:rPr>
          <w:rFonts w:hint="eastAsia"/>
          <w:sz w:val="24"/>
        </w:rPr>
        <w:t>（</w:t>
      </w:r>
      <w:r>
        <w:rPr>
          <w:rFonts w:hint="eastAsia"/>
          <w:spacing w:val="-16"/>
          <w:sz w:val="24"/>
        </w:rPr>
        <w:t>新交综〔</w:t>
      </w:r>
      <w:r>
        <w:rPr>
          <w:rFonts w:hint="eastAsia"/>
          <w:sz w:val="24"/>
        </w:rPr>
        <w:t>2006</w:t>
      </w:r>
      <w:r>
        <w:rPr>
          <w:rFonts w:hint="eastAsia"/>
          <w:spacing w:val="-8"/>
          <w:sz w:val="24"/>
        </w:rPr>
        <w:t>〕</w:t>
      </w:r>
      <w:r>
        <w:rPr>
          <w:rFonts w:hint="eastAsia"/>
          <w:sz w:val="24"/>
        </w:rPr>
        <w:t>139号）；</w:t>
      </w:r>
    </w:p>
    <w:p>
      <w:pPr>
        <w:spacing w:line="304" w:lineRule="auto"/>
        <w:rPr>
          <w:sz w:val="24"/>
        </w:rPr>
        <w:sectPr>
          <w:pgSz w:w="11910" w:h="16840"/>
          <w:pgMar w:top="1360" w:right="1120" w:bottom="1080" w:left="1260" w:header="882" w:footer="880" w:gutter="0"/>
          <w:cols w:space="720" w:num="1"/>
        </w:sectPr>
      </w:pPr>
    </w:p>
    <w:p>
      <w:pPr>
        <w:pStyle w:val="10"/>
        <w:spacing w:before="5"/>
        <w:rPr>
          <w:sz w:val="17"/>
        </w:rPr>
      </w:pPr>
    </w:p>
    <w:p>
      <w:pPr>
        <w:pStyle w:val="20"/>
        <w:numPr>
          <w:ilvl w:val="0"/>
          <w:numId w:val="47"/>
        </w:numPr>
        <w:tabs>
          <w:tab w:val="left" w:pos="1265"/>
        </w:tabs>
        <w:spacing w:before="74"/>
        <w:ind w:left="1264" w:hanging="401"/>
        <w:rPr>
          <w:sz w:val="24"/>
        </w:rPr>
      </w:pPr>
      <w:r>
        <w:rPr>
          <w:rFonts w:hint="eastAsia"/>
          <w:spacing w:val="-5"/>
          <w:sz w:val="24"/>
        </w:rPr>
        <w:t>《新疆维吾尔自治区农民工工资保证金管理暂行办法》</w:t>
      </w:r>
      <w:r>
        <w:rPr>
          <w:rFonts w:hint="eastAsia"/>
          <w:spacing w:val="-3"/>
          <w:sz w:val="24"/>
        </w:rPr>
        <w:t>（</w:t>
      </w:r>
      <w:r>
        <w:rPr>
          <w:rFonts w:hint="eastAsia"/>
          <w:sz w:val="24"/>
        </w:rPr>
        <w:t>新政办发[2007]114</w:t>
      </w:r>
    </w:p>
    <w:p>
      <w:pPr>
        <w:pStyle w:val="10"/>
        <w:spacing w:before="84"/>
        <w:ind w:left="384"/>
      </w:pPr>
      <w:r>
        <w:rPr>
          <w:rFonts w:hint="eastAsia"/>
        </w:rPr>
        <w:t>号）</w:t>
      </w:r>
    </w:p>
    <w:p>
      <w:pPr>
        <w:pStyle w:val="20"/>
        <w:numPr>
          <w:ilvl w:val="0"/>
          <w:numId w:val="47"/>
        </w:numPr>
        <w:tabs>
          <w:tab w:val="left" w:pos="1275"/>
        </w:tabs>
        <w:spacing w:before="86"/>
        <w:ind w:left="1274" w:hanging="411"/>
        <w:rPr>
          <w:sz w:val="24"/>
        </w:rPr>
      </w:pPr>
      <w:r>
        <w:rPr>
          <w:rFonts w:hint="eastAsia"/>
          <w:spacing w:val="9"/>
          <w:sz w:val="24"/>
        </w:rPr>
        <w:t>《关于做好农村公路建设项目农民工使用有关事宜的通知》</w:t>
      </w:r>
      <w:r>
        <w:rPr>
          <w:rFonts w:hint="eastAsia"/>
          <w:spacing w:val="12"/>
          <w:sz w:val="24"/>
        </w:rPr>
        <w:t>（</w:t>
      </w:r>
      <w:r>
        <w:rPr>
          <w:rFonts w:hint="eastAsia"/>
          <w:spacing w:val="7"/>
          <w:sz w:val="24"/>
        </w:rPr>
        <w:t>新交农路</w:t>
      </w:r>
    </w:p>
    <w:p>
      <w:pPr>
        <w:pStyle w:val="10"/>
        <w:spacing w:before="83"/>
        <w:ind w:left="384"/>
      </w:pPr>
      <w:r>
        <w:rPr>
          <w:rFonts w:hint="eastAsia"/>
        </w:rPr>
        <w:t>〔2016〕16 号）；</w:t>
      </w:r>
    </w:p>
    <w:p>
      <w:pPr>
        <w:pStyle w:val="20"/>
        <w:numPr>
          <w:ilvl w:val="0"/>
          <w:numId w:val="47"/>
        </w:numPr>
        <w:tabs>
          <w:tab w:val="left" w:pos="1268"/>
        </w:tabs>
        <w:spacing w:before="84" w:line="307" w:lineRule="auto"/>
        <w:ind w:right="465" w:firstLine="480"/>
        <w:rPr>
          <w:sz w:val="24"/>
        </w:rPr>
      </w:pPr>
      <w:r>
        <w:rPr>
          <w:rFonts w:hint="eastAsia"/>
          <w:sz w:val="24"/>
        </w:rPr>
        <w:t>新疆维吾尔自治区人社、住建、交通、水利四部门联合印发的《关于在工程建设领域实行农民工工资专用账户管理和银行代发工资制度的通知》（</w:t>
      </w:r>
      <w:r>
        <w:rPr>
          <w:rFonts w:hint="eastAsia"/>
          <w:spacing w:val="-3"/>
          <w:sz w:val="24"/>
        </w:rPr>
        <w:t>新人社发</w:t>
      </w:r>
    </w:p>
    <w:p>
      <w:pPr>
        <w:pStyle w:val="10"/>
        <w:spacing w:line="305" w:lineRule="exact"/>
        <w:ind w:left="384"/>
      </w:pPr>
      <w:r>
        <w:rPr>
          <w:rFonts w:hint="eastAsia"/>
        </w:rPr>
        <w:t>〔2018〕4 号）</w:t>
      </w:r>
    </w:p>
    <w:p>
      <w:pPr>
        <w:pStyle w:val="10"/>
        <w:spacing w:before="84" w:line="307" w:lineRule="auto"/>
        <w:ind w:left="384" w:right="346" w:firstLine="480"/>
      </w:pPr>
      <w:r>
        <w:rPr>
          <w:rFonts w:hint="eastAsia"/>
        </w:rPr>
        <w:t>承包人在施工中应严格执行国家、交通运输部、新疆维吾尔自治区、新疆交通</w:t>
      </w:r>
      <w:r>
        <w:rPr>
          <w:rFonts w:hint="eastAsia"/>
          <w:spacing w:val="-10"/>
        </w:rPr>
        <w:t xml:space="preserve">运输厅现行通知、办法的相关规定，涉及报价因素的应在投标报价中充分予以考虑， </w:t>
      </w:r>
      <w:r>
        <w:rPr>
          <w:rFonts w:hint="eastAsia"/>
        </w:rPr>
        <w:t>发包人将不另行支付。</w:t>
      </w:r>
    </w:p>
    <w:p>
      <w:pPr>
        <w:spacing w:line="307" w:lineRule="auto"/>
        <w:sectPr>
          <w:pgSz w:w="11910" w:h="16840"/>
          <w:pgMar w:top="1360" w:right="1120" w:bottom="1080" w:left="1260" w:header="882" w:footer="880" w:gutter="0"/>
          <w:cols w:space="720" w:num="1"/>
        </w:sect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5"/>
        <w:rPr>
          <w:sz w:val="29"/>
        </w:rPr>
      </w:pPr>
    </w:p>
    <w:p>
      <w:pPr>
        <w:pStyle w:val="6"/>
        <w:tabs>
          <w:tab w:val="left" w:pos="1952"/>
        </w:tabs>
        <w:rPr>
          <w:sz w:val="30"/>
          <w:szCs w:val="30"/>
        </w:rPr>
      </w:pPr>
      <w:bookmarkStart w:id="73" w:name="_TOC_250026"/>
      <w:bookmarkEnd w:id="73"/>
      <w:r>
        <w:rPr>
          <w:rFonts w:hint="eastAsia"/>
          <w:sz w:val="30"/>
          <w:szCs w:val="30"/>
        </w:rPr>
        <w:t>第二节</w:t>
      </w:r>
      <w:r>
        <w:rPr>
          <w:rFonts w:hint="eastAsia"/>
          <w:sz w:val="30"/>
          <w:szCs w:val="30"/>
          <w:lang w:val="en-US" w:eastAsia="zh-CN"/>
        </w:rPr>
        <w:t xml:space="preserve">  </w:t>
      </w:r>
      <w:r>
        <w:rPr>
          <w:rFonts w:hint="eastAsia"/>
          <w:sz w:val="30"/>
          <w:szCs w:val="30"/>
        </w:rPr>
        <w:t>专用合同条款</w:t>
      </w:r>
    </w:p>
    <w:p>
      <w:pPr>
        <w:rPr>
          <w:sz w:val="30"/>
          <w:szCs w:val="30"/>
        </w:rPr>
        <w:sectPr>
          <w:pgSz w:w="11910" w:h="16840"/>
          <w:pgMar w:top="1360" w:right="1120" w:bottom="1080" w:left="1260" w:header="882" w:footer="880" w:gutter="0"/>
          <w:cols w:space="720" w:num="1"/>
        </w:sectPr>
      </w:pPr>
    </w:p>
    <w:p>
      <w:pPr>
        <w:pStyle w:val="10"/>
        <w:rPr>
          <w:b/>
          <w:sz w:val="18"/>
        </w:rPr>
      </w:pPr>
    </w:p>
    <w:p>
      <w:pPr>
        <w:pStyle w:val="10"/>
        <w:spacing w:before="66"/>
        <w:ind w:left="864"/>
      </w:pPr>
      <w:r>
        <w:rPr>
          <w:rFonts w:hint="eastAsia"/>
        </w:rPr>
        <w:t>说明：</w:t>
      </w:r>
    </w:p>
    <w:p>
      <w:pPr>
        <w:pStyle w:val="10"/>
        <w:spacing w:before="84" w:line="304" w:lineRule="auto"/>
        <w:ind w:left="384" w:right="465" w:firstLine="480"/>
        <w:jc w:val="both"/>
      </w:pPr>
      <w:r>
        <w:rPr>
          <w:rFonts w:hint="eastAsia"/>
          <w:lang w:eastAsia="zh-CN"/>
        </w:rPr>
        <w:t>发包人</w:t>
      </w:r>
      <w:r>
        <w:rPr>
          <w:rFonts w:hint="eastAsia"/>
        </w:rPr>
        <w:t>可根据招标项目的具体特点和实际需要，对“通用合同条款”进行补充和细化，补充和细化的内容不得与“通用合同条款”强制性规定相抵触。同时，细化、补充或约定的不同内容，不得违反法律、行政法规的强制性规定和平等、自愿、公平和诚实信用原则。</w:t>
      </w:r>
    </w:p>
    <w:p>
      <w:pPr>
        <w:pStyle w:val="10"/>
        <w:spacing w:before="7"/>
        <w:ind w:left="864"/>
      </w:pPr>
      <w:r>
        <w:rPr>
          <w:rFonts w:hint="eastAsia"/>
        </w:rPr>
        <w:t>专用合同条款的编号应与通用合同条款号一致。</w:t>
      </w:r>
    </w:p>
    <w:p>
      <w:pPr>
        <w:sectPr>
          <w:footerReference r:id="rId11" w:type="default"/>
          <w:pgSz w:w="11910" w:h="16840"/>
          <w:pgMar w:top="1360" w:right="1120" w:bottom="1080" w:left="1260" w:header="882" w:footer="880" w:gutter="0"/>
          <w:cols w:space="720" w:num="1"/>
        </w:sectPr>
      </w:pPr>
    </w:p>
    <w:p>
      <w:pPr>
        <w:pStyle w:val="10"/>
        <w:rPr>
          <w:sz w:val="18"/>
        </w:rPr>
      </w:pPr>
    </w:p>
    <w:p>
      <w:pPr>
        <w:pStyle w:val="10"/>
        <w:spacing w:before="66"/>
        <w:ind w:left="3880"/>
        <w:rPr>
          <w:b/>
          <w:bCs/>
        </w:rPr>
      </w:pPr>
      <w:r>
        <w:rPr>
          <w:rFonts w:hint="eastAsia"/>
          <w:b/>
          <w:bCs/>
        </w:rPr>
        <w:t>合同条款数据表</w:t>
      </w:r>
    </w:p>
    <w:p>
      <w:pPr>
        <w:pStyle w:val="10"/>
        <w:spacing w:before="84" w:line="307" w:lineRule="auto"/>
        <w:ind w:left="384" w:right="382" w:firstLine="480"/>
      </w:pPr>
      <w:r>
        <mc:AlternateContent>
          <mc:Choice Requires="wps">
            <w:drawing>
              <wp:anchor distT="0" distB="0" distL="114300" distR="114300" simplePos="0" relativeHeight="251664384" behindDoc="0" locked="0" layoutInCell="1" allowOverlap="1">
                <wp:simplePos x="0" y="0"/>
                <wp:positionH relativeFrom="page">
                  <wp:posOffset>972185</wp:posOffset>
                </wp:positionH>
                <wp:positionV relativeFrom="paragraph">
                  <wp:posOffset>504190</wp:posOffset>
                </wp:positionV>
                <wp:extent cx="5655310" cy="6306185"/>
                <wp:effectExtent l="0" t="0" r="0" b="0"/>
                <wp:wrapNone/>
                <wp:docPr id="14" name="文本框 30"/>
                <wp:cNvGraphicFramePr/>
                <a:graphic xmlns:a="http://schemas.openxmlformats.org/drawingml/2006/main">
                  <a:graphicData uri="http://schemas.microsoft.com/office/word/2010/wordprocessingShape">
                    <wps:wsp>
                      <wps:cNvSpPr txBox="1"/>
                      <wps:spPr>
                        <a:xfrm>
                          <a:off x="0" y="0"/>
                          <a:ext cx="5655310" cy="6306185"/>
                        </a:xfrm>
                        <a:prstGeom prst="rect">
                          <a:avLst/>
                        </a:prstGeom>
                        <a:noFill/>
                        <a:ln>
                          <a:noFill/>
                        </a:ln>
                      </wps:spPr>
                      <wps:txbx>
                        <w:txbxContent>
                          <w:tbl>
                            <w:tblPr>
                              <w:tblStyle w:val="18"/>
                              <w:tblW w:w="889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2"/>
                              <w:gridCol w:w="7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352" w:type="dxa"/>
                                </w:tcPr>
                                <w:p>
                                  <w:pPr>
                                    <w:pStyle w:val="21"/>
                                    <w:spacing w:before="12"/>
                                    <w:rPr>
                                      <w:color w:val="auto"/>
                                      <w:sz w:val="15"/>
                                    </w:rPr>
                                  </w:pPr>
                                </w:p>
                                <w:p>
                                  <w:pPr>
                                    <w:pStyle w:val="21"/>
                                    <w:ind w:left="356" w:right="346"/>
                                    <w:jc w:val="center"/>
                                    <w:rPr>
                                      <w:color w:val="auto"/>
                                      <w:sz w:val="20"/>
                                    </w:rPr>
                                  </w:pPr>
                                  <w:r>
                                    <w:rPr>
                                      <w:color w:val="auto"/>
                                      <w:sz w:val="20"/>
                                    </w:rPr>
                                    <w:t>条款号</w:t>
                                  </w:r>
                                </w:p>
                              </w:tc>
                              <w:tc>
                                <w:tcPr>
                                  <w:tcW w:w="7539" w:type="dxa"/>
                                </w:tcPr>
                                <w:p>
                                  <w:pPr>
                                    <w:pStyle w:val="21"/>
                                    <w:spacing w:before="12"/>
                                    <w:rPr>
                                      <w:color w:val="auto"/>
                                      <w:sz w:val="15"/>
                                    </w:rPr>
                                  </w:pPr>
                                </w:p>
                                <w:p>
                                  <w:pPr>
                                    <w:pStyle w:val="21"/>
                                    <w:ind w:left="3246" w:right="3242"/>
                                    <w:jc w:val="center"/>
                                    <w:rPr>
                                      <w:color w:val="auto"/>
                                      <w:sz w:val="20"/>
                                    </w:rPr>
                                  </w:pPr>
                                  <w:r>
                                    <w:rPr>
                                      <w:color w:val="auto"/>
                                      <w:sz w:val="20"/>
                                    </w:rPr>
                                    <w:t>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352" w:type="dxa"/>
                                </w:tcPr>
                                <w:p>
                                  <w:pPr>
                                    <w:pStyle w:val="21"/>
                                    <w:rPr>
                                      <w:rFonts w:ascii="Times New Roman"/>
                                      <w:color w:val="auto"/>
                                      <w:sz w:val="20"/>
                                      <w:highlight w:val="none"/>
                                    </w:rPr>
                                  </w:pPr>
                                </w:p>
                              </w:tc>
                              <w:tc>
                                <w:tcPr>
                                  <w:tcW w:w="7539" w:type="dxa"/>
                                </w:tcPr>
                                <w:p>
                                  <w:pPr>
                                    <w:pStyle w:val="21"/>
                                    <w:spacing w:before="76"/>
                                    <w:ind w:left="282"/>
                                    <w:rPr>
                                      <w:rFonts w:hint="default" w:eastAsia="宋体"/>
                                      <w:color w:val="auto"/>
                                      <w:sz w:val="21"/>
                                      <w:highlight w:val="none"/>
                                      <w:lang w:val="en-US" w:eastAsia="zh-CN"/>
                                    </w:rPr>
                                  </w:pPr>
                                  <w:r>
                                    <w:rPr>
                                      <w:color w:val="auto"/>
                                      <w:sz w:val="21"/>
                                      <w:highlight w:val="none"/>
                                    </w:rPr>
                                    <w:t>发包人：</w:t>
                                  </w:r>
                                  <w:r>
                                    <w:rPr>
                                      <w:rFonts w:hint="eastAsia"/>
                                      <w:color w:val="auto"/>
                                      <w:sz w:val="21"/>
                                      <w:highlight w:val="none"/>
                                      <w:lang w:val="en-US" w:eastAsia="zh-CN"/>
                                    </w:rPr>
                                    <w:t>博湖县交通运输局</w:t>
                                  </w:r>
                                </w:p>
                                <w:p>
                                  <w:pPr>
                                    <w:pStyle w:val="21"/>
                                    <w:tabs>
                                      <w:tab w:val="left" w:pos="3116"/>
                                    </w:tabs>
                                    <w:spacing w:before="50"/>
                                    <w:ind w:left="282"/>
                                    <w:rPr>
                                      <w:rFonts w:hint="default" w:eastAsia="宋体"/>
                                      <w:color w:val="auto"/>
                                      <w:sz w:val="21"/>
                                      <w:highlight w:val="none"/>
                                      <w:lang w:val="en-US" w:eastAsia="zh-CN"/>
                                    </w:rPr>
                                  </w:pPr>
                                  <w:r>
                                    <w:rPr>
                                      <w:color w:val="auto"/>
                                      <w:sz w:val="21"/>
                                      <w:highlight w:val="none"/>
                                    </w:rPr>
                                    <w:t>地址：</w:t>
                                  </w:r>
                                  <w:r>
                                    <w:rPr>
                                      <w:rFonts w:hint="eastAsia"/>
                                      <w:color w:val="auto"/>
                                      <w:sz w:val="21"/>
                                      <w:highlight w:val="none"/>
                                      <w:lang w:val="en-US" w:eastAsia="zh-CN"/>
                                    </w:rPr>
                                    <w:t>博湖县</w:t>
                                  </w:r>
                                  <w:r>
                                    <w:rPr>
                                      <w:color w:val="auto"/>
                                      <w:sz w:val="21"/>
                                      <w:highlight w:val="none"/>
                                    </w:rPr>
                                    <w:tab/>
                                  </w:r>
                                  <w:r>
                                    <w:rPr>
                                      <w:color w:val="auto"/>
                                      <w:sz w:val="21"/>
                                      <w:highlight w:val="none"/>
                                    </w:rPr>
                                    <w:t>邮政编码：</w:t>
                                  </w:r>
                                  <w:r>
                                    <w:rPr>
                                      <w:rFonts w:hint="eastAsia"/>
                                      <w:color w:val="auto"/>
                                      <w:sz w:val="21"/>
                                      <w:highlight w:val="none"/>
                                      <w:lang w:val="en-US" w:eastAsia="zh-CN"/>
                                    </w:rPr>
                                    <w:t>841400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352" w:type="dxa"/>
                                </w:tcPr>
                                <w:p>
                                  <w:pPr>
                                    <w:pStyle w:val="21"/>
                                    <w:rPr>
                                      <w:rFonts w:ascii="Times New Roman"/>
                                      <w:color w:val="auto"/>
                                      <w:sz w:val="20"/>
                                    </w:rPr>
                                  </w:pPr>
                                </w:p>
                              </w:tc>
                              <w:tc>
                                <w:tcPr>
                                  <w:tcW w:w="7539" w:type="dxa"/>
                                </w:tcPr>
                                <w:p>
                                  <w:pPr>
                                    <w:pStyle w:val="21"/>
                                    <w:spacing w:before="75"/>
                                    <w:ind w:left="282"/>
                                    <w:rPr>
                                      <w:rFonts w:hint="eastAsia" w:eastAsia="宋体"/>
                                      <w:color w:val="auto"/>
                                      <w:sz w:val="21"/>
                                      <w:lang w:val="en-US" w:eastAsia="zh-CN"/>
                                    </w:rPr>
                                  </w:pPr>
                                  <w:r>
                                    <w:rPr>
                                      <w:color w:val="auto"/>
                                      <w:sz w:val="21"/>
                                    </w:rPr>
                                    <w:t>监理人：</w:t>
                                  </w:r>
                                  <w:r>
                                    <w:rPr>
                                      <w:rFonts w:hint="eastAsia"/>
                                      <w:color w:val="auto"/>
                                      <w:sz w:val="21"/>
                                      <w:lang w:val="en-US" w:eastAsia="zh-CN"/>
                                    </w:rPr>
                                    <w:t>/</w:t>
                                  </w:r>
                                </w:p>
                                <w:p>
                                  <w:pPr>
                                    <w:pStyle w:val="21"/>
                                    <w:tabs>
                                      <w:tab w:val="left" w:pos="3116"/>
                                    </w:tabs>
                                    <w:spacing w:before="50"/>
                                    <w:ind w:left="282"/>
                                    <w:rPr>
                                      <w:color w:val="auto"/>
                                      <w:sz w:val="21"/>
                                    </w:rPr>
                                  </w:pPr>
                                  <w:r>
                                    <w:rPr>
                                      <w:color w:val="auto"/>
                                      <w:sz w:val="21"/>
                                    </w:rPr>
                                    <w:t>地址：</w:t>
                                  </w:r>
                                  <w:r>
                                    <w:rPr>
                                      <w:color w:val="auto"/>
                                      <w:sz w:val="21"/>
                                    </w:rPr>
                                    <w:tab/>
                                  </w:r>
                                  <w:r>
                                    <w:rPr>
                                      <w:color w:val="auto"/>
                                      <w:sz w:val="21"/>
                                    </w:rPr>
                                    <w:t>邮政编码：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52" w:type="dxa"/>
                                </w:tcPr>
                                <w:p>
                                  <w:pPr>
                                    <w:pStyle w:val="21"/>
                                    <w:spacing w:before="6"/>
                                    <w:rPr>
                                      <w:color w:val="auto"/>
                                      <w:sz w:val="17"/>
                                    </w:rPr>
                                  </w:pPr>
                                </w:p>
                                <w:p>
                                  <w:pPr>
                                    <w:pStyle w:val="21"/>
                                    <w:spacing w:before="1"/>
                                    <w:ind w:left="355" w:right="346"/>
                                    <w:jc w:val="center"/>
                                    <w:rPr>
                                      <w:rFonts w:ascii="Times New Roman"/>
                                      <w:color w:val="auto"/>
                                      <w:sz w:val="20"/>
                                    </w:rPr>
                                  </w:pPr>
                                  <w:r>
                                    <w:rPr>
                                      <w:rFonts w:ascii="Times New Roman"/>
                                      <w:color w:val="auto"/>
                                      <w:sz w:val="20"/>
                                    </w:rPr>
                                    <w:t>21.1</w:t>
                                  </w:r>
                                </w:p>
                              </w:tc>
                              <w:tc>
                                <w:tcPr>
                                  <w:tcW w:w="7539" w:type="dxa"/>
                                </w:tcPr>
                                <w:p>
                                  <w:pPr>
                                    <w:pStyle w:val="21"/>
                                    <w:spacing w:before="12"/>
                                    <w:rPr>
                                      <w:color w:val="auto"/>
                                      <w:sz w:val="9"/>
                                    </w:rPr>
                                  </w:pPr>
                                </w:p>
                                <w:p>
                                  <w:pPr>
                                    <w:pStyle w:val="21"/>
                                    <w:spacing w:line="132" w:lineRule="exact"/>
                                    <w:ind w:left="1273"/>
                                    <w:rPr>
                                      <w:color w:val="auto"/>
                                      <w:sz w:val="14"/>
                                    </w:rPr>
                                  </w:pPr>
                                </w:p>
                                <w:p>
                                  <w:pPr>
                                    <w:pStyle w:val="21"/>
                                    <w:tabs>
                                      <w:tab w:val="left" w:pos="4014"/>
                                    </w:tabs>
                                    <w:spacing w:line="209" w:lineRule="exact"/>
                                    <w:ind w:left="272"/>
                                    <w:rPr>
                                      <w:color w:val="auto"/>
                                      <w:sz w:val="20"/>
                                    </w:rPr>
                                  </w:pPr>
                                  <w:r>
                                    <w:rPr>
                                      <w:color w:val="auto"/>
                                      <w:sz w:val="20"/>
                                    </w:rPr>
                                    <w:t>缺陷责任期</w:t>
                                  </w:r>
                                  <w:r>
                                    <w:rPr>
                                      <w:color w:val="auto"/>
                                      <w:spacing w:val="37"/>
                                      <w:sz w:val="20"/>
                                    </w:rPr>
                                    <w:t xml:space="preserve"> </w:t>
                                  </w:r>
                                  <w:r>
                                    <w:rPr>
                                      <w:color w:val="auto"/>
                                      <w:sz w:val="20"/>
                                      <w:highlight w:val="none"/>
                                    </w:rPr>
                                    <w:t>：自实际交工日期起计算</w:t>
                                  </w:r>
                                  <w:r>
                                    <w:rPr>
                                      <w:color w:val="auto"/>
                                      <w:sz w:val="20"/>
                                      <w:highlight w:val="none"/>
                                      <w:u w:val="single"/>
                                    </w:rPr>
                                    <w:t xml:space="preserve"> </w:t>
                                  </w:r>
                                  <w:r>
                                    <w:rPr>
                                      <w:rFonts w:hint="eastAsia"/>
                                      <w:color w:val="auto"/>
                                      <w:sz w:val="20"/>
                                      <w:highlight w:val="none"/>
                                      <w:u w:val="single"/>
                                      <w:lang w:val="en-US"/>
                                    </w:rPr>
                                    <w:t xml:space="preserve">1 </w:t>
                                  </w:r>
                                  <w:r>
                                    <w:rPr>
                                      <w:color w:val="auto"/>
                                      <w:sz w:val="20"/>
                                      <w:highlight w:val="no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352" w:type="dxa"/>
                                </w:tcPr>
                                <w:p>
                                  <w:pPr>
                                    <w:pStyle w:val="21"/>
                                    <w:rPr>
                                      <w:rFonts w:ascii="Times New Roman"/>
                                      <w:color w:val="auto"/>
                                      <w:sz w:val="20"/>
                                    </w:rPr>
                                  </w:pPr>
                                </w:p>
                              </w:tc>
                              <w:tc>
                                <w:tcPr>
                                  <w:tcW w:w="7539" w:type="dxa"/>
                                </w:tcPr>
                                <w:p>
                                  <w:pPr>
                                    <w:pStyle w:val="21"/>
                                    <w:spacing w:before="14" w:line="320" w:lineRule="atLeast"/>
                                    <w:ind w:left="106" w:right="107" w:firstLine="175"/>
                                    <w:rPr>
                                      <w:color w:val="auto"/>
                                      <w:sz w:val="21"/>
                                    </w:rPr>
                                  </w:pPr>
                                  <w:r>
                                    <w:rPr>
                                      <w:rFonts w:ascii="宋体" w:hAnsi="宋体" w:eastAsia="宋体" w:cs="宋体"/>
                                      <w:color w:val="auto"/>
                                      <w:sz w:val="21"/>
                                    </w:rPr>
                                    <w:t xml:space="preserve">图纸需要修改和补充的，应由监理人取得发包人同意后，在该工程或工程相应 </w:t>
                                  </w:r>
                                  <w:r>
                                    <w:rPr>
                                      <w:color w:val="auto"/>
                                      <w:w w:val="95"/>
                                      <w:sz w:val="21"/>
                                    </w:rPr>
                                    <w:t xml:space="preserve"> </w:t>
                                  </w:r>
                                  <w:r>
                                    <w:rPr>
                                      <w:color w:val="auto"/>
                                      <w:sz w:val="21"/>
                                    </w:rPr>
                                    <w:t>部位施工前</w:t>
                                  </w:r>
                                  <w:r>
                                    <w:rPr>
                                      <w:color w:val="auto"/>
                                      <w:sz w:val="21"/>
                                      <w:u w:val="single"/>
                                    </w:rPr>
                                    <w:t xml:space="preserve"> </w:t>
                                  </w:r>
                                  <w:r>
                                    <w:rPr>
                                      <w:rFonts w:ascii="Times New Roman" w:eastAsia="Times New Roman"/>
                                      <w:color w:val="auto"/>
                                      <w:sz w:val="21"/>
                                      <w:u w:val="single"/>
                                    </w:rPr>
                                    <w:t>7</w:t>
                                  </w:r>
                                  <w:r>
                                    <w:rPr>
                                      <w:rFonts w:ascii="Times New Roman" w:eastAsia="Times New Roman"/>
                                      <w:color w:val="auto"/>
                                      <w:spacing w:val="51"/>
                                      <w:sz w:val="21"/>
                                    </w:rPr>
                                    <w:t xml:space="preserve"> </w:t>
                                  </w:r>
                                  <w:r>
                                    <w:rPr>
                                      <w:color w:val="auto"/>
                                      <w:sz w:val="21"/>
                                    </w:rPr>
                                    <w:t>天签发图纸修改图给承包人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352" w:type="dxa"/>
                                </w:tcPr>
                                <w:p>
                                  <w:pPr>
                                    <w:pStyle w:val="21"/>
                                    <w:rPr>
                                      <w:rFonts w:ascii="Times New Roman"/>
                                      <w:color w:val="auto"/>
                                      <w:sz w:val="20"/>
                                    </w:rPr>
                                  </w:pPr>
                                </w:p>
                              </w:tc>
                              <w:tc>
                                <w:tcPr>
                                  <w:tcW w:w="7539" w:type="dxa"/>
                                </w:tcPr>
                                <w:p>
                                  <w:pPr>
                                    <w:pStyle w:val="21"/>
                                    <w:spacing w:before="178"/>
                                    <w:ind w:left="282"/>
                                    <w:rPr>
                                      <w:color w:val="auto"/>
                                      <w:sz w:val="21"/>
                                    </w:rPr>
                                  </w:pPr>
                                  <w:r>
                                    <w:rPr>
                                      <w:color w:val="auto"/>
                                      <w:sz w:val="21"/>
                                    </w:rPr>
                                    <w:t>监理人在行使变更前需要发包人事先批准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52" w:type="dxa"/>
                                </w:tcPr>
                                <w:p>
                                  <w:pPr>
                                    <w:pStyle w:val="21"/>
                                    <w:spacing w:before="10"/>
                                    <w:rPr>
                                      <w:color w:val="auto"/>
                                      <w:sz w:val="15"/>
                                    </w:rPr>
                                  </w:pPr>
                                </w:p>
                                <w:p>
                                  <w:pPr>
                                    <w:pStyle w:val="21"/>
                                    <w:ind w:left="356" w:right="344"/>
                                    <w:jc w:val="center"/>
                                    <w:rPr>
                                      <w:rFonts w:ascii="Times New Roman"/>
                                      <w:color w:val="auto"/>
                                      <w:sz w:val="20"/>
                                    </w:rPr>
                                  </w:pPr>
                                  <w:r>
                                    <w:rPr>
                                      <w:rFonts w:ascii="Times New Roman"/>
                                      <w:color w:val="auto"/>
                                      <w:sz w:val="20"/>
                                    </w:rPr>
                                    <w:t>6.2</w:t>
                                  </w:r>
                                </w:p>
                              </w:tc>
                              <w:tc>
                                <w:tcPr>
                                  <w:tcW w:w="7539" w:type="dxa"/>
                                </w:tcPr>
                                <w:p>
                                  <w:pPr>
                                    <w:pStyle w:val="21"/>
                                    <w:spacing w:before="177"/>
                                    <w:ind w:left="282"/>
                                    <w:rPr>
                                      <w:color w:val="auto"/>
                                      <w:sz w:val="21"/>
                                    </w:rPr>
                                  </w:pPr>
                                  <w:r>
                                    <w:rPr>
                                      <w:color w:val="auto"/>
                                      <w:sz w:val="21"/>
                                    </w:rPr>
                                    <w:t>发包人是否提供材料或工程设备：</w:t>
                                  </w:r>
                                  <w:r>
                                    <w:rPr>
                                      <w:rFonts w:hint="eastAsia"/>
                                      <w:color w:val="auto"/>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52" w:type="dxa"/>
                                </w:tcPr>
                                <w:p>
                                  <w:pPr>
                                    <w:pStyle w:val="21"/>
                                    <w:spacing w:before="9"/>
                                    <w:rPr>
                                      <w:color w:val="auto"/>
                                      <w:sz w:val="15"/>
                                    </w:rPr>
                                  </w:pPr>
                                </w:p>
                                <w:p>
                                  <w:pPr>
                                    <w:pStyle w:val="21"/>
                                    <w:ind w:left="356" w:right="344"/>
                                    <w:jc w:val="center"/>
                                    <w:rPr>
                                      <w:rFonts w:ascii="Times New Roman"/>
                                      <w:color w:val="auto"/>
                                      <w:sz w:val="20"/>
                                    </w:rPr>
                                  </w:pPr>
                                  <w:r>
                                    <w:rPr>
                                      <w:rFonts w:ascii="Times New Roman"/>
                                      <w:color w:val="auto"/>
                                      <w:sz w:val="20"/>
                                    </w:rPr>
                                    <w:t>6.2</w:t>
                                  </w:r>
                                </w:p>
                              </w:tc>
                              <w:tc>
                                <w:tcPr>
                                  <w:tcW w:w="7539" w:type="dxa"/>
                                </w:tcPr>
                                <w:p>
                                  <w:pPr>
                                    <w:pStyle w:val="21"/>
                                    <w:tabs>
                                      <w:tab w:val="left" w:pos="4219"/>
                                    </w:tabs>
                                    <w:spacing w:before="178"/>
                                    <w:ind w:left="282"/>
                                    <w:rPr>
                                      <w:rFonts w:ascii="Times New Roman"/>
                                      <w:color w:val="auto"/>
                                      <w:sz w:val="21"/>
                                    </w:rPr>
                                  </w:pPr>
                                  <w:r>
                                    <w:rPr>
                                      <w:rFonts w:ascii="宋体" w:hAnsi="宋体" w:eastAsia="宋体" w:cs="宋体"/>
                                      <w:color w:val="auto"/>
                                      <w:sz w:val="21"/>
                                    </w:rPr>
                                    <w:t>发包人是否提供施工设备和临时设施：</w:t>
                                  </w:r>
                                  <w:r>
                                    <w:rPr>
                                      <w:rFonts w:ascii="Times New Roman" w:eastAsia="Times New Roman"/>
                                      <w:color w:val="auto"/>
                                      <w:w w:val="95"/>
                                      <w:sz w:val="21"/>
                                      <w:u w:val="single"/>
                                    </w:rPr>
                                    <w:t xml:space="preserve"> </w:t>
                                  </w:r>
                                  <w:r>
                                    <w:rPr>
                                      <w:rFonts w:hint="eastAsia" w:ascii="Times New Roman"/>
                                      <w:color w:val="auto"/>
                                      <w:sz w:val="21"/>
                                      <w:u w:val="single"/>
                                      <w:lang w:val="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352" w:type="dxa"/>
                                </w:tcPr>
                                <w:p>
                                  <w:pPr>
                                    <w:pStyle w:val="21"/>
                                    <w:spacing w:before="1"/>
                                    <w:rPr>
                                      <w:color w:val="auto"/>
                                      <w:sz w:val="26"/>
                                    </w:rPr>
                                  </w:pPr>
                                </w:p>
                                <w:p>
                                  <w:pPr>
                                    <w:pStyle w:val="21"/>
                                    <w:ind w:left="356" w:right="344"/>
                                    <w:jc w:val="center"/>
                                    <w:rPr>
                                      <w:rFonts w:ascii="Times New Roman"/>
                                      <w:color w:val="auto"/>
                                      <w:sz w:val="20"/>
                                    </w:rPr>
                                  </w:pPr>
                                  <w:r>
                                    <w:rPr>
                                      <w:rFonts w:ascii="Times New Roman"/>
                                      <w:color w:val="auto"/>
                                      <w:sz w:val="20"/>
                                    </w:rPr>
                                    <w:t>8.4</w:t>
                                  </w:r>
                                </w:p>
                              </w:tc>
                              <w:tc>
                                <w:tcPr>
                                  <w:tcW w:w="7539" w:type="dxa"/>
                                </w:tcPr>
                                <w:p>
                                  <w:pPr>
                                    <w:pStyle w:val="21"/>
                                    <w:tabs>
                                      <w:tab w:val="left" w:pos="2276"/>
                                    </w:tabs>
                                    <w:spacing w:before="114" w:line="285" w:lineRule="auto"/>
                                    <w:ind w:left="106" w:right="188" w:firstLine="175"/>
                                    <w:rPr>
                                      <w:color w:val="auto"/>
                                      <w:sz w:val="21"/>
                                    </w:rPr>
                                  </w:pPr>
                                  <w:r>
                                    <w:rPr>
                                      <w:color w:val="auto"/>
                                      <w:sz w:val="21"/>
                                    </w:rPr>
                                    <w:t>逾期交工违约金：</w:t>
                                  </w:r>
                                  <w:r>
                                    <w:rPr>
                                      <w:color w:val="auto"/>
                                      <w:sz w:val="21"/>
                                      <w:u w:val="single"/>
                                    </w:rPr>
                                    <w:t xml:space="preserve"> </w:t>
                                  </w:r>
                                  <w:r>
                                    <w:rPr>
                                      <w:rFonts w:hint="eastAsia"/>
                                      <w:color w:val="auto"/>
                                      <w:sz w:val="21"/>
                                      <w:u w:val="single"/>
                                      <w:lang w:val="en-US"/>
                                    </w:rPr>
                                    <w:t>0.</w:t>
                                  </w:r>
                                  <w:r>
                                    <w:rPr>
                                      <w:rFonts w:hint="eastAsia"/>
                                      <w:color w:val="auto"/>
                                      <w:sz w:val="21"/>
                                      <w:u w:val="single"/>
                                      <w:lang w:val="en-US" w:eastAsia="zh-CN"/>
                                    </w:rPr>
                                    <w:t xml:space="preserve">3 </w:t>
                                  </w:r>
                                  <w:r>
                                    <w:rPr>
                                      <w:rFonts w:ascii="Times New Roman" w:eastAsia="Times New Roman"/>
                                      <w:color w:val="auto"/>
                                      <w:w w:val="95"/>
                                      <w:sz w:val="21"/>
                                    </w:rPr>
                                    <w:t>%</w:t>
                                  </w:r>
                                  <w:r>
                                    <w:rPr>
                                      <w:rFonts w:ascii="宋体" w:hAnsi="宋体" w:eastAsia="宋体" w:cs="宋体"/>
                                      <w:color w:val="auto"/>
                                      <w:sz w:val="21"/>
                                    </w:rPr>
                                    <w:t>合同价元/天（如由于承包人的原因造成逾期交工，其</w:t>
                                  </w:r>
                                  <w:r>
                                    <w:rPr>
                                      <w:color w:val="auto"/>
                                      <w:sz w:val="21"/>
                                    </w:rPr>
                                    <w:t>相应增加监理服务费和发包人管理费由承包人承担）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352" w:type="dxa"/>
                                </w:tcPr>
                                <w:p>
                                  <w:pPr>
                                    <w:pStyle w:val="21"/>
                                    <w:spacing w:before="9"/>
                                    <w:rPr>
                                      <w:color w:val="auto"/>
                                      <w:sz w:val="15"/>
                                    </w:rPr>
                                  </w:pPr>
                                </w:p>
                                <w:p>
                                  <w:pPr>
                                    <w:pStyle w:val="21"/>
                                    <w:ind w:left="356" w:right="344"/>
                                    <w:jc w:val="center"/>
                                    <w:rPr>
                                      <w:rFonts w:ascii="Times New Roman"/>
                                      <w:color w:val="auto"/>
                                      <w:sz w:val="20"/>
                                    </w:rPr>
                                  </w:pPr>
                                  <w:r>
                                    <w:rPr>
                                      <w:rFonts w:ascii="Times New Roman"/>
                                      <w:color w:val="auto"/>
                                      <w:sz w:val="20"/>
                                    </w:rPr>
                                    <w:t>8.4</w:t>
                                  </w:r>
                                </w:p>
                              </w:tc>
                              <w:tc>
                                <w:tcPr>
                                  <w:tcW w:w="7539" w:type="dxa"/>
                                </w:tcPr>
                                <w:p>
                                  <w:pPr>
                                    <w:pStyle w:val="21"/>
                                    <w:spacing w:before="106" w:line="125" w:lineRule="exact"/>
                                    <w:ind w:left="662"/>
                                    <w:jc w:val="center"/>
                                    <w:rPr>
                                      <w:color w:val="auto"/>
                                      <w:sz w:val="14"/>
                                    </w:rPr>
                                  </w:pPr>
                                </w:p>
                                <w:p>
                                  <w:pPr>
                                    <w:pStyle w:val="21"/>
                                    <w:tabs>
                                      <w:tab w:val="left" w:pos="2802"/>
                                    </w:tabs>
                                    <w:spacing w:line="215" w:lineRule="exact"/>
                                    <w:ind w:left="282"/>
                                    <w:rPr>
                                      <w:color w:val="auto"/>
                                      <w:sz w:val="21"/>
                                    </w:rPr>
                                  </w:pPr>
                                  <w:r>
                                    <w:rPr>
                                      <w:color w:val="auto"/>
                                      <w:sz w:val="21"/>
                                    </w:rPr>
                                    <w:t>逾期交工违约金限额：</w:t>
                                  </w:r>
                                  <w:r>
                                    <w:rPr>
                                      <w:color w:val="auto"/>
                                      <w:sz w:val="21"/>
                                      <w:u w:val="single"/>
                                    </w:rPr>
                                    <w:t xml:space="preserve"> </w:t>
                                  </w:r>
                                  <w:r>
                                    <w:rPr>
                                      <w:rFonts w:hint="eastAsia"/>
                                      <w:color w:val="auto"/>
                                      <w:sz w:val="21"/>
                                      <w:u w:val="single"/>
                                      <w:lang w:val="en-US"/>
                                    </w:rPr>
                                    <w:t xml:space="preserve">10 </w:t>
                                  </w:r>
                                  <w:r>
                                    <w:rPr>
                                      <w:rFonts w:ascii="Times New Roman" w:eastAsia="Times New Roman"/>
                                      <w:color w:val="auto"/>
                                      <w:sz w:val="21"/>
                                    </w:rPr>
                                    <w:t>%</w:t>
                                  </w:r>
                                  <w:r>
                                    <w:rPr>
                                      <w:color w:val="auto"/>
                                      <w:sz w:val="21"/>
                                    </w:rPr>
                                    <w:t>签约合同价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52" w:type="dxa"/>
                                </w:tcPr>
                                <w:p>
                                  <w:pPr>
                                    <w:pStyle w:val="21"/>
                                    <w:spacing w:before="10"/>
                                    <w:rPr>
                                      <w:color w:val="auto"/>
                                      <w:sz w:val="15"/>
                                    </w:rPr>
                                  </w:pPr>
                                </w:p>
                                <w:p>
                                  <w:pPr>
                                    <w:pStyle w:val="21"/>
                                    <w:ind w:left="356" w:right="344"/>
                                    <w:jc w:val="center"/>
                                    <w:rPr>
                                      <w:rFonts w:ascii="Times New Roman"/>
                                      <w:color w:val="auto"/>
                                      <w:sz w:val="20"/>
                                    </w:rPr>
                                  </w:pPr>
                                  <w:r>
                                    <w:rPr>
                                      <w:rFonts w:ascii="Times New Roman"/>
                                      <w:color w:val="auto"/>
                                      <w:sz w:val="20"/>
                                    </w:rPr>
                                    <w:t>5.6</w:t>
                                  </w:r>
                                </w:p>
                              </w:tc>
                              <w:tc>
                                <w:tcPr>
                                  <w:tcW w:w="7539" w:type="dxa"/>
                                </w:tcPr>
                                <w:p>
                                  <w:pPr>
                                    <w:pStyle w:val="21"/>
                                    <w:spacing w:before="105" w:line="125" w:lineRule="exact"/>
                                    <w:ind w:left="33"/>
                                    <w:jc w:val="center"/>
                                    <w:rPr>
                                      <w:color w:val="auto"/>
                                      <w:sz w:val="14"/>
                                    </w:rPr>
                                  </w:pPr>
                                </w:p>
                                <w:p>
                                  <w:pPr>
                                    <w:pStyle w:val="21"/>
                                    <w:tabs>
                                      <w:tab w:val="left" w:pos="2487"/>
                                    </w:tabs>
                                    <w:spacing w:line="215" w:lineRule="exact"/>
                                    <w:ind w:left="282"/>
                                    <w:rPr>
                                      <w:color w:val="auto"/>
                                      <w:sz w:val="21"/>
                                    </w:rPr>
                                  </w:pPr>
                                  <w:r>
                                    <w:rPr>
                                      <w:color w:val="auto"/>
                                      <w:sz w:val="21"/>
                                    </w:rPr>
                                    <w:t>开工预付款金额：</w:t>
                                  </w:r>
                                  <w:r>
                                    <w:rPr>
                                      <w:rFonts w:hint="eastAsia"/>
                                      <w:color w:val="auto"/>
                                      <w:sz w:val="21"/>
                                      <w:u w:val="single"/>
                                      <w:lang w:val="en-US" w:eastAsia="zh-CN"/>
                                    </w:rPr>
                                    <w:t>10</w:t>
                                  </w:r>
                                  <w:r>
                                    <w:rPr>
                                      <w:rFonts w:hint="eastAsia"/>
                                      <w:color w:val="auto"/>
                                      <w:sz w:val="21"/>
                                      <w:u w:val="single"/>
                                      <w:lang w:val="en-US"/>
                                    </w:rPr>
                                    <w:t xml:space="preserve"> </w:t>
                                  </w:r>
                                  <w:r>
                                    <w:rPr>
                                      <w:rFonts w:ascii="Times New Roman" w:eastAsia="Times New Roman"/>
                                      <w:color w:val="auto"/>
                                      <w:sz w:val="21"/>
                                    </w:rPr>
                                    <w:t>%</w:t>
                                  </w:r>
                                  <w:r>
                                    <w:rPr>
                                      <w:color w:val="auto"/>
                                      <w:sz w:val="21"/>
                                    </w:rPr>
                                    <w:t>签约合同价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352" w:type="dxa"/>
                                </w:tcPr>
                                <w:p>
                                  <w:pPr>
                                    <w:pStyle w:val="21"/>
                                    <w:spacing w:before="9"/>
                                    <w:rPr>
                                      <w:color w:val="auto"/>
                                      <w:sz w:val="15"/>
                                    </w:rPr>
                                  </w:pPr>
                                </w:p>
                                <w:p>
                                  <w:pPr>
                                    <w:pStyle w:val="21"/>
                                    <w:ind w:left="355" w:right="346"/>
                                    <w:jc w:val="center"/>
                                    <w:rPr>
                                      <w:rFonts w:ascii="Times New Roman"/>
                                      <w:color w:val="auto"/>
                                      <w:sz w:val="20"/>
                                    </w:rPr>
                                  </w:pPr>
                                  <w:r>
                                    <w:rPr>
                                      <w:rFonts w:ascii="Times New Roman"/>
                                      <w:color w:val="auto"/>
                                      <w:sz w:val="20"/>
                                    </w:rPr>
                                    <w:t>17.5</w:t>
                                  </w:r>
                                </w:p>
                              </w:tc>
                              <w:tc>
                                <w:tcPr>
                                  <w:tcW w:w="7539" w:type="dxa"/>
                                </w:tcPr>
                                <w:p>
                                  <w:pPr>
                                    <w:pStyle w:val="21"/>
                                    <w:spacing w:before="106" w:line="125" w:lineRule="exact"/>
                                    <w:ind w:right="426"/>
                                    <w:jc w:val="right"/>
                                    <w:rPr>
                                      <w:color w:val="auto"/>
                                      <w:sz w:val="14"/>
                                    </w:rPr>
                                  </w:pPr>
                                </w:p>
                                <w:p>
                                  <w:pPr>
                                    <w:pStyle w:val="21"/>
                                    <w:tabs>
                                      <w:tab w:val="left" w:pos="6687"/>
                                    </w:tabs>
                                    <w:spacing w:line="215" w:lineRule="exact"/>
                                    <w:ind w:left="282"/>
                                    <w:rPr>
                                      <w:rFonts w:ascii="Times New Roman" w:eastAsia="Times New Roman"/>
                                      <w:color w:val="auto"/>
                                      <w:sz w:val="21"/>
                                    </w:rPr>
                                  </w:pPr>
                                  <w:r>
                                    <w:rPr>
                                      <w:color w:val="auto"/>
                                      <w:sz w:val="21"/>
                                    </w:rPr>
                                    <w:t>材料预付款比例：水泥、钢材、沥青等主要材料单据所列费用的</w:t>
                                  </w:r>
                                  <w:r>
                                    <w:rPr>
                                      <w:rFonts w:hint="eastAsia"/>
                                      <w:color w:val="auto"/>
                                      <w:sz w:val="21"/>
                                      <w:highlight w:val="none"/>
                                      <w:u w:val="single"/>
                                      <w:lang w:val="en-US"/>
                                    </w:rPr>
                                    <w:t xml:space="preserve"> </w:t>
                                  </w:r>
                                  <w:r>
                                    <w:rPr>
                                      <w:rFonts w:hint="eastAsia"/>
                                      <w:color w:val="auto"/>
                                      <w:sz w:val="21"/>
                                      <w:highlight w:val="none"/>
                                      <w:u w:val="single"/>
                                      <w:lang w:val="en-US" w:eastAsia="zh-CN"/>
                                    </w:rPr>
                                    <w:t>60</w:t>
                                  </w:r>
                                  <w:r>
                                    <w:rPr>
                                      <w:rFonts w:hint="eastAsia"/>
                                      <w:color w:val="auto"/>
                                      <w:sz w:val="21"/>
                                      <w:highlight w:val="none"/>
                                      <w:u w:val="single"/>
                                      <w:lang w:val="en-US"/>
                                    </w:rPr>
                                    <w:t xml:space="preserve"> </w:t>
                                  </w:r>
                                  <w:r>
                                    <w:rPr>
                                      <w:rFonts w:ascii="Times New Roman" w:eastAsia="Times New Roman"/>
                                      <w:color w:val="auto"/>
                                      <w:sz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352" w:type="dxa"/>
                                </w:tcPr>
                                <w:p>
                                  <w:pPr>
                                    <w:pStyle w:val="21"/>
                                    <w:spacing w:before="10"/>
                                    <w:rPr>
                                      <w:color w:val="auto"/>
                                      <w:sz w:val="15"/>
                                    </w:rPr>
                                  </w:pPr>
                                </w:p>
                                <w:p>
                                  <w:pPr>
                                    <w:pStyle w:val="21"/>
                                    <w:ind w:left="355" w:right="346"/>
                                    <w:jc w:val="center"/>
                                    <w:rPr>
                                      <w:rFonts w:ascii="Times New Roman"/>
                                      <w:color w:val="auto"/>
                                      <w:sz w:val="20"/>
                                    </w:rPr>
                                  </w:pPr>
                                  <w:r>
                                    <w:rPr>
                                      <w:rFonts w:ascii="Times New Roman"/>
                                      <w:color w:val="auto"/>
                                      <w:sz w:val="20"/>
                                    </w:rPr>
                                    <w:t>18.3</w:t>
                                  </w:r>
                                </w:p>
                              </w:tc>
                              <w:tc>
                                <w:tcPr>
                                  <w:tcW w:w="7539" w:type="dxa"/>
                                </w:tcPr>
                                <w:p>
                                  <w:pPr>
                                    <w:pStyle w:val="21"/>
                                    <w:spacing w:before="177"/>
                                    <w:ind w:left="282"/>
                                    <w:rPr>
                                      <w:color w:val="auto"/>
                                      <w:sz w:val="21"/>
                                    </w:rPr>
                                  </w:pPr>
                                  <w:r>
                                    <w:rPr>
                                      <w:color w:val="auto"/>
                                      <w:sz w:val="21"/>
                                    </w:rPr>
                                    <w:t>承包人在每个付款周期末向监理人提交进度付款申请单的份数：</w:t>
                                  </w:r>
                                  <w:r>
                                    <w:rPr>
                                      <w:color w:val="auto"/>
                                      <w:sz w:val="21"/>
                                      <w:u w:val="single"/>
                                    </w:rPr>
                                    <w:t xml:space="preserve"> </w:t>
                                  </w:r>
                                  <w:r>
                                    <w:rPr>
                                      <w:rFonts w:ascii="Times New Roman" w:eastAsia="Times New Roman"/>
                                      <w:color w:val="auto"/>
                                      <w:sz w:val="21"/>
                                      <w:u w:val="single"/>
                                    </w:rPr>
                                    <w:t>6</w:t>
                                  </w:r>
                                  <w:r>
                                    <w:rPr>
                                      <w:rFonts w:ascii="Times New Roman" w:eastAsia="Times New Roman"/>
                                      <w:color w:val="auto"/>
                                      <w:sz w:val="21"/>
                                    </w:rPr>
                                    <w:t xml:space="preserve"> </w:t>
                                  </w:r>
                                  <w:r>
                                    <w:rPr>
                                      <w:color w:val="auto"/>
                                      <w:sz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352" w:type="dxa"/>
                                </w:tcPr>
                                <w:p>
                                  <w:pPr>
                                    <w:pStyle w:val="21"/>
                                    <w:spacing w:before="10"/>
                                    <w:rPr>
                                      <w:color w:val="auto"/>
                                      <w:sz w:val="20"/>
                                    </w:rPr>
                                  </w:pPr>
                                </w:p>
                                <w:p>
                                  <w:pPr>
                                    <w:pStyle w:val="21"/>
                                    <w:ind w:left="356" w:right="346"/>
                                    <w:jc w:val="center"/>
                                    <w:rPr>
                                      <w:rFonts w:ascii="Times New Roman"/>
                                      <w:color w:val="auto"/>
                                      <w:sz w:val="20"/>
                                    </w:rPr>
                                  </w:pPr>
                                  <w:r>
                                    <w:rPr>
                                      <w:rFonts w:ascii="Times New Roman"/>
                                      <w:color w:val="auto"/>
                                      <w:sz w:val="20"/>
                                    </w:rPr>
                                    <w:t>18.3(3)</w:t>
                                  </w:r>
                                </w:p>
                              </w:tc>
                              <w:tc>
                                <w:tcPr>
                                  <w:tcW w:w="7539" w:type="dxa"/>
                                </w:tcPr>
                                <w:p>
                                  <w:pPr>
                                    <w:pStyle w:val="21"/>
                                    <w:spacing w:line="320" w:lineRule="exact"/>
                                    <w:ind w:left="106" w:right="41" w:firstLine="175"/>
                                    <w:rPr>
                                      <w:color w:val="auto"/>
                                      <w:sz w:val="21"/>
                                    </w:rPr>
                                  </w:pPr>
                                  <w:r>
                                    <w:rPr>
                                      <w:color w:val="auto"/>
                                      <w:sz w:val="21"/>
                                    </w:rPr>
                                    <w:t xml:space="preserve">逾期付款违约金的利率：全国银行间同业拆借中心公布的 </w:t>
                                  </w:r>
                                  <w:r>
                                    <w:rPr>
                                      <w:rFonts w:ascii="Times New Roman" w:eastAsia="Times New Roman"/>
                                      <w:color w:val="auto"/>
                                      <w:sz w:val="21"/>
                                    </w:rPr>
                                    <w:t xml:space="preserve">1 </w:t>
                                  </w:r>
                                  <w:r>
                                    <w:rPr>
                                      <w:color w:val="auto"/>
                                      <w:sz w:val="21"/>
                                    </w:rPr>
                                    <w:t>年期贷款市场报价利率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7" w:hRule="atLeast"/>
                              </w:trPr>
                              <w:tc>
                                <w:tcPr>
                                  <w:tcW w:w="1352" w:type="dxa"/>
                                </w:tcPr>
                                <w:p>
                                  <w:pPr>
                                    <w:pStyle w:val="21"/>
                                    <w:rPr>
                                      <w:color w:val="auto"/>
                                    </w:rPr>
                                  </w:pPr>
                                </w:p>
                                <w:p>
                                  <w:pPr>
                                    <w:pStyle w:val="21"/>
                                    <w:rPr>
                                      <w:color w:val="auto"/>
                                    </w:rPr>
                                  </w:pPr>
                                </w:p>
                                <w:p>
                                  <w:pPr>
                                    <w:pStyle w:val="21"/>
                                    <w:spacing w:before="183"/>
                                    <w:ind w:left="356" w:right="346"/>
                                    <w:jc w:val="center"/>
                                    <w:rPr>
                                      <w:rFonts w:ascii="Times New Roman"/>
                                      <w:color w:val="auto"/>
                                      <w:sz w:val="20"/>
                                    </w:rPr>
                                  </w:pPr>
                                  <w:r>
                                    <w:rPr>
                                      <w:rFonts w:ascii="Times New Roman"/>
                                      <w:color w:val="auto"/>
                                      <w:sz w:val="20"/>
                                    </w:rPr>
                                    <w:t>18.7(1)</w:t>
                                  </w:r>
                                </w:p>
                              </w:tc>
                              <w:tc>
                                <w:tcPr>
                                  <w:tcW w:w="7539" w:type="dxa"/>
                                </w:tcPr>
                                <w:p>
                                  <w:pPr>
                                    <w:pStyle w:val="21"/>
                                    <w:spacing w:line="100" w:lineRule="exact"/>
                                    <w:ind w:left="1750"/>
                                    <w:rPr>
                                      <w:color w:val="auto"/>
                                      <w:sz w:val="14"/>
                                    </w:rPr>
                                  </w:pPr>
                                </w:p>
                                <w:p>
                                  <w:pPr>
                                    <w:pStyle w:val="21"/>
                                    <w:spacing w:line="320" w:lineRule="exact"/>
                                    <w:ind w:left="106" w:right="41" w:firstLine="175"/>
                                    <w:rPr>
                                      <w:rFonts w:ascii="宋体" w:hAnsi="宋体" w:eastAsia="宋体" w:cs="宋体"/>
                                      <w:color w:val="auto"/>
                                      <w:sz w:val="21"/>
                                    </w:rPr>
                                  </w:pPr>
                                  <w:r>
                                    <w:rPr>
                                      <w:rFonts w:ascii="宋体" w:hAnsi="宋体" w:eastAsia="宋体" w:cs="宋体"/>
                                      <w:color w:val="auto"/>
                                      <w:sz w:val="21"/>
                                    </w:rPr>
                                    <w:t>质量保证金限额 ：</w:t>
                                  </w:r>
                                  <w:r>
                                    <w:rPr>
                                      <w:rFonts w:hint="eastAsia" w:ascii="宋体" w:hAnsi="宋体" w:eastAsia="宋体" w:cs="宋体"/>
                                      <w:color w:val="auto"/>
                                      <w:sz w:val="21"/>
                                      <w:lang w:val="en-US"/>
                                    </w:rPr>
                                    <w:t>3</w:t>
                                  </w:r>
                                  <w:r>
                                    <w:rPr>
                                      <w:rFonts w:ascii="宋体" w:hAnsi="宋体" w:eastAsia="宋体" w:cs="宋体"/>
                                      <w:color w:val="auto"/>
                                      <w:sz w:val="21"/>
                                    </w:rPr>
                                    <w:t>%合同价格，若交工验收时承包人具备交通运输厅农村</w:t>
                                  </w:r>
                                </w:p>
                                <w:p>
                                  <w:pPr>
                                    <w:pStyle w:val="21"/>
                                    <w:tabs>
                                      <w:tab w:val="left" w:pos="7149"/>
                                    </w:tabs>
                                    <w:spacing w:before="50" w:line="258" w:lineRule="exact"/>
                                    <w:ind w:right="96"/>
                                    <w:jc w:val="right"/>
                                    <w:rPr>
                                      <w:rFonts w:ascii="Times New Roman" w:eastAsia="Times New Roman"/>
                                      <w:color w:val="auto"/>
                                      <w:sz w:val="21"/>
                                    </w:rPr>
                                  </w:pPr>
                                  <w:r>
                                    <w:rPr>
                                      <w:color w:val="auto"/>
                                      <w:sz w:val="21"/>
                                    </w:rPr>
                                    <w:t>公路建设从业单位信用信息评价体系评定的最高信用等级</w:t>
                                  </w:r>
                                  <w:r>
                                    <w:rPr>
                                      <w:color w:val="auto"/>
                                      <w:spacing w:val="-97"/>
                                      <w:sz w:val="21"/>
                                    </w:rPr>
                                    <w:t>，</w:t>
                                  </w:r>
                                  <w:r>
                                    <w:rPr>
                                      <w:color w:val="auto"/>
                                      <w:sz w:val="21"/>
                                    </w:rPr>
                                    <w:t>发包人可以给予</w:t>
                                  </w:r>
                                  <w:r>
                                    <w:rPr>
                                      <w:color w:val="auto"/>
                                      <w:sz w:val="21"/>
                                      <w:u w:val="single"/>
                                    </w:rPr>
                                    <w:t xml:space="preserve"> </w:t>
                                  </w:r>
                                  <w:r>
                                    <w:rPr>
                                      <w:rFonts w:hint="eastAsia"/>
                                      <w:color w:val="auto"/>
                                      <w:sz w:val="21"/>
                                      <w:u w:val="single"/>
                                    </w:rPr>
                                    <w:t>/</w:t>
                                  </w:r>
                                  <w:r>
                                    <w:rPr>
                                      <w:color w:val="auto"/>
                                      <w:sz w:val="21"/>
                                      <w:u w:val="single"/>
                                    </w:rPr>
                                    <w:tab/>
                                  </w:r>
                                  <w:r>
                                    <w:rPr>
                                      <w:rFonts w:ascii="Times New Roman" w:eastAsia="Times New Roman"/>
                                      <w:color w:val="auto"/>
                                      <w:spacing w:val="-1"/>
                                      <w:sz w:val="21"/>
                                    </w:rPr>
                                    <w:t>%</w:t>
                                  </w:r>
                                </w:p>
                                <w:p>
                                  <w:pPr>
                                    <w:pStyle w:val="21"/>
                                    <w:spacing w:line="115" w:lineRule="exact"/>
                                    <w:ind w:right="2134"/>
                                    <w:jc w:val="center"/>
                                    <w:rPr>
                                      <w:color w:val="auto"/>
                                      <w:sz w:val="14"/>
                                    </w:rPr>
                                  </w:pPr>
                                </w:p>
                                <w:p>
                                  <w:pPr>
                                    <w:pStyle w:val="21"/>
                                    <w:spacing w:line="197" w:lineRule="exact"/>
                                    <w:ind w:left="106"/>
                                    <w:rPr>
                                      <w:color w:val="auto"/>
                                      <w:sz w:val="21"/>
                                    </w:rPr>
                                  </w:pPr>
                                  <w:r>
                                    <w:rPr>
                                      <w:rFonts w:ascii="宋体" w:hAnsi="宋体" w:eastAsia="宋体" w:cs="宋体"/>
                                      <w:color w:val="auto"/>
                                      <w:sz w:val="21"/>
                                    </w:rPr>
                                    <w:t>合同价格质量保证金的优惠</w:t>
                                  </w:r>
                                  <w:r>
                                    <w:rPr>
                                      <w:color w:val="auto"/>
                                      <w:sz w:val="21"/>
                                    </w:rPr>
                                    <w:t xml:space="preserve"> ：</w:t>
                                  </w:r>
                                </w:p>
                                <w:p>
                                  <w:pPr>
                                    <w:pStyle w:val="21"/>
                                    <w:tabs>
                                      <w:tab w:val="left" w:pos="3595"/>
                                    </w:tabs>
                                    <w:spacing w:line="327" w:lineRule="exact"/>
                                    <w:ind w:left="306"/>
                                    <w:rPr>
                                      <w:rFonts w:ascii="Times New Roman" w:hAnsi="Times New Roman" w:eastAsia="Times New Roman"/>
                                      <w:color w:val="auto"/>
                                      <w:sz w:val="21"/>
                                    </w:rPr>
                                  </w:pPr>
                                  <w:r>
                                    <w:rPr>
                                      <w:rFonts w:ascii="Times New Roman" w:hAnsi="Times New Roman" w:eastAsia="Times New Roman"/>
                                      <w:color w:val="auto"/>
                                      <w:w w:val="95"/>
                                      <w:sz w:val="32"/>
                                    </w:rPr>
                                    <w:t>□</w:t>
                                  </w:r>
                                  <w:r>
                                    <w:rPr>
                                      <w:rFonts w:ascii="宋体" w:hAnsi="宋体" w:eastAsia="宋体" w:cs="宋体"/>
                                      <w:color w:val="auto"/>
                                      <w:sz w:val="21"/>
                                    </w:rPr>
                                    <w:t>是，利息的计算方式：</w:t>
                                  </w:r>
                                  <w:r>
                                    <w:rPr>
                                      <w:rFonts w:ascii="Times New Roman" w:hAnsi="Times New Roman" w:eastAsia="Times New Roman"/>
                                      <w:color w:val="auto"/>
                                      <w:w w:val="95"/>
                                      <w:sz w:val="21"/>
                                      <w:u w:val="single"/>
                                    </w:rPr>
                                    <w:t xml:space="preserve"> </w:t>
                                  </w:r>
                                  <w:r>
                                    <w:rPr>
                                      <w:rFonts w:ascii="Times New Roman" w:hAnsi="Times New Roman" w:eastAsia="Times New Roman"/>
                                      <w:color w:val="auto"/>
                                      <w:sz w:val="21"/>
                                      <w:u w:val="single"/>
                                    </w:rPr>
                                    <w:tab/>
                                  </w:r>
                                </w:p>
                                <w:p>
                                  <w:pPr>
                                    <w:pStyle w:val="21"/>
                                    <w:spacing w:line="315" w:lineRule="exact"/>
                                    <w:ind w:left="306"/>
                                    <w:rPr>
                                      <w:color w:val="auto"/>
                                      <w:sz w:val="21"/>
                                    </w:rPr>
                                  </w:pPr>
                                  <w:r>
                                    <w:rPr>
                                      <w:rFonts w:hint="eastAsia" w:ascii="Times New Roman" w:hAnsi="Times New Roman"/>
                                      <w:color w:val="auto"/>
                                      <w:sz w:val="32"/>
                                    </w:rPr>
                                    <w:t>☑</w:t>
                                  </w:r>
                                  <w:r>
                                    <w:rPr>
                                      <w:rFonts w:ascii="宋体" w:hAnsi="宋体" w:eastAsia="宋体" w:cs="宋体"/>
                                      <w:color w:val="auto"/>
                                      <w:sz w:val="21"/>
                                    </w:rPr>
                                    <w:t>否</w:t>
                                  </w:r>
                                </w:p>
                              </w:tc>
                            </w:tr>
                          </w:tbl>
                          <w:p>
                            <w:pPr>
                              <w:pStyle w:val="10"/>
                              <w:rPr>
                                <w:color w:val="auto"/>
                              </w:rPr>
                            </w:pPr>
                          </w:p>
                        </w:txbxContent>
                      </wps:txbx>
                      <wps:bodyPr lIns="0" tIns="0" rIns="0" bIns="0" upright="1"/>
                    </wps:wsp>
                  </a:graphicData>
                </a:graphic>
              </wp:anchor>
            </w:drawing>
          </mc:Choice>
          <mc:Fallback>
            <w:pict>
              <v:shape id="文本框 30" o:spid="_x0000_s1026" o:spt="202" type="#_x0000_t202" style="position:absolute;left:0pt;margin-left:76.55pt;margin-top:39.7pt;height:496.55pt;width:445.3pt;mso-position-horizontal-relative:page;z-index:251664384;mso-width-relative:page;mso-height-relative:page;" filled="f" stroked="f" coordsize="21600,21600" o:gfxdata="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9fs0XZAAAADAEAAA8AAAAAAAAAAQAgAAAAIgAAAGRycy9kb3ducmV2LnhtbFBL&#10;AQIUABQAAAAIAIdO4kBnV3pCvAEAAHUDAAAOAAAAAAAAAAEAIAAAACgBAABkcnMvZTJvRG9jLnht&#10;bFBLBQYAAAAABgAGAFkBAABWBQAAAAA=&#10;">
                <v:fill on="f" focussize="0,0"/>
                <v:stroke on="f"/>
                <v:imagedata o:title=""/>
                <o:lock v:ext="edit" aspectratio="f"/>
                <v:textbox inset="0mm,0mm,0mm,0mm">
                  <w:txbxContent>
                    <w:tbl>
                      <w:tblPr>
                        <w:tblStyle w:val="18"/>
                        <w:tblW w:w="889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2"/>
                        <w:gridCol w:w="7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352" w:type="dxa"/>
                          </w:tcPr>
                          <w:p>
                            <w:pPr>
                              <w:pStyle w:val="21"/>
                              <w:spacing w:before="12"/>
                              <w:rPr>
                                <w:color w:val="auto"/>
                                <w:sz w:val="15"/>
                              </w:rPr>
                            </w:pPr>
                          </w:p>
                          <w:p>
                            <w:pPr>
                              <w:pStyle w:val="21"/>
                              <w:ind w:left="356" w:right="346"/>
                              <w:jc w:val="center"/>
                              <w:rPr>
                                <w:color w:val="auto"/>
                                <w:sz w:val="20"/>
                              </w:rPr>
                            </w:pPr>
                            <w:r>
                              <w:rPr>
                                <w:color w:val="auto"/>
                                <w:sz w:val="20"/>
                              </w:rPr>
                              <w:t>条款号</w:t>
                            </w:r>
                          </w:p>
                        </w:tc>
                        <w:tc>
                          <w:tcPr>
                            <w:tcW w:w="7539" w:type="dxa"/>
                          </w:tcPr>
                          <w:p>
                            <w:pPr>
                              <w:pStyle w:val="21"/>
                              <w:spacing w:before="12"/>
                              <w:rPr>
                                <w:color w:val="auto"/>
                                <w:sz w:val="15"/>
                              </w:rPr>
                            </w:pPr>
                          </w:p>
                          <w:p>
                            <w:pPr>
                              <w:pStyle w:val="21"/>
                              <w:ind w:left="3246" w:right="3242"/>
                              <w:jc w:val="center"/>
                              <w:rPr>
                                <w:color w:val="auto"/>
                                <w:sz w:val="20"/>
                              </w:rPr>
                            </w:pPr>
                            <w:r>
                              <w:rPr>
                                <w:color w:val="auto"/>
                                <w:sz w:val="20"/>
                              </w:rPr>
                              <w:t>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352" w:type="dxa"/>
                          </w:tcPr>
                          <w:p>
                            <w:pPr>
                              <w:pStyle w:val="21"/>
                              <w:rPr>
                                <w:rFonts w:ascii="Times New Roman"/>
                                <w:color w:val="auto"/>
                                <w:sz w:val="20"/>
                                <w:highlight w:val="none"/>
                              </w:rPr>
                            </w:pPr>
                          </w:p>
                        </w:tc>
                        <w:tc>
                          <w:tcPr>
                            <w:tcW w:w="7539" w:type="dxa"/>
                          </w:tcPr>
                          <w:p>
                            <w:pPr>
                              <w:pStyle w:val="21"/>
                              <w:spacing w:before="76"/>
                              <w:ind w:left="282"/>
                              <w:rPr>
                                <w:rFonts w:hint="default" w:eastAsia="宋体"/>
                                <w:color w:val="auto"/>
                                <w:sz w:val="21"/>
                                <w:highlight w:val="none"/>
                                <w:lang w:val="en-US" w:eastAsia="zh-CN"/>
                              </w:rPr>
                            </w:pPr>
                            <w:r>
                              <w:rPr>
                                <w:color w:val="auto"/>
                                <w:sz w:val="21"/>
                                <w:highlight w:val="none"/>
                              </w:rPr>
                              <w:t>发包人：</w:t>
                            </w:r>
                            <w:r>
                              <w:rPr>
                                <w:rFonts w:hint="eastAsia"/>
                                <w:color w:val="auto"/>
                                <w:sz w:val="21"/>
                                <w:highlight w:val="none"/>
                                <w:lang w:val="en-US" w:eastAsia="zh-CN"/>
                              </w:rPr>
                              <w:t>博湖县交通运输局</w:t>
                            </w:r>
                          </w:p>
                          <w:p>
                            <w:pPr>
                              <w:pStyle w:val="21"/>
                              <w:tabs>
                                <w:tab w:val="left" w:pos="3116"/>
                              </w:tabs>
                              <w:spacing w:before="50"/>
                              <w:ind w:left="282"/>
                              <w:rPr>
                                <w:rFonts w:hint="default" w:eastAsia="宋体"/>
                                <w:color w:val="auto"/>
                                <w:sz w:val="21"/>
                                <w:highlight w:val="none"/>
                                <w:lang w:val="en-US" w:eastAsia="zh-CN"/>
                              </w:rPr>
                            </w:pPr>
                            <w:r>
                              <w:rPr>
                                <w:color w:val="auto"/>
                                <w:sz w:val="21"/>
                                <w:highlight w:val="none"/>
                              </w:rPr>
                              <w:t>地址：</w:t>
                            </w:r>
                            <w:r>
                              <w:rPr>
                                <w:rFonts w:hint="eastAsia"/>
                                <w:color w:val="auto"/>
                                <w:sz w:val="21"/>
                                <w:highlight w:val="none"/>
                                <w:lang w:val="en-US" w:eastAsia="zh-CN"/>
                              </w:rPr>
                              <w:t>博湖县</w:t>
                            </w:r>
                            <w:r>
                              <w:rPr>
                                <w:color w:val="auto"/>
                                <w:sz w:val="21"/>
                                <w:highlight w:val="none"/>
                              </w:rPr>
                              <w:tab/>
                            </w:r>
                            <w:r>
                              <w:rPr>
                                <w:color w:val="auto"/>
                                <w:sz w:val="21"/>
                                <w:highlight w:val="none"/>
                              </w:rPr>
                              <w:t>邮政编码：</w:t>
                            </w:r>
                            <w:r>
                              <w:rPr>
                                <w:rFonts w:hint="eastAsia"/>
                                <w:color w:val="auto"/>
                                <w:sz w:val="21"/>
                                <w:highlight w:val="none"/>
                                <w:lang w:val="en-US" w:eastAsia="zh-CN"/>
                              </w:rPr>
                              <w:t>841400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352" w:type="dxa"/>
                          </w:tcPr>
                          <w:p>
                            <w:pPr>
                              <w:pStyle w:val="21"/>
                              <w:rPr>
                                <w:rFonts w:ascii="Times New Roman"/>
                                <w:color w:val="auto"/>
                                <w:sz w:val="20"/>
                              </w:rPr>
                            </w:pPr>
                          </w:p>
                        </w:tc>
                        <w:tc>
                          <w:tcPr>
                            <w:tcW w:w="7539" w:type="dxa"/>
                          </w:tcPr>
                          <w:p>
                            <w:pPr>
                              <w:pStyle w:val="21"/>
                              <w:spacing w:before="75"/>
                              <w:ind w:left="282"/>
                              <w:rPr>
                                <w:rFonts w:hint="eastAsia" w:eastAsia="宋体"/>
                                <w:color w:val="auto"/>
                                <w:sz w:val="21"/>
                                <w:lang w:val="en-US" w:eastAsia="zh-CN"/>
                              </w:rPr>
                            </w:pPr>
                            <w:r>
                              <w:rPr>
                                <w:color w:val="auto"/>
                                <w:sz w:val="21"/>
                              </w:rPr>
                              <w:t>监理人：</w:t>
                            </w:r>
                            <w:r>
                              <w:rPr>
                                <w:rFonts w:hint="eastAsia"/>
                                <w:color w:val="auto"/>
                                <w:sz w:val="21"/>
                                <w:lang w:val="en-US" w:eastAsia="zh-CN"/>
                              </w:rPr>
                              <w:t>/</w:t>
                            </w:r>
                          </w:p>
                          <w:p>
                            <w:pPr>
                              <w:pStyle w:val="21"/>
                              <w:tabs>
                                <w:tab w:val="left" w:pos="3116"/>
                              </w:tabs>
                              <w:spacing w:before="50"/>
                              <w:ind w:left="282"/>
                              <w:rPr>
                                <w:color w:val="auto"/>
                                <w:sz w:val="21"/>
                              </w:rPr>
                            </w:pPr>
                            <w:r>
                              <w:rPr>
                                <w:color w:val="auto"/>
                                <w:sz w:val="21"/>
                              </w:rPr>
                              <w:t>地址：</w:t>
                            </w:r>
                            <w:r>
                              <w:rPr>
                                <w:color w:val="auto"/>
                                <w:sz w:val="21"/>
                              </w:rPr>
                              <w:tab/>
                            </w:r>
                            <w:r>
                              <w:rPr>
                                <w:color w:val="auto"/>
                                <w:sz w:val="21"/>
                              </w:rPr>
                              <w:t>邮政编码：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52" w:type="dxa"/>
                          </w:tcPr>
                          <w:p>
                            <w:pPr>
                              <w:pStyle w:val="21"/>
                              <w:spacing w:before="6"/>
                              <w:rPr>
                                <w:color w:val="auto"/>
                                <w:sz w:val="17"/>
                              </w:rPr>
                            </w:pPr>
                          </w:p>
                          <w:p>
                            <w:pPr>
                              <w:pStyle w:val="21"/>
                              <w:spacing w:before="1"/>
                              <w:ind w:left="355" w:right="346"/>
                              <w:jc w:val="center"/>
                              <w:rPr>
                                <w:rFonts w:ascii="Times New Roman"/>
                                <w:color w:val="auto"/>
                                <w:sz w:val="20"/>
                              </w:rPr>
                            </w:pPr>
                            <w:r>
                              <w:rPr>
                                <w:rFonts w:ascii="Times New Roman"/>
                                <w:color w:val="auto"/>
                                <w:sz w:val="20"/>
                              </w:rPr>
                              <w:t>21.1</w:t>
                            </w:r>
                          </w:p>
                        </w:tc>
                        <w:tc>
                          <w:tcPr>
                            <w:tcW w:w="7539" w:type="dxa"/>
                          </w:tcPr>
                          <w:p>
                            <w:pPr>
                              <w:pStyle w:val="21"/>
                              <w:spacing w:before="12"/>
                              <w:rPr>
                                <w:color w:val="auto"/>
                                <w:sz w:val="9"/>
                              </w:rPr>
                            </w:pPr>
                          </w:p>
                          <w:p>
                            <w:pPr>
                              <w:pStyle w:val="21"/>
                              <w:spacing w:line="132" w:lineRule="exact"/>
                              <w:ind w:left="1273"/>
                              <w:rPr>
                                <w:color w:val="auto"/>
                                <w:sz w:val="14"/>
                              </w:rPr>
                            </w:pPr>
                          </w:p>
                          <w:p>
                            <w:pPr>
                              <w:pStyle w:val="21"/>
                              <w:tabs>
                                <w:tab w:val="left" w:pos="4014"/>
                              </w:tabs>
                              <w:spacing w:line="209" w:lineRule="exact"/>
                              <w:ind w:left="272"/>
                              <w:rPr>
                                <w:color w:val="auto"/>
                                <w:sz w:val="20"/>
                              </w:rPr>
                            </w:pPr>
                            <w:r>
                              <w:rPr>
                                <w:color w:val="auto"/>
                                <w:sz w:val="20"/>
                              </w:rPr>
                              <w:t>缺陷责任期</w:t>
                            </w:r>
                            <w:r>
                              <w:rPr>
                                <w:color w:val="auto"/>
                                <w:spacing w:val="37"/>
                                <w:sz w:val="20"/>
                              </w:rPr>
                              <w:t xml:space="preserve"> </w:t>
                            </w:r>
                            <w:r>
                              <w:rPr>
                                <w:color w:val="auto"/>
                                <w:sz w:val="20"/>
                                <w:highlight w:val="none"/>
                              </w:rPr>
                              <w:t>：自实际交工日期起计算</w:t>
                            </w:r>
                            <w:r>
                              <w:rPr>
                                <w:color w:val="auto"/>
                                <w:sz w:val="20"/>
                                <w:highlight w:val="none"/>
                                <w:u w:val="single"/>
                              </w:rPr>
                              <w:t xml:space="preserve"> </w:t>
                            </w:r>
                            <w:r>
                              <w:rPr>
                                <w:rFonts w:hint="eastAsia"/>
                                <w:color w:val="auto"/>
                                <w:sz w:val="20"/>
                                <w:highlight w:val="none"/>
                                <w:u w:val="single"/>
                                <w:lang w:val="en-US"/>
                              </w:rPr>
                              <w:t xml:space="preserve">1 </w:t>
                            </w:r>
                            <w:r>
                              <w:rPr>
                                <w:color w:val="auto"/>
                                <w:sz w:val="20"/>
                                <w:highlight w:val="no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352" w:type="dxa"/>
                          </w:tcPr>
                          <w:p>
                            <w:pPr>
                              <w:pStyle w:val="21"/>
                              <w:rPr>
                                <w:rFonts w:ascii="Times New Roman"/>
                                <w:color w:val="auto"/>
                                <w:sz w:val="20"/>
                              </w:rPr>
                            </w:pPr>
                          </w:p>
                        </w:tc>
                        <w:tc>
                          <w:tcPr>
                            <w:tcW w:w="7539" w:type="dxa"/>
                          </w:tcPr>
                          <w:p>
                            <w:pPr>
                              <w:pStyle w:val="21"/>
                              <w:spacing w:before="14" w:line="320" w:lineRule="atLeast"/>
                              <w:ind w:left="106" w:right="107" w:firstLine="175"/>
                              <w:rPr>
                                <w:color w:val="auto"/>
                                <w:sz w:val="21"/>
                              </w:rPr>
                            </w:pPr>
                            <w:r>
                              <w:rPr>
                                <w:rFonts w:ascii="宋体" w:hAnsi="宋体" w:eastAsia="宋体" w:cs="宋体"/>
                                <w:color w:val="auto"/>
                                <w:sz w:val="21"/>
                              </w:rPr>
                              <w:t xml:space="preserve">图纸需要修改和补充的，应由监理人取得发包人同意后，在该工程或工程相应 </w:t>
                            </w:r>
                            <w:r>
                              <w:rPr>
                                <w:color w:val="auto"/>
                                <w:w w:val="95"/>
                                <w:sz w:val="21"/>
                              </w:rPr>
                              <w:t xml:space="preserve"> </w:t>
                            </w:r>
                            <w:r>
                              <w:rPr>
                                <w:color w:val="auto"/>
                                <w:sz w:val="21"/>
                              </w:rPr>
                              <w:t>部位施工前</w:t>
                            </w:r>
                            <w:r>
                              <w:rPr>
                                <w:color w:val="auto"/>
                                <w:sz w:val="21"/>
                                <w:u w:val="single"/>
                              </w:rPr>
                              <w:t xml:space="preserve"> </w:t>
                            </w:r>
                            <w:r>
                              <w:rPr>
                                <w:rFonts w:ascii="Times New Roman" w:eastAsia="Times New Roman"/>
                                <w:color w:val="auto"/>
                                <w:sz w:val="21"/>
                                <w:u w:val="single"/>
                              </w:rPr>
                              <w:t>7</w:t>
                            </w:r>
                            <w:r>
                              <w:rPr>
                                <w:rFonts w:ascii="Times New Roman" w:eastAsia="Times New Roman"/>
                                <w:color w:val="auto"/>
                                <w:spacing w:val="51"/>
                                <w:sz w:val="21"/>
                              </w:rPr>
                              <w:t xml:space="preserve"> </w:t>
                            </w:r>
                            <w:r>
                              <w:rPr>
                                <w:color w:val="auto"/>
                                <w:sz w:val="21"/>
                              </w:rPr>
                              <w:t>天签发图纸修改图给承包人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352" w:type="dxa"/>
                          </w:tcPr>
                          <w:p>
                            <w:pPr>
                              <w:pStyle w:val="21"/>
                              <w:rPr>
                                <w:rFonts w:ascii="Times New Roman"/>
                                <w:color w:val="auto"/>
                                <w:sz w:val="20"/>
                              </w:rPr>
                            </w:pPr>
                          </w:p>
                        </w:tc>
                        <w:tc>
                          <w:tcPr>
                            <w:tcW w:w="7539" w:type="dxa"/>
                          </w:tcPr>
                          <w:p>
                            <w:pPr>
                              <w:pStyle w:val="21"/>
                              <w:spacing w:before="178"/>
                              <w:ind w:left="282"/>
                              <w:rPr>
                                <w:color w:val="auto"/>
                                <w:sz w:val="21"/>
                              </w:rPr>
                            </w:pPr>
                            <w:r>
                              <w:rPr>
                                <w:color w:val="auto"/>
                                <w:sz w:val="21"/>
                              </w:rPr>
                              <w:t>监理人在行使变更前需要发包人事先批准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52" w:type="dxa"/>
                          </w:tcPr>
                          <w:p>
                            <w:pPr>
                              <w:pStyle w:val="21"/>
                              <w:spacing w:before="10"/>
                              <w:rPr>
                                <w:color w:val="auto"/>
                                <w:sz w:val="15"/>
                              </w:rPr>
                            </w:pPr>
                          </w:p>
                          <w:p>
                            <w:pPr>
                              <w:pStyle w:val="21"/>
                              <w:ind w:left="356" w:right="344"/>
                              <w:jc w:val="center"/>
                              <w:rPr>
                                <w:rFonts w:ascii="Times New Roman"/>
                                <w:color w:val="auto"/>
                                <w:sz w:val="20"/>
                              </w:rPr>
                            </w:pPr>
                            <w:r>
                              <w:rPr>
                                <w:rFonts w:ascii="Times New Roman"/>
                                <w:color w:val="auto"/>
                                <w:sz w:val="20"/>
                              </w:rPr>
                              <w:t>6.2</w:t>
                            </w:r>
                          </w:p>
                        </w:tc>
                        <w:tc>
                          <w:tcPr>
                            <w:tcW w:w="7539" w:type="dxa"/>
                          </w:tcPr>
                          <w:p>
                            <w:pPr>
                              <w:pStyle w:val="21"/>
                              <w:spacing w:before="177"/>
                              <w:ind w:left="282"/>
                              <w:rPr>
                                <w:color w:val="auto"/>
                                <w:sz w:val="21"/>
                              </w:rPr>
                            </w:pPr>
                            <w:r>
                              <w:rPr>
                                <w:color w:val="auto"/>
                                <w:sz w:val="21"/>
                              </w:rPr>
                              <w:t>发包人是否提供材料或工程设备：</w:t>
                            </w:r>
                            <w:r>
                              <w:rPr>
                                <w:rFonts w:hint="eastAsia"/>
                                <w:color w:val="auto"/>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52" w:type="dxa"/>
                          </w:tcPr>
                          <w:p>
                            <w:pPr>
                              <w:pStyle w:val="21"/>
                              <w:spacing w:before="9"/>
                              <w:rPr>
                                <w:color w:val="auto"/>
                                <w:sz w:val="15"/>
                              </w:rPr>
                            </w:pPr>
                          </w:p>
                          <w:p>
                            <w:pPr>
                              <w:pStyle w:val="21"/>
                              <w:ind w:left="356" w:right="344"/>
                              <w:jc w:val="center"/>
                              <w:rPr>
                                <w:rFonts w:ascii="Times New Roman"/>
                                <w:color w:val="auto"/>
                                <w:sz w:val="20"/>
                              </w:rPr>
                            </w:pPr>
                            <w:r>
                              <w:rPr>
                                <w:rFonts w:ascii="Times New Roman"/>
                                <w:color w:val="auto"/>
                                <w:sz w:val="20"/>
                              </w:rPr>
                              <w:t>6.2</w:t>
                            </w:r>
                          </w:p>
                        </w:tc>
                        <w:tc>
                          <w:tcPr>
                            <w:tcW w:w="7539" w:type="dxa"/>
                          </w:tcPr>
                          <w:p>
                            <w:pPr>
                              <w:pStyle w:val="21"/>
                              <w:tabs>
                                <w:tab w:val="left" w:pos="4219"/>
                              </w:tabs>
                              <w:spacing w:before="178"/>
                              <w:ind w:left="282"/>
                              <w:rPr>
                                <w:rFonts w:ascii="Times New Roman"/>
                                <w:color w:val="auto"/>
                                <w:sz w:val="21"/>
                              </w:rPr>
                            </w:pPr>
                            <w:r>
                              <w:rPr>
                                <w:rFonts w:ascii="宋体" w:hAnsi="宋体" w:eastAsia="宋体" w:cs="宋体"/>
                                <w:color w:val="auto"/>
                                <w:sz w:val="21"/>
                              </w:rPr>
                              <w:t>发包人是否提供施工设备和临时设施：</w:t>
                            </w:r>
                            <w:r>
                              <w:rPr>
                                <w:rFonts w:ascii="Times New Roman" w:eastAsia="Times New Roman"/>
                                <w:color w:val="auto"/>
                                <w:w w:val="95"/>
                                <w:sz w:val="21"/>
                                <w:u w:val="single"/>
                              </w:rPr>
                              <w:t xml:space="preserve"> </w:t>
                            </w:r>
                            <w:r>
                              <w:rPr>
                                <w:rFonts w:hint="eastAsia" w:ascii="Times New Roman"/>
                                <w:color w:val="auto"/>
                                <w:sz w:val="21"/>
                                <w:u w:val="single"/>
                                <w:lang w:val="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352" w:type="dxa"/>
                          </w:tcPr>
                          <w:p>
                            <w:pPr>
                              <w:pStyle w:val="21"/>
                              <w:spacing w:before="1"/>
                              <w:rPr>
                                <w:color w:val="auto"/>
                                <w:sz w:val="26"/>
                              </w:rPr>
                            </w:pPr>
                          </w:p>
                          <w:p>
                            <w:pPr>
                              <w:pStyle w:val="21"/>
                              <w:ind w:left="356" w:right="344"/>
                              <w:jc w:val="center"/>
                              <w:rPr>
                                <w:rFonts w:ascii="Times New Roman"/>
                                <w:color w:val="auto"/>
                                <w:sz w:val="20"/>
                              </w:rPr>
                            </w:pPr>
                            <w:r>
                              <w:rPr>
                                <w:rFonts w:ascii="Times New Roman"/>
                                <w:color w:val="auto"/>
                                <w:sz w:val="20"/>
                              </w:rPr>
                              <w:t>8.4</w:t>
                            </w:r>
                          </w:p>
                        </w:tc>
                        <w:tc>
                          <w:tcPr>
                            <w:tcW w:w="7539" w:type="dxa"/>
                          </w:tcPr>
                          <w:p>
                            <w:pPr>
                              <w:pStyle w:val="21"/>
                              <w:tabs>
                                <w:tab w:val="left" w:pos="2276"/>
                              </w:tabs>
                              <w:spacing w:before="114" w:line="285" w:lineRule="auto"/>
                              <w:ind w:left="106" w:right="188" w:firstLine="175"/>
                              <w:rPr>
                                <w:color w:val="auto"/>
                                <w:sz w:val="21"/>
                              </w:rPr>
                            </w:pPr>
                            <w:r>
                              <w:rPr>
                                <w:color w:val="auto"/>
                                <w:sz w:val="21"/>
                              </w:rPr>
                              <w:t>逾期交工违约金：</w:t>
                            </w:r>
                            <w:r>
                              <w:rPr>
                                <w:color w:val="auto"/>
                                <w:sz w:val="21"/>
                                <w:u w:val="single"/>
                              </w:rPr>
                              <w:t xml:space="preserve"> </w:t>
                            </w:r>
                            <w:r>
                              <w:rPr>
                                <w:rFonts w:hint="eastAsia"/>
                                <w:color w:val="auto"/>
                                <w:sz w:val="21"/>
                                <w:u w:val="single"/>
                                <w:lang w:val="en-US"/>
                              </w:rPr>
                              <w:t>0.</w:t>
                            </w:r>
                            <w:r>
                              <w:rPr>
                                <w:rFonts w:hint="eastAsia"/>
                                <w:color w:val="auto"/>
                                <w:sz w:val="21"/>
                                <w:u w:val="single"/>
                                <w:lang w:val="en-US" w:eastAsia="zh-CN"/>
                              </w:rPr>
                              <w:t xml:space="preserve">3 </w:t>
                            </w:r>
                            <w:r>
                              <w:rPr>
                                <w:rFonts w:ascii="Times New Roman" w:eastAsia="Times New Roman"/>
                                <w:color w:val="auto"/>
                                <w:w w:val="95"/>
                                <w:sz w:val="21"/>
                              </w:rPr>
                              <w:t>%</w:t>
                            </w:r>
                            <w:r>
                              <w:rPr>
                                <w:rFonts w:ascii="宋体" w:hAnsi="宋体" w:eastAsia="宋体" w:cs="宋体"/>
                                <w:color w:val="auto"/>
                                <w:sz w:val="21"/>
                              </w:rPr>
                              <w:t>合同价元/天（如由于承包人的原因造成逾期交工，其</w:t>
                            </w:r>
                            <w:r>
                              <w:rPr>
                                <w:color w:val="auto"/>
                                <w:sz w:val="21"/>
                              </w:rPr>
                              <w:t>相应增加监理服务费和发包人管理费由承包人承担）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352" w:type="dxa"/>
                          </w:tcPr>
                          <w:p>
                            <w:pPr>
                              <w:pStyle w:val="21"/>
                              <w:spacing w:before="9"/>
                              <w:rPr>
                                <w:color w:val="auto"/>
                                <w:sz w:val="15"/>
                              </w:rPr>
                            </w:pPr>
                          </w:p>
                          <w:p>
                            <w:pPr>
                              <w:pStyle w:val="21"/>
                              <w:ind w:left="356" w:right="344"/>
                              <w:jc w:val="center"/>
                              <w:rPr>
                                <w:rFonts w:ascii="Times New Roman"/>
                                <w:color w:val="auto"/>
                                <w:sz w:val="20"/>
                              </w:rPr>
                            </w:pPr>
                            <w:r>
                              <w:rPr>
                                <w:rFonts w:ascii="Times New Roman"/>
                                <w:color w:val="auto"/>
                                <w:sz w:val="20"/>
                              </w:rPr>
                              <w:t>8.4</w:t>
                            </w:r>
                          </w:p>
                        </w:tc>
                        <w:tc>
                          <w:tcPr>
                            <w:tcW w:w="7539" w:type="dxa"/>
                          </w:tcPr>
                          <w:p>
                            <w:pPr>
                              <w:pStyle w:val="21"/>
                              <w:spacing w:before="106" w:line="125" w:lineRule="exact"/>
                              <w:ind w:left="662"/>
                              <w:jc w:val="center"/>
                              <w:rPr>
                                <w:color w:val="auto"/>
                                <w:sz w:val="14"/>
                              </w:rPr>
                            </w:pPr>
                          </w:p>
                          <w:p>
                            <w:pPr>
                              <w:pStyle w:val="21"/>
                              <w:tabs>
                                <w:tab w:val="left" w:pos="2802"/>
                              </w:tabs>
                              <w:spacing w:line="215" w:lineRule="exact"/>
                              <w:ind w:left="282"/>
                              <w:rPr>
                                <w:color w:val="auto"/>
                                <w:sz w:val="21"/>
                              </w:rPr>
                            </w:pPr>
                            <w:r>
                              <w:rPr>
                                <w:color w:val="auto"/>
                                <w:sz w:val="21"/>
                              </w:rPr>
                              <w:t>逾期交工违约金限额：</w:t>
                            </w:r>
                            <w:r>
                              <w:rPr>
                                <w:color w:val="auto"/>
                                <w:sz w:val="21"/>
                                <w:u w:val="single"/>
                              </w:rPr>
                              <w:t xml:space="preserve"> </w:t>
                            </w:r>
                            <w:r>
                              <w:rPr>
                                <w:rFonts w:hint="eastAsia"/>
                                <w:color w:val="auto"/>
                                <w:sz w:val="21"/>
                                <w:u w:val="single"/>
                                <w:lang w:val="en-US"/>
                              </w:rPr>
                              <w:t xml:space="preserve">10 </w:t>
                            </w:r>
                            <w:r>
                              <w:rPr>
                                <w:rFonts w:ascii="Times New Roman" w:eastAsia="Times New Roman"/>
                                <w:color w:val="auto"/>
                                <w:sz w:val="21"/>
                              </w:rPr>
                              <w:t>%</w:t>
                            </w:r>
                            <w:r>
                              <w:rPr>
                                <w:color w:val="auto"/>
                                <w:sz w:val="21"/>
                              </w:rPr>
                              <w:t>签约合同价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52" w:type="dxa"/>
                          </w:tcPr>
                          <w:p>
                            <w:pPr>
                              <w:pStyle w:val="21"/>
                              <w:spacing w:before="10"/>
                              <w:rPr>
                                <w:color w:val="auto"/>
                                <w:sz w:val="15"/>
                              </w:rPr>
                            </w:pPr>
                          </w:p>
                          <w:p>
                            <w:pPr>
                              <w:pStyle w:val="21"/>
                              <w:ind w:left="356" w:right="344"/>
                              <w:jc w:val="center"/>
                              <w:rPr>
                                <w:rFonts w:ascii="Times New Roman"/>
                                <w:color w:val="auto"/>
                                <w:sz w:val="20"/>
                              </w:rPr>
                            </w:pPr>
                            <w:r>
                              <w:rPr>
                                <w:rFonts w:ascii="Times New Roman"/>
                                <w:color w:val="auto"/>
                                <w:sz w:val="20"/>
                              </w:rPr>
                              <w:t>5.6</w:t>
                            </w:r>
                          </w:p>
                        </w:tc>
                        <w:tc>
                          <w:tcPr>
                            <w:tcW w:w="7539" w:type="dxa"/>
                          </w:tcPr>
                          <w:p>
                            <w:pPr>
                              <w:pStyle w:val="21"/>
                              <w:spacing w:before="105" w:line="125" w:lineRule="exact"/>
                              <w:ind w:left="33"/>
                              <w:jc w:val="center"/>
                              <w:rPr>
                                <w:color w:val="auto"/>
                                <w:sz w:val="14"/>
                              </w:rPr>
                            </w:pPr>
                          </w:p>
                          <w:p>
                            <w:pPr>
                              <w:pStyle w:val="21"/>
                              <w:tabs>
                                <w:tab w:val="left" w:pos="2487"/>
                              </w:tabs>
                              <w:spacing w:line="215" w:lineRule="exact"/>
                              <w:ind w:left="282"/>
                              <w:rPr>
                                <w:color w:val="auto"/>
                                <w:sz w:val="21"/>
                              </w:rPr>
                            </w:pPr>
                            <w:r>
                              <w:rPr>
                                <w:color w:val="auto"/>
                                <w:sz w:val="21"/>
                              </w:rPr>
                              <w:t>开工预付款金额：</w:t>
                            </w:r>
                            <w:r>
                              <w:rPr>
                                <w:rFonts w:hint="eastAsia"/>
                                <w:color w:val="auto"/>
                                <w:sz w:val="21"/>
                                <w:u w:val="single"/>
                                <w:lang w:val="en-US" w:eastAsia="zh-CN"/>
                              </w:rPr>
                              <w:t>10</w:t>
                            </w:r>
                            <w:r>
                              <w:rPr>
                                <w:rFonts w:hint="eastAsia"/>
                                <w:color w:val="auto"/>
                                <w:sz w:val="21"/>
                                <w:u w:val="single"/>
                                <w:lang w:val="en-US"/>
                              </w:rPr>
                              <w:t xml:space="preserve"> </w:t>
                            </w:r>
                            <w:r>
                              <w:rPr>
                                <w:rFonts w:ascii="Times New Roman" w:eastAsia="Times New Roman"/>
                                <w:color w:val="auto"/>
                                <w:sz w:val="21"/>
                              </w:rPr>
                              <w:t>%</w:t>
                            </w:r>
                            <w:r>
                              <w:rPr>
                                <w:color w:val="auto"/>
                                <w:sz w:val="21"/>
                              </w:rPr>
                              <w:t>签约合同价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352" w:type="dxa"/>
                          </w:tcPr>
                          <w:p>
                            <w:pPr>
                              <w:pStyle w:val="21"/>
                              <w:spacing w:before="9"/>
                              <w:rPr>
                                <w:color w:val="auto"/>
                                <w:sz w:val="15"/>
                              </w:rPr>
                            </w:pPr>
                          </w:p>
                          <w:p>
                            <w:pPr>
                              <w:pStyle w:val="21"/>
                              <w:ind w:left="355" w:right="346"/>
                              <w:jc w:val="center"/>
                              <w:rPr>
                                <w:rFonts w:ascii="Times New Roman"/>
                                <w:color w:val="auto"/>
                                <w:sz w:val="20"/>
                              </w:rPr>
                            </w:pPr>
                            <w:r>
                              <w:rPr>
                                <w:rFonts w:ascii="Times New Roman"/>
                                <w:color w:val="auto"/>
                                <w:sz w:val="20"/>
                              </w:rPr>
                              <w:t>17.5</w:t>
                            </w:r>
                          </w:p>
                        </w:tc>
                        <w:tc>
                          <w:tcPr>
                            <w:tcW w:w="7539" w:type="dxa"/>
                          </w:tcPr>
                          <w:p>
                            <w:pPr>
                              <w:pStyle w:val="21"/>
                              <w:spacing w:before="106" w:line="125" w:lineRule="exact"/>
                              <w:ind w:right="426"/>
                              <w:jc w:val="right"/>
                              <w:rPr>
                                <w:color w:val="auto"/>
                                <w:sz w:val="14"/>
                              </w:rPr>
                            </w:pPr>
                          </w:p>
                          <w:p>
                            <w:pPr>
                              <w:pStyle w:val="21"/>
                              <w:tabs>
                                <w:tab w:val="left" w:pos="6687"/>
                              </w:tabs>
                              <w:spacing w:line="215" w:lineRule="exact"/>
                              <w:ind w:left="282"/>
                              <w:rPr>
                                <w:rFonts w:ascii="Times New Roman" w:eastAsia="Times New Roman"/>
                                <w:color w:val="auto"/>
                                <w:sz w:val="21"/>
                              </w:rPr>
                            </w:pPr>
                            <w:r>
                              <w:rPr>
                                <w:color w:val="auto"/>
                                <w:sz w:val="21"/>
                              </w:rPr>
                              <w:t>材料预付款比例：水泥、钢材、沥青等主要材料单据所列费用的</w:t>
                            </w:r>
                            <w:r>
                              <w:rPr>
                                <w:rFonts w:hint="eastAsia"/>
                                <w:color w:val="auto"/>
                                <w:sz w:val="21"/>
                                <w:highlight w:val="none"/>
                                <w:u w:val="single"/>
                                <w:lang w:val="en-US"/>
                              </w:rPr>
                              <w:t xml:space="preserve"> </w:t>
                            </w:r>
                            <w:r>
                              <w:rPr>
                                <w:rFonts w:hint="eastAsia"/>
                                <w:color w:val="auto"/>
                                <w:sz w:val="21"/>
                                <w:highlight w:val="none"/>
                                <w:u w:val="single"/>
                                <w:lang w:val="en-US" w:eastAsia="zh-CN"/>
                              </w:rPr>
                              <w:t>60</w:t>
                            </w:r>
                            <w:r>
                              <w:rPr>
                                <w:rFonts w:hint="eastAsia"/>
                                <w:color w:val="auto"/>
                                <w:sz w:val="21"/>
                                <w:highlight w:val="none"/>
                                <w:u w:val="single"/>
                                <w:lang w:val="en-US"/>
                              </w:rPr>
                              <w:t xml:space="preserve"> </w:t>
                            </w:r>
                            <w:r>
                              <w:rPr>
                                <w:rFonts w:ascii="Times New Roman" w:eastAsia="Times New Roman"/>
                                <w:color w:val="auto"/>
                                <w:sz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352" w:type="dxa"/>
                          </w:tcPr>
                          <w:p>
                            <w:pPr>
                              <w:pStyle w:val="21"/>
                              <w:spacing w:before="10"/>
                              <w:rPr>
                                <w:color w:val="auto"/>
                                <w:sz w:val="15"/>
                              </w:rPr>
                            </w:pPr>
                          </w:p>
                          <w:p>
                            <w:pPr>
                              <w:pStyle w:val="21"/>
                              <w:ind w:left="355" w:right="346"/>
                              <w:jc w:val="center"/>
                              <w:rPr>
                                <w:rFonts w:ascii="Times New Roman"/>
                                <w:color w:val="auto"/>
                                <w:sz w:val="20"/>
                              </w:rPr>
                            </w:pPr>
                            <w:r>
                              <w:rPr>
                                <w:rFonts w:ascii="Times New Roman"/>
                                <w:color w:val="auto"/>
                                <w:sz w:val="20"/>
                              </w:rPr>
                              <w:t>18.3</w:t>
                            </w:r>
                          </w:p>
                        </w:tc>
                        <w:tc>
                          <w:tcPr>
                            <w:tcW w:w="7539" w:type="dxa"/>
                          </w:tcPr>
                          <w:p>
                            <w:pPr>
                              <w:pStyle w:val="21"/>
                              <w:spacing w:before="177"/>
                              <w:ind w:left="282"/>
                              <w:rPr>
                                <w:color w:val="auto"/>
                                <w:sz w:val="21"/>
                              </w:rPr>
                            </w:pPr>
                            <w:r>
                              <w:rPr>
                                <w:color w:val="auto"/>
                                <w:sz w:val="21"/>
                              </w:rPr>
                              <w:t>承包人在每个付款周期末向监理人提交进度付款申请单的份数：</w:t>
                            </w:r>
                            <w:r>
                              <w:rPr>
                                <w:color w:val="auto"/>
                                <w:sz w:val="21"/>
                                <w:u w:val="single"/>
                              </w:rPr>
                              <w:t xml:space="preserve"> </w:t>
                            </w:r>
                            <w:r>
                              <w:rPr>
                                <w:rFonts w:ascii="Times New Roman" w:eastAsia="Times New Roman"/>
                                <w:color w:val="auto"/>
                                <w:sz w:val="21"/>
                                <w:u w:val="single"/>
                              </w:rPr>
                              <w:t>6</w:t>
                            </w:r>
                            <w:r>
                              <w:rPr>
                                <w:rFonts w:ascii="Times New Roman" w:eastAsia="Times New Roman"/>
                                <w:color w:val="auto"/>
                                <w:sz w:val="21"/>
                              </w:rPr>
                              <w:t xml:space="preserve"> </w:t>
                            </w:r>
                            <w:r>
                              <w:rPr>
                                <w:color w:val="auto"/>
                                <w:sz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352" w:type="dxa"/>
                          </w:tcPr>
                          <w:p>
                            <w:pPr>
                              <w:pStyle w:val="21"/>
                              <w:spacing w:before="10"/>
                              <w:rPr>
                                <w:color w:val="auto"/>
                                <w:sz w:val="20"/>
                              </w:rPr>
                            </w:pPr>
                          </w:p>
                          <w:p>
                            <w:pPr>
                              <w:pStyle w:val="21"/>
                              <w:ind w:left="356" w:right="346"/>
                              <w:jc w:val="center"/>
                              <w:rPr>
                                <w:rFonts w:ascii="Times New Roman"/>
                                <w:color w:val="auto"/>
                                <w:sz w:val="20"/>
                              </w:rPr>
                            </w:pPr>
                            <w:r>
                              <w:rPr>
                                <w:rFonts w:ascii="Times New Roman"/>
                                <w:color w:val="auto"/>
                                <w:sz w:val="20"/>
                              </w:rPr>
                              <w:t>18.3(3)</w:t>
                            </w:r>
                          </w:p>
                        </w:tc>
                        <w:tc>
                          <w:tcPr>
                            <w:tcW w:w="7539" w:type="dxa"/>
                          </w:tcPr>
                          <w:p>
                            <w:pPr>
                              <w:pStyle w:val="21"/>
                              <w:spacing w:line="320" w:lineRule="exact"/>
                              <w:ind w:left="106" w:right="41" w:firstLine="175"/>
                              <w:rPr>
                                <w:color w:val="auto"/>
                                <w:sz w:val="21"/>
                              </w:rPr>
                            </w:pPr>
                            <w:r>
                              <w:rPr>
                                <w:color w:val="auto"/>
                                <w:sz w:val="21"/>
                              </w:rPr>
                              <w:t xml:space="preserve">逾期付款违约金的利率：全国银行间同业拆借中心公布的 </w:t>
                            </w:r>
                            <w:r>
                              <w:rPr>
                                <w:rFonts w:ascii="Times New Roman" w:eastAsia="Times New Roman"/>
                                <w:color w:val="auto"/>
                                <w:sz w:val="21"/>
                              </w:rPr>
                              <w:t xml:space="preserve">1 </w:t>
                            </w:r>
                            <w:r>
                              <w:rPr>
                                <w:color w:val="auto"/>
                                <w:sz w:val="21"/>
                              </w:rPr>
                              <w:t>年期贷款市场报价利率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7" w:hRule="atLeast"/>
                        </w:trPr>
                        <w:tc>
                          <w:tcPr>
                            <w:tcW w:w="1352" w:type="dxa"/>
                          </w:tcPr>
                          <w:p>
                            <w:pPr>
                              <w:pStyle w:val="21"/>
                              <w:rPr>
                                <w:color w:val="auto"/>
                              </w:rPr>
                            </w:pPr>
                          </w:p>
                          <w:p>
                            <w:pPr>
                              <w:pStyle w:val="21"/>
                              <w:rPr>
                                <w:color w:val="auto"/>
                              </w:rPr>
                            </w:pPr>
                          </w:p>
                          <w:p>
                            <w:pPr>
                              <w:pStyle w:val="21"/>
                              <w:spacing w:before="183"/>
                              <w:ind w:left="356" w:right="346"/>
                              <w:jc w:val="center"/>
                              <w:rPr>
                                <w:rFonts w:ascii="Times New Roman"/>
                                <w:color w:val="auto"/>
                                <w:sz w:val="20"/>
                              </w:rPr>
                            </w:pPr>
                            <w:r>
                              <w:rPr>
                                <w:rFonts w:ascii="Times New Roman"/>
                                <w:color w:val="auto"/>
                                <w:sz w:val="20"/>
                              </w:rPr>
                              <w:t>18.7(1)</w:t>
                            </w:r>
                          </w:p>
                        </w:tc>
                        <w:tc>
                          <w:tcPr>
                            <w:tcW w:w="7539" w:type="dxa"/>
                          </w:tcPr>
                          <w:p>
                            <w:pPr>
                              <w:pStyle w:val="21"/>
                              <w:spacing w:line="100" w:lineRule="exact"/>
                              <w:ind w:left="1750"/>
                              <w:rPr>
                                <w:color w:val="auto"/>
                                <w:sz w:val="14"/>
                              </w:rPr>
                            </w:pPr>
                          </w:p>
                          <w:p>
                            <w:pPr>
                              <w:pStyle w:val="21"/>
                              <w:spacing w:line="320" w:lineRule="exact"/>
                              <w:ind w:left="106" w:right="41" w:firstLine="175"/>
                              <w:rPr>
                                <w:rFonts w:ascii="宋体" w:hAnsi="宋体" w:eastAsia="宋体" w:cs="宋体"/>
                                <w:color w:val="auto"/>
                                <w:sz w:val="21"/>
                              </w:rPr>
                            </w:pPr>
                            <w:r>
                              <w:rPr>
                                <w:rFonts w:ascii="宋体" w:hAnsi="宋体" w:eastAsia="宋体" w:cs="宋体"/>
                                <w:color w:val="auto"/>
                                <w:sz w:val="21"/>
                              </w:rPr>
                              <w:t>质量保证金限额 ：</w:t>
                            </w:r>
                            <w:r>
                              <w:rPr>
                                <w:rFonts w:hint="eastAsia" w:ascii="宋体" w:hAnsi="宋体" w:eastAsia="宋体" w:cs="宋体"/>
                                <w:color w:val="auto"/>
                                <w:sz w:val="21"/>
                                <w:lang w:val="en-US"/>
                              </w:rPr>
                              <w:t>3</w:t>
                            </w:r>
                            <w:r>
                              <w:rPr>
                                <w:rFonts w:ascii="宋体" w:hAnsi="宋体" w:eastAsia="宋体" w:cs="宋体"/>
                                <w:color w:val="auto"/>
                                <w:sz w:val="21"/>
                              </w:rPr>
                              <w:t>%合同价格，若交工验收时承包人具备交通运输厅农村</w:t>
                            </w:r>
                          </w:p>
                          <w:p>
                            <w:pPr>
                              <w:pStyle w:val="21"/>
                              <w:tabs>
                                <w:tab w:val="left" w:pos="7149"/>
                              </w:tabs>
                              <w:spacing w:before="50" w:line="258" w:lineRule="exact"/>
                              <w:ind w:right="96"/>
                              <w:jc w:val="right"/>
                              <w:rPr>
                                <w:rFonts w:ascii="Times New Roman" w:eastAsia="Times New Roman"/>
                                <w:color w:val="auto"/>
                                <w:sz w:val="21"/>
                              </w:rPr>
                            </w:pPr>
                            <w:r>
                              <w:rPr>
                                <w:color w:val="auto"/>
                                <w:sz w:val="21"/>
                              </w:rPr>
                              <w:t>公路建设从业单位信用信息评价体系评定的最高信用等级</w:t>
                            </w:r>
                            <w:r>
                              <w:rPr>
                                <w:color w:val="auto"/>
                                <w:spacing w:val="-97"/>
                                <w:sz w:val="21"/>
                              </w:rPr>
                              <w:t>，</w:t>
                            </w:r>
                            <w:r>
                              <w:rPr>
                                <w:color w:val="auto"/>
                                <w:sz w:val="21"/>
                              </w:rPr>
                              <w:t>发包人可以给予</w:t>
                            </w:r>
                            <w:r>
                              <w:rPr>
                                <w:color w:val="auto"/>
                                <w:sz w:val="21"/>
                                <w:u w:val="single"/>
                              </w:rPr>
                              <w:t xml:space="preserve"> </w:t>
                            </w:r>
                            <w:r>
                              <w:rPr>
                                <w:rFonts w:hint="eastAsia"/>
                                <w:color w:val="auto"/>
                                <w:sz w:val="21"/>
                                <w:u w:val="single"/>
                              </w:rPr>
                              <w:t>/</w:t>
                            </w:r>
                            <w:r>
                              <w:rPr>
                                <w:color w:val="auto"/>
                                <w:sz w:val="21"/>
                                <w:u w:val="single"/>
                              </w:rPr>
                              <w:tab/>
                            </w:r>
                            <w:r>
                              <w:rPr>
                                <w:rFonts w:ascii="Times New Roman" w:eastAsia="Times New Roman"/>
                                <w:color w:val="auto"/>
                                <w:spacing w:val="-1"/>
                                <w:sz w:val="21"/>
                              </w:rPr>
                              <w:t>%</w:t>
                            </w:r>
                          </w:p>
                          <w:p>
                            <w:pPr>
                              <w:pStyle w:val="21"/>
                              <w:spacing w:line="115" w:lineRule="exact"/>
                              <w:ind w:right="2134"/>
                              <w:jc w:val="center"/>
                              <w:rPr>
                                <w:color w:val="auto"/>
                                <w:sz w:val="14"/>
                              </w:rPr>
                            </w:pPr>
                          </w:p>
                          <w:p>
                            <w:pPr>
                              <w:pStyle w:val="21"/>
                              <w:spacing w:line="197" w:lineRule="exact"/>
                              <w:ind w:left="106"/>
                              <w:rPr>
                                <w:color w:val="auto"/>
                                <w:sz w:val="21"/>
                              </w:rPr>
                            </w:pPr>
                            <w:r>
                              <w:rPr>
                                <w:rFonts w:ascii="宋体" w:hAnsi="宋体" w:eastAsia="宋体" w:cs="宋体"/>
                                <w:color w:val="auto"/>
                                <w:sz w:val="21"/>
                              </w:rPr>
                              <w:t>合同价格质量保证金的优惠</w:t>
                            </w:r>
                            <w:r>
                              <w:rPr>
                                <w:color w:val="auto"/>
                                <w:sz w:val="21"/>
                              </w:rPr>
                              <w:t xml:space="preserve"> ：</w:t>
                            </w:r>
                          </w:p>
                          <w:p>
                            <w:pPr>
                              <w:pStyle w:val="21"/>
                              <w:tabs>
                                <w:tab w:val="left" w:pos="3595"/>
                              </w:tabs>
                              <w:spacing w:line="327" w:lineRule="exact"/>
                              <w:ind w:left="306"/>
                              <w:rPr>
                                <w:rFonts w:ascii="Times New Roman" w:hAnsi="Times New Roman" w:eastAsia="Times New Roman"/>
                                <w:color w:val="auto"/>
                                <w:sz w:val="21"/>
                              </w:rPr>
                            </w:pPr>
                            <w:r>
                              <w:rPr>
                                <w:rFonts w:ascii="Times New Roman" w:hAnsi="Times New Roman" w:eastAsia="Times New Roman"/>
                                <w:color w:val="auto"/>
                                <w:w w:val="95"/>
                                <w:sz w:val="32"/>
                              </w:rPr>
                              <w:t>□</w:t>
                            </w:r>
                            <w:r>
                              <w:rPr>
                                <w:rFonts w:ascii="宋体" w:hAnsi="宋体" w:eastAsia="宋体" w:cs="宋体"/>
                                <w:color w:val="auto"/>
                                <w:sz w:val="21"/>
                              </w:rPr>
                              <w:t>是，利息的计算方式：</w:t>
                            </w:r>
                            <w:r>
                              <w:rPr>
                                <w:rFonts w:ascii="Times New Roman" w:hAnsi="Times New Roman" w:eastAsia="Times New Roman"/>
                                <w:color w:val="auto"/>
                                <w:w w:val="95"/>
                                <w:sz w:val="21"/>
                                <w:u w:val="single"/>
                              </w:rPr>
                              <w:t xml:space="preserve"> </w:t>
                            </w:r>
                            <w:r>
                              <w:rPr>
                                <w:rFonts w:ascii="Times New Roman" w:hAnsi="Times New Roman" w:eastAsia="Times New Roman"/>
                                <w:color w:val="auto"/>
                                <w:sz w:val="21"/>
                                <w:u w:val="single"/>
                              </w:rPr>
                              <w:tab/>
                            </w:r>
                          </w:p>
                          <w:p>
                            <w:pPr>
                              <w:pStyle w:val="21"/>
                              <w:spacing w:line="315" w:lineRule="exact"/>
                              <w:ind w:left="306"/>
                              <w:rPr>
                                <w:color w:val="auto"/>
                                <w:sz w:val="21"/>
                              </w:rPr>
                            </w:pPr>
                            <w:r>
                              <w:rPr>
                                <w:rFonts w:hint="eastAsia" w:ascii="Times New Roman" w:hAnsi="Times New Roman"/>
                                <w:color w:val="auto"/>
                                <w:sz w:val="32"/>
                              </w:rPr>
                              <w:t>☑</w:t>
                            </w:r>
                            <w:r>
                              <w:rPr>
                                <w:rFonts w:ascii="宋体" w:hAnsi="宋体" w:eastAsia="宋体" w:cs="宋体"/>
                                <w:color w:val="auto"/>
                                <w:sz w:val="21"/>
                              </w:rPr>
                              <w:t>否</w:t>
                            </w:r>
                          </w:p>
                        </w:tc>
                      </w:tr>
                    </w:tbl>
                    <w:p>
                      <w:pPr>
                        <w:pStyle w:val="10"/>
                        <w:rPr>
                          <w:color w:val="auto"/>
                        </w:rPr>
                      </w:pPr>
                    </w:p>
                  </w:txbxContent>
                </v:textbox>
              </v:shape>
            </w:pict>
          </mc:Fallback>
        </mc:AlternateContent>
      </w:r>
      <w:r>
        <w:rPr>
          <w:rFonts w:hint="eastAsia"/>
        </w:rPr>
        <w:t>说明： 本数据表是项目合同条款中适用于本项目的信息和数据的归纳与提示， 是项目合同条款的组成部分。</w: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9"/>
        <w:rPr>
          <w:sz w:val="17"/>
        </w:rPr>
      </w:pPr>
      <w:r>
        <mc:AlternateContent>
          <mc:Choice Requires="wps">
            <w:drawing>
              <wp:anchor distT="0" distB="0" distL="114300" distR="114300" simplePos="0" relativeHeight="251663360" behindDoc="1" locked="0" layoutInCell="1" allowOverlap="1">
                <wp:simplePos x="0" y="0"/>
                <wp:positionH relativeFrom="page">
                  <wp:posOffset>1043305</wp:posOffset>
                </wp:positionH>
                <wp:positionV relativeFrom="paragraph">
                  <wp:posOffset>168910</wp:posOffset>
                </wp:positionV>
                <wp:extent cx="1828800" cy="0"/>
                <wp:effectExtent l="0" t="0" r="0" b="0"/>
                <wp:wrapTopAndBottom/>
                <wp:docPr id="13" name="直线 31"/>
                <wp:cNvGraphicFramePr/>
                <a:graphic xmlns:a="http://schemas.openxmlformats.org/drawingml/2006/main">
                  <a:graphicData uri="http://schemas.microsoft.com/office/word/2010/wordprocessingShape">
                    <wps:wsp>
                      <wps:cNvCnPr/>
                      <wps:spPr>
                        <a:xfrm>
                          <a:off x="0" y="0"/>
                          <a:ext cx="1828800" cy="0"/>
                        </a:xfrm>
                        <a:prstGeom prst="line">
                          <a:avLst/>
                        </a:prstGeom>
                        <a:ln w="0" cap="flat" cmpd="sng">
                          <a:solidFill>
                            <a:srgbClr val="000000"/>
                          </a:solidFill>
                          <a:prstDash val="solid"/>
                          <a:headEnd type="none" w="med" len="med"/>
                          <a:tailEnd type="none" w="med" len="med"/>
                        </a:ln>
                      </wps:spPr>
                      <wps:bodyPr upright="1"/>
                    </wps:wsp>
                  </a:graphicData>
                </a:graphic>
              </wp:anchor>
            </w:drawing>
          </mc:Choice>
          <mc:Fallback>
            <w:pict>
              <v:line id="直线 31" o:spid="_x0000_s1026" o:spt="20" style="position:absolute;left:0pt;margin-left:82.15pt;margin-top:13.3pt;height:0pt;width:144pt;mso-position-horizontal-relative:page;mso-wrap-distance-bottom:0pt;mso-wrap-distance-top:0pt;z-index:-251653120;mso-width-relative:page;mso-height-relative:page;" filled="f" stroked="t" coordsize="21600,21600" o:gfxdata="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IB9Dh1gAAAAkB&#10;AAAPAAAAAAAAAAEAIAAAACIAAABkcnMvZG93bnJldi54bWxQSwECFAAUAAAACACHTuJAIFHmoeQB&#10;AADaAwAADgAAAAAAAAABACAAAAAlAQAAZHJzL2Uyb0RvYy54bWxQSwUGAAAAAAYABgBZAQAAewUA&#10;AAAA&#10;">
                <v:fill on="f" focussize="0,0"/>
                <v:stroke weight="0pt" color="#000000" joinstyle="round"/>
                <v:imagedata o:title=""/>
                <o:lock v:ext="edit" aspectratio="f"/>
                <w10:wrap type="topAndBottom"/>
              </v:line>
            </w:pict>
          </mc:Fallback>
        </mc:AlternateContent>
      </w:r>
    </w:p>
    <w:p>
      <w:pPr>
        <w:pStyle w:val="10"/>
        <w:spacing w:before="5"/>
        <w:rPr>
          <w:sz w:val="17"/>
        </w:rPr>
      </w:pPr>
    </w:p>
    <w:tbl>
      <w:tblPr>
        <w:tblStyle w:val="18"/>
        <w:tblW w:w="8891" w:type="dxa"/>
        <w:tblInd w:w="2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2"/>
        <w:gridCol w:w="7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352" w:type="dxa"/>
          </w:tcPr>
          <w:p>
            <w:pPr>
              <w:pStyle w:val="21"/>
              <w:rPr>
                <w:color w:val="auto"/>
                <w:sz w:val="20"/>
              </w:rPr>
            </w:pPr>
          </w:p>
        </w:tc>
        <w:tc>
          <w:tcPr>
            <w:tcW w:w="7539" w:type="dxa"/>
          </w:tcPr>
          <w:p>
            <w:pPr>
              <w:pStyle w:val="21"/>
              <w:spacing w:before="142"/>
              <w:ind w:left="282"/>
              <w:rPr>
                <w:color w:val="auto"/>
                <w:sz w:val="21"/>
              </w:rPr>
            </w:pPr>
            <w:r>
              <w:rPr>
                <w:rFonts w:hint="eastAsia"/>
                <w:color w:val="auto"/>
                <w:sz w:val="21"/>
              </w:rPr>
              <w:t>承包人向监理人提交交工付款申请单(包括相关证明材料)的份数：</w:t>
            </w:r>
            <w:r>
              <w:rPr>
                <w:rFonts w:hint="eastAsia"/>
                <w:color w:val="auto"/>
                <w:sz w:val="21"/>
                <w:u w:val="single"/>
              </w:rPr>
              <w:t xml:space="preserve"> 1</w:t>
            </w:r>
            <w:r>
              <w:rPr>
                <w:rFonts w:hint="eastAsia"/>
                <w:color w:val="auto"/>
                <w:spacing w:val="52"/>
                <w:sz w:val="21"/>
              </w:rPr>
              <w:t xml:space="preserve"> </w:t>
            </w:r>
            <w:r>
              <w:rPr>
                <w:rFonts w:hint="eastAsia"/>
                <w:color w:val="auto"/>
                <w:sz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352" w:type="dxa"/>
          </w:tcPr>
          <w:p>
            <w:pPr>
              <w:pStyle w:val="21"/>
              <w:rPr>
                <w:color w:val="auto"/>
                <w:sz w:val="20"/>
              </w:rPr>
            </w:pPr>
          </w:p>
        </w:tc>
        <w:tc>
          <w:tcPr>
            <w:tcW w:w="7539" w:type="dxa"/>
          </w:tcPr>
          <w:p>
            <w:pPr>
              <w:pStyle w:val="21"/>
              <w:spacing w:before="141"/>
              <w:ind w:left="282"/>
              <w:rPr>
                <w:color w:val="auto"/>
                <w:sz w:val="21"/>
              </w:rPr>
            </w:pPr>
            <w:r>
              <w:rPr>
                <w:rFonts w:hint="eastAsia"/>
                <w:color w:val="auto"/>
                <w:sz w:val="21"/>
              </w:rPr>
              <w:t xml:space="preserve">承包人向监理人提交最终结清申请单(包括相关证明材料)的份数： </w:t>
            </w:r>
            <w:r>
              <w:rPr>
                <w:rFonts w:hint="eastAsia"/>
                <w:color w:val="auto"/>
                <w:sz w:val="21"/>
                <w:u w:val="single"/>
              </w:rPr>
              <w:t>1</w:t>
            </w:r>
            <w:r>
              <w:rPr>
                <w:rFonts w:hint="eastAsia"/>
                <w:color w:val="auto"/>
                <w:sz w:val="21"/>
              </w:rPr>
              <w:t xml:space="preserve"> 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352" w:type="dxa"/>
          </w:tcPr>
          <w:p>
            <w:pPr>
              <w:pStyle w:val="21"/>
              <w:rPr>
                <w:color w:val="auto"/>
                <w:sz w:val="17"/>
              </w:rPr>
            </w:pPr>
          </w:p>
          <w:p>
            <w:pPr>
              <w:pStyle w:val="21"/>
              <w:ind w:left="355" w:right="346"/>
              <w:jc w:val="center"/>
              <w:rPr>
                <w:color w:val="auto"/>
                <w:sz w:val="20"/>
              </w:rPr>
            </w:pPr>
            <w:r>
              <w:rPr>
                <w:rFonts w:hint="eastAsia"/>
                <w:color w:val="auto"/>
                <w:sz w:val="20"/>
              </w:rPr>
              <w:t>11.2</w:t>
            </w:r>
          </w:p>
        </w:tc>
        <w:tc>
          <w:tcPr>
            <w:tcW w:w="7539" w:type="dxa"/>
          </w:tcPr>
          <w:p>
            <w:pPr>
              <w:pStyle w:val="21"/>
              <w:spacing w:before="142"/>
              <w:ind w:left="282"/>
              <w:rPr>
                <w:color w:val="auto"/>
                <w:sz w:val="21"/>
              </w:rPr>
            </w:pPr>
            <w:r>
              <w:rPr>
                <w:rFonts w:hint="eastAsia"/>
                <w:color w:val="auto"/>
                <w:spacing w:val="-8"/>
                <w:sz w:val="21"/>
              </w:rPr>
              <w:t xml:space="preserve">竣工资料的份数：原始资料 </w:t>
            </w:r>
            <w:r>
              <w:rPr>
                <w:rFonts w:hint="eastAsia"/>
                <w:color w:val="auto"/>
                <w:sz w:val="21"/>
              </w:rPr>
              <w:t xml:space="preserve">1 </w:t>
            </w:r>
            <w:r>
              <w:rPr>
                <w:rFonts w:hint="eastAsia"/>
                <w:color w:val="auto"/>
                <w:spacing w:val="-15"/>
                <w:sz w:val="21"/>
              </w:rPr>
              <w:t xml:space="preserve">份，复印件 </w:t>
            </w:r>
            <w:r>
              <w:rPr>
                <w:rFonts w:hint="eastAsia"/>
                <w:color w:val="auto"/>
                <w:sz w:val="21"/>
              </w:rPr>
              <w:t xml:space="preserve">2 </w:t>
            </w:r>
            <w:r>
              <w:rPr>
                <w:rFonts w:hint="eastAsia"/>
                <w:color w:val="auto"/>
                <w:spacing w:val="-10"/>
                <w:sz w:val="21"/>
              </w:rPr>
              <w:t>份，电子文件</w:t>
            </w:r>
            <w:r>
              <w:rPr>
                <w:rFonts w:hint="eastAsia"/>
                <w:color w:val="auto"/>
                <w:sz w:val="21"/>
              </w:rPr>
              <w:t>（</w:t>
            </w:r>
            <w:r>
              <w:rPr>
                <w:rFonts w:hint="eastAsia"/>
                <w:color w:val="auto"/>
                <w:spacing w:val="-14"/>
                <w:sz w:val="21"/>
              </w:rPr>
              <w:t xml:space="preserve">光盘或 </w:t>
            </w:r>
            <w:r>
              <w:rPr>
                <w:rFonts w:hint="eastAsia"/>
                <w:color w:val="auto"/>
                <w:sz w:val="21"/>
              </w:rPr>
              <w:t>U 盘</w:t>
            </w:r>
            <w:r>
              <w:rPr>
                <w:rFonts w:hint="eastAsia"/>
                <w:color w:val="auto"/>
                <w:spacing w:val="-29"/>
                <w:sz w:val="21"/>
              </w:rPr>
              <w:t>）</w:t>
            </w:r>
            <w:r>
              <w:rPr>
                <w:rFonts w:hint="eastAsia"/>
                <w:color w:val="auto"/>
                <w:spacing w:val="-29"/>
                <w:sz w:val="21"/>
                <w:u w:val="single"/>
              </w:rPr>
              <w:t xml:space="preserve"> </w:t>
            </w:r>
            <w:r>
              <w:rPr>
                <w:rFonts w:hint="eastAsia"/>
                <w:color w:val="auto"/>
                <w:sz w:val="21"/>
                <w:u w:val="single"/>
              </w:rPr>
              <w:t>2</w:t>
            </w:r>
            <w:r>
              <w:rPr>
                <w:rFonts w:hint="eastAsia"/>
                <w:color w:val="auto"/>
                <w:sz w:val="21"/>
              </w:rPr>
              <w:t xml:space="preserve"> 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352" w:type="dxa"/>
          </w:tcPr>
          <w:p>
            <w:pPr>
              <w:pStyle w:val="21"/>
              <w:spacing w:before="9"/>
              <w:rPr>
                <w:color w:val="auto"/>
                <w:sz w:val="23"/>
              </w:rPr>
            </w:pPr>
          </w:p>
          <w:p>
            <w:pPr>
              <w:pStyle w:val="21"/>
              <w:ind w:left="355" w:right="346"/>
              <w:jc w:val="center"/>
              <w:rPr>
                <w:color w:val="auto"/>
                <w:sz w:val="20"/>
              </w:rPr>
            </w:pPr>
            <w:r>
              <w:rPr>
                <w:rFonts w:hint="eastAsia"/>
                <w:color w:val="auto"/>
                <w:sz w:val="20"/>
              </w:rPr>
              <w:t>11.5</w:t>
            </w:r>
          </w:p>
        </w:tc>
        <w:tc>
          <w:tcPr>
            <w:tcW w:w="7539" w:type="dxa"/>
          </w:tcPr>
          <w:p>
            <w:pPr>
              <w:pStyle w:val="21"/>
              <w:tabs>
                <w:tab w:val="left" w:pos="4219"/>
              </w:tabs>
              <w:spacing w:before="45"/>
              <w:ind w:left="282"/>
              <w:rPr>
                <w:color w:val="auto"/>
                <w:sz w:val="21"/>
              </w:rPr>
            </w:pPr>
            <w:r>
              <w:rPr>
                <w:rFonts w:hint="eastAsia"/>
                <w:color w:val="auto"/>
                <w:w w:val="95"/>
                <w:sz w:val="21"/>
              </w:rPr>
              <w:t>单位工程是否需投入施工期运行：</w:t>
            </w:r>
            <w:r>
              <w:rPr>
                <w:rFonts w:hint="eastAsia"/>
                <w:color w:val="auto"/>
                <w:w w:val="95"/>
                <w:sz w:val="21"/>
                <w:u w:val="single"/>
              </w:rPr>
              <w:t xml:space="preserve"> </w:t>
            </w:r>
            <w:r>
              <w:rPr>
                <w:rFonts w:hint="eastAsia"/>
                <w:color w:val="auto"/>
                <w:sz w:val="21"/>
                <w:u w:val="single"/>
                <w:lang w:val="en-US"/>
              </w:rPr>
              <w:t>否</w:t>
            </w:r>
          </w:p>
          <w:p>
            <w:pPr>
              <w:pStyle w:val="21"/>
              <w:tabs>
                <w:tab w:val="left" w:pos="7483"/>
              </w:tabs>
              <w:spacing w:before="53"/>
              <w:ind w:left="282"/>
              <w:rPr>
                <w:color w:val="auto"/>
                <w:sz w:val="21"/>
                <w:lang w:val="en-US"/>
              </w:rPr>
            </w:pPr>
            <w:r>
              <w:rPr>
                <w:rFonts w:hint="eastAsia"/>
                <w:color w:val="auto"/>
                <w:w w:val="95"/>
                <w:sz w:val="21"/>
              </w:rPr>
              <w:t>如单位工程需要进行施工期运行，需要施工期运行的单位工程规定如下：</w:t>
            </w:r>
            <w:r>
              <w:rPr>
                <w:rFonts w:hint="eastAsia"/>
                <w:color w:val="auto"/>
                <w:w w:val="95"/>
                <w:sz w:val="21"/>
                <w:u w:val="single"/>
              </w:rPr>
              <w:t xml:space="preserve"> </w:t>
            </w:r>
            <w:r>
              <w:rPr>
                <w:rFonts w:hint="eastAsia"/>
                <w:color w:val="auto"/>
                <w:w w:val="95"/>
                <w:sz w:val="21"/>
                <w:u w:val="single"/>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352" w:type="dxa"/>
          </w:tcPr>
          <w:p>
            <w:pPr>
              <w:pStyle w:val="21"/>
              <w:spacing w:before="5"/>
              <w:rPr>
                <w:color w:val="auto"/>
                <w:sz w:val="23"/>
              </w:rPr>
            </w:pPr>
          </w:p>
          <w:p>
            <w:pPr>
              <w:pStyle w:val="21"/>
              <w:ind w:left="355" w:right="346"/>
              <w:jc w:val="center"/>
              <w:rPr>
                <w:color w:val="auto"/>
                <w:sz w:val="20"/>
              </w:rPr>
            </w:pPr>
            <w:r>
              <w:rPr>
                <w:rFonts w:hint="eastAsia"/>
                <w:color w:val="auto"/>
                <w:sz w:val="20"/>
              </w:rPr>
              <w:t>11.6</w:t>
            </w:r>
          </w:p>
        </w:tc>
        <w:tc>
          <w:tcPr>
            <w:tcW w:w="7539" w:type="dxa"/>
          </w:tcPr>
          <w:p>
            <w:pPr>
              <w:pStyle w:val="21"/>
              <w:tabs>
                <w:tab w:val="left" w:pos="3379"/>
              </w:tabs>
              <w:spacing w:before="46"/>
              <w:ind w:left="282"/>
              <w:rPr>
                <w:color w:val="auto"/>
                <w:sz w:val="21"/>
              </w:rPr>
            </w:pPr>
            <w:r>
              <w:rPr>
                <w:rFonts w:hint="eastAsia"/>
                <w:color w:val="auto"/>
                <w:w w:val="95"/>
                <w:sz w:val="21"/>
              </w:rPr>
              <w:t>本工程是否进行试运行：</w:t>
            </w:r>
            <w:r>
              <w:rPr>
                <w:rFonts w:hint="eastAsia"/>
                <w:color w:val="auto"/>
                <w:w w:val="95"/>
                <w:sz w:val="21"/>
                <w:u w:val="single"/>
              </w:rPr>
              <w:t xml:space="preserve"> </w:t>
            </w:r>
            <w:r>
              <w:rPr>
                <w:rFonts w:hint="eastAsia"/>
                <w:color w:val="auto"/>
                <w:sz w:val="21"/>
                <w:u w:val="single"/>
                <w:lang w:val="en-US"/>
              </w:rPr>
              <w:t>否</w:t>
            </w:r>
          </w:p>
          <w:p>
            <w:pPr>
              <w:pStyle w:val="21"/>
              <w:tabs>
                <w:tab w:val="left" w:pos="5793"/>
              </w:tabs>
              <w:spacing w:before="50"/>
              <w:ind w:left="282"/>
              <w:rPr>
                <w:color w:val="auto"/>
                <w:sz w:val="21"/>
                <w:lang w:val="en-US"/>
              </w:rPr>
            </w:pPr>
            <w:r>
              <w:rPr>
                <w:rFonts w:hint="eastAsia"/>
                <w:color w:val="auto"/>
                <w:w w:val="95"/>
                <w:sz w:val="21"/>
              </w:rPr>
              <w:t>如本工程需要进行试运行，试运行的具体规定如下：</w:t>
            </w:r>
            <w:r>
              <w:rPr>
                <w:rFonts w:hint="eastAsia"/>
                <w:color w:val="auto"/>
                <w:w w:val="95"/>
                <w:sz w:val="21"/>
                <w:u w:val="single"/>
              </w:rPr>
              <w:t xml:space="preserve"> </w:t>
            </w:r>
            <w:r>
              <w:rPr>
                <w:rFonts w:hint="eastAsia"/>
                <w:color w:val="auto"/>
                <w:sz w:val="21"/>
                <w:u w:val="single"/>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352" w:type="dxa"/>
          </w:tcPr>
          <w:p>
            <w:pPr>
              <w:pStyle w:val="21"/>
              <w:spacing w:before="1"/>
              <w:rPr>
                <w:color w:val="auto"/>
                <w:sz w:val="17"/>
              </w:rPr>
            </w:pPr>
          </w:p>
          <w:p>
            <w:pPr>
              <w:pStyle w:val="21"/>
              <w:ind w:left="355" w:right="346"/>
              <w:jc w:val="center"/>
              <w:rPr>
                <w:color w:val="auto"/>
                <w:sz w:val="20"/>
              </w:rPr>
            </w:pPr>
            <w:r>
              <w:rPr>
                <w:rFonts w:hint="eastAsia"/>
                <w:color w:val="auto"/>
                <w:sz w:val="20"/>
              </w:rPr>
              <w:t>21.5</w:t>
            </w:r>
          </w:p>
        </w:tc>
        <w:tc>
          <w:tcPr>
            <w:tcW w:w="7539" w:type="dxa"/>
          </w:tcPr>
          <w:p>
            <w:pPr>
              <w:pStyle w:val="21"/>
              <w:spacing w:before="69" w:line="127" w:lineRule="exact"/>
              <w:ind w:left="105"/>
              <w:jc w:val="both"/>
              <w:rPr>
                <w:color w:val="auto"/>
                <w:sz w:val="14"/>
              </w:rPr>
            </w:pPr>
          </w:p>
          <w:p>
            <w:pPr>
              <w:pStyle w:val="21"/>
              <w:tabs>
                <w:tab w:val="left" w:pos="3536"/>
              </w:tabs>
              <w:spacing w:line="216" w:lineRule="exact"/>
              <w:ind w:left="282"/>
              <w:rPr>
                <w:color w:val="auto"/>
                <w:sz w:val="21"/>
              </w:rPr>
            </w:pPr>
            <w:r>
              <w:rPr>
                <w:rFonts w:hint="eastAsia"/>
                <w:color w:val="auto"/>
                <w:sz w:val="21"/>
              </w:rPr>
              <w:t>保修期：自实际交工日期起计算</w:t>
            </w:r>
            <w:r>
              <w:rPr>
                <w:rFonts w:hint="eastAsia"/>
                <w:color w:val="auto"/>
                <w:sz w:val="21"/>
                <w:u w:val="single"/>
              </w:rPr>
              <w:t xml:space="preserve"> </w:t>
            </w:r>
            <w:r>
              <w:rPr>
                <w:rFonts w:hint="eastAsia"/>
                <w:color w:val="auto"/>
                <w:sz w:val="21"/>
                <w:u w:val="single"/>
                <w:lang w:val="en-US"/>
              </w:rPr>
              <w:t xml:space="preserve">1 </w:t>
            </w:r>
            <w:r>
              <w:rPr>
                <w:rFonts w:hint="eastAsia"/>
                <w:color w:val="auto"/>
                <w:sz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352" w:type="dxa"/>
          </w:tcPr>
          <w:p>
            <w:pPr>
              <w:pStyle w:val="21"/>
              <w:spacing w:before="11"/>
              <w:rPr>
                <w:color w:val="auto"/>
                <w:sz w:val="20"/>
              </w:rPr>
            </w:pPr>
          </w:p>
          <w:p>
            <w:pPr>
              <w:pStyle w:val="21"/>
              <w:ind w:right="346"/>
              <w:jc w:val="center"/>
              <w:rPr>
                <w:color w:val="auto"/>
                <w:sz w:val="20"/>
              </w:rPr>
            </w:pPr>
            <w:r>
              <w:rPr>
                <w:rFonts w:hint="eastAsia"/>
                <w:color w:val="auto"/>
                <w:sz w:val="20"/>
                <w:lang w:val="en-US"/>
              </w:rPr>
              <w:t xml:space="preserve">  </w:t>
            </w:r>
            <w:r>
              <w:rPr>
                <w:rFonts w:hint="eastAsia"/>
                <w:color w:val="auto"/>
                <w:sz w:val="20"/>
              </w:rPr>
              <w:t>24.2(3)</w:t>
            </w:r>
          </w:p>
        </w:tc>
        <w:tc>
          <w:tcPr>
            <w:tcW w:w="7539" w:type="dxa"/>
          </w:tcPr>
          <w:p>
            <w:pPr>
              <w:pStyle w:val="21"/>
              <w:spacing w:before="45"/>
              <w:ind w:left="282"/>
              <w:rPr>
                <w:color w:val="auto"/>
                <w:sz w:val="21"/>
              </w:rPr>
            </w:pPr>
            <w:r>
              <w:rPr>
                <w:rFonts w:hint="eastAsia"/>
                <w:color w:val="auto"/>
                <w:sz w:val="21"/>
              </w:rPr>
              <w:t>争议的最终解决方式：诉讼</w:t>
            </w:r>
          </w:p>
          <w:p>
            <w:pPr>
              <w:pStyle w:val="21"/>
              <w:tabs>
                <w:tab w:val="left" w:pos="3699"/>
              </w:tabs>
              <w:spacing w:before="52" w:line="253" w:lineRule="exact"/>
              <w:ind w:left="282"/>
              <w:rPr>
                <w:color w:val="auto"/>
                <w:sz w:val="21"/>
              </w:rPr>
            </w:pPr>
            <w:r>
              <w:rPr>
                <w:rFonts w:hint="eastAsia"/>
                <w:color w:val="auto"/>
                <w:sz w:val="21"/>
              </w:rPr>
              <w:t>如采用仲裁，仲裁委员会名称：</w:t>
            </w:r>
            <w:r>
              <w:rPr>
                <w:rFonts w:hint="eastAsia"/>
                <w:color w:val="auto"/>
                <w:spacing w:val="95"/>
                <w:sz w:val="21"/>
                <w:u w:val="single"/>
              </w:rPr>
              <w:t xml:space="preserve"> </w:t>
            </w:r>
            <w:r>
              <w:rPr>
                <w:rFonts w:hint="eastAsia"/>
                <w:color w:val="auto"/>
                <w:spacing w:val="95"/>
                <w:sz w:val="21"/>
                <w:u w:val="single"/>
                <w:lang w:val="en-US"/>
              </w:rPr>
              <w:t>/</w:t>
            </w:r>
            <w:r>
              <w:rPr>
                <w:rFonts w:hint="eastAsia"/>
                <w:color w:val="auto"/>
                <w:sz w:val="21"/>
                <w:u w:val="single"/>
              </w:rPr>
              <w:tab/>
            </w:r>
          </w:p>
        </w:tc>
      </w:tr>
    </w:tbl>
    <w:p>
      <w:pPr>
        <w:pStyle w:val="10"/>
        <w:rPr>
          <w:color w:val="auto"/>
          <w:sz w:val="20"/>
        </w:rPr>
      </w:pPr>
    </w:p>
    <w:p>
      <w:pPr>
        <w:pStyle w:val="10"/>
        <w:rPr>
          <w:color w:val="auto"/>
          <w:sz w:val="20"/>
        </w:rPr>
      </w:pPr>
    </w:p>
    <w:p>
      <w:pPr>
        <w:pStyle w:val="10"/>
        <w:rPr>
          <w:color w:val="auto"/>
          <w:sz w:val="20"/>
        </w:rPr>
      </w:pPr>
    </w:p>
    <w:p>
      <w:pPr>
        <w:pStyle w:val="10"/>
        <w:rPr>
          <w:color w:val="auto"/>
          <w:sz w:val="20"/>
        </w:rPr>
      </w:pPr>
    </w:p>
    <w:p>
      <w:pPr>
        <w:pStyle w:val="10"/>
        <w:rPr>
          <w:color w:val="auto"/>
          <w:sz w:val="20"/>
        </w:rPr>
      </w:pPr>
    </w:p>
    <w:p>
      <w:pPr>
        <w:pStyle w:val="10"/>
        <w:rPr>
          <w:color w:val="auto"/>
          <w:sz w:val="20"/>
        </w:rPr>
      </w:pPr>
    </w:p>
    <w:p>
      <w:pPr>
        <w:pStyle w:val="10"/>
        <w:rPr>
          <w:color w:val="auto"/>
          <w:sz w:val="20"/>
        </w:rPr>
      </w:pPr>
    </w:p>
    <w:p>
      <w:pPr>
        <w:pStyle w:val="10"/>
        <w:rPr>
          <w:color w:val="auto"/>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1"/>
        <w:rPr>
          <w:sz w:val="13"/>
        </w:rPr>
      </w:pPr>
    </w:p>
    <w:p>
      <w:pPr>
        <w:pStyle w:val="10"/>
        <w:spacing w:before="8"/>
        <w:rPr>
          <w:sz w:val="5"/>
        </w:rPr>
      </w:pPr>
    </w:p>
    <w:p>
      <w:pPr>
        <w:spacing w:before="88"/>
        <w:ind w:left="744"/>
        <w:rPr>
          <w:sz w:val="18"/>
        </w:rPr>
      </w:pPr>
    </w:p>
    <w:p>
      <w:pPr>
        <w:rPr>
          <w:sz w:val="18"/>
        </w:rPr>
        <w:sectPr>
          <w:pgSz w:w="11910" w:h="16840"/>
          <w:pgMar w:top="1360" w:right="1120" w:bottom="1080" w:left="1260" w:header="882" w:footer="880" w:gutter="0"/>
          <w:cols w:space="720" w:num="1"/>
        </w:sect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9"/>
        <w:rPr>
          <w:sz w:val="17"/>
        </w:rPr>
      </w:pPr>
    </w:p>
    <w:p>
      <w:pPr>
        <w:pStyle w:val="6"/>
        <w:tabs>
          <w:tab w:val="left" w:pos="1952"/>
        </w:tabs>
        <w:rPr>
          <w:sz w:val="30"/>
          <w:szCs w:val="30"/>
        </w:rPr>
      </w:pPr>
      <w:bookmarkStart w:id="74" w:name="_TOC_250025"/>
      <w:bookmarkEnd w:id="74"/>
      <w:r>
        <w:rPr>
          <w:rFonts w:hint="eastAsia"/>
          <w:sz w:val="30"/>
          <w:szCs w:val="30"/>
        </w:rPr>
        <w:t>第三节</w:t>
      </w:r>
      <w:r>
        <w:rPr>
          <w:rFonts w:hint="eastAsia"/>
          <w:sz w:val="30"/>
          <w:szCs w:val="30"/>
          <w:lang w:val="en-US" w:eastAsia="zh-CN"/>
        </w:rPr>
        <w:t xml:space="preserve">  </w:t>
      </w:r>
      <w:r>
        <w:rPr>
          <w:rFonts w:hint="eastAsia"/>
          <w:sz w:val="30"/>
          <w:szCs w:val="30"/>
        </w:rPr>
        <w:t>合同附件格式</w:t>
      </w:r>
    </w:p>
    <w:p>
      <w:pPr>
        <w:rPr>
          <w:sz w:val="30"/>
          <w:szCs w:val="30"/>
        </w:rPr>
        <w:sectPr>
          <w:pgSz w:w="11910" w:h="16840"/>
          <w:pgMar w:top="1360" w:right="1120" w:bottom="1080" w:left="1260" w:header="882" w:footer="880" w:gutter="0"/>
          <w:cols w:space="720" w:num="1"/>
        </w:sectPr>
      </w:pPr>
    </w:p>
    <w:p>
      <w:pPr>
        <w:pStyle w:val="10"/>
        <w:rPr>
          <w:b/>
          <w:sz w:val="20"/>
        </w:rPr>
      </w:pPr>
    </w:p>
    <w:p>
      <w:pPr>
        <w:pStyle w:val="10"/>
        <w:tabs>
          <w:tab w:val="left" w:pos="1343"/>
        </w:tabs>
        <w:spacing w:before="66"/>
        <w:ind w:left="384"/>
      </w:pPr>
      <w:r>
        <w:rPr>
          <w:rFonts w:hint="eastAsia"/>
        </w:rPr>
        <w:t>附件一</w:t>
      </w:r>
      <w:r>
        <w:rPr>
          <w:rFonts w:hint="eastAsia"/>
        </w:rPr>
        <w:tab/>
      </w:r>
      <w:r>
        <w:rPr>
          <w:rFonts w:hint="eastAsia"/>
        </w:rPr>
        <w:t>合同协议书</w:t>
      </w:r>
    </w:p>
    <w:p>
      <w:pPr>
        <w:pStyle w:val="10"/>
        <w:rPr>
          <w:sz w:val="20"/>
        </w:rPr>
      </w:pPr>
    </w:p>
    <w:p>
      <w:pPr>
        <w:pStyle w:val="10"/>
        <w:spacing w:before="3"/>
        <w:rPr>
          <w:sz w:val="17"/>
        </w:rPr>
      </w:pPr>
    </w:p>
    <w:p>
      <w:pPr>
        <w:pStyle w:val="10"/>
        <w:ind w:left="372" w:right="455"/>
        <w:jc w:val="center"/>
      </w:pPr>
      <w:r>
        <w:rPr>
          <w:rFonts w:hint="eastAsia"/>
        </w:rPr>
        <w:t>合同协议书</w:t>
      </w:r>
    </w:p>
    <w:p>
      <w:pPr>
        <w:pStyle w:val="10"/>
        <w:rPr>
          <w:sz w:val="20"/>
        </w:rPr>
      </w:pPr>
    </w:p>
    <w:p>
      <w:pPr>
        <w:pStyle w:val="10"/>
        <w:tabs>
          <w:tab w:val="left" w:pos="3203"/>
          <w:tab w:val="left" w:pos="8975"/>
        </w:tabs>
        <w:spacing w:before="221"/>
        <w:ind w:left="864"/>
      </w:pPr>
      <w:r>
        <w:rPr>
          <w:rFonts w:hint="eastAsia"/>
          <w:u w:val="single"/>
        </w:rPr>
        <w:t xml:space="preserve"> </w:t>
      </w:r>
      <w:r>
        <w:rPr>
          <w:rFonts w:hint="eastAsia"/>
          <w:u w:val="single"/>
          <w:lang w:val="en-US" w:eastAsia="zh-CN"/>
        </w:rPr>
        <w:t xml:space="preserve">    </w:t>
      </w:r>
      <w:r>
        <w:rPr>
          <w:rFonts w:hint="eastAsia"/>
          <w:u w:val="single"/>
        </w:rPr>
        <w:tab/>
      </w:r>
      <w:r>
        <w:rPr>
          <w:rFonts w:hint="eastAsia"/>
        </w:rPr>
        <w:t xml:space="preserve"> </w:t>
      </w:r>
      <w:r>
        <w:rPr>
          <w:rFonts w:hint="eastAsia"/>
          <w:spacing w:val="-1"/>
        </w:rPr>
        <w:t>(发</w:t>
      </w:r>
      <w:r>
        <w:rPr>
          <w:rFonts w:hint="eastAsia"/>
        </w:rPr>
        <w:t>包人名称，以下简称“发包人”)为实施</w:t>
      </w:r>
      <w:r>
        <w:rPr>
          <w:rFonts w:hint="eastAsia"/>
          <w:u w:val="single"/>
        </w:rPr>
        <w:t xml:space="preserve"> </w:t>
      </w:r>
      <w:r>
        <w:rPr>
          <w:rFonts w:hint="eastAsia"/>
          <w:u w:val="single"/>
        </w:rPr>
        <w:tab/>
      </w:r>
    </w:p>
    <w:p>
      <w:pPr>
        <w:pStyle w:val="10"/>
        <w:tabs>
          <w:tab w:val="left" w:pos="1523"/>
          <w:tab w:val="left" w:pos="4382"/>
          <w:tab w:val="left" w:pos="9119"/>
        </w:tabs>
        <w:spacing w:before="84"/>
        <w:ind w:left="384"/>
      </w:pPr>
      <w:r>
        <w:rPr>
          <w:rFonts w:hint="eastAsia"/>
          <w:u w:val="single"/>
        </w:rPr>
        <w:t xml:space="preserve"> </w:t>
      </w:r>
      <w:r>
        <w:rPr>
          <w:rFonts w:hint="eastAsia"/>
          <w:u w:val="single"/>
        </w:rPr>
        <w:tab/>
      </w:r>
      <w:r>
        <w:rPr>
          <w:rFonts w:hint="eastAsia"/>
        </w:rPr>
        <w:t xml:space="preserve"> (项目名称)，已接受</w:t>
      </w:r>
      <w:r>
        <w:rPr>
          <w:rFonts w:hint="eastAsia"/>
          <w:u w:val="single"/>
        </w:rPr>
        <w:t xml:space="preserve"> </w:t>
      </w:r>
      <w:r>
        <w:rPr>
          <w:rFonts w:hint="eastAsia"/>
          <w:u w:val="single"/>
        </w:rPr>
        <w:tab/>
      </w:r>
      <w:r>
        <w:rPr>
          <w:rFonts w:hint="eastAsia"/>
          <w:spacing w:val="-1"/>
        </w:rPr>
        <w:t>(</w:t>
      </w:r>
      <w:r>
        <w:rPr>
          <w:rFonts w:hint="eastAsia"/>
        </w:rPr>
        <w:t>承包人名称，以下简称“承包人”)对该项目</w:t>
      </w:r>
      <w:r>
        <w:rPr>
          <w:rFonts w:hint="eastAsia"/>
          <w:u w:val="single"/>
        </w:rPr>
        <w:t xml:space="preserve"> </w:t>
      </w:r>
      <w:r>
        <w:rPr>
          <w:rFonts w:hint="eastAsia"/>
          <w:u w:val="single"/>
        </w:rPr>
        <w:tab/>
      </w:r>
    </w:p>
    <w:p>
      <w:pPr>
        <w:pStyle w:val="10"/>
        <w:tabs>
          <w:tab w:val="left" w:pos="2303"/>
        </w:tabs>
        <w:spacing w:before="84"/>
        <w:ind w:left="384"/>
      </w:pPr>
      <w:r>
        <w:rPr>
          <w:rFonts w:hint="eastAsia"/>
          <w:u w:val="single"/>
        </w:rPr>
        <w:t xml:space="preserve"> </w:t>
      </w:r>
      <w:r>
        <w:rPr>
          <w:rFonts w:hint="eastAsia"/>
          <w:u w:val="single"/>
        </w:rPr>
        <w:tab/>
      </w:r>
      <w:r>
        <w:rPr>
          <w:rFonts w:hint="eastAsia"/>
        </w:rPr>
        <w:t>标段施工的投标。发包人和承包人共同达成如下协议：</w:t>
      </w:r>
    </w:p>
    <w:p>
      <w:pPr>
        <w:pStyle w:val="20"/>
        <w:numPr>
          <w:ilvl w:val="0"/>
          <w:numId w:val="48"/>
        </w:numPr>
        <w:tabs>
          <w:tab w:val="left" w:pos="1045"/>
          <w:tab w:val="left" w:pos="1343"/>
          <w:tab w:val="left" w:pos="1763"/>
          <w:tab w:val="left" w:pos="2063"/>
          <w:tab w:val="left" w:pos="2776"/>
          <w:tab w:val="left" w:pos="2843"/>
          <w:tab w:val="left" w:pos="3196"/>
          <w:tab w:val="left" w:pos="3916"/>
          <w:tab w:val="left" w:pos="4211"/>
          <w:tab w:val="left" w:pos="4288"/>
          <w:tab w:val="left" w:pos="4871"/>
          <w:tab w:val="left" w:pos="5171"/>
          <w:tab w:val="left" w:pos="5591"/>
          <w:tab w:val="left" w:pos="5787"/>
          <w:tab w:val="left" w:pos="6752"/>
          <w:tab w:val="left" w:pos="6847"/>
          <w:tab w:val="left" w:pos="8341"/>
          <w:tab w:val="left" w:pos="8939"/>
        </w:tabs>
        <w:spacing w:before="86" w:line="304" w:lineRule="auto"/>
        <w:ind w:right="346" w:firstLine="480"/>
        <w:rPr>
          <w:sz w:val="24"/>
        </w:rPr>
      </w:pPr>
      <w:r>
        <w:rPr>
          <w:rFonts w:hint="eastAsia"/>
          <w:sz w:val="24"/>
        </w:rPr>
        <w:t>第</w:t>
      </w:r>
      <w:r>
        <w:rPr>
          <w:rFonts w:hint="eastAsia"/>
          <w:sz w:val="24"/>
          <w:u w:val="single"/>
        </w:rPr>
        <w:t xml:space="preserve"> </w:t>
      </w:r>
      <w:r>
        <w:rPr>
          <w:rFonts w:hint="eastAsia"/>
          <w:sz w:val="24"/>
          <w:u w:val="single"/>
        </w:rPr>
        <w:tab/>
      </w:r>
      <w:r>
        <w:rPr>
          <w:rFonts w:hint="eastAsia"/>
          <w:sz w:val="24"/>
        </w:rPr>
        <w:t>标段由</w:t>
      </w:r>
      <w:r>
        <w:rPr>
          <w:rFonts w:hint="eastAsia"/>
          <w:spacing w:val="-60"/>
          <w:sz w:val="24"/>
        </w:rPr>
        <w:t xml:space="preserve"> </w:t>
      </w:r>
      <w:r>
        <w:rPr>
          <w:rFonts w:hint="eastAsia"/>
          <w:spacing w:val="-2"/>
          <w:sz w:val="24"/>
        </w:rPr>
        <w:t>K</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pacing w:val="-1"/>
          <w:sz w:val="24"/>
        </w:rPr>
        <w:t>＋</w:t>
      </w:r>
      <w:r>
        <w:rPr>
          <w:rFonts w:hint="eastAsia"/>
          <w:sz w:val="24"/>
          <w:u w:val="single"/>
        </w:rPr>
        <w:t xml:space="preserve"> </w:t>
      </w:r>
      <w:r>
        <w:rPr>
          <w:rFonts w:hint="eastAsia"/>
          <w:sz w:val="24"/>
          <w:u w:val="single"/>
        </w:rPr>
        <w:tab/>
      </w:r>
      <w:r>
        <w:rPr>
          <w:rFonts w:hint="eastAsia"/>
          <w:sz w:val="24"/>
        </w:rPr>
        <w:t>至</w:t>
      </w:r>
      <w:r>
        <w:rPr>
          <w:rFonts w:hint="eastAsia"/>
          <w:spacing w:val="-60"/>
          <w:sz w:val="24"/>
        </w:rPr>
        <w:t xml:space="preserve"> </w:t>
      </w:r>
      <w:r>
        <w:rPr>
          <w:rFonts w:hint="eastAsia"/>
          <w:spacing w:val="1"/>
          <w:sz w:val="24"/>
        </w:rPr>
        <w:t>K</w:t>
      </w:r>
      <w:r>
        <w:rPr>
          <w:rFonts w:hint="eastAsia"/>
          <w:sz w:val="24"/>
          <w:u w:val="single"/>
        </w:rPr>
        <w:t xml:space="preserve"> </w:t>
      </w:r>
      <w:r>
        <w:rPr>
          <w:rFonts w:hint="eastAsia"/>
          <w:sz w:val="24"/>
          <w:u w:val="single"/>
        </w:rPr>
        <w:tab/>
      </w:r>
      <w:r>
        <w:rPr>
          <w:rFonts w:hint="eastAsia"/>
          <w:sz w:val="24"/>
        </w:rPr>
        <w:t>＋</w:t>
      </w:r>
      <w:r>
        <w:rPr>
          <w:rFonts w:hint="eastAsia"/>
          <w:sz w:val="24"/>
          <w:u w:val="single"/>
        </w:rPr>
        <w:t xml:space="preserve"> </w:t>
      </w:r>
      <w:r>
        <w:rPr>
          <w:rFonts w:hint="eastAsia"/>
          <w:sz w:val="24"/>
          <w:u w:val="single"/>
        </w:rPr>
        <w:tab/>
      </w:r>
      <w:r>
        <w:rPr>
          <w:rFonts w:hint="eastAsia"/>
          <w:spacing w:val="-99"/>
          <w:sz w:val="24"/>
        </w:rPr>
        <w:t>，</w:t>
      </w:r>
      <w:r>
        <w:rPr>
          <w:rFonts w:hint="eastAsia"/>
          <w:sz w:val="24"/>
        </w:rPr>
        <w:t>长</w:t>
      </w:r>
      <w:r>
        <w:rPr>
          <w:rFonts w:hint="eastAsia"/>
          <w:spacing w:val="-1"/>
          <w:sz w:val="24"/>
        </w:rPr>
        <w:t>约</w:t>
      </w:r>
      <w:r>
        <w:rPr>
          <w:rFonts w:hint="eastAsia"/>
          <w:sz w:val="24"/>
          <w:u w:val="single"/>
        </w:rPr>
        <w:t xml:space="preserve"> </w:t>
      </w:r>
      <w:r>
        <w:rPr>
          <w:rFonts w:hint="eastAsia"/>
          <w:sz w:val="24"/>
          <w:u w:val="single"/>
        </w:rPr>
        <w:tab/>
      </w:r>
      <w:r>
        <w:rPr>
          <w:rFonts w:hint="eastAsia"/>
          <w:sz w:val="24"/>
        </w:rPr>
        <w:t xml:space="preserve"> km</w:t>
      </w:r>
      <w:r>
        <w:rPr>
          <w:rFonts w:hint="eastAsia"/>
          <w:spacing w:val="-101"/>
          <w:sz w:val="24"/>
        </w:rPr>
        <w:t>，</w:t>
      </w:r>
      <w:r>
        <w:rPr>
          <w:rFonts w:hint="eastAsia"/>
          <w:sz w:val="24"/>
        </w:rPr>
        <w:t>公路等级为</w:t>
      </w:r>
      <w:r>
        <w:rPr>
          <w:rFonts w:hint="eastAsia"/>
          <w:sz w:val="24"/>
          <w:u w:val="single"/>
        </w:rPr>
        <w:t xml:space="preserve"> </w:t>
      </w:r>
      <w:r>
        <w:rPr>
          <w:rFonts w:hint="eastAsia"/>
          <w:sz w:val="24"/>
          <w:u w:val="single"/>
        </w:rPr>
        <w:tab/>
      </w:r>
      <w:r>
        <w:rPr>
          <w:rFonts w:hint="eastAsia"/>
          <w:spacing w:val="-18"/>
          <w:sz w:val="24"/>
        </w:rPr>
        <w:t>，</w:t>
      </w:r>
      <w:r>
        <w:rPr>
          <w:rFonts w:hint="eastAsia"/>
          <w:sz w:val="24"/>
        </w:rPr>
        <w:t>设计时速为</w:t>
      </w:r>
      <w:r>
        <w:rPr>
          <w:rFonts w:hint="eastAsia"/>
          <w:sz w:val="24"/>
          <w:u w:val="single"/>
        </w:rPr>
        <w:t xml:space="preserve"> </w:t>
      </w:r>
      <w:r>
        <w:rPr>
          <w:rFonts w:hint="eastAsia"/>
          <w:sz w:val="24"/>
          <w:u w:val="single"/>
        </w:rPr>
        <w:tab/>
      </w:r>
      <w:r>
        <w:rPr>
          <w:rFonts w:hint="eastAsia"/>
          <w:sz w:val="24"/>
          <w:u w:val="single"/>
        </w:rPr>
        <w:tab/>
      </w:r>
      <w:r>
        <w:rPr>
          <w:rFonts w:hint="eastAsia"/>
          <w:spacing w:val="-8"/>
          <w:sz w:val="24"/>
        </w:rPr>
        <w:t>，</w:t>
      </w:r>
      <w:r>
        <w:rPr>
          <w:rFonts w:hint="eastAsia"/>
          <w:spacing w:val="-8"/>
          <w:sz w:val="24"/>
          <w:u w:val="single"/>
        </w:rPr>
        <w:t xml:space="preserve"> </w:t>
      </w:r>
      <w:r>
        <w:rPr>
          <w:rFonts w:hint="eastAsia"/>
          <w:spacing w:val="-8"/>
          <w:sz w:val="24"/>
          <w:u w:val="single"/>
        </w:rPr>
        <w:tab/>
      </w:r>
      <w:r>
        <w:rPr>
          <w:rFonts w:hint="eastAsia"/>
          <w:sz w:val="24"/>
        </w:rPr>
        <w:t>路面</w:t>
      </w:r>
      <w:r>
        <w:rPr>
          <w:rFonts w:hint="eastAsia"/>
          <w:spacing w:val="-5"/>
          <w:sz w:val="24"/>
        </w:rPr>
        <w:t>，</w:t>
      </w:r>
      <w:r>
        <w:rPr>
          <w:rFonts w:hint="eastAsia"/>
          <w:sz w:val="24"/>
        </w:rPr>
        <w:t>有</w:t>
      </w:r>
      <w:r>
        <w:rPr>
          <w:rFonts w:hint="eastAsia"/>
          <w:sz w:val="24"/>
          <w:u w:val="single"/>
        </w:rPr>
        <w:t xml:space="preserve"> </w:t>
      </w:r>
      <w:r>
        <w:rPr>
          <w:rFonts w:hint="eastAsia"/>
          <w:sz w:val="24"/>
          <w:u w:val="single"/>
        </w:rPr>
        <w:tab/>
      </w:r>
      <w:r>
        <w:rPr>
          <w:rFonts w:hint="eastAsia"/>
          <w:sz w:val="24"/>
          <w:u w:val="single"/>
        </w:rPr>
        <w:tab/>
      </w:r>
      <w:r>
        <w:rPr>
          <w:rFonts w:hint="eastAsia"/>
          <w:sz w:val="24"/>
        </w:rPr>
        <w:t>立交</w:t>
      </w:r>
      <w:r>
        <w:rPr>
          <w:rFonts w:hint="eastAsia"/>
          <w:sz w:val="24"/>
          <w:u w:val="single"/>
        </w:rPr>
        <w:t xml:space="preserve"> </w:t>
      </w:r>
      <w:r>
        <w:rPr>
          <w:rFonts w:hint="eastAsia"/>
          <w:sz w:val="24"/>
          <w:u w:val="single"/>
        </w:rPr>
        <w:tab/>
      </w:r>
      <w:r>
        <w:rPr>
          <w:rFonts w:hint="eastAsia"/>
          <w:sz w:val="24"/>
          <w:u w:val="single"/>
        </w:rPr>
        <w:tab/>
      </w:r>
      <w:r>
        <w:rPr>
          <w:rFonts w:hint="eastAsia"/>
          <w:sz w:val="24"/>
        </w:rPr>
        <w:t>处</w:t>
      </w:r>
      <w:r>
        <w:rPr>
          <w:rFonts w:hint="eastAsia"/>
          <w:spacing w:val="-5"/>
          <w:sz w:val="24"/>
        </w:rPr>
        <w:t>；</w:t>
      </w:r>
      <w:r>
        <w:rPr>
          <w:rFonts w:hint="eastAsia"/>
          <w:sz w:val="24"/>
        </w:rPr>
        <w:t>特大桥</w:t>
      </w:r>
      <w:r>
        <w:rPr>
          <w:rFonts w:hint="eastAsia"/>
          <w:sz w:val="24"/>
          <w:u w:val="single"/>
        </w:rPr>
        <w:t xml:space="preserve"> </w:t>
      </w:r>
      <w:r>
        <w:rPr>
          <w:rFonts w:hint="eastAsia"/>
          <w:sz w:val="24"/>
          <w:u w:val="single"/>
        </w:rPr>
        <w:tab/>
      </w:r>
      <w:r>
        <w:rPr>
          <w:rFonts w:hint="eastAsia"/>
          <w:sz w:val="24"/>
          <w:u w:val="single"/>
        </w:rPr>
        <w:tab/>
      </w:r>
      <w:r>
        <w:rPr>
          <w:rFonts w:hint="eastAsia"/>
          <w:sz w:val="24"/>
        </w:rPr>
        <w:t>座</w:t>
      </w:r>
      <w:r>
        <w:rPr>
          <w:rFonts w:hint="eastAsia"/>
          <w:spacing w:val="-8"/>
          <w:sz w:val="24"/>
        </w:rPr>
        <w:t>，</w:t>
      </w:r>
      <w:r>
        <w:rPr>
          <w:rFonts w:hint="eastAsia"/>
          <w:sz w:val="24"/>
        </w:rPr>
        <w:t>计长</w:t>
      </w:r>
      <w:r>
        <w:rPr>
          <w:rFonts w:hint="eastAsia"/>
          <w:sz w:val="24"/>
          <w:u w:val="single"/>
        </w:rPr>
        <w:t xml:space="preserve"> </w:t>
      </w:r>
      <w:r>
        <w:rPr>
          <w:rFonts w:hint="eastAsia"/>
          <w:sz w:val="24"/>
          <w:u w:val="single"/>
        </w:rPr>
        <w:tab/>
      </w:r>
      <w:r>
        <w:rPr>
          <w:rFonts w:hint="eastAsia"/>
          <w:spacing w:val="-4"/>
          <w:sz w:val="24"/>
        </w:rPr>
        <w:t>m；</w:t>
      </w:r>
      <w:r>
        <w:rPr>
          <w:rFonts w:hint="eastAsia"/>
          <w:sz w:val="24"/>
        </w:rPr>
        <w:t>大中桥</w:t>
      </w:r>
      <w:r>
        <w:rPr>
          <w:rFonts w:hint="eastAsia"/>
          <w:sz w:val="24"/>
          <w:u w:val="single"/>
        </w:rPr>
        <w:t xml:space="preserve"> </w:t>
      </w:r>
      <w:r>
        <w:rPr>
          <w:rFonts w:hint="eastAsia"/>
          <w:sz w:val="24"/>
          <w:u w:val="single"/>
        </w:rPr>
        <w:tab/>
      </w:r>
      <w:r>
        <w:rPr>
          <w:rFonts w:hint="eastAsia"/>
          <w:sz w:val="24"/>
        </w:rPr>
        <w:t>座，计长</w:t>
      </w:r>
      <w:r>
        <w:rPr>
          <w:rFonts w:hint="eastAsia"/>
          <w:sz w:val="24"/>
          <w:u w:val="single"/>
        </w:rPr>
        <w:t xml:space="preserve"> </w:t>
      </w:r>
      <w:r>
        <w:rPr>
          <w:rFonts w:hint="eastAsia"/>
          <w:sz w:val="24"/>
          <w:u w:val="single"/>
        </w:rPr>
        <w:tab/>
      </w:r>
      <w:r>
        <w:rPr>
          <w:rFonts w:hint="eastAsia"/>
          <w:sz w:val="24"/>
          <w:u w:val="single"/>
        </w:rPr>
        <w:tab/>
      </w:r>
      <w:r>
        <w:rPr>
          <w:rFonts w:hint="eastAsia"/>
          <w:sz w:val="24"/>
        </w:rPr>
        <w:t>m；隧道</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rPr>
        <w:t>座，计长</w:t>
      </w:r>
      <w:r>
        <w:rPr>
          <w:rFonts w:hint="eastAsia"/>
          <w:sz w:val="24"/>
          <w:u w:val="single"/>
        </w:rPr>
        <w:t xml:space="preserve"> </w:t>
      </w:r>
      <w:r>
        <w:rPr>
          <w:rFonts w:hint="eastAsia"/>
          <w:sz w:val="24"/>
          <w:u w:val="single"/>
        </w:rPr>
        <w:tab/>
      </w:r>
      <w:r>
        <w:rPr>
          <w:rFonts w:hint="eastAsia"/>
          <w:sz w:val="24"/>
          <w:u w:val="single"/>
        </w:rPr>
        <w:tab/>
      </w:r>
      <w:r>
        <w:rPr>
          <w:rFonts w:hint="eastAsia"/>
          <w:sz w:val="24"/>
        </w:rPr>
        <w:t>m 以及其他构造物工程等。</w:t>
      </w:r>
    </w:p>
    <w:p>
      <w:pPr>
        <w:pStyle w:val="20"/>
        <w:numPr>
          <w:ilvl w:val="0"/>
          <w:numId w:val="48"/>
        </w:numPr>
        <w:tabs>
          <w:tab w:val="left" w:pos="1164"/>
        </w:tabs>
        <w:spacing w:before="4"/>
        <w:ind w:left="1164" w:hanging="300"/>
        <w:rPr>
          <w:sz w:val="24"/>
        </w:rPr>
      </w:pPr>
      <w:r>
        <w:rPr>
          <w:rFonts w:hint="eastAsia"/>
          <w:sz w:val="24"/>
        </w:rPr>
        <w:t>下列文件应视为构成合同文件的组成部分：</w:t>
      </w:r>
    </w:p>
    <w:p>
      <w:pPr>
        <w:pStyle w:val="20"/>
        <w:numPr>
          <w:ilvl w:val="0"/>
          <w:numId w:val="49"/>
        </w:numPr>
        <w:tabs>
          <w:tab w:val="left" w:pos="1465"/>
        </w:tabs>
        <w:spacing w:before="101" w:line="312" w:lineRule="auto"/>
        <w:ind w:right="466" w:firstLine="480"/>
        <w:rPr>
          <w:sz w:val="24"/>
        </w:rPr>
      </w:pPr>
      <w:r>
        <w:rPr>
          <w:rFonts w:hint="eastAsia"/>
          <w:spacing w:val="-4"/>
          <w:sz w:val="24"/>
        </w:rPr>
        <w:t>合同协议书及各种合同附件</w:t>
      </w:r>
      <w:r>
        <w:rPr>
          <w:rFonts w:hint="eastAsia"/>
          <w:sz w:val="24"/>
        </w:rPr>
        <w:t>（含评标期间和合同谈判过程中的澄清文件</w:t>
      </w:r>
      <w:r>
        <w:rPr>
          <w:rFonts w:hint="eastAsia"/>
          <w:spacing w:val="-5"/>
          <w:sz w:val="24"/>
        </w:rPr>
        <w:t>和补充资料</w:t>
      </w:r>
      <w:r>
        <w:rPr>
          <w:rFonts w:hint="eastAsia"/>
          <w:sz w:val="24"/>
        </w:rPr>
        <w:t>）；</w:t>
      </w:r>
    </w:p>
    <w:p>
      <w:pPr>
        <w:pStyle w:val="20"/>
        <w:numPr>
          <w:ilvl w:val="0"/>
          <w:numId w:val="49"/>
        </w:numPr>
        <w:tabs>
          <w:tab w:val="left" w:pos="1465"/>
        </w:tabs>
        <w:spacing w:line="307" w:lineRule="exact"/>
        <w:ind w:left="1465"/>
        <w:rPr>
          <w:sz w:val="24"/>
        </w:rPr>
      </w:pPr>
      <w:r>
        <w:rPr>
          <w:rFonts w:hint="eastAsia"/>
          <w:sz w:val="24"/>
        </w:rPr>
        <w:t>中标通知书；</w:t>
      </w:r>
    </w:p>
    <w:p>
      <w:pPr>
        <w:pStyle w:val="20"/>
        <w:numPr>
          <w:ilvl w:val="0"/>
          <w:numId w:val="49"/>
        </w:numPr>
        <w:tabs>
          <w:tab w:val="left" w:pos="1465"/>
        </w:tabs>
        <w:spacing w:before="93"/>
        <w:ind w:left="1465"/>
        <w:rPr>
          <w:sz w:val="24"/>
        </w:rPr>
      </w:pPr>
      <w:r>
        <w:rPr>
          <w:rFonts w:hint="eastAsia"/>
          <w:sz w:val="24"/>
        </w:rPr>
        <w:t>投标函及投标函附录；</w:t>
      </w:r>
    </w:p>
    <w:p>
      <w:pPr>
        <w:pStyle w:val="20"/>
        <w:numPr>
          <w:ilvl w:val="0"/>
          <w:numId w:val="49"/>
        </w:numPr>
        <w:tabs>
          <w:tab w:val="left" w:pos="1465"/>
        </w:tabs>
        <w:spacing w:before="93"/>
        <w:ind w:left="1465"/>
        <w:rPr>
          <w:sz w:val="24"/>
        </w:rPr>
      </w:pPr>
      <w:r>
        <w:rPr>
          <w:rFonts w:hint="eastAsia"/>
          <w:sz w:val="24"/>
        </w:rPr>
        <w:t>专用合同条款；</w:t>
      </w:r>
    </w:p>
    <w:p>
      <w:pPr>
        <w:pStyle w:val="20"/>
        <w:numPr>
          <w:ilvl w:val="0"/>
          <w:numId w:val="49"/>
        </w:numPr>
        <w:tabs>
          <w:tab w:val="left" w:pos="1465"/>
        </w:tabs>
        <w:spacing w:before="91"/>
        <w:ind w:left="1465"/>
        <w:rPr>
          <w:sz w:val="24"/>
        </w:rPr>
      </w:pPr>
      <w:r>
        <w:rPr>
          <w:rFonts w:hint="eastAsia"/>
          <w:sz w:val="24"/>
        </w:rPr>
        <w:t>通用合同条款；</w:t>
      </w:r>
    </w:p>
    <w:p>
      <w:pPr>
        <w:pStyle w:val="20"/>
        <w:numPr>
          <w:ilvl w:val="0"/>
          <w:numId w:val="49"/>
        </w:numPr>
        <w:tabs>
          <w:tab w:val="left" w:pos="1465"/>
        </w:tabs>
        <w:spacing w:before="93"/>
        <w:ind w:left="1465"/>
        <w:rPr>
          <w:sz w:val="24"/>
        </w:rPr>
      </w:pPr>
      <w:r>
        <w:rPr>
          <w:rFonts w:hint="eastAsia"/>
          <w:sz w:val="24"/>
        </w:rPr>
        <w:t>工程量清单计量规则；</w:t>
      </w:r>
    </w:p>
    <w:p>
      <w:pPr>
        <w:pStyle w:val="20"/>
        <w:numPr>
          <w:ilvl w:val="0"/>
          <w:numId w:val="49"/>
        </w:numPr>
        <w:tabs>
          <w:tab w:val="left" w:pos="1465"/>
        </w:tabs>
        <w:spacing w:before="94"/>
        <w:ind w:left="1465"/>
        <w:rPr>
          <w:sz w:val="24"/>
        </w:rPr>
      </w:pPr>
      <w:r>
        <w:rPr>
          <w:rFonts w:hint="eastAsia"/>
          <w:sz w:val="24"/>
        </w:rPr>
        <w:t>技术规范；</w:t>
      </w:r>
    </w:p>
    <w:p>
      <w:pPr>
        <w:pStyle w:val="20"/>
        <w:numPr>
          <w:ilvl w:val="0"/>
          <w:numId w:val="49"/>
        </w:numPr>
        <w:tabs>
          <w:tab w:val="left" w:pos="1465"/>
        </w:tabs>
        <w:spacing w:before="91"/>
        <w:ind w:left="1465"/>
        <w:rPr>
          <w:sz w:val="24"/>
        </w:rPr>
      </w:pPr>
      <w:r>
        <w:rPr>
          <w:rFonts w:hint="eastAsia"/>
          <w:sz w:val="24"/>
        </w:rPr>
        <w:t>图纸；</w:t>
      </w:r>
    </w:p>
    <w:p>
      <w:pPr>
        <w:pStyle w:val="20"/>
        <w:numPr>
          <w:ilvl w:val="0"/>
          <w:numId w:val="49"/>
        </w:numPr>
        <w:tabs>
          <w:tab w:val="left" w:pos="1465"/>
        </w:tabs>
        <w:spacing w:before="93"/>
        <w:ind w:left="1465"/>
        <w:rPr>
          <w:sz w:val="24"/>
        </w:rPr>
      </w:pPr>
      <w:r>
        <w:rPr>
          <w:rFonts w:hint="eastAsia"/>
          <w:sz w:val="24"/>
        </w:rPr>
        <w:t>已标价工程量清单；</w:t>
      </w:r>
    </w:p>
    <w:p>
      <w:pPr>
        <w:pStyle w:val="20"/>
        <w:numPr>
          <w:ilvl w:val="0"/>
          <w:numId w:val="49"/>
        </w:numPr>
        <w:tabs>
          <w:tab w:val="left" w:pos="1585"/>
        </w:tabs>
        <w:spacing w:before="93"/>
        <w:ind w:left="1585" w:hanging="721"/>
        <w:rPr>
          <w:sz w:val="24"/>
        </w:rPr>
      </w:pPr>
      <w:r>
        <w:rPr>
          <w:rFonts w:hint="eastAsia"/>
          <w:sz w:val="24"/>
        </w:rPr>
        <w:t>承包人有关人员、设备投入的承诺及投标文件中的施工组织设计；</w:t>
      </w:r>
    </w:p>
    <w:p>
      <w:pPr>
        <w:pStyle w:val="20"/>
        <w:numPr>
          <w:ilvl w:val="0"/>
          <w:numId w:val="49"/>
        </w:numPr>
        <w:tabs>
          <w:tab w:val="left" w:pos="1585"/>
        </w:tabs>
        <w:spacing w:before="91"/>
        <w:ind w:left="1585" w:hanging="721"/>
        <w:rPr>
          <w:sz w:val="24"/>
        </w:rPr>
      </w:pPr>
      <w:r>
        <w:rPr>
          <w:rFonts w:hint="eastAsia"/>
          <w:sz w:val="24"/>
        </w:rPr>
        <w:t>其他合同文件。</w:t>
      </w:r>
    </w:p>
    <w:p>
      <w:pPr>
        <w:pStyle w:val="10"/>
        <w:spacing w:before="3"/>
        <w:rPr>
          <w:sz w:val="37"/>
        </w:rPr>
      </w:pPr>
    </w:p>
    <w:p>
      <w:pPr>
        <w:pStyle w:val="20"/>
        <w:numPr>
          <w:ilvl w:val="0"/>
          <w:numId w:val="48"/>
        </w:numPr>
        <w:tabs>
          <w:tab w:val="left" w:pos="1164"/>
        </w:tabs>
        <w:spacing w:line="304" w:lineRule="auto"/>
        <w:ind w:right="466" w:firstLine="480"/>
        <w:rPr>
          <w:sz w:val="24"/>
        </w:rPr>
      </w:pPr>
      <w:r>
        <w:rPr>
          <w:rFonts w:hint="eastAsia"/>
          <w:spacing w:val="-3"/>
          <w:sz w:val="24"/>
        </w:rPr>
        <w:t>上述文件互相补充和解释，如有不明确或不一致之处，以合同约定次序在先</w:t>
      </w:r>
      <w:r>
        <w:rPr>
          <w:rFonts w:hint="eastAsia"/>
          <w:sz w:val="24"/>
        </w:rPr>
        <w:t>者为准。</w:t>
      </w:r>
    </w:p>
    <w:p>
      <w:pPr>
        <w:pStyle w:val="20"/>
        <w:numPr>
          <w:ilvl w:val="0"/>
          <w:numId w:val="48"/>
        </w:numPr>
        <w:tabs>
          <w:tab w:val="left" w:pos="1164"/>
        </w:tabs>
        <w:spacing w:before="2"/>
        <w:ind w:left="1164" w:hanging="300"/>
        <w:rPr>
          <w:sz w:val="24"/>
        </w:rPr>
      </w:pPr>
      <w:r>
        <w:rPr>
          <w:rFonts w:hint="eastAsia"/>
          <w:spacing w:val="-1"/>
          <w:sz w:val="24"/>
        </w:rPr>
        <w:t>根据工程量清单所列的预计数量和单价或总额价计算的签约合同价：人民币</w:t>
      </w:r>
    </w:p>
    <w:p>
      <w:pPr>
        <w:pStyle w:val="10"/>
        <w:tabs>
          <w:tab w:val="left" w:pos="2462"/>
          <w:tab w:val="left" w:pos="4463"/>
        </w:tabs>
        <w:spacing w:before="86"/>
        <w:ind w:left="384"/>
      </w:pPr>
      <w:r>
        <w:rPr>
          <w:rFonts w:hint="eastAsia"/>
        </w:rPr>
        <w:t>(大写)</w:t>
      </w:r>
      <w:r>
        <w:rPr>
          <w:rFonts w:hint="eastAsia"/>
          <w:u w:val="single"/>
        </w:rPr>
        <w:t xml:space="preserve"> </w:t>
      </w:r>
      <w:r>
        <w:rPr>
          <w:rFonts w:hint="eastAsia"/>
          <w:u w:val="single"/>
        </w:rPr>
        <w:tab/>
      </w:r>
      <w:r>
        <w:rPr>
          <w:rFonts w:hint="eastAsia"/>
        </w:rPr>
        <w:t>元(￥</w:t>
      </w:r>
      <w:r>
        <w:rPr>
          <w:rFonts w:hint="eastAsia"/>
          <w:u w:val="single"/>
        </w:rPr>
        <w:t xml:space="preserve"> </w:t>
      </w:r>
      <w:r>
        <w:rPr>
          <w:rFonts w:hint="eastAsia"/>
          <w:u w:val="single"/>
        </w:rPr>
        <w:tab/>
      </w:r>
      <w:r>
        <w:rPr>
          <w:rFonts w:hint="eastAsia"/>
        </w:rPr>
        <w:t>)。</w:t>
      </w:r>
    </w:p>
    <w:p>
      <w:pPr>
        <w:pStyle w:val="20"/>
        <w:numPr>
          <w:ilvl w:val="0"/>
          <w:numId w:val="48"/>
        </w:numPr>
        <w:tabs>
          <w:tab w:val="left" w:pos="1164"/>
          <w:tab w:val="left" w:pos="4523"/>
          <w:tab w:val="left" w:pos="8123"/>
        </w:tabs>
        <w:spacing w:before="84"/>
        <w:ind w:left="1164" w:hanging="300"/>
        <w:rPr>
          <w:sz w:val="24"/>
        </w:rPr>
      </w:pPr>
      <w:r>
        <w:rPr>
          <w:rFonts w:hint="eastAsia"/>
          <w:sz w:val="24"/>
        </w:rPr>
        <w:t>承包人项目经理：</w:t>
      </w:r>
      <w:r>
        <w:rPr>
          <w:rFonts w:hint="eastAsia"/>
          <w:sz w:val="24"/>
          <w:u w:val="single"/>
        </w:rPr>
        <w:t xml:space="preserve"> </w:t>
      </w:r>
      <w:r>
        <w:rPr>
          <w:rFonts w:hint="eastAsia"/>
          <w:sz w:val="24"/>
          <w:u w:val="single"/>
        </w:rPr>
        <w:tab/>
      </w:r>
      <w:r>
        <w:rPr>
          <w:rFonts w:hint="eastAsia"/>
          <w:sz w:val="24"/>
        </w:rPr>
        <w:t>。承包人项目总工：</w:t>
      </w:r>
      <w:r>
        <w:rPr>
          <w:rFonts w:hint="eastAsia"/>
          <w:sz w:val="24"/>
          <w:u w:val="single"/>
        </w:rPr>
        <w:t xml:space="preserve"> </w:t>
      </w:r>
      <w:r>
        <w:rPr>
          <w:rFonts w:hint="eastAsia"/>
          <w:sz w:val="24"/>
          <w:u w:val="single"/>
        </w:rPr>
        <w:tab/>
      </w:r>
      <w:r>
        <w:rPr>
          <w:rFonts w:hint="eastAsia"/>
          <w:sz w:val="24"/>
        </w:rPr>
        <w:t>。</w:t>
      </w:r>
    </w:p>
    <w:p>
      <w:pPr>
        <w:pStyle w:val="20"/>
        <w:numPr>
          <w:ilvl w:val="0"/>
          <w:numId w:val="48"/>
        </w:numPr>
        <w:tabs>
          <w:tab w:val="left" w:pos="1045"/>
          <w:tab w:val="left" w:pos="4403"/>
          <w:tab w:val="left" w:pos="8723"/>
        </w:tabs>
        <w:spacing w:before="83"/>
        <w:ind w:left="1045"/>
        <w:rPr>
          <w:sz w:val="24"/>
        </w:rPr>
      </w:pPr>
      <w:r>
        <w:rPr>
          <w:rFonts w:hint="eastAsia"/>
          <w:sz w:val="24"/>
        </w:rPr>
        <w:t>工程质量符合</w:t>
      </w:r>
      <w:r>
        <w:rPr>
          <w:rFonts w:hint="eastAsia"/>
          <w:sz w:val="24"/>
          <w:u w:val="single"/>
        </w:rPr>
        <w:t xml:space="preserve"> </w:t>
      </w:r>
      <w:r>
        <w:rPr>
          <w:rFonts w:hint="eastAsia"/>
          <w:sz w:val="24"/>
          <w:u w:val="single"/>
        </w:rPr>
        <w:tab/>
      </w:r>
      <w:r>
        <w:rPr>
          <w:rFonts w:hint="eastAsia"/>
          <w:sz w:val="24"/>
        </w:rPr>
        <w:t>标准。工程安全目标：</w:t>
      </w:r>
      <w:r>
        <w:rPr>
          <w:rFonts w:hint="eastAsia"/>
          <w:sz w:val="24"/>
          <w:u w:val="single"/>
        </w:rPr>
        <w:t xml:space="preserve"> </w:t>
      </w:r>
      <w:r>
        <w:rPr>
          <w:rFonts w:hint="eastAsia"/>
          <w:sz w:val="24"/>
          <w:u w:val="single"/>
        </w:rPr>
        <w:tab/>
      </w:r>
      <w:r>
        <w:rPr>
          <w:rFonts w:hint="eastAsia"/>
          <w:sz w:val="24"/>
        </w:rPr>
        <w:t>。</w:t>
      </w:r>
    </w:p>
    <w:p>
      <w:pPr>
        <w:pStyle w:val="20"/>
        <w:numPr>
          <w:ilvl w:val="0"/>
          <w:numId w:val="48"/>
        </w:numPr>
        <w:tabs>
          <w:tab w:val="left" w:pos="1045"/>
        </w:tabs>
        <w:spacing w:before="86"/>
        <w:ind w:left="1045"/>
        <w:rPr>
          <w:sz w:val="24"/>
        </w:rPr>
      </w:pPr>
      <w:r>
        <w:rPr>
          <w:rFonts w:hint="eastAsia"/>
          <w:sz w:val="24"/>
        </w:rPr>
        <w:t>承包人承诺按合同约定承担工程的实施、完成及缺陷修复。</w:t>
      </w:r>
    </w:p>
    <w:p>
      <w:pPr>
        <w:pStyle w:val="20"/>
        <w:numPr>
          <w:ilvl w:val="0"/>
          <w:numId w:val="48"/>
        </w:numPr>
        <w:tabs>
          <w:tab w:val="left" w:pos="1045"/>
        </w:tabs>
        <w:spacing w:before="84"/>
        <w:ind w:left="1045"/>
        <w:rPr>
          <w:sz w:val="24"/>
        </w:rPr>
      </w:pPr>
      <w:r>
        <w:rPr>
          <w:rFonts w:hint="eastAsia"/>
          <w:sz w:val="24"/>
        </w:rPr>
        <w:t>发包人承诺按合同约定的条件、时间和方式向承包人支付合同价款。</w:t>
      </w:r>
    </w:p>
    <w:p>
      <w:pPr>
        <w:pStyle w:val="20"/>
        <w:numPr>
          <w:ilvl w:val="0"/>
          <w:numId w:val="48"/>
        </w:numPr>
        <w:tabs>
          <w:tab w:val="left" w:pos="1045"/>
          <w:tab w:val="left" w:pos="5603"/>
        </w:tabs>
        <w:spacing w:before="84"/>
        <w:ind w:left="1045"/>
        <w:rPr>
          <w:sz w:val="24"/>
        </w:rPr>
      </w:pPr>
      <w:r>
        <w:rPr>
          <w:rFonts w:hint="eastAsia"/>
          <w:sz w:val="24"/>
        </w:rPr>
        <w:t>承包人应按照监理人指示开工，工期为</w:t>
      </w:r>
      <w:r>
        <w:rPr>
          <w:rFonts w:hint="eastAsia"/>
          <w:sz w:val="24"/>
          <w:u w:val="single"/>
        </w:rPr>
        <w:t xml:space="preserve"> </w:t>
      </w:r>
      <w:r>
        <w:rPr>
          <w:rFonts w:hint="eastAsia"/>
          <w:sz w:val="24"/>
          <w:u w:val="single"/>
        </w:rPr>
        <w:tab/>
      </w:r>
      <w:r>
        <w:rPr>
          <w:rFonts w:hint="eastAsia"/>
          <w:sz w:val="24"/>
        </w:rPr>
        <w:t>日历天。</w:t>
      </w:r>
    </w:p>
    <w:p>
      <w:pPr>
        <w:rPr>
          <w:sz w:val="24"/>
        </w:rPr>
        <w:sectPr>
          <w:pgSz w:w="11910" w:h="16840"/>
          <w:pgMar w:top="1360" w:right="1120" w:bottom="1080" w:left="1260" w:header="882" w:footer="880" w:gutter="0"/>
          <w:cols w:space="720" w:num="1"/>
        </w:sectPr>
      </w:pPr>
    </w:p>
    <w:p>
      <w:pPr>
        <w:pStyle w:val="10"/>
        <w:spacing w:before="5"/>
        <w:rPr>
          <w:sz w:val="17"/>
        </w:rPr>
      </w:pPr>
    </w:p>
    <w:p>
      <w:pPr>
        <w:pStyle w:val="20"/>
        <w:numPr>
          <w:ilvl w:val="0"/>
          <w:numId w:val="48"/>
        </w:numPr>
        <w:tabs>
          <w:tab w:val="left" w:pos="1165"/>
        </w:tabs>
        <w:spacing w:before="74" w:line="307" w:lineRule="auto"/>
        <w:ind w:right="466" w:firstLine="480"/>
        <w:jc w:val="both"/>
        <w:rPr>
          <w:sz w:val="24"/>
        </w:rPr>
      </w:pPr>
      <w:r>
        <w:rPr>
          <w:rFonts w:hint="eastAsia"/>
          <w:spacing w:val="-3"/>
          <w:sz w:val="24"/>
        </w:rPr>
        <w:t>本协议书在承包人提供履约保证金后，由双方法定代表人或其委托代理人签</w:t>
      </w:r>
      <w:r>
        <w:rPr>
          <w:rFonts w:hint="eastAsia"/>
          <w:spacing w:val="-1"/>
          <w:sz w:val="24"/>
        </w:rPr>
        <w:t>署并加盖单位章后生效。全部工程完工后经交工验收合格、缺陷责任期满签发缺陷</w:t>
      </w:r>
      <w:r>
        <w:rPr>
          <w:rFonts w:hint="eastAsia"/>
          <w:sz w:val="24"/>
        </w:rPr>
        <w:t>责任终止证书后失效。</w:t>
      </w:r>
    </w:p>
    <w:p>
      <w:pPr>
        <w:pStyle w:val="20"/>
        <w:numPr>
          <w:ilvl w:val="0"/>
          <w:numId w:val="48"/>
        </w:numPr>
        <w:tabs>
          <w:tab w:val="left" w:pos="1165"/>
        </w:tabs>
        <w:spacing w:line="304" w:lineRule="auto"/>
        <w:ind w:right="466" w:firstLine="480"/>
        <w:jc w:val="both"/>
        <w:rPr>
          <w:sz w:val="24"/>
        </w:rPr>
      </w:pPr>
      <w:r>
        <w:rPr>
          <w:rFonts w:hint="eastAsia"/>
          <w:spacing w:val="-1"/>
          <w:sz w:val="24"/>
        </w:rPr>
        <w:t>本协议书正本二份、副本</w:t>
      </w:r>
      <w:r>
        <w:rPr>
          <w:rFonts w:hint="eastAsia"/>
          <w:sz w:val="24"/>
          <w:u w:val="single"/>
        </w:rPr>
        <w:t xml:space="preserve">  </w:t>
      </w:r>
      <w:r>
        <w:rPr>
          <w:rFonts w:hint="eastAsia"/>
          <w:spacing w:val="-3"/>
          <w:sz w:val="24"/>
        </w:rPr>
        <w:t xml:space="preserve"> 份，合同双方各执正本一份，副本</w:t>
      </w:r>
      <w:r>
        <w:rPr>
          <w:rFonts w:hint="eastAsia"/>
          <w:sz w:val="24"/>
          <w:u w:val="single"/>
        </w:rPr>
        <w:t xml:space="preserve">  </w:t>
      </w:r>
      <w:r>
        <w:rPr>
          <w:rFonts w:hint="eastAsia"/>
          <w:spacing w:val="23"/>
          <w:sz w:val="24"/>
        </w:rPr>
        <w:t xml:space="preserve"> 份，当</w:t>
      </w:r>
      <w:r>
        <w:rPr>
          <w:rFonts w:hint="eastAsia"/>
          <w:sz w:val="24"/>
        </w:rPr>
        <w:t>正本与副本的内容不一致时，以正本为准。</w:t>
      </w:r>
    </w:p>
    <w:p>
      <w:pPr>
        <w:pStyle w:val="20"/>
        <w:numPr>
          <w:ilvl w:val="0"/>
          <w:numId w:val="48"/>
        </w:numPr>
        <w:tabs>
          <w:tab w:val="left" w:pos="1165"/>
        </w:tabs>
        <w:ind w:left="1165" w:hanging="301"/>
        <w:rPr>
          <w:sz w:val="24"/>
        </w:rPr>
      </w:pPr>
      <w:r>
        <w:rPr>
          <w:rFonts w:hint="eastAsia"/>
          <w:sz w:val="24"/>
        </w:rPr>
        <w:t>合同未尽事宜，双方另行签订补充协议。补充协议是合同的组成部分。</w:t>
      </w:r>
    </w:p>
    <w:p>
      <w:pPr>
        <w:pStyle w:val="10"/>
        <w:rPr>
          <w:sz w:val="37"/>
        </w:rPr>
      </w:pPr>
    </w:p>
    <w:p>
      <w:pPr>
        <w:pStyle w:val="10"/>
        <w:tabs>
          <w:tab w:val="left" w:pos="3503"/>
          <w:tab w:val="left" w:pos="5063"/>
          <w:tab w:val="left" w:pos="5102"/>
          <w:tab w:val="left" w:pos="7742"/>
        </w:tabs>
        <w:spacing w:line="307" w:lineRule="auto"/>
        <w:ind w:left="864" w:right="661"/>
      </w:pPr>
      <w:r>
        <w:rPr>
          <w:rFonts w:hint="eastAsia"/>
        </w:rPr>
        <w:t>发包人：</w:t>
      </w:r>
      <w:r>
        <w:rPr>
          <w:rFonts w:hint="eastAsia"/>
          <w:u w:val="single"/>
        </w:rPr>
        <w:t xml:space="preserve"> </w:t>
      </w:r>
      <w:r>
        <w:rPr>
          <w:rFonts w:hint="eastAsia"/>
          <w:u w:val="single"/>
        </w:rPr>
        <w:tab/>
      </w:r>
      <w:r>
        <w:rPr>
          <w:rFonts w:hint="eastAsia"/>
        </w:rPr>
        <w:t>(盖单位章)</w:t>
      </w:r>
      <w:r>
        <w:rPr>
          <w:rFonts w:hint="eastAsia"/>
        </w:rPr>
        <w:tab/>
      </w:r>
      <w:r>
        <w:rPr>
          <w:rFonts w:hint="eastAsia"/>
        </w:rPr>
        <w:tab/>
      </w:r>
      <w:r>
        <w:rPr>
          <w:rFonts w:hint="eastAsia"/>
        </w:rPr>
        <w:t>承包人：</w:t>
      </w:r>
      <w:r>
        <w:rPr>
          <w:rFonts w:hint="eastAsia"/>
          <w:u w:val="single"/>
        </w:rPr>
        <w:t xml:space="preserve"> </w:t>
      </w:r>
      <w:r>
        <w:rPr>
          <w:rFonts w:hint="eastAsia"/>
          <w:u w:val="single"/>
        </w:rPr>
        <w:tab/>
      </w:r>
      <w:r>
        <w:rPr>
          <w:rFonts w:hint="eastAsia"/>
        </w:rPr>
        <w:t>(盖单位章</w:t>
      </w:r>
      <w:r>
        <w:rPr>
          <w:rFonts w:hint="eastAsia"/>
          <w:spacing w:val="-17"/>
        </w:rPr>
        <w:t xml:space="preserve">) </w:t>
      </w:r>
      <w:r>
        <w:rPr>
          <w:rFonts w:hint="eastAsia"/>
        </w:rPr>
        <w:t>法定代表人</w:t>
      </w:r>
      <w:r>
        <w:rPr>
          <w:rFonts w:hint="eastAsia"/>
        </w:rPr>
        <w:tab/>
      </w:r>
      <w:r>
        <w:rPr>
          <w:rFonts w:hint="eastAsia"/>
        </w:rPr>
        <w:tab/>
      </w:r>
      <w:r>
        <w:rPr>
          <w:rFonts w:hint="eastAsia"/>
        </w:rPr>
        <w:t>法定代表人</w:t>
      </w:r>
    </w:p>
    <w:p>
      <w:pPr>
        <w:pStyle w:val="10"/>
        <w:tabs>
          <w:tab w:val="left" w:pos="3503"/>
          <w:tab w:val="left" w:pos="5102"/>
          <w:tab w:val="left" w:pos="7742"/>
        </w:tabs>
        <w:spacing w:line="305" w:lineRule="exact"/>
        <w:ind w:left="864"/>
      </w:pPr>
      <w:r>
        <w:rPr>
          <w:rFonts w:hint="eastAsia"/>
        </w:rPr>
        <w:t>或其委托代理人：</w:t>
      </w:r>
      <w:r>
        <w:rPr>
          <w:rFonts w:hint="eastAsia"/>
          <w:u w:val="single"/>
        </w:rPr>
        <w:t xml:space="preserve"> </w:t>
      </w:r>
      <w:r>
        <w:rPr>
          <w:rFonts w:hint="eastAsia"/>
          <w:u w:val="single"/>
        </w:rPr>
        <w:tab/>
      </w:r>
      <w:r>
        <w:rPr>
          <w:rFonts w:hint="eastAsia"/>
        </w:rPr>
        <w:t>(签字)</w:t>
      </w:r>
      <w:r>
        <w:rPr>
          <w:rFonts w:hint="eastAsia"/>
        </w:rPr>
        <w:tab/>
      </w:r>
      <w:r>
        <w:rPr>
          <w:rFonts w:hint="eastAsia"/>
        </w:rPr>
        <w:t>或其委托代理人：</w:t>
      </w:r>
      <w:r>
        <w:rPr>
          <w:rFonts w:hint="eastAsia"/>
          <w:u w:val="single"/>
        </w:rPr>
        <w:t xml:space="preserve"> </w:t>
      </w:r>
      <w:r>
        <w:rPr>
          <w:rFonts w:hint="eastAsia"/>
          <w:u w:val="single"/>
        </w:rPr>
        <w:tab/>
      </w:r>
      <w:r>
        <w:rPr>
          <w:rFonts w:hint="eastAsia"/>
        </w:rPr>
        <w:t>(签字)</w:t>
      </w:r>
    </w:p>
    <w:p>
      <w:pPr>
        <w:pStyle w:val="10"/>
        <w:rPr>
          <w:sz w:val="20"/>
        </w:rPr>
      </w:pPr>
    </w:p>
    <w:p>
      <w:pPr>
        <w:pStyle w:val="10"/>
        <w:spacing w:before="8"/>
        <w:rPr>
          <w:sz w:val="15"/>
        </w:rPr>
      </w:pPr>
    </w:p>
    <w:p>
      <w:pPr>
        <w:pStyle w:val="10"/>
        <w:tabs>
          <w:tab w:val="left" w:pos="2543"/>
          <w:tab w:val="left" w:pos="3263"/>
          <w:tab w:val="left" w:pos="3983"/>
          <w:tab w:val="left" w:pos="6143"/>
          <w:tab w:val="left" w:pos="7103"/>
          <w:tab w:val="left" w:pos="7823"/>
          <w:tab w:val="left" w:pos="8543"/>
        </w:tabs>
        <w:spacing w:before="67"/>
        <w:ind w:left="1583"/>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r>
        <w:rPr>
          <w:rFonts w:hint="eastAsia"/>
        </w:rPr>
        <w:tab/>
      </w: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sectPr>
          <w:pgSz w:w="11910" w:h="16840"/>
          <w:pgMar w:top="1360" w:right="1120" w:bottom="1080" w:left="1260" w:header="882" w:footer="880" w:gutter="0"/>
          <w:cols w:space="720" w:num="1"/>
        </w:sectPr>
      </w:pPr>
    </w:p>
    <w:p>
      <w:pPr>
        <w:pStyle w:val="10"/>
        <w:spacing w:before="10"/>
        <w:rPr>
          <w:sz w:val="17"/>
        </w:rPr>
      </w:pPr>
    </w:p>
    <w:p>
      <w:pPr>
        <w:pStyle w:val="10"/>
        <w:spacing w:before="67"/>
        <w:ind w:left="583"/>
      </w:pPr>
      <w:bookmarkStart w:id="75" w:name="附件二_廉政合同"/>
      <w:bookmarkEnd w:id="75"/>
    </w:p>
    <w:p>
      <w:pPr>
        <w:pStyle w:val="10"/>
        <w:spacing w:before="67"/>
        <w:ind w:left="583"/>
      </w:pPr>
    </w:p>
    <w:p>
      <w:pPr>
        <w:pStyle w:val="10"/>
        <w:spacing w:before="67"/>
        <w:ind w:left="583"/>
      </w:pPr>
    </w:p>
    <w:p>
      <w:pPr>
        <w:pStyle w:val="11"/>
      </w:pPr>
    </w:p>
    <w:p/>
    <w:p>
      <w:pPr>
        <w:pStyle w:val="2"/>
      </w:pPr>
    </w:p>
    <w:p/>
    <w:p>
      <w:pPr>
        <w:pStyle w:val="2"/>
      </w:pPr>
    </w:p>
    <w:p>
      <w:pPr>
        <w:pStyle w:val="10"/>
        <w:spacing w:before="67"/>
        <w:ind w:left="583"/>
      </w:pPr>
    </w:p>
    <w:p>
      <w:pPr>
        <w:pStyle w:val="10"/>
      </w:pPr>
      <w:r>
        <w:rPr>
          <w:rFonts w:hint="eastAsia"/>
        </w:rPr>
        <w:br w:type="column"/>
      </w:r>
    </w:p>
    <w:p>
      <w:pPr>
        <w:pStyle w:val="11"/>
      </w:pPr>
    </w:p>
    <w:p/>
    <w:p>
      <w:pPr>
        <w:pStyle w:val="2"/>
      </w:pPr>
    </w:p>
    <w:p/>
    <w:p>
      <w:pPr>
        <w:pStyle w:val="2"/>
      </w:pPr>
    </w:p>
    <w:p>
      <w:pPr>
        <w:spacing w:before="1"/>
        <w:ind w:left="583"/>
        <w:rPr>
          <w:sz w:val="28"/>
        </w:rPr>
      </w:pPr>
    </w:p>
    <w:p>
      <w:pPr>
        <w:rPr>
          <w:sz w:val="28"/>
        </w:rPr>
        <w:sectPr>
          <w:type w:val="continuous"/>
          <w:pgSz w:w="11910" w:h="16840"/>
          <w:pgMar w:top="1580" w:right="1120" w:bottom="280" w:left="1260" w:header="720" w:footer="720" w:gutter="0"/>
          <w:cols w:equalWidth="0" w:num="2">
            <w:col w:w="2424" w:space="1061"/>
            <w:col w:w="6045"/>
          </w:cols>
        </w:sectPr>
      </w:pPr>
    </w:p>
    <w:p>
      <w:pPr>
        <w:pStyle w:val="10"/>
        <w:tabs>
          <w:tab w:val="left" w:pos="2443"/>
          <w:tab w:val="left" w:pos="2783"/>
          <w:tab w:val="left" w:pos="7132"/>
          <w:tab w:val="left" w:pos="8095"/>
        </w:tabs>
        <w:spacing w:line="312" w:lineRule="auto"/>
        <w:ind w:left="384" w:right="346" w:firstLine="480"/>
      </w:pPr>
      <w:r>
        <w:rPr>
          <w:rFonts w:hint="eastAsia"/>
        </w:rPr>
        <w:t>附件二</w:t>
      </w:r>
      <w:r>
        <w:t xml:space="preserve"> 廉政合同</w:t>
      </w:r>
    </w:p>
    <w:p>
      <w:pPr>
        <w:pStyle w:val="11"/>
        <w:jc w:val="center"/>
      </w:pPr>
      <w:r>
        <w:rPr>
          <w:rFonts w:hint="eastAsia"/>
          <w:sz w:val="28"/>
        </w:rPr>
        <w:t>廉 政 合 同</w:t>
      </w:r>
    </w:p>
    <w:p>
      <w:pPr>
        <w:pStyle w:val="10"/>
        <w:tabs>
          <w:tab w:val="left" w:pos="2443"/>
          <w:tab w:val="left" w:pos="2783"/>
          <w:tab w:val="left" w:pos="7132"/>
          <w:tab w:val="left" w:pos="8095"/>
        </w:tabs>
        <w:spacing w:line="312" w:lineRule="auto"/>
        <w:ind w:left="384" w:right="346" w:firstLine="480"/>
      </w:pPr>
      <w:r>
        <w:rPr>
          <w:rFonts w:hint="eastAsia"/>
        </w:rPr>
        <w:t>根据《关于在交通基础设施建设中加强廉政建设的若干意见》以及有关工程建设</w:t>
      </w:r>
      <w:r>
        <w:rPr>
          <w:rFonts w:hint="eastAsia"/>
          <w:spacing w:val="-29"/>
        </w:rPr>
        <w:t>、</w:t>
      </w:r>
      <w:r>
        <w:rPr>
          <w:rFonts w:hint="eastAsia"/>
        </w:rPr>
        <w:t>廉政建设的规定</w:t>
      </w:r>
      <w:r>
        <w:rPr>
          <w:rFonts w:hint="eastAsia"/>
          <w:spacing w:val="-29"/>
        </w:rPr>
        <w:t>，</w:t>
      </w:r>
      <w:r>
        <w:rPr>
          <w:rFonts w:hint="eastAsia"/>
        </w:rPr>
        <w:t>为做好工程建设中的党风廉政建设</w:t>
      </w:r>
      <w:r>
        <w:rPr>
          <w:rFonts w:hint="eastAsia"/>
          <w:spacing w:val="-29"/>
        </w:rPr>
        <w:t>，</w:t>
      </w:r>
      <w:r>
        <w:rPr>
          <w:rFonts w:hint="eastAsia"/>
        </w:rPr>
        <w:t>保证工程建设高效优质</w:t>
      </w:r>
      <w:r>
        <w:rPr>
          <w:rFonts w:hint="eastAsia"/>
          <w:spacing w:val="-18"/>
        </w:rPr>
        <w:t xml:space="preserve">， </w:t>
      </w:r>
      <w:r>
        <w:rPr>
          <w:rFonts w:hint="eastAsia"/>
        </w:rPr>
        <w:t>保证建设资金的安全和有效使用以及投资效益，</w:t>
      </w:r>
      <w:r>
        <w:rPr>
          <w:rFonts w:hint="eastAsia"/>
          <w:u w:val="single"/>
        </w:rPr>
        <w:t xml:space="preserve"> </w:t>
      </w:r>
      <w:r>
        <w:rPr>
          <w:rFonts w:hint="eastAsia"/>
          <w:u w:val="single"/>
        </w:rPr>
        <w:tab/>
      </w:r>
      <w:r>
        <w:rPr>
          <w:rFonts w:hint="eastAsia"/>
        </w:rPr>
        <w:t>（项目名称）的项目法人</w:t>
      </w:r>
      <w:r>
        <w:rPr>
          <w:rFonts w:hint="eastAsia"/>
          <w:u w:val="single"/>
        </w:rPr>
        <w:t xml:space="preserve"> </w:t>
      </w:r>
      <w:r>
        <w:rPr>
          <w:rFonts w:hint="eastAsia"/>
          <w:u w:val="single"/>
        </w:rPr>
        <w:tab/>
      </w:r>
      <w:r>
        <w:rPr>
          <w:rFonts w:hint="eastAsia"/>
        </w:rPr>
        <w:t>（项目法人名称，以下简称“发包人”）与该项目</w:t>
      </w:r>
      <w:r>
        <w:rPr>
          <w:rFonts w:hint="eastAsia"/>
          <w:u w:val="single"/>
        </w:rPr>
        <w:t xml:space="preserve"> </w:t>
      </w:r>
      <w:r>
        <w:rPr>
          <w:rFonts w:hint="eastAsia"/>
          <w:u w:val="single"/>
        </w:rPr>
        <w:tab/>
      </w:r>
      <w:r>
        <w:rPr>
          <w:rFonts w:hint="eastAsia"/>
        </w:rPr>
        <w:t>标段的施工单位</w:t>
      </w:r>
      <w:r>
        <w:rPr>
          <w:rFonts w:hint="eastAsia"/>
          <w:u w:val="single"/>
        </w:rPr>
        <w:t xml:space="preserve"> </w:t>
      </w:r>
      <w:r>
        <w:rPr>
          <w:rFonts w:hint="eastAsia"/>
          <w:u w:val="single"/>
        </w:rPr>
        <w:tab/>
      </w:r>
      <w:r>
        <w:rPr>
          <w:rFonts w:hint="eastAsia"/>
          <w:u w:val="single"/>
        </w:rPr>
        <w:tab/>
      </w:r>
      <w:r>
        <w:rPr>
          <w:rFonts w:hint="eastAsia"/>
        </w:rPr>
        <w:t>（施工单位名称，以下简称“承包人”），特订立如下合同。</w:t>
      </w:r>
    </w:p>
    <w:p>
      <w:pPr>
        <w:pStyle w:val="20"/>
        <w:numPr>
          <w:ilvl w:val="0"/>
          <w:numId w:val="50"/>
        </w:numPr>
        <w:tabs>
          <w:tab w:val="left" w:pos="1164"/>
        </w:tabs>
        <w:spacing w:before="3"/>
        <w:rPr>
          <w:sz w:val="24"/>
        </w:rPr>
      </w:pPr>
      <w:r>
        <w:rPr>
          <w:rFonts w:hint="eastAsia"/>
          <w:sz w:val="24"/>
        </w:rPr>
        <w:t>发包人和承包人双方的权利和义务</w:t>
      </w:r>
    </w:p>
    <w:p>
      <w:pPr>
        <w:pStyle w:val="20"/>
        <w:numPr>
          <w:ilvl w:val="0"/>
          <w:numId w:val="51"/>
        </w:numPr>
        <w:tabs>
          <w:tab w:val="left" w:pos="1465"/>
        </w:tabs>
        <w:spacing w:before="91"/>
        <w:rPr>
          <w:sz w:val="24"/>
        </w:rPr>
      </w:pPr>
      <w:r>
        <w:rPr>
          <w:rFonts w:hint="eastAsia"/>
          <w:sz w:val="24"/>
        </w:rPr>
        <w:t>严格遵守党的政策规定和国家有关法律法规及交通运输部的有关规定。</w:t>
      </w:r>
    </w:p>
    <w:p>
      <w:pPr>
        <w:pStyle w:val="20"/>
        <w:numPr>
          <w:ilvl w:val="0"/>
          <w:numId w:val="51"/>
        </w:numPr>
        <w:tabs>
          <w:tab w:val="left" w:pos="1465"/>
          <w:tab w:val="left" w:pos="3460"/>
          <w:tab w:val="left" w:pos="5481"/>
        </w:tabs>
        <w:spacing w:before="93" w:line="312" w:lineRule="auto"/>
        <w:ind w:left="384" w:right="466" w:firstLine="480"/>
        <w:rPr>
          <w:sz w:val="24"/>
        </w:rPr>
      </w:pPr>
      <w:r>
        <w:rPr>
          <w:rFonts w:hint="eastAsia"/>
          <w:sz w:val="24"/>
        </w:rPr>
        <w:t>严格执行</w:t>
      </w:r>
      <w:r>
        <w:rPr>
          <w:rFonts w:hint="eastAsia"/>
          <w:sz w:val="24"/>
          <w:u w:val="single"/>
        </w:rPr>
        <w:t xml:space="preserve"> </w:t>
      </w:r>
      <w:r>
        <w:rPr>
          <w:rFonts w:hint="eastAsia"/>
          <w:sz w:val="24"/>
          <w:u w:val="single"/>
        </w:rPr>
        <w:tab/>
      </w:r>
      <w:r>
        <w:rPr>
          <w:rFonts w:hint="eastAsia"/>
          <w:sz w:val="24"/>
        </w:rPr>
        <w:t>（项目名称</w:t>
      </w:r>
      <w:r>
        <w:rPr>
          <w:rFonts w:hint="eastAsia"/>
          <w:spacing w:val="-23"/>
          <w:sz w:val="24"/>
        </w:rPr>
        <w:t>）</w:t>
      </w:r>
      <w:r>
        <w:rPr>
          <w:rFonts w:hint="eastAsia"/>
          <w:spacing w:val="-23"/>
          <w:sz w:val="24"/>
          <w:u w:val="single"/>
        </w:rPr>
        <w:t xml:space="preserve"> </w:t>
      </w:r>
      <w:r>
        <w:rPr>
          <w:rFonts w:hint="eastAsia"/>
          <w:spacing w:val="-23"/>
          <w:sz w:val="24"/>
          <w:u w:val="single"/>
        </w:rPr>
        <w:tab/>
      </w:r>
      <w:r>
        <w:rPr>
          <w:rFonts w:hint="eastAsia"/>
          <w:sz w:val="24"/>
        </w:rPr>
        <w:t>标段施工合同文件</w:t>
      </w:r>
      <w:r>
        <w:rPr>
          <w:rFonts w:hint="eastAsia"/>
          <w:spacing w:val="-22"/>
          <w:sz w:val="24"/>
        </w:rPr>
        <w:t>，</w:t>
      </w:r>
      <w:r>
        <w:rPr>
          <w:rFonts w:hint="eastAsia"/>
          <w:sz w:val="24"/>
        </w:rPr>
        <w:t>自觉按合同</w:t>
      </w:r>
      <w:r>
        <w:rPr>
          <w:rFonts w:hint="eastAsia"/>
          <w:spacing w:val="-18"/>
          <w:sz w:val="24"/>
        </w:rPr>
        <w:t>办</w:t>
      </w:r>
      <w:r>
        <w:rPr>
          <w:rFonts w:hint="eastAsia"/>
          <w:sz w:val="24"/>
        </w:rPr>
        <w:t>事。</w:t>
      </w:r>
    </w:p>
    <w:p>
      <w:pPr>
        <w:pStyle w:val="20"/>
        <w:numPr>
          <w:ilvl w:val="0"/>
          <w:numId w:val="51"/>
        </w:numPr>
        <w:tabs>
          <w:tab w:val="left" w:pos="1465"/>
        </w:tabs>
        <w:spacing w:line="312" w:lineRule="auto"/>
        <w:ind w:left="384" w:right="466" w:firstLine="480"/>
        <w:jc w:val="both"/>
        <w:rPr>
          <w:sz w:val="24"/>
        </w:rPr>
      </w:pPr>
      <w:r>
        <w:rPr>
          <w:rFonts w:hint="eastAsia"/>
          <w:spacing w:val="-5"/>
          <w:sz w:val="24"/>
        </w:rPr>
        <w:t>双方的业务活动坚持公开、公正、诚信、透明的原则</w:t>
      </w:r>
      <w:r>
        <w:rPr>
          <w:rFonts w:hint="eastAsia"/>
          <w:sz w:val="24"/>
        </w:rPr>
        <w:t>（</w:t>
      </w:r>
      <w:r>
        <w:rPr>
          <w:rFonts w:hint="eastAsia"/>
          <w:spacing w:val="-3"/>
          <w:sz w:val="24"/>
        </w:rPr>
        <w:t>法律认定的商业秘</w:t>
      </w:r>
      <w:r>
        <w:rPr>
          <w:rFonts w:hint="eastAsia"/>
          <w:sz w:val="24"/>
        </w:rPr>
        <w:t>密和合同文件另有规定除外）</w:t>
      </w:r>
      <w:r>
        <w:rPr>
          <w:rFonts w:hint="eastAsia"/>
          <w:spacing w:val="-1"/>
          <w:sz w:val="24"/>
        </w:rPr>
        <w:t>，不得损害国家和集体利益，不得违反工程建设管理</w:t>
      </w:r>
      <w:r>
        <w:rPr>
          <w:rFonts w:hint="eastAsia"/>
          <w:sz w:val="24"/>
        </w:rPr>
        <w:t>规章制度。</w:t>
      </w:r>
    </w:p>
    <w:p>
      <w:pPr>
        <w:pStyle w:val="20"/>
        <w:numPr>
          <w:ilvl w:val="0"/>
          <w:numId w:val="51"/>
        </w:numPr>
        <w:tabs>
          <w:tab w:val="left" w:pos="1465"/>
        </w:tabs>
        <w:spacing w:line="312" w:lineRule="auto"/>
        <w:ind w:left="384" w:right="466" w:firstLine="480"/>
        <w:rPr>
          <w:sz w:val="24"/>
        </w:rPr>
      </w:pPr>
      <w:r>
        <w:rPr>
          <w:rFonts w:hint="eastAsia"/>
          <w:spacing w:val="-6"/>
          <w:sz w:val="24"/>
        </w:rPr>
        <w:t>建立健全廉政制度，开展廉政教育，设立廉政告示牌，公布举报电话，监</w:t>
      </w:r>
      <w:r>
        <w:rPr>
          <w:rFonts w:hint="eastAsia"/>
          <w:sz w:val="24"/>
        </w:rPr>
        <w:t>督并认真查处违法违纪行为。</w:t>
      </w:r>
    </w:p>
    <w:p>
      <w:pPr>
        <w:pStyle w:val="20"/>
        <w:numPr>
          <w:ilvl w:val="0"/>
          <w:numId w:val="51"/>
        </w:numPr>
        <w:tabs>
          <w:tab w:val="left" w:pos="1465"/>
        </w:tabs>
        <w:spacing w:before="2" w:line="312" w:lineRule="auto"/>
        <w:ind w:left="384" w:right="466" w:firstLine="480"/>
        <w:rPr>
          <w:sz w:val="24"/>
        </w:rPr>
      </w:pPr>
      <w:r>
        <w:rPr>
          <w:rFonts w:hint="eastAsia"/>
          <w:spacing w:val="-2"/>
          <w:sz w:val="24"/>
        </w:rPr>
        <w:t>发现对方在业务活动中有违反廉政规定的行为，有及时提醒对方纠正的</w:t>
      </w:r>
      <w:r>
        <w:rPr>
          <w:rFonts w:hint="eastAsia"/>
          <w:spacing w:val="-5"/>
          <w:sz w:val="24"/>
        </w:rPr>
        <w:t>权利和义务。</w:t>
      </w:r>
    </w:p>
    <w:p>
      <w:pPr>
        <w:pStyle w:val="20"/>
        <w:numPr>
          <w:ilvl w:val="0"/>
          <w:numId w:val="51"/>
        </w:numPr>
        <w:tabs>
          <w:tab w:val="left" w:pos="1465"/>
        </w:tabs>
        <w:spacing w:line="312" w:lineRule="auto"/>
        <w:ind w:left="384" w:right="466" w:firstLine="480"/>
        <w:rPr>
          <w:sz w:val="24"/>
        </w:rPr>
      </w:pPr>
      <w:r>
        <w:rPr>
          <w:rFonts w:hint="eastAsia"/>
          <w:spacing w:val="-3"/>
          <w:sz w:val="24"/>
        </w:rPr>
        <w:t>发现对方严重违反本合同义务条款的行为，有向其上级有关部门举报、</w:t>
      </w:r>
      <w:r>
        <w:rPr>
          <w:rFonts w:hint="eastAsia"/>
          <w:spacing w:val="-5"/>
          <w:sz w:val="24"/>
        </w:rPr>
        <w:t>建议给予处理并要求告知处理结果的权利。</w:t>
      </w:r>
    </w:p>
    <w:p>
      <w:pPr>
        <w:pStyle w:val="20"/>
        <w:numPr>
          <w:ilvl w:val="0"/>
          <w:numId w:val="50"/>
        </w:numPr>
        <w:tabs>
          <w:tab w:val="left" w:pos="1164"/>
        </w:tabs>
        <w:spacing w:line="307" w:lineRule="exact"/>
        <w:rPr>
          <w:sz w:val="24"/>
        </w:rPr>
      </w:pPr>
      <w:r>
        <w:rPr>
          <w:rFonts w:hint="eastAsia"/>
          <w:sz w:val="24"/>
        </w:rPr>
        <w:t>发包人的义务</w:t>
      </w:r>
    </w:p>
    <w:p>
      <w:pPr>
        <w:pStyle w:val="20"/>
        <w:numPr>
          <w:ilvl w:val="0"/>
          <w:numId w:val="52"/>
        </w:numPr>
        <w:tabs>
          <w:tab w:val="left" w:pos="1465"/>
        </w:tabs>
        <w:spacing w:before="93" w:line="312" w:lineRule="auto"/>
        <w:ind w:right="346" w:firstLine="480"/>
        <w:rPr>
          <w:sz w:val="24"/>
        </w:rPr>
      </w:pPr>
      <w:r>
        <w:rPr>
          <w:rFonts w:hint="eastAsia"/>
          <w:spacing w:val="-5"/>
          <w:sz w:val="24"/>
        </w:rPr>
        <w:t>发包人及其工作人员不得索要或接受承包人的礼金、有价证券和贵重物品，不得让承包人报销任何应由发包人或发包人工作人员个人支付的费用等。</w:t>
      </w:r>
    </w:p>
    <w:p>
      <w:pPr>
        <w:pStyle w:val="20"/>
        <w:numPr>
          <w:ilvl w:val="0"/>
          <w:numId w:val="52"/>
        </w:numPr>
        <w:tabs>
          <w:tab w:val="left" w:pos="1465"/>
        </w:tabs>
        <w:spacing w:line="312" w:lineRule="auto"/>
        <w:ind w:right="466" w:firstLine="480"/>
        <w:rPr>
          <w:sz w:val="24"/>
        </w:rPr>
      </w:pPr>
      <w:r>
        <w:rPr>
          <w:rFonts w:hint="eastAsia"/>
          <w:spacing w:val="-2"/>
          <w:sz w:val="24"/>
        </w:rPr>
        <w:t>发包人工作人员不得参加承包人安排的超标准宴请和娱乐活动；不得接</w:t>
      </w:r>
      <w:r>
        <w:rPr>
          <w:rFonts w:hint="eastAsia"/>
          <w:spacing w:val="-5"/>
          <w:sz w:val="24"/>
        </w:rPr>
        <w:t>受承包人提供的通信工具、交通工具和高档办公用品等。</w:t>
      </w:r>
    </w:p>
    <w:p>
      <w:pPr>
        <w:pStyle w:val="20"/>
        <w:numPr>
          <w:ilvl w:val="0"/>
          <w:numId w:val="52"/>
        </w:numPr>
        <w:tabs>
          <w:tab w:val="left" w:pos="1465"/>
        </w:tabs>
        <w:spacing w:before="2" w:line="312" w:lineRule="auto"/>
        <w:ind w:right="466" w:firstLine="480"/>
        <w:rPr>
          <w:sz w:val="24"/>
        </w:rPr>
      </w:pPr>
      <w:r>
        <w:rPr>
          <w:rFonts w:hint="eastAsia"/>
          <w:spacing w:val="-2"/>
          <w:sz w:val="24"/>
        </w:rPr>
        <w:t>发包人及其工作人员不得要求或者接受承包人为其住房装修、婚丧嫁娶</w:t>
      </w:r>
      <w:r>
        <w:rPr>
          <w:rFonts w:hint="eastAsia"/>
          <w:spacing w:val="-5"/>
          <w:sz w:val="24"/>
        </w:rPr>
        <w:t>活动、配偶子女的工作安排以及出国出境、旅游等提供方便等。</w:t>
      </w:r>
    </w:p>
    <w:p>
      <w:pPr>
        <w:pStyle w:val="20"/>
        <w:numPr>
          <w:ilvl w:val="0"/>
          <w:numId w:val="52"/>
        </w:numPr>
        <w:tabs>
          <w:tab w:val="left" w:pos="1465"/>
        </w:tabs>
        <w:spacing w:line="312" w:lineRule="auto"/>
        <w:ind w:right="466" w:firstLine="480"/>
        <w:rPr>
          <w:sz w:val="24"/>
        </w:rPr>
      </w:pPr>
      <w:r>
        <w:rPr>
          <w:rFonts w:hint="eastAsia"/>
          <w:spacing w:val="-4"/>
          <w:sz w:val="24"/>
        </w:rPr>
        <w:t>发包人工作人员及其配偶、子女不得从事与发包人工程有关的材料设备</w:t>
      </w:r>
      <w:r>
        <w:rPr>
          <w:rFonts w:hint="eastAsia"/>
          <w:spacing w:val="-5"/>
          <w:sz w:val="24"/>
        </w:rPr>
        <w:t>供应、工程分包、劳务等经济活动等。</w:t>
      </w:r>
    </w:p>
    <w:p>
      <w:pPr>
        <w:pStyle w:val="20"/>
        <w:numPr>
          <w:ilvl w:val="0"/>
          <w:numId w:val="52"/>
        </w:numPr>
        <w:tabs>
          <w:tab w:val="left" w:pos="1465"/>
        </w:tabs>
        <w:spacing w:line="312" w:lineRule="auto"/>
        <w:ind w:right="382" w:firstLine="480"/>
        <w:rPr>
          <w:sz w:val="24"/>
        </w:rPr>
      </w:pPr>
      <w:r>
        <w:rPr>
          <w:rFonts w:hint="eastAsia"/>
          <w:spacing w:val="-1"/>
          <w:sz w:val="24"/>
        </w:rPr>
        <w:t xml:space="preserve">发包人及其工作人员不得以任何理由向承包人推荐分包单位或推销材料， </w:t>
      </w:r>
      <w:r>
        <w:rPr>
          <w:rFonts w:hint="eastAsia"/>
          <w:sz w:val="24"/>
        </w:rPr>
        <w:t>不得要求承包人购买合同规定外的材料和设备。</w:t>
      </w:r>
    </w:p>
    <w:p>
      <w:pPr>
        <w:pStyle w:val="20"/>
        <w:numPr>
          <w:ilvl w:val="0"/>
          <w:numId w:val="52"/>
        </w:numPr>
        <w:tabs>
          <w:tab w:val="left" w:pos="1465"/>
        </w:tabs>
        <w:spacing w:before="2" w:line="312" w:lineRule="auto"/>
        <w:ind w:right="466" w:firstLine="480"/>
        <w:rPr>
          <w:sz w:val="24"/>
        </w:rPr>
      </w:pPr>
      <w:r>
        <w:rPr>
          <w:rFonts w:hint="eastAsia"/>
          <w:spacing w:val="-5"/>
          <w:sz w:val="24"/>
        </w:rPr>
        <w:t>发包人工作人员要秉公办事，不准营私舞弊，不准利用职权从事各种个人有偿中介活动和安排个人施工队伍。</w:t>
      </w:r>
    </w:p>
    <w:p>
      <w:pPr>
        <w:pStyle w:val="20"/>
        <w:numPr>
          <w:ilvl w:val="0"/>
          <w:numId w:val="50"/>
        </w:numPr>
        <w:tabs>
          <w:tab w:val="left" w:pos="1164"/>
        </w:tabs>
        <w:spacing w:before="74"/>
        <w:rPr>
          <w:sz w:val="24"/>
        </w:rPr>
      </w:pPr>
      <w:r>
        <w:rPr>
          <w:rFonts w:hint="eastAsia"/>
          <w:sz w:val="24"/>
        </w:rPr>
        <w:t>承包人的义务</w:t>
      </w:r>
    </w:p>
    <w:p>
      <w:pPr>
        <w:pStyle w:val="20"/>
        <w:numPr>
          <w:ilvl w:val="0"/>
          <w:numId w:val="53"/>
        </w:numPr>
        <w:tabs>
          <w:tab w:val="left" w:pos="1465"/>
        </w:tabs>
        <w:spacing w:before="93" w:line="312" w:lineRule="auto"/>
        <w:ind w:right="346" w:firstLine="480"/>
        <w:rPr>
          <w:sz w:val="24"/>
        </w:rPr>
      </w:pPr>
      <w:r>
        <w:rPr>
          <w:rFonts w:hint="eastAsia"/>
          <w:spacing w:val="-4"/>
          <w:sz w:val="24"/>
        </w:rPr>
        <w:t>承包人不得以任何理由向发包人及其工作人员行贿或馈赠礼金、有价证券</w:t>
      </w:r>
      <w:r>
        <w:rPr>
          <w:rFonts w:hint="eastAsia"/>
          <w:spacing w:val="-5"/>
          <w:sz w:val="24"/>
        </w:rPr>
        <w:t>、贵重礼品。</w:t>
      </w:r>
    </w:p>
    <w:p>
      <w:pPr>
        <w:pStyle w:val="20"/>
        <w:numPr>
          <w:ilvl w:val="0"/>
          <w:numId w:val="53"/>
        </w:numPr>
        <w:tabs>
          <w:tab w:val="left" w:pos="1465"/>
        </w:tabs>
        <w:spacing w:line="312" w:lineRule="auto"/>
        <w:ind w:right="466" w:firstLine="480"/>
        <w:rPr>
          <w:sz w:val="24"/>
        </w:rPr>
      </w:pPr>
      <w:r>
        <w:rPr>
          <w:rFonts w:hint="eastAsia"/>
          <w:sz w:val="24"/>
        </w:rPr>
        <w:t>承包人不得以任何名义为发包人及其工作人员报销应由发包人单位或个</w:t>
      </w:r>
      <w:r>
        <w:rPr>
          <w:rFonts w:hint="eastAsia"/>
          <w:spacing w:val="-5"/>
          <w:sz w:val="24"/>
        </w:rPr>
        <w:t>人支付的任何费用。</w:t>
      </w:r>
    </w:p>
    <w:p>
      <w:pPr>
        <w:pStyle w:val="20"/>
        <w:numPr>
          <w:ilvl w:val="0"/>
          <w:numId w:val="53"/>
        </w:numPr>
        <w:tabs>
          <w:tab w:val="left" w:pos="1465"/>
        </w:tabs>
        <w:spacing w:line="307" w:lineRule="exact"/>
        <w:ind w:left="1465"/>
        <w:rPr>
          <w:sz w:val="24"/>
        </w:rPr>
      </w:pPr>
      <w:r>
        <w:rPr>
          <w:rFonts w:hint="eastAsia"/>
          <w:sz w:val="24"/>
        </w:rPr>
        <w:t>承包人不得以任何理由安排发包人工作人员参加超标准宴请及娱乐活动。</w:t>
      </w:r>
    </w:p>
    <w:p>
      <w:pPr>
        <w:pStyle w:val="20"/>
        <w:numPr>
          <w:ilvl w:val="0"/>
          <w:numId w:val="53"/>
        </w:numPr>
        <w:tabs>
          <w:tab w:val="left" w:pos="1465"/>
        </w:tabs>
        <w:spacing w:before="93" w:line="312" w:lineRule="auto"/>
        <w:ind w:right="466" w:firstLine="480"/>
        <w:rPr>
          <w:sz w:val="24"/>
        </w:rPr>
      </w:pPr>
      <w:r>
        <w:rPr>
          <w:rFonts w:hint="eastAsia"/>
          <w:spacing w:val="-2"/>
          <w:sz w:val="24"/>
        </w:rPr>
        <w:t>承包人不得为发包人单位和个人购置或提供通信工具、交通工具和高档</w:t>
      </w:r>
      <w:r>
        <w:rPr>
          <w:rFonts w:hint="eastAsia"/>
          <w:spacing w:val="-5"/>
          <w:sz w:val="24"/>
        </w:rPr>
        <w:t>办公用品等。</w:t>
      </w:r>
    </w:p>
    <w:p>
      <w:pPr>
        <w:pStyle w:val="20"/>
        <w:numPr>
          <w:ilvl w:val="0"/>
          <w:numId w:val="50"/>
        </w:numPr>
        <w:tabs>
          <w:tab w:val="left" w:pos="1164"/>
        </w:tabs>
        <w:spacing w:line="307" w:lineRule="exact"/>
        <w:rPr>
          <w:sz w:val="24"/>
        </w:rPr>
      </w:pPr>
      <w:r>
        <w:rPr>
          <w:rFonts w:hint="eastAsia"/>
          <w:sz w:val="24"/>
        </w:rPr>
        <w:t>违约责任</w:t>
      </w:r>
    </w:p>
    <w:p>
      <w:pPr>
        <w:pStyle w:val="20"/>
        <w:numPr>
          <w:ilvl w:val="0"/>
          <w:numId w:val="54"/>
        </w:numPr>
        <w:tabs>
          <w:tab w:val="left" w:pos="1468"/>
        </w:tabs>
        <w:spacing w:before="94" w:line="312" w:lineRule="auto"/>
        <w:ind w:right="465" w:firstLine="480"/>
        <w:jc w:val="both"/>
        <w:rPr>
          <w:sz w:val="24"/>
        </w:rPr>
      </w:pPr>
      <w:r>
        <w:rPr>
          <w:rFonts w:hint="eastAsia"/>
          <w:spacing w:val="-4"/>
          <w:sz w:val="24"/>
        </w:rPr>
        <w:t xml:space="preserve">发包人及其工作人员违反本合同第 </w:t>
      </w:r>
      <w:r>
        <w:rPr>
          <w:rFonts w:hint="eastAsia"/>
          <w:sz w:val="24"/>
        </w:rPr>
        <w:t>1、2</w:t>
      </w:r>
      <w:r>
        <w:rPr>
          <w:rFonts w:hint="eastAsia"/>
          <w:spacing w:val="14"/>
          <w:sz w:val="24"/>
        </w:rPr>
        <w:t xml:space="preserve"> </w:t>
      </w:r>
      <w:r>
        <w:rPr>
          <w:rFonts w:hint="eastAsia"/>
          <w:spacing w:val="-1"/>
          <w:sz w:val="24"/>
        </w:rPr>
        <w:t>条，按管理权限，依据有关规定给予党纪、政纪或组织处理；涉嫌犯罪的，移交司法机关追究刑事责任；给承包人</w:t>
      </w:r>
      <w:r>
        <w:rPr>
          <w:rFonts w:hint="eastAsia"/>
          <w:sz w:val="24"/>
        </w:rPr>
        <w:t>单位造成经济损失的，应予以赔偿。</w:t>
      </w:r>
    </w:p>
    <w:p>
      <w:pPr>
        <w:pStyle w:val="20"/>
        <w:numPr>
          <w:ilvl w:val="0"/>
          <w:numId w:val="54"/>
        </w:numPr>
        <w:tabs>
          <w:tab w:val="left" w:pos="1468"/>
        </w:tabs>
        <w:spacing w:line="312" w:lineRule="auto"/>
        <w:ind w:right="465" w:firstLine="480"/>
        <w:jc w:val="both"/>
        <w:rPr>
          <w:sz w:val="24"/>
        </w:rPr>
      </w:pPr>
      <w:r>
        <w:rPr>
          <w:rFonts w:hint="eastAsia"/>
          <w:spacing w:val="-4"/>
          <w:sz w:val="24"/>
        </w:rPr>
        <w:t xml:space="preserve">承包人及其工作人员违反本合同第 </w:t>
      </w:r>
      <w:r>
        <w:rPr>
          <w:rFonts w:hint="eastAsia"/>
          <w:sz w:val="24"/>
        </w:rPr>
        <w:t>1、3</w:t>
      </w:r>
      <w:r>
        <w:rPr>
          <w:rFonts w:hint="eastAsia"/>
          <w:spacing w:val="14"/>
          <w:sz w:val="24"/>
        </w:rPr>
        <w:t xml:space="preserve"> </w:t>
      </w:r>
      <w:r>
        <w:rPr>
          <w:rFonts w:hint="eastAsia"/>
          <w:spacing w:val="-1"/>
          <w:sz w:val="24"/>
        </w:rPr>
        <w:t>条，按管理权限，依据有关规定给予党纪、政纪或组织处理；给发包人单位造成经济损失的，应予以赔偿；情节严重的，发包人建议交通运输主管部门给予承包人一至三年内不得进入其主管的公路</w:t>
      </w:r>
      <w:r>
        <w:rPr>
          <w:rFonts w:hint="eastAsia"/>
          <w:sz w:val="24"/>
        </w:rPr>
        <w:t>建设市场的处罚。</w:t>
      </w:r>
    </w:p>
    <w:p>
      <w:pPr>
        <w:pStyle w:val="20"/>
        <w:numPr>
          <w:ilvl w:val="0"/>
          <w:numId w:val="50"/>
        </w:numPr>
        <w:tabs>
          <w:tab w:val="left" w:pos="1164"/>
        </w:tabs>
        <w:spacing w:before="2" w:line="312" w:lineRule="auto"/>
        <w:ind w:left="384" w:right="466" w:firstLine="480"/>
        <w:jc w:val="both"/>
        <w:rPr>
          <w:sz w:val="24"/>
        </w:rPr>
      </w:pPr>
      <w:r>
        <w:rPr>
          <w:rFonts w:hint="eastAsia"/>
          <w:spacing w:val="-5"/>
          <w:sz w:val="24"/>
        </w:rPr>
        <w:t>双方约定：本合同由双方或双方上级单位的纪检监察部门负责监督执行。由</w:t>
      </w:r>
      <w:r>
        <w:rPr>
          <w:rFonts w:hint="eastAsia"/>
          <w:spacing w:val="-1"/>
          <w:sz w:val="24"/>
        </w:rPr>
        <w:t>发包人或发包人上级单位的纪检监察部门约请承包人或承包人上级单位纪检监察部</w:t>
      </w:r>
      <w:r>
        <w:rPr>
          <w:rFonts w:hint="eastAsia"/>
          <w:sz w:val="24"/>
        </w:rPr>
        <w:t>门对本合同执行情况进行检查，提出在本合同规定范围内的裁定意见。</w:t>
      </w:r>
    </w:p>
    <w:p>
      <w:pPr>
        <w:pStyle w:val="20"/>
        <w:numPr>
          <w:ilvl w:val="0"/>
          <w:numId w:val="50"/>
        </w:numPr>
        <w:tabs>
          <w:tab w:val="left" w:pos="1164"/>
        </w:tabs>
        <w:spacing w:before="1"/>
        <w:jc w:val="both"/>
        <w:rPr>
          <w:sz w:val="24"/>
        </w:rPr>
      </w:pPr>
      <w:r>
        <w:rPr>
          <w:rFonts w:hint="eastAsia"/>
          <w:sz w:val="24"/>
        </w:rPr>
        <w:t>本合同有效期为发包人和承包人签署之日起至该工程项目竣工验收后止。</w:t>
      </w:r>
    </w:p>
    <w:p>
      <w:pPr>
        <w:pStyle w:val="20"/>
        <w:numPr>
          <w:ilvl w:val="0"/>
          <w:numId w:val="50"/>
        </w:numPr>
        <w:tabs>
          <w:tab w:val="left" w:pos="1164"/>
          <w:tab w:val="left" w:pos="3436"/>
        </w:tabs>
        <w:spacing w:before="91" w:line="312" w:lineRule="auto"/>
        <w:ind w:left="384" w:right="466" w:firstLine="480"/>
        <w:jc w:val="both"/>
        <w:rPr>
          <w:sz w:val="24"/>
        </w:rPr>
      </w:pPr>
      <w:r>
        <w:rPr>
          <w:rFonts w:hint="eastAsia"/>
          <w:sz w:val="24"/>
        </w:rPr>
        <w:t>本合同作为</w:t>
      </w:r>
      <w:r>
        <w:rPr>
          <w:rFonts w:hint="eastAsia"/>
          <w:sz w:val="24"/>
          <w:u w:val="single"/>
        </w:rPr>
        <w:t xml:space="preserve"> </w:t>
      </w:r>
      <w:r>
        <w:rPr>
          <w:rFonts w:hint="eastAsia"/>
          <w:sz w:val="24"/>
          <w:u w:val="single"/>
        </w:rPr>
        <w:tab/>
      </w:r>
      <w:r>
        <w:rPr>
          <w:rFonts w:hint="eastAsia"/>
          <w:sz w:val="24"/>
        </w:rPr>
        <w:t>（项目名称</w:t>
      </w:r>
      <w:r>
        <w:rPr>
          <w:rFonts w:hint="eastAsia"/>
          <w:spacing w:val="-10"/>
          <w:sz w:val="24"/>
        </w:rPr>
        <w:t>）</w:t>
      </w:r>
      <w:r>
        <w:rPr>
          <w:rFonts w:hint="eastAsia"/>
          <w:spacing w:val="-10"/>
          <w:sz w:val="24"/>
          <w:u w:val="single"/>
        </w:rPr>
        <w:t xml:space="preserve">   </w:t>
      </w:r>
      <w:r>
        <w:rPr>
          <w:rFonts w:hint="eastAsia"/>
          <w:spacing w:val="41"/>
          <w:sz w:val="24"/>
        </w:rPr>
        <w:t xml:space="preserve"> </w:t>
      </w:r>
      <w:r>
        <w:rPr>
          <w:rFonts w:hint="eastAsia"/>
          <w:sz w:val="24"/>
        </w:rPr>
        <w:t>标段施工合同的附件</w:t>
      </w:r>
      <w:r>
        <w:rPr>
          <w:rFonts w:hint="eastAsia"/>
          <w:spacing w:val="-10"/>
          <w:sz w:val="24"/>
        </w:rPr>
        <w:t>，</w:t>
      </w:r>
      <w:r>
        <w:rPr>
          <w:rFonts w:hint="eastAsia"/>
          <w:sz w:val="24"/>
        </w:rPr>
        <w:t>与工程施</w:t>
      </w:r>
      <w:r>
        <w:rPr>
          <w:rFonts w:hint="eastAsia"/>
          <w:spacing w:val="-17"/>
          <w:sz w:val="24"/>
        </w:rPr>
        <w:t>工</w:t>
      </w:r>
      <w:r>
        <w:rPr>
          <w:rFonts w:hint="eastAsia"/>
          <w:sz w:val="24"/>
        </w:rPr>
        <w:t>合同具有同等的法律效力，经合同双方签署后立即生效。</w:t>
      </w:r>
    </w:p>
    <w:p>
      <w:pPr>
        <w:pStyle w:val="20"/>
        <w:numPr>
          <w:ilvl w:val="0"/>
          <w:numId w:val="50"/>
        </w:numPr>
        <w:tabs>
          <w:tab w:val="left" w:pos="1164"/>
        </w:tabs>
        <w:spacing w:before="2" w:line="312" w:lineRule="auto"/>
        <w:ind w:left="384" w:right="466" w:firstLine="480"/>
        <w:jc w:val="both"/>
        <w:rPr>
          <w:sz w:val="24"/>
        </w:rPr>
      </w:pPr>
      <w:r>
        <w:rPr>
          <w:rFonts w:hint="eastAsia"/>
          <w:spacing w:val="-4"/>
          <w:sz w:val="24"/>
        </w:rPr>
        <w:t>本合同一式四份，由发包人和承包人各执一份，送交发包人和承包人的监督</w:t>
      </w:r>
      <w:r>
        <w:rPr>
          <w:rFonts w:hint="eastAsia"/>
          <w:sz w:val="24"/>
        </w:rPr>
        <w:t>单位各一份。</w:t>
      </w:r>
    </w:p>
    <w:p>
      <w:pPr>
        <w:pStyle w:val="10"/>
        <w:spacing w:before="12"/>
        <w:rPr>
          <w:sz w:val="32"/>
        </w:rPr>
      </w:pPr>
    </w:p>
    <w:p>
      <w:pPr>
        <w:pStyle w:val="10"/>
        <w:tabs>
          <w:tab w:val="left" w:pos="3110"/>
          <w:tab w:val="left" w:pos="5133"/>
          <w:tab w:val="left" w:pos="7739"/>
          <w:tab w:val="left" w:pos="8219"/>
        </w:tabs>
        <w:spacing w:line="343" w:lineRule="auto"/>
        <w:ind w:left="384" w:right="346"/>
      </w:pPr>
      <w:r>
        <w:rPr>
          <w:rFonts w:hint="eastAsia"/>
        </w:rPr>
        <w:t>发包人</w:t>
      </w:r>
      <w:r>
        <w:rPr>
          <w:rFonts w:hint="eastAsia"/>
          <w:spacing w:val="-17"/>
        </w:rPr>
        <w:t>：</w:t>
      </w:r>
      <w:r>
        <w:rPr>
          <w:rFonts w:hint="eastAsia"/>
          <w:spacing w:val="-17"/>
          <w:u w:val="single"/>
        </w:rPr>
        <w:t xml:space="preserve"> </w:t>
      </w:r>
      <w:r>
        <w:rPr>
          <w:rFonts w:hint="eastAsia"/>
          <w:spacing w:val="-17"/>
          <w:u w:val="single"/>
        </w:rPr>
        <w:tab/>
      </w:r>
      <w:r>
        <w:rPr>
          <w:rFonts w:hint="eastAsia"/>
        </w:rPr>
        <w:t>（盖单位章）</w:t>
      </w:r>
      <w:r>
        <w:rPr>
          <w:rFonts w:hint="eastAsia"/>
        </w:rPr>
        <w:tab/>
      </w:r>
      <w:r>
        <w:rPr>
          <w:rFonts w:hint="eastAsia"/>
        </w:rPr>
        <w:t>承包人</w:t>
      </w:r>
      <w:r>
        <w:rPr>
          <w:rFonts w:hint="eastAsia"/>
          <w:spacing w:val="-18"/>
        </w:rPr>
        <w:t>：</w:t>
      </w:r>
      <w:r>
        <w:rPr>
          <w:rFonts w:hint="eastAsia"/>
          <w:spacing w:val="-18"/>
          <w:u w:val="single"/>
        </w:rPr>
        <w:t xml:space="preserve"> </w:t>
      </w:r>
      <w:r>
        <w:rPr>
          <w:rFonts w:hint="eastAsia"/>
          <w:spacing w:val="-18"/>
          <w:u w:val="single"/>
        </w:rPr>
        <w:tab/>
      </w:r>
      <w:r>
        <w:rPr>
          <w:rFonts w:hint="eastAsia"/>
        </w:rPr>
        <w:t>（盖单位章</w:t>
      </w:r>
      <w:r>
        <w:rPr>
          <w:rFonts w:hint="eastAsia"/>
          <w:spacing w:val="-18"/>
        </w:rPr>
        <w:t xml:space="preserve">） </w:t>
      </w:r>
      <w:r>
        <w:rPr>
          <w:rFonts w:hint="eastAsia"/>
        </w:rPr>
        <w:t>法定代表人或其委托代理人：</w:t>
      </w:r>
      <w:r>
        <w:rPr>
          <w:rFonts w:hint="eastAsia"/>
          <w:spacing w:val="38"/>
        </w:rPr>
        <w:t xml:space="preserve"> </w:t>
      </w:r>
      <w:r>
        <w:rPr>
          <w:rFonts w:hint="eastAsia"/>
          <w:u w:val="single"/>
        </w:rPr>
        <w:t>（</w:t>
      </w:r>
      <w:r>
        <w:rPr>
          <w:rFonts w:hint="eastAsia"/>
        </w:rPr>
        <w:t>签字）</w:t>
      </w:r>
      <w:r>
        <w:rPr>
          <w:rFonts w:hint="eastAsia"/>
          <w:spacing w:val="79"/>
        </w:rPr>
        <w:t xml:space="preserve"> </w:t>
      </w:r>
      <w:r>
        <w:rPr>
          <w:rFonts w:hint="eastAsia"/>
        </w:rPr>
        <w:t>法定代表人或其委托代理人：</w:t>
      </w:r>
      <w:r>
        <w:rPr>
          <w:rFonts w:hint="eastAsia"/>
        </w:rPr>
        <w:tab/>
      </w:r>
      <w:r>
        <w:rPr>
          <w:rFonts w:hint="eastAsia"/>
        </w:rPr>
        <w:t>（签字</w:t>
      </w:r>
      <w:r>
        <w:rPr>
          <w:rFonts w:hint="eastAsia"/>
          <w:spacing w:val="-18"/>
        </w:rPr>
        <w:t>）</w:t>
      </w:r>
    </w:p>
    <w:p>
      <w:pPr>
        <w:pStyle w:val="10"/>
        <w:tabs>
          <w:tab w:val="left" w:pos="2303"/>
          <w:tab w:val="left" w:pos="3143"/>
          <w:tab w:val="left" w:pos="3983"/>
          <w:tab w:val="left" w:pos="4948"/>
          <w:tab w:val="left" w:pos="5903"/>
          <w:tab w:val="left" w:pos="6983"/>
          <w:tab w:val="left" w:pos="7823"/>
          <w:tab w:val="left" w:pos="8663"/>
        </w:tabs>
        <w:spacing w:before="1" w:line="669" w:lineRule="auto"/>
        <w:ind w:left="384" w:right="346" w:firstLine="840"/>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r>
        <w:rPr>
          <w:rFonts w:hint="eastAsia"/>
        </w:rPr>
        <w:tab/>
      </w:r>
      <w:r>
        <w:rPr>
          <w:rFonts w:hint="eastAsia"/>
        </w:rPr>
        <w:tab/>
      </w: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 发包人监督单位</w:t>
      </w:r>
      <w:r>
        <w:rPr>
          <w:rFonts w:hint="eastAsia"/>
          <w:spacing w:val="-23"/>
        </w:rPr>
        <w:t>：</w:t>
      </w:r>
      <w:r>
        <w:rPr>
          <w:rFonts w:hint="eastAsia"/>
          <w:spacing w:val="-23"/>
          <w:u w:val="single"/>
        </w:rPr>
        <w:t>（</w:t>
      </w:r>
      <w:r>
        <w:rPr>
          <w:rFonts w:hint="eastAsia"/>
          <w:u w:val="single"/>
        </w:rPr>
        <w:t>全称</w:t>
      </w:r>
      <w:r>
        <w:rPr>
          <w:rFonts w:hint="eastAsia"/>
          <w:spacing w:val="-23"/>
          <w:u w:val="single"/>
        </w:rPr>
        <w:t>）（</w:t>
      </w:r>
      <w:r>
        <w:rPr>
          <w:rFonts w:hint="eastAsia"/>
          <w:u w:val="single"/>
        </w:rPr>
        <w:t>盖单位章）</w:t>
      </w:r>
      <w:r>
        <w:rPr>
          <w:rFonts w:hint="eastAsia"/>
        </w:rPr>
        <w:tab/>
      </w:r>
      <w:r>
        <w:rPr>
          <w:rFonts w:hint="eastAsia"/>
        </w:rPr>
        <w:t>承包人监督单位</w:t>
      </w:r>
      <w:r>
        <w:rPr>
          <w:rFonts w:hint="eastAsia"/>
          <w:spacing w:val="-24"/>
        </w:rPr>
        <w:t>：</w:t>
      </w:r>
      <w:r>
        <w:rPr>
          <w:rFonts w:hint="eastAsia"/>
          <w:spacing w:val="-24"/>
          <w:u w:val="single"/>
        </w:rPr>
        <w:t>（</w:t>
      </w:r>
      <w:r>
        <w:rPr>
          <w:rFonts w:hint="eastAsia"/>
          <w:u w:val="single"/>
        </w:rPr>
        <w:t>全称</w:t>
      </w:r>
      <w:r>
        <w:rPr>
          <w:rFonts w:hint="eastAsia"/>
          <w:spacing w:val="-22"/>
          <w:u w:val="single"/>
        </w:rPr>
        <w:t>）（</w:t>
      </w:r>
      <w:r>
        <w:rPr>
          <w:rFonts w:hint="eastAsia"/>
          <w:u w:val="single"/>
        </w:rPr>
        <w:t>盖单位章</w:t>
      </w:r>
      <w:r>
        <w:rPr>
          <w:rFonts w:hint="eastAsia"/>
          <w:spacing w:val="-16"/>
          <w:u w:val="single"/>
        </w:rPr>
        <w:t>）</w:t>
      </w:r>
    </w:p>
    <w:p>
      <w:pPr>
        <w:spacing w:line="669" w:lineRule="auto"/>
        <w:sectPr>
          <w:pgSz w:w="11910" w:h="16840"/>
          <w:pgMar w:top="1360" w:right="1120" w:bottom="1080" w:left="1260" w:header="882" w:footer="880" w:gutter="0"/>
          <w:cols w:space="720" w:num="1"/>
        </w:sectPr>
      </w:pPr>
    </w:p>
    <w:p>
      <w:pPr>
        <w:pStyle w:val="10"/>
        <w:spacing w:before="10"/>
        <w:rPr>
          <w:sz w:val="17"/>
        </w:rPr>
      </w:pPr>
    </w:p>
    <w:p>
      <w:pPr>
        <w:rPr>
          <w:sz w:val="17"/>
        </w:rPr>
        <w:sectPr>
          <w:pgSz w:w="11910" w:h="16840"/>
          <w:pgMar w:top="1360" w:right="1120" w:bottom="1080" w:left="1260" w:header="882" w:footer="880" w:gutter="0"/>
          <w:cols w:space="720" w:num="1"/>
        </w:sectPr>
      </w:pPr>
    </w:p>
    <w:p>
      <w:pPr>
        <w:pStyle w:val="10"/>
        <w:spacing w:before="67"/>
        <w:ind w:left="583"/>
      </w:pPr>
      <w:bookmarkStart w:id="76" w:name="附件三_安全生产合同"/>
      <w:bookmarkEnd w:id="76"/>
      <w:r>
        <w:rPr>
          <w:rFonts w:hint="eastAsia"/>
        </w:rPr>
        <w:t>附件三 安全生产合同</w:t>
      </w:r>
    </w:p>
    <w:p>
      <w:pPr>
        <w:pStyle w:val="10"/>
        <w:spacing w:before="8"/>
        <w:rPr>
          <w:sz w:val="31"/>
        </w:rPr>
      </w:pPr>
      <w:r>
        <w:rPr>
          <w:rFonts w:hint="eastAsia"/>
        </w:rPr>
        <w:br w:type="column"/>
      </w:r>
    </w:p>
    <w:p>
      <w:pPr>
        <w:spacing w:before="1"/>
        <w:ind w:left="583"/>
        <w:rPr>
          <w:sz w:val="28"/>
        </w:rPr>
      </w:pPr>
      <w:r>
        <w:rPr>
          <w:rFonts w:hint="eastAsia"/>
          <w:sz w:val="28"/>
        </w:rPr>
        <w:t>安全生产合同</w:t>
      </w:r>
    </w:p>
    <w:p>
      <w:pPr>
        <w:rPr>
          <w:sz w:val="28"/>
        </w:rPr>
        <w:sectPr>
          <w:type w:val="continuous"/>
          <w:pgSz w:w="11910" w:h="16840"/>
          <w:pgMar w:top="1580" w:right="1120" w:bottom="280" w:left="1260" w:header="720" w:footer="720" w:gutter="0"/>
          <w:cols w:equalWidth="0" w:num="2">
            <w:col w:w="2904" w:space="509"/>
            <w:col w:w="6117"/>
          </w:cols>
        </w:sectPr>
      </w:pPr>
    </w:p>
    <w:p>
      <w:pPr>
        <w:pStyle w:val="10"/>
        <w:rPr>
          <w:sz w:val="20"/>
        </w:rPr>
      </w:pPr>
    </w:p>
    <w:p>
      <w:pPr>
        <w:pStyle w:val="10"/>
        <w:tabs>
          <w:tab w:val="left" w:pos="2915"/>
          <w:tab w:val="left" w:pos="6086"/>
          <w:tab w:val="left" w:pos="8579"/>
        </w:tabs>
        <w:spacing w:before="214" w:line="304" w:lineRule="auto"/>
        <w:ind w:left="384" w:right="462" w:firstLine="480"/>
        <w:jc w:val="both"/>
      </w:pPr>
      <w:r>
        <w:rPr>
          <w:rFonts w:hint="eastAsia"/>
        </w:rPr>
        <w:t>为在</w:t>
      </w:r>
      <w:r>
        <w:rPr>
          <w:rFonts w:hint="eastAsia"/>
          <w:u w:val="single"/>
        </w:rPr>
        <w:t xml:space="preserve"> </w:t>
      </w:r>
      <w:r>
        <w:rPr>
          <w:rFonts w:hint="eastAsia"/>
          <w:u w:val="single"/>
        </w:rPr>
        <w:tab/>
      </w:r>
      <w:r>
        <w:rPr>
          <w:rFonts w:hint="eastAsia"/>
        </w:rPr>
        <w:t>（项目名称）</w:t>
      </w:r>
      <w:r>
        <w:rPr>
          <w:rFonts w:hint="eastAsia"/>
          <w:u w:val="single"/>
        </w:rPr>
        <w:t xml:space="preserve">   </w:t>
      </w:r>
      <w:r>
        <w:rPr>
          <w:rFonts w:hint="eastAsia"/>
          <w:spacing w:val="19"/>
          <w:u w:val="single"/>
        </w:rPr>
        <w:t xml:space="preserve"> </w:t>
      </w:r>
      <w:r>
        <w:rPr>
          <w:rFonts w:hint="eastAsia"/>
        </w:rPr>
        <w:t>标段施工合同的实施过程中创造安全</w:t>
      </w:r>
      <w:r>
        <w:rPr>
          <w:rFonts w:hint="eastAsia"/>
          <w:spacing w:val="-10"/>
        </w:rPr>
        <w:t>、</w:t>
      </w:r>
      <w:r>
        <w:rPr>
          <w:rFonts w:hint="eastAsia"/>
        </w:rPr>
        <w:t>高效的施工环境</w:t>
      </w:r>
      <w:r>
        <w:rPr>
          <w:rFonts w:hint="eastAsia"/>
          <w:spacing w:val="-29"/>
        </w:rPr>
        <w:t>，</w:t>
      </w:r>
      <w:r>
        <w:rPr>
          <w:rFonts w:hint="eastAsia"/>
        </w:rPr>
        <w:t>切实搞好本项目的安全管理工作</w:t>
      </w:r>
      <w:r>
        <w:rPr>
          <w:rFonts w:hint="eastAsia"/>
          <w:spacing w:val="-27"/>
        </w:rPr>
        <w:t>，</w:t>
      </w:r>
      <w:r>
        <w:rPr>
          <w:rFonts w:hint="eastAsia"/>
        </w:rPr>
        <w:t>本项目发包人</w:t>
      </w:r>
      <w:r>
        <w:rPr>
          <w:rFonts w:hint="eastAsia"/>
          <w:u w:val="single"/>
        </w:rPr>
        <w:t xml:space="preserve"> </w:t>
      </w:r>
      <w:r>
        <w:rPr>
          <w:rFonts w:hint="eastAsia"/>
          <w:u w:val="single"/>
        </w:rPr>
        <w:tab/>
      </w:r>
      <w:r>
        <w:rPr>
          <w:rFonts w:hint="eastAsia"/>
        </w:rPr>
        <w:t>（</w:t>
      </w:r>
      <w:r>
        <w:rPr>
          <w:rFonts w:hint="eastAsia"/>
          <w:spacing w:val="-14"/>
        </w:rPr>
        <w:t>发</w:t>
      </w:r>
      <w:r>
        <w:rPr>
          <w:rFonts w:hint="eastAsia"/>
        </w:rPr>
        <w:t>包人名称</w:t>
      </w:r>
      <w:r>
        <w:rPr>
          <w:rFonts w:hint="eastAsia"/>
          <w:spacing w:val="-12"/>
        </w:rPr>
        <w:t>，</w:t>
      </w:r>
      <w:r>
        <w:rPr>
          <w:rFonts w:hint="eastAsia"/>
        </w:rPr>
        <w:t>以下简称“发包人</w:t>
      </w:r>
      <w:r>
        <w:rPr>
          <w:rFonts w:hint="eastAsia"/>
          <w:spacing w:val="-6"/>
        </w:rPr>
        <w:t>”）</w:t>
      </w:r>
      <w:r>
        <w:rPr>
          <w:rFonts w:hint="eastAsia"/>
        </w:rPr>
        <w:t>与承包人</w:t>
      </w:r>
      <w:r>
        <w:rPr>
          <w:rFonts w:hint="eastAsia"/>
          <w:u w:val="single"/>
        </w:rPr>
        <w:t xml:space="preserve"> </w:t>
      </w:r>
      <w:r>
        <w:rPr>
          <w:rFonts w:hint="eastAsia"/>
          <w:u w:val="single"/>
        </w:rPr>
        <w:tab/>
      </w:r>
      <w:r>
        <w:rPr>
          <w:rFonts w:hint="eastAsia"/>
        </w:rPr>
        <w:t>（承包人名称</w:t>
      </w:r>
      <w:r>
        <w:rPr>
          <w:rFonts w:hint="eastAsia"/>
          <w:spacing w:val="-10"/>
        </w:rPr>
        <w:t>，</w:t>
      </w:r>
      <w:r>
        <w:rPr>
          <w:rFonts w:hint="eastAsia"/>
        </w:rPr>
        <w:t>以下简称“</w:t>
      </w:r>
      <w:r>
        <w:rPr>
          <w:rFonts w:hint="eastAsia"/>
          <w:spacing w:val="-17"/>
        </w:rPr>
        <w:t>承</w:t>
      </w:r>
      <w:r>
        <w:rPr>
          <w:rFonts w:hint="eastAsia"/>
        </w:rPr>
        <w:t>包人”）特此签订安全生产合同。</w:t>
      </w:r>
    </w:p>
    <w:p>
      <w:pPr>
        <w:pStyle w:val="20"/>
        <w:numPr>
          <w:ilvl w:val="0"/>
          <w:numId w:val="55"/>
        </w:numPr>
        <w:tabs>
          <w:tab w:val="left" w:pos="1045"/>
        </w:tabs>
        <w:spacing w:line="305" w:lineRule="exact"/>
        <w:rPr>
          <w:sz w:val="24"/>
        </w:rPr>
      </w:pPr>
      <w:r>
        <w:rPr>
          <w:rFonts w:hint="eastAsia"/>
          <w:sz w:val="24"/>
        </w:rPr>
        <w:t>发包人职责</w:t>
      </w:r>
    </w:p>
    <w:p>
      <w:pPr>
        <w:pStyle w:val="20"/>
        <w:numPr>
          <w:ilvl w:val="0"/>
          <w:numId w:val="56"/>
        </w:numPr>
        <w:tabs>
          <w:tab w:val="left" w:pos="1465"/>
        </w:tabs>
        <w:spacing w:before="84" w:line="302" w:lineRule="auto"/>
        <w:ind w:right="466" w:firstLine="480"/>
        <w:rPr>
          <w:sz w:val="24"/>
        </w:rPr>
      </w:pPr>
      <w:r>
        <w:rPr>
          <w:rFonts w:hint="eastAsia"/>
          <w:spacing w:val="-3"/>
          <w:sz w:val="24"/>
        </w:rPr>
        <w:t>严格遵守国家有关安全生产的法律法规，认真执行工程承包合同中的有</w:t>
      </w:r>
      <w:r>
        <w:rPr>
          <w:rFonts w:hint="eastAsia"/>
          <w:spacing w:val="-5"/>
          <w:sz w:val="24"/>
        </w:rPr>
        <w:t>关安全要求。</w:t>
      </w:r>
    </w:p>
    <w:p>
      <w:pPr>
        <w:pStyle w:val="20"/>
        <w:numPr>
          <w:ilvl w:val="0"/>
          <w:numId w:val="56"/>
        </w:numPr>
        <w:tabs>
          <w:tab w:val="left" w:pos="1465"/>
        </w:tabs>
        <w:spacing w:before="5" w:line="302" w:lineRule="auto"/>
        <w:ind w:right="462" w:firstLine="480"/>
        <w:rPr>
          <w:sz w:val="24"/>
        </w:rPr>
      </w:pPr>
      <w:r>
        <w:rPr>
          <w:rFonts w:hint="eastAsia"/>
          <w:sz w:val="24"/>
        </w:rPr>
        <w:t>按照“</w:t>
      </w:r>
      <w:r>
        <w:rPr>
          <w:rFonts w:hint="eastAsia"/>
          <w:spacing w:val="-3"/>
          <w:sz w:val="24"/>
        </w:rPr>
        <w:t>安全第一、预防为主、综合治理</w:t>
      </w:r>
      <w:r>
        <w:rPr>
          <w:rFonts w:hint="eastAsia"/>
          <w:sz w:val="24"/>
        </w:rPr>
        <w:t>”和坚持“管生产必须管安全”</w:t>
      </w:r>
      <w:r>
        <w:rPr>
          <w:rFonts w:hint="eastAsia"/>
          <w:spacing w:val="-6"/>
          <w:sz w:val="24"/>
        </w:rPr>
        <w:t>的原则</w:t>
      </w:r>
      <w:r>
        <w:rPr>
          <w:rFonts w:hint="eastAsia"/>
          <w:sz w:val="24"/>
        </w:rPr>
        <w:t>进行安全生产管理，做到生产与安全工作同时计划、布置、检查、总结和评比。</w:t>
      </w:r>
    </w:p>
    <w:p>
      <w:pPr>
        <w:pStyle w:val="20"/>
        <w:numPr>
          <w:ilvl w:val="0"/>
          <w:numId w:val="56"/>
        </w:numPr>
        <w:tabs>
          <w:tab w:val="left" w:pos="1465"/>
        </w:tabs>
        <w:spacing w:before="5" w:line="302" w:lineRule="auto"/>
        <w:ind w:right="462" w:firstLine="480"/>
        <w:rPr>
          <w:sz w:val="24"/>
        </w:rPr>
      </w:pPr>
      <w:r>
        <w:rPr>
          <w:rFonts w:hint="eastAsia"/>
          <w:sz w:val="24"/>
        </w:rPr>
        <w:t>重要的安全设施必须坚持与主体工程“三同时”</w:t>
      </w:r>
      <w:r>
        <w:rPr>
          <w:rFonts w:hint="eastAsia"/>
          <w:spacing w:val="-8"/>
          <w:sz w:val="24"/>
        </w:rPr>
        <w:t>的原则，即：同时设计、审</w:t>
      </w:r>
      <w:r>
        <w:rPr>
          <w:rFonts w:hint="eastAsia"/>
          <w:sz w:val="24"/>
        </w:rPr>
        <w:t>批，同时施工，同时验收，投入使用。</w:t>
      </w:r>
    </w:p>
    <w:p>
      <w:pPr>
        <w:pStyle w:val="20"/>
        <w:numPr>
          <w:ilvl w:val="0"/>
          <w:numId w:val="56"/>
        </w:numPr>
        <w:tabs>
          <w:tab w:val="left" w:pos="1465"/>
        </w:tabs>
        <w:spacing w:before="5"/>
        <w:ind w:left="1465"/>
        <w:rPr>
          <w:sz w:val="24"/>
        </w:rPr>
      </w:pPr>
      <w:r>
        <w:rPr>
          <w:rFonts w:hint="eastAsia"/>
          <w:sz w:val="24"/>
        </w:rPr>
        <w:t>定期召开安全生产调度会，及时传达中央及地方有关安全生产的精神。</w:t>
      </w:r>
    </w:p>
    <w:p>
      <w:pPr>
        <w:pStyle w:val="20"/>
        <w:numPr>
          <w:ilvl w:val="0"/>
          <w:numId w:val="56"/>
        </w:numPr>
        <w:tabs>
          <w:tab w:val="left" w:pos="1465"/>
        </w:tabs>
        <w:spacing w:before="81" w:line="304" w:lineRule="auto"/>
        <w:ind w:right="466" w:firstLine="480"/>
        <w:rPr>
          <w:sz w:val="24"/>
        </w:rPr>
      </w:pPr>
      <w:r>
        <w:rPr>
          <w:rFonts w:hint="eastAsia"/>
          <w:spacing w:val="-3"/>
          <w:sz w:val="24"/>
        </w:rPr>
        <w:t>组织对承包人施工现场进行安全生产检查，监督承包人及时处理发现的</w:t>
      </w:r>
      <w:r>
        <w:rPr>
          <w:rFonts w:hint="eastAsia"/>
          <w:spacing w:val="-5"/>
          <w:sz w:val="24"/>
        </w:rPr>
        <w:t>各种安全隐患。</w:t>
      </w:r>
    </w:p>
    <w:p>
      <w:pPr>
        <w:pStyle w:val="20"/>
        <w:numPr>
          <w:ilvl w:val="0"/>
          <w:numId w:val="55"/>
        </w:numPr>
        <w:tabs>
          <w:tab w:val="left" w:pos="1045"/>
        </w:tabs>
        <w:spacing w:line="306" w:lineRule="exact"/>
        <w:rPr>
          <w:sz w:val="24"/>
        </w:rPr>
      </w:pPr>
      <w:r>
        <w:rPr>
          <w:rFonts w:hint="eastAsia"/>
          <w:sz w:val="24"/>
        </w:rPr>
        <w:t>承包人职责</w:t>
      </w:r>
    </w:p>
    <w:p>
      <w:pPr>
        <w:pStyle w:val="20"/>
        <w:numPr>
          <w:ilvl w:val="0"/>
          <w:numId w:val="57"/>
        </w:numPr>
        <w:tabs>
          <w:tab w:val="left" w:pos="1465"/>
        </w:tabs>
        <w:spacing w:before="84" w:line="304" w:lineRule="auto"/>
        <w:ind w:right="382" w:firstLine="480"/>
        <w:rPr>
          <w:sz w:val="24"/>
        </w:rPr>
      </w:pPr>
      <w:r>
        <w:rPr>
          <w:rFonts w:hint="eastAsia"/>
          <w:spacing w:val="-1"/>
          <w:sz w:val="24"/>
        </w:rPr>
        <w:t>严格遵守《中华人民共和国安全生产法》《建设工程安全生产管理条例》</w:t>
      </w:r>
      <w:r>
        <w:rPr>
          <w:rFonts w:hint="eastAsia"/>
          <w:sz w:val="24"/>
        </w:rPr>
        <w:t>等国家有关安全生产的法律法规、《公路水运工程安全生产监督管理办法》和《公路工程施工安全技术规范》等有关安全生产的规定。认真执行工程承包合同中的有关安全要求。</w:t>
      </w:r>
    </w:p>
    <w:p>
      <w:pPr>
        <w:pStyle w:val="20"/>
        <w:numPr>
          <w:ilvl w:val="0"/>
          <w:numId w:val="57"/>
        </w:numPr>
        <w:tabs>
          <w:tab w:val="left" w:pos="1465"/>
        </w:tabs>
        <w:spacing w:line="304" w:lineRule="auto"/>
        <w:ind w:right="466" w:firstLine="480"/>
        <w:jc w:val="both"/>
        <w:rPr>
          <w:sz w:val="24"/>
        </w:rPr>
      </w:pPr>
      <w:r>
        <w:rPr>
          <w:rFonts w:hint="eastAsia"/>
          <w:sz w:val="24"/>
        </w:rPr>
        <w:t>坚持“</w:t>
      </w:r>
      <w:r>
        <w:rPr>
          <w:rFonts w:hint="eastAsia"/>
          <w:spacing w:val="-3"/>
          <w:sz w:val="24"/>
        </w:rPr>
        <w:t>安全第一、预防为主、综合治理</w:t>
      </w:r>
      <w:r>
        <w:rPr>
          <w:rFonts w:hint="eastAsia"/>
          <w:sz w:val="24"/>
        </w:rPr>
        <w:t>”和“管生产必须管安全”</w:t>
      </w:r>
      <w:r>
        <w:rPr>
          <w:rFonts w:hint="eastAsia"/>
          <w:spacing w:val="-6"/>
          <w:sz w:val="24"/>
        </w:rPr>
        <w:t>的原则，加</w:t>
      </w:r>
      <w:r>
        <w:rPr>
          <w:rFonts w:hint="eastAsia"/>
          <w:spacing w:val="-1"/>
          <w:sz w:val="24"/>
        </w:rPr>
        <w:t>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w:t>
      </w:r>
      <w:r>
        <w:rPr>
          <w:rFonts w:hint="eastAsia"/>
          <w:sz w:val="24"/>
        </w:rPr>
        <w:t>守本合同的各项规定，做到生产与安全工作同时计划、布置、检查、总结和评比。</w:t>
      </w:r>
    </w:p>
    <w:p>
      <w:pPr>
        <w:pStyle w:val="20"/>
        <w:numPr>
          <w:ilvl w:val="0"/>
          <w:numId w:val="57"/>
        </w:numPr>
        <w:tabs>
          <w:tab w:val="left" w:pos="1465"/>
        </w:tabs>
        <w:spacing w:line="304" w:lineRule="auto"/>
        <w:ind w:right="346" w:firstLine="480"/>
        <w:rPr>
          <w:sz w:val="24"/>
        </w:rPr>
      </w:pPr>
      <w:r>
        <w:rPr>
          <w:rFonts w:hint="eastAsia"/>
          <w:spacing w:val="-4"/>
          <w:sz w:val="24"/>
        </w:rPr>
        <w:t>建立健全安全生产责任制。从派往项目实施的项目经理到生产工人</w:t>
      </w:r>
      <w:r>
        <w:rPr>
          <w:rFonts w:hint="eastAsia"/>
          <w:sz w:val="24"/>
        </w:rPr>
        <w:t>（包括临时雇请的民工</w:t>
      </w:r>
      <w:r>
        <w:rPr>
          <w:rFonts w:hint="eastAsia"/>
          <w:spacing w:val="-29"/>
          <w:sz w:val="24"/>
        </w:rPr>
        <w:t>）</w:t>
      </w:r>
      <w:r>
        <w:rPr>
          <w:rFonts w:hint="eastAsia"/>
          <w:spacing w:val="-5"/>
          <w:sz w:val="24"/>
        </w:rPr>
        <w:t>的安全生产管理系统必须做到纵向到底，一环不漏；各职能部门、</w:t>
      </w:r>
      <w:r>
        <w:rPr>
          <w:rFonts w:hint="eastAsia"/>
          <w:sz w:val="24"/>
        </w:rPr>
        <w:t>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spacing w:line="304" w:lineRule="auto"/>
        <w:rPr>
          <w:sz w:val="24"/>
        </w:rPr>
        <w:sectPr>
          <w:type w:val="continuous"/>
          <w:pgSz w:w="11910" w:h="16840"/>
          <w:pgMar w:top="1580" w:right="1120" w:bottom="280" w:left="1260" w:header="720" w:footer="720" w:gutter="0"/>
          <w:cols w:space="720" w:num="1"/>
        </w:sectPr>
      </w:pPr>
    </w:p>
    <w:p>
      <w:pPr>
        <w:pStyle w:val="10"/>
        <w:spacing w:before="12"/>
        <w:rPr>
          <w:sz w:val="17"/>
        </w:rPr>
      </w:pPr>
    </w:p>
    <w:p>
      <w:pPr>
        <w:pStyle w:val="20"/>
        <w:numPr>
          <w:ilvl w:val="0"/>
          <w:numId w:val="57"/>
        </w:numPr>
        <w:tabs>
          <w:tab w:val="left" w:pos="1465"/>
        </w:tabs>
        <w:spacing w:before="74" w:line="302" w:lineRule="auto"/>
        <w:ind w:right="466" w:firstLine="480"/>
        <w:rPr>
          <w:sz w:val="24"/>
        </w:rPr>
      </w:pPr>
      <w:bookmarkStart w:id="77" w:name="附件四_其他管理和技术人员最低要求__"/>
      <w:bookmarkEnd w:id="77"/>
      <w:r>
        <w:rPr>
          <w:rFonts w:hint="eastAsia"/>
          <w:spacing w:val="-2"/>
          <w:sz w:val="24"/>
        </w:rPr>
        <w:t>承包人在任何时候都应采取各种合理的预防措施，防止其员工发生任何</w:t>
      </w:r>
      <w:r>
        <w:rPr>
          <w:rFonts w:hint="eastAsia"/>
          <w:spacing w:val="-5"/>
          <w:sz w:val="24"/>
        </w:rPr>
        <w:t>违法、违禁、暴力或妨碍治安的行为。</w:t>
      </w:r>
    </w:p>
    <w:p>
      <w:pPr>
        <w:pStyle w:val="20"/>
        <w:numPr>
          <w:ilvl w:val="0"/>
          <w:numId w:val="57"/>
        </w:numPr>
        <w:tabs>
          <w:tab w:val="left" w:pos="1465"/>
        </w:tabs>
        <w:spacing w:before="5" w:line="304" w:lineRule="auto"/>
        <w:ind w:right="466" w:firstLine="480"/>
        <w:jc w:val="both"/>
        <w:rPr>
          <w:sz w:val="24"/>
        </w:rPr>
      </w:pPr>
      <w:r>
        <w:rPr>
          <w:rFonts w:hint="eastAsia"/>
          <w:spacing w:val="-2"/>
          <w:sz w:val="24"/>
        </w:rPr>
        <w:t>承包人必须具有劳动安全管理部门颁发的安全生产考核合格证书，参加</w:t>
      </w:r>
      <w:r>
        <w:rPr>
          <w:rFonts w:hint="eastAsia"/>
          <w:spacing w:val="-5"/>
          <w:sz w:val="24"/>
        </w:rPr>
        <w:t>施工的人员，必须接受安全技术教育，熟知和遵守本工种的各项安全技术操作规程</w:t>
      </w:r>
      <w:r>
        <w:rPr>
          <w:rFonts w:hint="eastAsia"/>
          <w:spacing w:val="-4"/>
          <w:sz w:val="24"/>
        </w:rPr>
        <w:t>，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pStyle w:val="20"/>
        <w:numPr>
          <w:ilvl w:val="0"/>
          <w:numId w:val="57"/>
        </w:numPr>
        <w:tabs>
          <w:tab w:val="left" w:pos="1465"/>
        </w:tabs>
        <w:spacing w:line="304" w:lineRule="auto"/>
        <w:ind w:right="346" w:firstLine="480"/>
        <w:rPr>
          <w:sz w:val="24"/>
        </w:rPr>
      </w:pPr>
      <w:r>
        <w:rPr>
          <w:rFonts w:hint="eastAsia"/>
          <w:spacing w:val="-6"/>
          <w:sz w:val="24"/>
        </w:rPr>
        <w:t>对于易燃易爆的材料除应专门妥善保管之外，还应配备有足够的消防设施</w:t>
      </w:r>
      <w:r>
        <w:rPr>
          <w:rFonts w:hint="eastAsia"/>
          <w:spacing w:val="-5"/>
          <w:sz w:val="24"/>
        </w:rPr>
        <w:t>，所有施工人员都应熟悉消防设备的性能和使用方法；承包人不得将任何种类的爆炸物给予、易货或以其他方式转让给任何其他人，或允许、容忍上述同样行为。</w:t>
      </w:r>
    </w:p>
    <w:p>
      <w:pPr>
        <w:pStyle w:val="20"/>
        <w:numPr>
          <w:ilvl w:val="0"/>
          <w:numId w:val="57"/>
        </w:numPr>
        <w:tabs>
          <w:tab w:val="left" w:pos="1465"/>
        </w:tabs>
        <w:spacing w:line="304" w:lineRule="auto"/>
        <w:ind w:right="466" w:firstLine="480"/>
        <w:rPr>
          <w:sz w:val="24"/>
        </w:rPr>
      </w:pPr>
      <w:r>
        <w:rPr>
          <w:rFonts w:hint="eastAsia"/>
          <w:spacing w:val="-7"/>
          <w:sz w:val="24"/>
        </w:rPr>
        <w:t>操作人员上岗，必须按规定穿戴防护用品。施工负责人和安全检查员应</w:t>
      </w:r>
      <w:r>
        <w:rPr>
          <w:rFonts w:hint="eastAsia"/>
          <w:spacing w:val="-5"/>
          <w:sz w:val="24"/>
        </w:rPr>
        <w:t>随时检查劳动防护用品的穿戴情况，不按规定穿戴防护用品的人员不得上岗。</w:t>
      </w:r>
    </w:p>
    <w:p>
      <w:pPr>
        <w:pStyle w:val="20"/>
        <w:numPr>
          <w:ilvl w:val="0"/>
          <w:numId w:val="57"/>
        </w:numPr>
        <w:tabs>
          <w:tab w:val="left" w:pos="1465"/>
        </w:tabs>
        <w:spacing w:line="304" w:lineRule="auto"/>
        <w:ind w:right="466" w:firstLine="480"/>
        <w:rPr>
          <w:sz w:val="24"/>
        </w:rPr>
      </w:pPr>
      <w:r>
        <w:rPr>
          <w:rFonts w:hint="eastAsia"/>
          <w:spacing w:val="-2"/>
          <w:sz w:val="24"/>
        </w:rPr>
        <w:t>所有施工机具设备和高空作业的设备均应定期检查，并有安全员的签字</w:t>
      </w:r>
      <w:r>
        <w:rPr>
          <w:rFonts w:hint="eastAsia"/>
          <w:spacing w:val="-5"/>
          <w:sz w:val="24"/>
        </w:rPr>
        <w:t>记录，保证其经常处于完好状态；不合格的机具、设备和劳动保护用品严禁使用。</w:t>
      </w:r>
    </w:p>
    <w:p>
      <w:pPr>
        <w:pStyle w:val="20"/>
        <w:numPr>
          <w:ilvl w:val="0"/>
          <w:numId w:val="57"/>
        </w:numPr>
        <w:tabs>
          <w:tab w:val="left" w:pos="1465"/>
        </w:tabs>
        <w:spacing w:line="304" w:lineRule="auto"/>
        <w:ind w:right="466" w:firstLine="480"/>
        <w:rPr>
          <w:sz w:val="24"/>
        </w:rPr>
      </w:pPr>
      <w:r>
        <w:rPr>
          <w:rFonts w:hint="eastAsia"/>
          <w:spacing w:val="-7"/>
          <w:sz w:val="24"/>
        </w:rPr>
        <w:t>施工中采用新技术、新工艺、新设备、新材料时，必须制定相应的安全技</w:t>
      </w:r>
      <w:r>
        <w:rPr>
          <w:rFonts w:hint="eastAsia"/>
          <w:sz w:val="24"/>
        </w:rPr>
        <w:t>术措施，施工现场必须具有相关的安全标志牌。</w:t>
      </w:r>
    </w:p>
    <w:p>
      <w:pPr>
        <w:pStyle w:val="20"/>
        <w:numPr>
          <w:ilvl w:val="0"/>
          <w:numId w:val="57"/>
        </w:numPr>
        <w:tabs>
          <w:tab w:val="left" w:pos="1588"/>
        </w:tabs>
        <w:spacing w:line="304" w:lineRule="auto"/>
        <w:ind w:right="465" w:firstLine="480"/>
        <w:jc w:val="both"/>
        <w:rPr>
          <w:sz w:val="24"/>
        </w:rPr>
      </w:pPr>
      <w:r>
        <w:rPr>
          <w:rFonts w:hint="eastAsia"/>
          <w:spacing w:val="-1"/>
          <w:sz w:val="24"/>
        </w:rPr>
        <w:t>承包人必须按照本工程项目特点，组织制定本工程实施中的生产安全事故应急救援预案；如果发生安全事故，应按照《国务院关于特大安全事故行政责任</w:t>
      </w:r>
      <w:r>
        <w:rPr>
          <w:rFonts w:hint="eastAsia"/>
          <w:sz w:val="24"/>
        </w:rPr>
        <w:t>追究的规定》以及其他有关规定，及时上报有关部门，并坚持“四不放过”的原则， 严肃处理相关责任人。</w:t>
      </w:r>
    </w:p>
    <w:p>
      <w:pPr>
        <w:pStyle w:val="20"/>
        <w:numPr>
          <w:ilvl w:val="0"/>
          <w:numId w:val="57"/>
        </w:numPr>
        <w:tabs>
          <w:tab w:val="left" w:pos="1588"/>
        </w:tabs>
        <w:spacing w:line="304" w:lineRule="auto"/>
        <w:ind w:right="465" w:firstLine="480"/>
        <w:rPr>
          <w:sz w:val="24"/>
        </w:rPr>
      </w:pPr>
      <w:r>
        <w:rPr>
          <w:rFonts w:hint="eastAsia"/>
          <w:spacing w:val="-1"/>
          <w:sz w:val="24"/>
        </w:rPr>
        <w:t>安全生产费用按照《公路水运工程安全生产监督管理办法》的相关规定</w:t>
      </w:r>
      <w:r>
        <w:rPr>
          <w:rFonts w:hint="eastAsia"/>
          <w:sz w:val="24"/>
        </w:rPr>
        <w:t>使用和管理。</w:t>
      </w:r>
    </w:p>
    <w:p>
      <w:pPr>
        <w:pStyle w:val="20"/>
        <w:numPr>
          <w:ilvl w:val="0"/>
          <w:numId w:val="55"/>
        </w:numPr>
        <w:tabs>
          <w:tab w:val="left" w:pos="1045"/>
        </w:tabs>
        <w:spacing w:line="306" w:lineRule="exact"/>
        <w:rPr>
          <w:sz w:val="24"/>
        </w:rPr>
      </w:pPr>
      <w:r>
        <w:rPr>
          <w:rFonts w:hint="eastAsia"/>
          <w:sz w:val="24"/>
        </w:rPr>
        <w:t>违约责任</w:t>
      </w:r>
    </w:p>
    <w:p>
      <w:pPr>
        <w:pStyle w:val="10"/>
        <w:spacing w:before="73"/>
        <w:ind w:left="864"/>
      </w:pPr>
      <w:r>
        <w:rPr>
          <w:rFonts w:hint="eastAsia"/>
        </w:rPr>
        <w:t>如因发包人或承包人违约造成安全事故，将依法追究责任。</w:t>
      </w:r>
    </w:p>
    <w:p>
      <w:pPr>
        <w:pStyle w:val="20"/>
        <w:numPr>
          <w:ilvl w:val="0"/>
          <w:numId w:val="55"/>
        </w:numPr>
        <w:tabs>
          <w:tab w:val="left" w:pos="1164"/>
        </w:tabs>
        <w:spacing w:before="81" w:line="304" w:lineRule="auto"/>
        <w:ind w:left="384" w:right="466" w:firstLine="480"/>
        <w:rPr>
          <w:sz w:val="24"/>
        </w:rPr>
      </w:pPr>
      <w:r>
        <w:rPr>
          <w:rFonts w:hint="eastAsia"/>
          <w:spacing w:val="-2"/>
          <w:sz w:val="24"/>
        </w:rPr>
        <w:t>本合同由双方法定代表人或其授权的代理人签署并加盖单位章后生效，全部</w:t>
      </w:r>
      <w:r>
        <w:rPr>
          <w:rFonts w:hint="eastAsia"/>
          <w:sz w:val="24"/>
        </w:rPr>
        <w:t>工程竣工验收后失效。</w:t>
      </w:r>
    </w:p>
    <w:p>
      <w:pPr>
        <w:pStyle w:val="20"/>
        <w:numPr>
          <w:ilvl w:val="0"/>
          <w:numId w:val="55"/>
        </w:numPr>
        <w:tabs>
          <w:tab w:val="left" w:pos="1164"/>
          <w:tab w:val="left" w:pos="4036"/>
          <w:tab w:val="left" w:pos="8107"/>
        </w:tabs>
        <w:spacing w:line="304" w:lineRule="auto"/>
        <w:ind w:left="384" w:right="466" w:firstLine="480"/>
        <w:rPr>
          <w:sz w:val="24"/>
        </w:rPr>
      </w:pPr>
      <w:r>
        <w:rPr>
          <w:rFonts w:hint="eastAsia"/>
          <w:sz w:val="24"/>
        </w:rPr>
        <w:t>本合同正本二份</w:t>
      </w:r>
      <w:r>
        <w:rPr>
          <w:rFonts w:hint="eastAsia"/>
          <w:spacing w:val="-8"/>
          <w:sz w:val="24"/>
        </w:rPr>
        <w:t>、</w:t>
      </w:r>
      <w:r>
        <w:rPr>
          <w:rFonts w:hint="eastAsia"/>
          <w:sz w:val="24"/>
        </w:rPr>
        <w:t>副本</w:t>
      </w:r>
      <w:r>
        <w:rPr>
          <w:rFonts w:hint="eastAsia"/>
          <w:sz w:val="24"/>
          <w:u w:val="single"/>
        </w:rPr>
        <w:t xml:space="preserve"> </w:t>
      </w:r>
      <w:r>
        <w:rPr>
          <w:rFonts w:hint="eastAsia"/>
          <w:sz w:val="24"/>
          <w:u w:val="single"/>
        </w:rPr>
        <w:tab/>
      </w:r>
      <w:r>
        <w:rPr>
          <w:rFonts w:hint="eastAsia"/>
          <w:sz w:val="24"/>
        </w:rPr>
        <w:t>份</w:t>
      </w:r>
      <w:r>
        <w:rPr>
          <w:rFonts w:hint="eastAsia"/>
          <w:spacing w:val="-8"/>
          <w:sz w:val="24"/>
        </w:rPr>
        <w:t>，</w:t>
      </w:r>
      <w:r>
        <w:rPr>
          <w:rFonts w:hint="eastAsia"/>
          <w:sz w:val="24"/>
        </w:rPr>
        <w:t>合同双方各执正本一份</w:t>
      </w:r>
      <w:r>
        <w:rPr>
          <w:rFonts w:hint="eastAsia"/>
          <w:spacing w:val="-5"/>
          <w:sz w:val="24"/>
        </w:rPr>
        <w:t>，</w:t>
      </w:r>
      <w:r>
        <w:rPr>
          <w:rFonts w:hint="eastAsia"/>
          <w:sz w:val="24"/>
        </w:rPr>
        <w:t>副本</w:t>
      </w:r>
      <w:r>
        <w:rPr>
          <w:rFonts w:hint="eastAsia"/>
          <w:sz w:val="24"/>
          <w:u w:val="single"/>
        </w:rPr>
        <w:t xml:space="preserve"> </w:t>
      </w:r>
      <w:r>
        <w:rPr>
          <w:rFonts w:hint="eastAsia"/>
          <w:sz w:val="24"/>
          <w:u w:val="single"/>
        </w:rPr>
        <w:tab/>
      </w:r>
      <w:r>
        <w:rPr>
          <w:rFonts w:hint="eastAsia"/>
          <w:sz w:val="24"/>
        </w:rPr>
        <w:t>份</w:t>
      </w:r>
      <w:r>
        <w:rPr>
          <w:rFonts w:hint="eastAsia"/>
          <w:spacing w:val="-8"/>
          <w:sz w:val="24"/>
        </w:rPr>
        <w:t>，</w:t>
      </w:r>
      <w:r>
        <w:rPr>
          <w:rFonts w:hint="eastAsia"/>
          <w:sz w:val="24"/>
        </w:rPr>
        <w:t>当</w:t>
      </w:r>
      <w:r>
        <w:rPr>
          <w:rFonts w:hint="eastAsia"/>
          <w:spacing w:val="-18"/>
          <w:sz w:val="24"/>
        </w:rPr>
        <w:t>正</w:t>
      </w:r>
      <w:r>
        <w:rPr>
          <w:rFonts w:hint="eastAsia"/>
          <w:sz w:val="24"/>
        </w:rPr>
        <w:t>本与副本的内容不一致时，以正本为准。</w:t>
      </w:r>
    </w:p>
    <w:p>
      <w:pPr>
        <w:pStyle w:val="10"/>
      </w:pPr>
    </w:p>
    <w:p>
      <w:pPr>
        <w:pStyle w:val="10"/>
      </w:pPr>
    </w:p>
    <w:p>
      <w:pPr>
        <w:pStyle w:val="10"/>
        <w:spacing w:before="11"/>
        <w:rPr>
          <w:sz w:val="16"/>
        </w:rPr>
      </w:pPr>
    </w:p>
    <w:p>
      <w:pPr>
        <w:pStyle w:val="10"/>
        <w:tabs>
          <w:tab w:val="left" w:pos="3206"/>
          <w:tab w:val="left" w:pos="5236"/>
          <w:tab w:val="left" w:pos="7739"/>
        </w:tabs>
        <w:spacing w:line="343" w:lineRule="auto"/>
        <w:ind w:left="583" w:right="346"/>
      </w:pPr>
      <w:r>
        <w:rPr>
          <w:rFonts w:hint="eastAsia"/>
        </w:rPr>
        <w:t>发包人</w:t>
      </w:r>
      <w:r>
        <w:rPr>
          <w:rFonts w:hint="eastAsia"/>
          <w:spacing w:val="-11"/>
        </w:rPr>
        <w:t>：</w:t>
      </w:r>
      <w:r>
        <w:rPr>
          <w:rFonts w:hint="eastAsia"/>
          <w:spacing w:val="-11"/>
          <w:u w:val="single"/>
        </w:rPr>
        <w:t xml:space="preserve"> </w:t>
      </w:r>
      <w:r>
        <w:rPr>
          <w:rFonts w:hint="eastAsia"/>
          <w:spacing w:val="-11"/>
          <w:u w:val="single"/>
        </w:rPr>
        <w:tab/>
      </w:r>
      <w:r>
        <w:rPr>
          <w:rFonts w:hint="eastAsia"/>
          <w:spacing w:val="-3"/>
        </w:rPr>
        <w:t>（</w:t>
      </w:r>
      <w:r>
        <w:rPr>
          <w:rFonts w:hint="eastAsia"/>
        </w:rPr>
        <w:t>盖单位章）</w:t>
      </w:r>
      <w:r>
        <w:rPr>
          <w:rFonts w:hint="eastAsia"/>
        </w:rPr>
        <w:tab/>
      </w:r>
      <w:r>
        <w:rPr>
          <w:rFonts w:hint="eastAsia"/>
        </w:rPr>
        <w:t>承包人</w:t>
      </w:r>
      <w:r>
        <w:rPr>
          <w:rFonts w:hint="eastAsia"/>
          <w:spacing w:val="-10"/>
        </w:rPr>
        <w:t>：</w:t>
      </w:r>
      <w:r>
        <w:rPr>
          <w:rFonts w:hint="eastAsia"/>
          <w:spacing w:val="-10"/>
          <w:u w:val="single"/>
        </w:rPr>
        <w:t xml:space="preserve"> </w:t>
      </w:r>
      <w:r>
        <w:rPr>
          <w:rFonts w:hint="eastAsia"/>
          <w:spacing w:val="-10"/>
          <w:u w:val="single"/>
        </w:rPr>
        <w:tab/>
      </w:r>
      <w:r>
        <w:rPr>
          <w:rFonts w:hint="eastAsia"/>
        </w:rPr>
        <w:t>（盖单位章</w:t>
      </w:r>
      <w:r>
        <w:rPr>
          <w:rFonts w:hint="eastAsia"/>
          <w:spacing w:val="-18"/>
        </w:rPr>
        <w:t xml:space="preserve">） </w:t>
      </w:r>
      <w:r>
        <w:rPr>
          <w:rFonts w:hint="eastAsia"/>
        </w:rPr>
        <w:t>法定代表人或其委托代理人</w:t>
      </w:r>
      <w:r>
        <w:rPr>
          <w:rFonts w:hint="eastAsia"/>
          <w:spacing w:val="-28"/>
        </w:rPr>
        <w:t>：</w:t>
      </w:r>
      <w:r>
        <w:rPr>
          <w:rFonts w:hint="eastAsia"/>
          <w:spacing w:val="-10"/>
          <w:u w:val="single"/>
        </w:rPr>
        <w:t xml:space="preserve"> </w:t>
      </w:r>
      <w:r>
        <w:rPr>
          <w:rFonts w:hint="eastAsia"/>
          <w:spacing w:val="-3"/>
        </w:rPr>
        <w:t>（</w:t>
      </w:r>
      <w:r>
        <w:rPr>
          <w:rFonts w:hint="eastAsia"/>
        </w:rPr>
        <w:t>签字）</w:t>
      </w:r>
      <w:r>
        <w:rPr>
          <w:rFonts w:hint="eastAsia"/>
          <w:spacing w:val="-32"/>
        </w:rPr>
        <w:t xml:space="preserve"> </w:t>
      </w:r>
      <w:r>
        <w:rPr>
          <w:rFonts w:hint="eastAsia"/>
        </w:rPr>
        <w:t>法定代表人或其委托代理人</w:t>
      </w:r>
      <w:r>
        <w:rPr>
          <w:rFonts w:hint="eastAsia"/>
          <w:spacing w:val="-29"/>
        </w:rPr>
        <w:t>：</w:t>
      </w:r>
      <w:r>
        <w:rPr>
          <w:rFonts w:hint="eastAsia"/>
          <w:spacing w:val="-7"/>
          <w:u w:val="single"/>
        </w:rPr>
        <w:t xml:space="preserve"> </w:t>
      </w:r>
      <w:r>
        <w:rPr>
          <w:rFonts w:hint="eastAsia"/>
        </w:rPr>
        <w:t>（签字</w:t>
      </w:r>
      <w:r>
        <w:rPr>
          <w:rFonts w:hint="eastAsia"/>
          <w:spacing w:val="-16"/>
        </w:rPr>
        <w:t>）</w:t>
      </w:r>
    </w:p>
    <w:p>
      <w:pPr>
        <w:pStyle w:val="10"/>
        <w:tabs>
          <w:tab w:val="left" w:pos="2303"/>
          <w:tab w:val="left" w:pos="3143"/>
          <w:tab w:val="left" w:pos="3983"/>
          <w:tab w:val="left" w:pos="5903"/>
          <w:tab w:val="left" w:pos="6983"/>
          <w:tab w:val="left" w:pos="7823"/>
          <w:tab w:val="left" w:pos="8663"/>
        </w:tabs>
        <w:spacing w:before="1"/>
        <w:ind w:left="1224"/>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r>
        <w:rPr>
          <w:rFonts w:hint="eastAsia"/>
        </w:rPr>
        <w:tab/>
      </w: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sectPr>
          <w:pgSz w:w="11910" w:h="16840"/>
          <w:pgMar w:top="1360" w:right="1120" w:bottom="1080" w:left="1260" w:header="882" w:footer="880" w:gutter="0"/>
          <w:cols w:space="720" w:num="1"/>
        </w:sectPr>
      </w:pPr>
    </w:p>
    <w:p>
      <w:pPr>
        <w:pStyle w:val="10"/>
        <w:spacing w:before="4"/>
        <w:rPr>
          <w:sz w:val="16"/>
        </w:rPr>
      </w:pPr>
    </w:p>
    <w:p>
      <w:pPr>
        <w:pStyle w:val="10"/>
        <w:spacing w:before="85"/>
        <w:ind w:left="583"/>
        <w:rPr>
          <w:sz w:val="12"/>
        </w:rPr>
      </w:pPr>
      <w:r>
        <w:rPr>
          <w:rFonts w:hint="eastAsia"/>
        </w:rPr>
        <w:t xml:space="preserve">附件四 其他管理和技术人员最低要求 </w:t>
      </w:r>
    </w:p>
    <w:p>
      <w:pPr>
        <w:pStyle w:val="10"/>
        <w:rPr>
          <w:sz w:val="20"/>
        </w:rPr>
      </w:pPr>
    </w:p>
    <w:p>
      <w:pPr>
        <w:pStyle w:val="10"/>
        <w:spacing w:before="4"/>
        <w:rPr>
          <w:sz w:val="11"/>
        </w:rPr>
      </w:pPr>
    </w:p>
    <w:tbl>
      <w:tblPr>
        <w:tblStyle w:val="18"/>
        <w:tblW w:w="8891" w:type="dxa"/>
        <w:tblInd w:w="2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8"/>
        <w:gridCol w:w="2161"/>
        <w:gridCol w:w="4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2448" w:type="dxa"/>
          </w:tcPr>
          <w:p>
            <w:pPr>
              <w:pStyle w:val="21"/>
              <w:spacing w:before="8"/>
              <w:rPr>
                <w:sz w:val="24"/>
              </w:rPr>
            </w:pPr>
          </w:p>
          <w:p>
            <w:pPr>
              <w:pStyle w:val="21"/>
              <w:tabs>
                <w:tab w:val="left" w:pos="489"/>
              </w:tabs>
              <w:ind w:left="9"/>
              <w:jc w:val="center"/>
              <w:rPr>
                <w:sz w:val="24"/>
              </w:rPr>
            </w:pPr>
            <w:r>
              <w:rPr>
                <w:rFonts w:hint="eastAsia"/>
                <w:sz w:val="24"/>
              </w:rPr>
              <w:t>人</w:t>
            </w:r>
            <w:r>
              <w:rPr>
                <w:rFonts w:hint="eastAsia"/>
                <w:sz w:val="24"/>
              </w:rPr>
              <w:tab/>
            </w:r>
            <w:r>
              <w:rPr>
                <w:rFonts w:hint="eastAsia"/>
                <w:sz w:val="24"/>
              </w:rPr>
              <w:t>员</w:t>
            </w:r>
          </w:p>
        </w:tc>
        <w:tc>
          <w:tcPr>
            <w:tcW w:w="2161" w:type="dxa"/>
          </w:tcPr>
          <w:p>
            <w:pPr>
              <w:pStyle w:val="21"/>
              <w:spacing w:before="8"/>
              <w:rPr>
                <w:sz w:val="24"/>
              </w:rPr>
            </w:pPr>
          </w:p>
          <w:p>
            <w:pPr>
              <w:pStyle w:val="21"/>
              <w:tabs>
                <w:tab w:val="left" w:pos="1199"/>
              </w:tabs>
              <w:ind w:left="719"/>
              <w:rPr>
                <w:sz w:val="24"/>
              </w:rPr>
            </w:pPr>
            <w:r>
              <w:rPr>
                <w:rFonts w:hint="eastAsia"/>
                <w:sz w:val="24"/>
              </w:rPr>
              <w:t>数</w:t>
            </w:r>
            <w:r>
              <w:rPr>
                <w:rFonts w:hint="eastAsia"/>
                <w:sz w:val="24"/>
              </w:rPr>
              <w:tab/>
            </w:r>
            <w:r>
              <w:rPr>
                <w:rFonts w:hint="eastAsia"/>
                <w:sz w:val="24"/>
              </w:rPr>
              <w:t>量</w:t>
            </w:r>
          </w:p>
        </w:tc>
        <w:tc>
          <w:tcPr>
            <w:tcW w:w="4282" w:type="dxa"/>
          </w:tcPr>
          <w:p>
            <w:pPr>
              <w:pStyle w:val="21"/>
              <w:spacing w:before="8"/>
              <w:rPr>
                <w:sz w:val="24"/>
              </w:rPr>
            </w:pPr>
          </w:p>
          <w:p>
            <w:pPr>
              <w:pStyle w:val="21"/>
              <w:ind w:left="1459" w:right="1452"/>
              <w:jc w:val="center"/>
              <w:rPr>
                <w:sz w:val="24"/>
              </w:rPr>
            </w:pPr>
            <w:r>
              <w:rPr>
                <w:rFonts w:hint="eastAsia"/>
                <w:sz w:val="24"/>
              </w:rPr>
              <w:t>资 格 要 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2448" w:type="dxa"/>
            <w:vAlign w:val="center"/>
          </w:tcPr>
          <w:p>
            <w:pPr>
              <w:pStyle w:val="21"/>
              <w:spacing w:before="8"/>
              <w:jc w:val="center"/>
              <w:rPr>
                <w:rFonts w:hint="eastAsia" w:eastAsia="宋体"/>
                <w:color w:val="auto"/>
                <w:sz w:val="24"/>
                <w:szCs w:val="24"/>
                <w:lang w:val="en-US" w:eastAsia="zh-CN"/>
              </w:rPr>
            </w:pPr>
            <w:r>
              <w:rPr>
                <w:rFonts w:hint="eastAsia"/>
                <w:color w:val="auto"/>
                <w:sz w:val="24"/>
                <w:szCs w:val="24"/>
              </w:rPr>
              <w:t>项目</w:t>
            </w:r>
            <w:r>
              <w:rPr>
                <w:rFonts w:hint="eastAsia"/>
                <w:color w:val="auto"/>
                <w:sz w:val="24"/>
                <w:szCs w:val="24"/>
                <w:lang w:eastAsia="zh-CN"/>
              </w:rPr>
              <w:t>总工（技术负责人）</w:t>
            </w:r>
          </w:p>
        </w:tc>
        <w:tc>
          <w:tcPr>
            <w:tcW w:w="2161" w:type="dxa"/>
            <w:vAlign w:val="center"/>
          </w:tcPr>
          <w:p>
            <w:pPr>
              <w:pStyle w:val="21"/>
              <w:spacing w:before="8"/>
              <w:jc w:val="center"/>
              <w:rPr>
                <w:rFonts w:hint="eastAsia" w:eastAsia="宋体"/>
                <w:color w:val="auto"/>
                <w:sz w:val="24"/>
                <w:szCs w:val="24"/>
                <w:lang w:val="en-US" w:eastAsia="zh-CN"/>
              </w:rPr>
            </w:pPr>
            <w:r>
              <w:rPr>
                <w:rFonts w:hint="eastAsia"/>
                <w:color w:val="auto"/>
                <w:sz w:val="24"/>
                <w:szCs w:val="24"/>
                <w:lang w:val="en-US" w:eastAsia="zh-CN"/>
              </w:rPr>
              <w:t>1</w:t>
            </w:r>
          </w:p>
        </w:tc>
        <w:tc>
          <w:tcPr>
            <w:tcW w:w="4282" w:type="dxa"/>
            <w:vAlign w:val="center"/>
          </w:tcPr>
          <w:p>
            <w:pPr>
              <w:pStyle w:val="21"/>
              <w:numPr>
                <w:ilvl w:val="0"/>
                <w:numId w:val="0"/>
              </w:numPr>
              <w:tabs>
                <w:tab w:val="left" w:pos="537"/>
              </w:tabs>
              <w:spacing w:before="88" w:line="300" w:lineRule="exact"/>
              <w:ind w:right="99" w:rightChars="0"/>
              <w:jc w:val="both"/>
              <w:rPr>
                <w:rFonts w:hint="eastAsia"/>
                <w:color w:val="auto"/>
                <w:sz w:val="24"/>
                <w:szCs w:val="24"/>
              </w:rPr>
            </w:pPr>
            <w:r>
              <w:rPr>
                <w:rFonts w:hint="eastAsia"/>
                <w:color w:val="auto"/>
                <w:w w:val="95"/>
                <w:sz w:val="24"/>
                <w:szCs w:val="24"/>
                <w:highlight w:val="none"/>
              </w:rPr>
              <w:t>公路工程相关专业工程师及以上</w:t>
            </w:r>
            <w:r>
              <w:rPr>
                <w:rFonts w:hint="eastAsia"/>
                <w:color w:val="auto"/>
                <w:sz w:val="24"/>
                <w:szCs w:val="24"/>
                <w:highlight w:val="none"/>
              </w:rPr>
              <w:t>职称；</w:t>
            </w:r>
            <w:r>
              <w:rPr>
                <w:rFonts w:hint="eastAsia"/>
                <w:color w:val="auto"/>
                <w:w w:val="95"/>
                <w:sz w:val="24"/>
                <w:szCs w:val="24"/>
                <w:highlight w:val="none"/>
              </w:rPr>
              <w:t>持有有效的</w:t>
            </w:r>
            <w:r>
              <w:rPr>
                <w:rFonts w:hint="eastAsia"/>
                <w:color w:val="auto"/>
                <w:sz w:val="24"/>
                <w:szCs w:val="24"/>
                <w:highlight w:val="none"/>
              </w:rPr>
              <w:t>安全生产考核合格证书(B</w:t>
            </w:r>
            <w:r>
              <w:rPr>
                <w:rFonts w:hint="eastAsia"/>
                <w:color w:val="auto"/>
                <w:spacing w:val="-3"/>
                <w:sz w:val="24"/>
                <w:szCs w:val="24"/>
                <w:highlight w:val="none"/>
              </w:rPr>
              <w:t xml:space="preserve"> </w:t>
            </w:r>
            <w:r>
              <w:rPr>
                <w:rFonts w:hint="eastAsia"/>
                <w:color w:val="auto"/>
                <w:sz w:val="24"/>
                <w:szCs w:val="24"/>
                <w:highlight w:val="none"/>
              </w:rPr>
              <w:t>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8" w:type="dxa"/>
            <w:vAlign w:val="center"/>
          </w:tcPr>
          <w:p>
            <w:pPr>
              <w:pStyle w:val="21"/>
              <w:spacing w:before="8"/>
              <w:jc w:val="center"/>
              <w:rPr>
                <w:color w:val="auto"/>
                <w:sz w:val="24"/>
                <w:szCs w:val="24"/>
              </w:rPr>
            </w:pPr>
            <w:r>
              <w:rPr>
                <w:rFonts w:hint="eastAsia"/>
                <w:color w:val="auto"/>
                <w:sz w:val="24"/>
                <w:szCs w:val="24"/>
              </w:rPr>
              <w:t>道路工程师</w:t>
            </w:r>
          </w:p>
        </w:tc>
        <w:tc>
          <w:tcPr>
            <w:tcW w:w="2161" w:type="dxa"/>
            <w:vAlign w:val="center"/>
          </w:tcPr>
          <w:p>
            <w:pPr>
              <w:pStyle w:val="21"/>
              <w:spacing w:before="8"/>
              <w:jc w:val="center"/>
              <w:rPr>
                <w:color w:val="auto"/>
                <w:sz w:val="24"/>
                <w:szCs w:val="24"/>
              </w:rPr>
            </w:pPr>
            <w:r>
              <w:rPr>
                <w:color w:val="auto"/>
                <w:sz w:val="24"/>
                <w:szCs w:val="24"/>
              </w:rPr>
              <w:t>1</w:t>
            </w:r>
          </w:p>
        </w:tc>
        <w:tc>
          <w:tcPr>
            <w:tcW w:w="4282" w:type="dxa"/>
            <w:vAlign w:val="center"/>
          </w:tcPr>
          <w:p>
            <w:pPr>
              <w:pStyle w:val="21"/>
              <w:spacing w:before="8"/>
              <w:jc w:val="both"/>
              <w:rPr>
                <w:color w:val="auto"/>
                <w:sz w:val="24"/>
                <w:szCs w:val="24"/>
              </w:rPr>
            </w:pPr>
            <w:r>
              <w:rPr>
                <w:rFonts w:hint="eastAsia"/>
                <w:color w:val="auto"/>
                <w:w w:val="95"/>
                <w:sz w:val="24"/>
                <w:szCs w:val="24"/>
                <w:highlight w:val="none"/>
              </w:rPr>
              <w:t>公路工程相关专业工程师及以上</w:t>
            </w:r>
            <w:r>
              <w:rPr>
                <w:rFonts w:hint="eastAsia"/>
                <w:color w:val="auto"/>
                <w:sz w:val="24"/>
                <w:szCs w:val="24"/>
                <w:highlight w:val="none"/>
              </w:rPr>
              <w:t>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2448" w:type="dxa"/>
            <w:vAlign w:val="center"/>
          </w:tcPr>
          <w:p>
            <w:pPr>
              <w:pStyle w:val="21"/>
              <w:spacing w:before="8"/>
              <w:jc w:val="center"/>
              <w:rPr>
                <w:color w:val="auto"/>
                <w:sz w:val="24"/>
                <w:szCs w:val="24"/>
              </w:rPr>
            </w:pPr>
            <w:r>
              <w:rPr>
                <w:rFonts w:hint="eastAsia"/>
                <w:color w:val="auto"/>
                <w:sz w:val="24"/>
                <w:szCs w:val="24"/>
              </w:rPr>
              <w:t>试验工程师</w:t>
            </w:r>
          </w:p>
        </w:tc>
        <w:tc>
          <w:tcPr>
            <w:tcW w:w="2161" w:type="dxa"/>
            <w:vAlign w:val="center"/>
          </w:tcPr>
          <w:p>
            <w:pPr>
              <w:pStyle w:val="21"/>
              <w:spacing w:before="8"/>
              <w:jc w:val="center"/>
              <w:rPr>
                <w:color w:val="auto"/>
                <w:sz w:val="24"/>
                <w:szCs w:val="24"/>
              </w:rPr>
            </w:pPr>
            <w:r>
              <w:rPr>
                <w:color w:val="auto"/>
                <w:sz w:val="24"/>
                <w:szCs w:val="24"/>
              </w:rPr>
              <w:t>1</w:t>
            </w:r>
          </w:p>
        </w:tc>
        <w:tc>
          <w:tcPr>
            <w:tcW w:w="4282" w:type="dxa"/>
            <w:vAlign w:val="center"/>
          </w:tcPr>
          <w:p>
            <w:pPr>
              <w:pStyle w:val="21"/>
              <w:spacing w:before="8"/>
              <w:jc w:val="both"/>
              <w:rPr>
                <w:color w:val="auto"/>
                <w:sz w:val="24"/>
                <w:szCs w:val="24"/>
              </w:rPr>
            </w:pPr>
            <w:r>
              <w:rPr>
                <w:color w:val="auto"/>
                <w:sz w:val="24"/>
                <w:szCs w:val="24"/>
              </w:rPr>
              <w:t>公路工程及公路相关专业初级及以上职称，持有路桥工程专业试验员资格证书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8" w:type="dxa"/>
            <w:vAlign w:val="center"/>
          </w:tcPr>
          <w:p>
            <w:pPr>
              <w:pStyle w:val="21"/>
              <w:spacing w:before="8"/>
              <w:jc w:val="center"/>
              <w:rPr>
                <w:color w:val="auto"/>
                <w:sz w:val="24"/>
                <w:szCs w:val="24"/>
              </w:rPr>
            </w:pPr>
            <w:r>
              <w:rPr>
                <w:rFonts w:hint="eastAsia"/>
                <w:color w:val="auto"/>
                <w:sz w:val="24"/>
                <w:szCs w:val="24"/>
              </w:rPr>
              <w:t>安全员</w:t>
            </w:r>
          </w:p>
        </w:tc>
        <w:tc>
          <w:tcPr>
            <w:tcW w:w="2161" w:type="dxa"/>
            <w:vAlign w:val="center"/>
          </w:tcPr>
          <w:p>
            <w:pPr>
              <w:pStyle w:val="21"/>
              <w:spacing w:before="8"/>
              <w:jc w:val="center"/>
              <w:rPr>
                <w:color w:val="auto"/>
                <w:sz w:val="24"/>
                <w:szCs w:val="24"/>
              </w:rPr>
            </w:pPr>
            <w:r>
              <w:rPr>
                <w:rFonts w:hint="eastAsia"/>
                <w:color w:val="auto"/>
                <w:sz w:val="24"/>
                <w:szCs w:val="24"/>
              </w:rPr>
              <w:t>1</w:t>
            </w:r>
          </w:p>
        </w:tc>
        <w:tc>
          <w:tcPr>
            <w:tcW w:w="4282" w:type="dxa"/>
            <w:vAlign w:val="center"/>
          </w:tcPr>
          <w:p>
            <w:pPr>
              <w:pStyle w:val="21"/>
              <w:spacing w:before="8"/>
              <w:jc w:val="both"/>
              <w:rPr>
                <w:color w:val="auto"/>
                <w:sz w:val="24"/>
                <w:szCs w:val="24"/>
              </w:rPr>
            </w:pPr>
            <w:r>
              <w:rPr>
                <w:color w:val="auto"/>
                <w:sz w:val="24"/>
                <w:szCs w:val="24"/>
              </w:rPr>
              <w:t>安全员C证及以上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8" w:type="dxa"/>
          </w:tcPr>
          <w:p>
            <w:pPr>
              <w:pStyle w:val="21"/>
              <w:rPr>
                <w:color w:val="auto"/>
                <w:sz w:val="18"/>
              </w:rPr>
            </w:pPr>
          </w:p>
        </w:tc>
        <w:tc>
          <w:tcPr>
            <w:tcW w:w="2161" w:type="dxa"/>
          </w:tcPr>
          <w:p>
            <w:pPr>
              <w:pStyle w:val="21"/>
              <w:rPr>
                <w:color w:val="auto"/>
                <w:sz w:val="18"/>
              </w:rPr>
            </w:pPr>
          </w:p>
        </w:tc>
        <w:tc>
          <w:tcPr>
            <w:tcW w:w="4282" w:type="dxa"/>
          </w:tcPr>
          <w:p>
            <w:pPr>
              <w:pStyle w:val="21"/>
              <w:rPr>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8" w:type="dxa"/>
          </w:tcPr>
          <w:p>
            <w:pPr>
              <w:pStyle w:val="21"/>
              <w:rPr>
                <w:sz w:val="18"/>
              </w:rPr>
            </w:pPr>
          </w:p>
        </w:tc>
        <w:tc>
          <w:tcPr>
            <w:tcW w:w="2161" w:type="dxa"/>
          </w:tcPr>
          <w:p>
            <w:pPr>
              <w:pStyle w:val="21"/>
              <w:rPr>
                <w:sz w:val="18"/>
              </w:rPr>
            </w:pPr>
          </w:p>
        </w:tc>
        <w:tc>
          <w:tcPr>
            <w:tcW w:w="4282"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8" w:type="dxa"/>
          </w:tcPr>
          <w:p>
            <w:pPr>
              <w:pStyle w:val="21"/>
              <w:rPr>
                <w:sz w:val="18"/>
              </w:rPr>
            </w:pPr>
          </w:p>
        </w:tc>
        <w:tc>
          <w:tcPr>
            <w:tcW w:w="2161" w:type="dxa"/>
          </w:tcPr>
          <w:p>
            <w:pPr>
              <w:pStyle w:val="21"/>
              <w:rPr>
                <w:sz w:val="18"/>
              </w:rPr>
            </w:pPr>
          </w:p>
        </w:tc>
        <w:tc>
          <w:tcPr>
            <w:tcW w:w="4282"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8" w:type="dxa"/>
          </w:tcPr>
          <w:p>
            <w:pPr>
              <w:pStyle w:val="21"/>
              <w:rPr>
                <w:sz w:val="18"/>
              </w:rPr>
            </w:pPr>
          </w:p>
        </w:tc>
        <w:tc>
          <w:tcPr>
            <w:tcW w:w="2161" w:type="dxa"/>
          </w:tcPr>
          <w:p>
            <w:pPr>
              <w:pStyle w:val="21"/>
              <w:rPr>
                <w:sz w:val="18"/>
              </w:rPr>
            </w:pPr>
          </w:p>
        </w:tc>
        <w:tc>
          <w:tcPr>
            <w:tcW w:w="4282"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8" w:type="dxa"/>
          </w:tcPr>
          <w:p>
            <w:pPr>
              <w:pStyle w:val="21"/>
              <w:rPr>
                <w:sz w:val="18"/>
              </w:rPr>
            </w:pPr>
          </w:p>
        </w:tc>
        <w:tc>
          <w:tcPr>
            <w:tcW w:w="2161" w:type="dxa"/>
          </w:tcPr>
          <w:p>
            <w:pPr>
              <w:pStyle w:val="21"/>
              <w:rPr>
                <w:sz w:val="18"/>
              </w:rPr>
            </w:pPr>
          </w:p>
        </w:tc>
        <w:tc>
          <w:tcPr>
            <w:tcW w:w="4282"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8" w:type="dxa"/>
          </w:tcPr>
          <w:p>
            <w:pPr>
              <w:pStyle w:val="21"/>
              <w:rPr>
                <w:sz w:val="18"/>
              </w:rPr>
            </w:pPr>
          </w:p>
        </w:tc>
        <w:tc>
          <w:tcPr>
            <w:tcW w:w="2161" w:type="dxa"/>
          </w:tcPr>
          <w:p>
            <w:pPr>
              <w:pStyle w:val="21"/>
              <w:rPr>
                <w:sz w:val="18"/>
              </w:rPr>
            </w:pPr>
          </w:p>
        </w:tc>
        <w:tc>
          <w:tcPr>
            <w:tcW w:w="4282" w:type="dxa"/>
          </w:tcPr>
          <w:p>
            <w:pPr>
              <w:pStyle w:val="21"/>
              <w:rPr>
                <w:sz w:val="18"/>
              </w:rPr>
            </w:pPr>
          </w:p>
        </w:tc>
      </w:tr>
    </w:tbl>
    <w:p>
      <w:pPr>
        <w:pStyle w:val="22"/>
        <w:ind w:firstLine="0" w:firstLineChars="0"/>
        <w:rPr>
          <w:rFonts w:ascii="宋体" w:hAnsi="宋体"/>
        </w:rPr>
      </w:pPr>
    </w:p>
    <w:p>
      <w:pPr>
        <w:pStyle w:val="22"/>
        <w:ind w:firstLine="0" w:firstLineChars="0"/>
        <w:rPr>
          <w:rFonts w:ascii="宋体" w:hAnsi="宋体"/>
        </w:rPr>
      </w:pPr>
      <w:r>
        <w:rPr>
          <w:rFonts w:hint="eastAsia" w:ascii="宋体" w:hAnsi="宋体"/>
        </w:rPr>
        <w:t>注：1、以上所列</w:t>
      </w:r>
      <w:r>
        <w:rPr>
          <w:rFonts w:hint="eastAsia" w:ascii="宋体" w:hAnsi="宋体"/>
          <w:lang w:val="en-US" w:eastAsia="zh-CN"/>
        </w:rPr>
        <w:t>人员</w:t>
      </w:r>
      <w:r>
        <w:rPr>
          <w:rFonts w:hint="eastAsia" w:ascii="宋体" w:hAnsi="宋体"/>
        </w:rPr>
        <w:t>须为投标人的本单位人员，需提供人员职称证书、相关专业毕业证书的扫描件。</w:t>
      </w:r>
    </w:p>
    <w:p>
      <w:pPr>
        <w:pStyle w:val="22"/>
        <w:ind w:firstLine="420" w:firstLineChars="200"/>
        <w:rPr>
          <w:rFonts w:ascii="宋体" w:hAnsi="宋体"/>
        </w:rPr>
      </w:pPr>
      <w:r>
        <w:rPr>
          <w:rFonts w:hint="eastAsia" w:ascii="宋体" w:hAnsi="宋体"/>
        </w:rPr>
        <w:t>2、试验工程师需提供毕业证书、职称证书、路桥工程专业试业员资格证书扫描件。</w:t>
      </w:r>
    </w:p>
    <w:p>
      <w:pPr>
        <w:pStyle w:val="22"/>
        <w:ind w:firstLine="420" w:firstLineChars="200"/>
        <w:rPr>
          <w:rFonts w:ascii="宋体" w:hAnsi="宋体"/>
        </w:rPr>
      </w:pPr>
      <w:r>
        <w:rPr>
          <w:rFonts w:hint="eastAsia" w:ascii="宋体" w:hAnsi="宋体"/>
        </w:rPr>
        <w:t>3、安全员须提供安全员C类及以上证书扫描件，且在有效期内。</w:t>
      </w:r>
    </w:p>
    <w:p>
      <w:pPr>
        <w:pStyle w:val="10"/>
        <w:spacing w:before="3"/>
        <w:rPr>
          <w:sz w:val="5"/>
        </w:rPr>
      </w:pPr>
    </w:p>
    <w:p>
      <w:pPr>
        <w:pStyle w:val="10"/>
        <w:spacing w:before="4"/>
        <w:rPr>
          <w:sz w:val="16"/>
        </w:rPr>
      </w:pPr>
      <w:bookmarkStart w:id="78" w:name="附件五_主要机械设备和试验检测设备最低要求_"/>
      <w:bookmarkEnd w:id="78"/>
    </w:p>
    <w:p>
      <w:pPr>
        <w:pStyle w:val="11"/>
      </w:pPr>
    </w:p>
    <w:p>
      <w:pPr>
        <w:pStyle w:val="11"/>
        <w:rPr>
          <w:sz w:val="16"/>
        </w:rPr>
      </w:pPr>
    </w:p>
    <w:p>
      <w:pPr>
        <w:rPr>
          <w:sz w:val="16"/>
        </w:rPr>
      </w:pPr>
    </w:p>
    <w:p>
      <w:pPr>
        <w:pStyle w:val="17"/>
        <w:rPr>
          <w:sz w:val="16"/>
        </w:rPr>
      </w:pPr>
    </w:p>
    <w:p>
      <w:pPr>
        <w:pStyle w:val="17"/>
        <w:rPr>
          <w:sz w:val="16"/>
        </w:rPr>
      </w:pPr>
    </w:p>
    <w:p>
      <w:pPr>
        <w:pStyle w:val="17"/>
        <w:rPr>
          <w:sz w:val="16"/>
        </w:rPr>
      </w:pPr>
    </w:p>
    <w:p>
      <w:pPr>
        <w:pStyle w:val="17"/>
        <w:rPr>
          <w:sz w:val="16"/>
        </w:rPr>
      </w:pPr>
    </w:p>
    <w:p>
      <w:pPr>
        <w:pStyle w:val="17"/>
        <w:rPr>
          <w:sz w:val="16"/>
        </w:rPr>
      </w:pPr>
    </w:p>
    <w:p>
      <w:pPr>
        <w:pStyle w:val="17"/>
        <w:rPr>
          <w:sz w:val="16"/>
        </w:rPr>
      </w:pPr>
    </w:p>
    <w:p>
      <w:pPr>
        <w:pStyle w:val="10"/>
        <w:spacing w:before="85"/>
        <w:ind w:left="583"/>
        <w:rPr>
          <w:rFonts w:hint="eastAsia"/>
        </w:rPr>
      </w:pPr>
    </w:p>
    <w:p>
      <w:pPr>
        <w:pStyle w:val="10"/>
        <w:spacing w:before="85"/>
        <w:ind w:left="583"/>
        <w:rPr>
          <w:sz w:val="12"/>
        </w:rPr>
      </w:pPr>
      <w:r>
        <w:rPr>
          <w:rFonts w:hint="eastAsia"/>
        </w:rPr>
        <w:t>附件五 主要机械设备和试验检测设备最低要求</w:t>
      </w:r>
    </w:p>
    <w:p>
      <w:pPr>
        <w:pStyle w:val="10"/>
        <w:rPr>
          <w:sz w:val="20"/>
        </w:rPr>
      </w:pPr>
    </w:p>
    <w:p>
      <w:pPr>
        <w:pStyle w:val="10"/>
        <w:spacing w:before="4"/>
        <w:rPr>
          <w:sz w:val="11"/>
        </w:rPr>
      </w:pPr>
    </w:p>
    <w:tbl>
      <w:tblPr>
        <w:tblStyle w:val="18"/>
        <w:tblW w:w="8557" w:type="dxa"/>
        <w:tblInd w:w="4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2"/>
        <w:gridCol w:w="2745"/>
        <w:gridCol w:w="1386"/>
        <w:gridCol w:w="21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pPr>
              <w:pStyle w:val="21"/>
              <w:spacing w:before="203"/>
              <w:ind w:left="636"/>
              <w:rPr>
                <w:sz w:val="24"/>
              </w:rPr>
            </w:pPr>
            <w:r>
              <w:rPr>
                <w:rFonts w:hint="eastAsia"/>
                <w:sz w:val="24"/>
              </w:rPr>
              <w:t>设备名称</w:t>
            </w:r>
          </w:p>
        </w:tc>
        <w:tc>
          <w:tcPr>
            <w:tcW w:w="2745" w:type="dxa"/>
          </w:tcPr>
          <w:p>
            <w:pPr>
              <w:pStyle w:val="21"/>
              <w:spacing w:before="203"/>
              <w:ind w:left="411"/>
              <w:rPr>
                <w:sz w:val="24"/>
              </w:rPr>
            </w:pPr>
            <w:r>
              <w:rPr>
                <w:rFonts w:hint="eastAsia"/>
                <w:sz w:val="24"/>
              </w:rPr>
              <w:t>规格、功率及容量</w:t>
            </w:r>
          </w:p>
        </w:tc>
        <w:tc>
          <w:tcPr>
            <w:tcW w:w="1386" w:type="dxa"/>
          </w:tcPr>
          <w:p>
            <w:pPr>
              <w:pStyle w:val="21"/>
              <w:spacing w:before="203"/>
              <w:ind w:left="452"/>
              <w:rPr>
                <w:sz w:val="24"/>
              </w:rPr>
            </w:pPr>
            <w:r>
              <w:rPr>
                <w:rFonts w:hint="eastAsia"/>
                <w:sz w:val="24"/>
              </w:rPr>
              <w:t>单位</w:t>
            </w:r>
          </w:p>
        </w:tc>
        <w:tc>
          <w:tcPr>
            <w:tcW w:w="2194" w:type="dxa"/>
          </w:tcPr>
          <w:p>
            <w:pPr>
              <w:pStyle w:val="21"/>
              <w:spacing w:before="203"/>
              <w:ind w:left="376"/>
              <w:rPr>
                <w:sz w:val="24"/>
              </w:rPr>
            </w:pPr>
            <w:r>
              <w:rPr>
                <w:rFonts w:hint="eastAsia"/>
                <w:sz w:val="24"/>
              </w:rPr>
              <w:t>最低数量要求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pPr>
              <w:pStyle w:val="21"/>
              <w:rPr>
                <w:sz w:val="18"/>
              </w:rPr>
            </w:pPr>
          </w:p>
        </w:tc>
        <w:tc>
          <w:tcPr>
            <w:tcW w:w="2745" w:type="dxa"/>
          </w:tcPr>
          <w:p>
            <w:pPr>
              <w:pStyle w:val="21"/>
              <w:rPr>
                <w:sz w:val="18"/>
              </w:rPr>
            </w:pPr>
          </w:p>
        </w:tc>
        <w:tc>
          <w:tcPr>
            <w:tcW w:w="1386" w:type="dxa"/>
          </w:tcPr>
          <w:p>
            <w:pPr>
              <w:pStyle w:val="21"/>
              <w:rPr>
                <w:sz w:val="18"/>
              </w:rPr>
            </w:pPr>
          </w:p>
        </w:tc>
        <w:tc>
          <w:tcPr>
            <w:tcW w:w="2194"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pPr>
              <w:pStyle w:val="21"/>
              <w:rPr>
                <w:sz w:val="18"/>
              </w:rPr>
            </w:pPr>
          </w:p>
        </w:tc>
        <w:tc>
          <w:tcPr>
            <w:tcW w:w="2745" w:type="dxa"/>
          </w:tcPr>
          <w:p>
            <w:pPr>
              <w:pStyle w:val="21"/>
              <w:rPr>
                <w:sz w:val="18"/>
              </w:rPr>
            </w:pPr>
          </w:p>
        </w:tc>
        <w:tc>
          <w:tcPr>
            <w:tcW w:w="1386" w:type="dxa"/>
          </w:tcPr>
          <w:p>
            <w:pPr>
              <w:pStyle w:val="21"/>
              <w:rPr>
                <w:sz w:val="18"/>
              </w:rPr>
            </w:pPr>
          </w:p>
        </w:tc>
        <w:tc>
          <w:tcPr>
            <w:tcW w:w="2194"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pPr>
              <w:pStyle w:val="21"/>
              <w:rPr>
                <w:sz w:val="18"/>
              </w:rPr>
            </w:pPr>
          </w:p>
        </w:tc>
        <w:tc>
          <w:tcPr>
            <w:tcW w:w="2745" w:type="dxa"/>
          </w:tcPr>
          <w:p>
            <w:pPr>
              <w:pStyle w:val="21"/>
              <w:rPr>
                <w:sz w:val="18"/>
              </w:rPr>
            </w:pPr>
          </w:p>
        </w:tc>
        <w:tc>
          <w:tcPr>
            <w:tcW w:w="1386" w:type="dxa"/>
          </w:tcPr>
          <w:p>
            <w:pPr>
              <w:pStyle w:val="21"/>
              <w:rPr>
                <w:sz w:val="18"/>
              </w:rPr>
            </w:pPr>
          </w:p>
        </w:tc>
        <w:tc>
          <w:tcPr>
            <w:tcW w:w="2194"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pPr>
              <w:pStyle w:val="21"/>
              <w:rPr>
                <w:sz w:val="18"/>
              </w:rPr>
            </w:pPr>
          </w:p>
        </w:tc>
        <w:tc>
          <w:tcPr>
            <w:tcW w:w="2745" w:type="dxa"/>
          </w:tcPr>
          <w:p>
            <w:pPr>
              <w:pStyle w:val="21"/>
              <w:rPr>
                <w:sz w:val="18"/>
              </w:rPr>
            </w:pPr>
          </w:p>
        </w:tc>
        <w:tc>
          <w:tcPr>
            <w:tcW w:w="1386" w:type="dxa"/>
          </w:tcPr>
          <w:p>
            <w:pPr>
              <w:pStyle w:val="21"/>
              <w:rPr>
                <w:sz w:val="18"/>
              </w:rPr>
            </w:pPr>
          </w:p>
        </w:tc>
        <w:tc>
          <w:tcPr>
            <w:tcW w:w="2194"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pPr>
              <w:pStyle w:val="21"/>
              <w:rPr>
                <w:sz w:val="18"/>
              </w:rPr>
            </w:pPr>
          </w:p>
        </w:tc>
        <w:tc>
          <w:tcPr>
            <w:tcW w:w="2745" w:type="dxa"/>
          </w:tcPr>
          <w:p>
            <w:pPr>
              <w:pStyle w:val="21"/>
              <w:rPr>
                <w:sz w:val="18"/>
              </w:rPr>
            </w:pPr>
          </w:p>
        </w:tc>
        <w:tc>
          <w:tcPr>
            <w:tcW w:w="1386" w:type="dxa"/>
          </w:tcPr>
          <w:p>
            <w:pPr>
              <w:pStyle w:val="21"/>
              <w:rPr>
                <w:sz w:val="18"/>
              </w:rPr>
            </w:pPr>
          </w:p>
        </w:tc>
        <w:tc>
          <w:tcPr>
            <w:tcW w:w="2194"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pPr>
              <w:pStyle w:val="21"/>
              <w:rPr>
                <w:sz w:val="18"/>
              </w:rPr>
            </w:pPr>
          </w:p>
        </w:tc>
        <w:tc>
          <w:tcPr>
            <w:tcW w:w="2745" w:type="dxa"/>
          </w:tcPr>
          <w:p>
            <w:pPr>
              <w:pStyle w:val="21"/>
              <w:rPr>
                <w:sz w:val="18"/>
              </w:rPr>
            </w:pPr>
          </w:p>
        </w:tc>
        <w:tc>
          <w:tcPr>
            <w:tcW w:w="1386" w:type="dxa"/>
          </w:tcPr>
          <w:p>
            <w:pPr>
              <w:pStyle w:val="21"/>
              <w:rPr>
                <w:sz w:val="18"/>
              </w:rPr>
            </w:pPr>
          </w:p>
        </w:tc>
        <w:tc>
          <w:tcPr>
            <w:tcW w:w="2194"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pPr>
              <w:pStyle w:val="21"/>
              <w:rPr>
                <w:sz w:val="18"/>
              </w:rPr>
            </w:pPr>
          </w:p>
        </w:tc>
        <w:tc>
          <w:tcPr>
            <w:tcW w:w="2745" w:type="dxa"/>
          </w:tcPr>
          <w:p>
            <w:pPr>
              <w:pStyle w:val="21"/>
              <w:rPr>
                <w:sz w:val="18"/>
              </w:rPr>
            </w:pPr>
          </w:p>
        </w:tc>
        <w:tc>
          <w:tcPr>
            <w:tcW w:w="1386" w:type="dxa"/>
          </w:tcPr>
          <w:p>
            <w:pPr>
              <w:pStyle w:val="21"/>
              <w:rPr>
                <w:sz w:val="18"/>
              </w:rPr>
            </w:pPr>
          </w:p>
        </w:tc>
        <w:tc>
          <w:tcPr>
            <w:tcW w:w="2194"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pPr>
              <w:pStyle w:val="21"/>
              <w:rPr>
                <w:sz w:val="18"/>
              </w:rPr>
            </w:pPr>
          </w:p>
        </w:tc>
        <w:tc>
          <w:tcPr>
            <w:tcW w:w="2745" w:type="dxa"/>
          </w:tcPr>
          <w:p>
            <w:pPr>
              <w:pStyle w:val="21"/>
              <w:rPr>
                <w:sz w:val="18"/>
              </w:rPr>
            </w:pPr>
          </w:p>
        </w:tc>
        <w:tc>
          <w:tcPr>
            <w:tcW w:w="1386" w:type="dxa"/>
          </w:tcPr>
          <w:p>
            <w:pPr>
              <w:pStyle w:val="21"/>
              <w:rPr>
                <w:sz w:val="18"/>
              </w:rPr>
            </w:pPr>
          </w:p>
        </w:tc>
        <w:tc>
          <w:tcPr>
            <w:tcW w:w="2194"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pPr>
              <w:pStyle w:val="21"/>
              <w:rPr>
                <w:sz w:val="18"/>
              </w:rPr>
            </w:pPr>
          </w:p>
        </w:tc>
        <w:tc>
          <w:tcPr>
            <w:tcW w:w="2745" w:type="dxa"/>
          </w:tcPr>
          <w:p>
            <w:pPr>
              <w:pStyle w:val="21"/>
              <w:rPr>
                <w:sz w:val="18"/>
              </w:rPr>
            </w:pPr>
          </w:p>
        </w:tc>
        <w:tc>
          <w:tcPr>
            <w:tcW w:w="1386" w:type="dxa"/>
          </w:tcPr>
          <w:p>
            <w:pPr>
              <w:pStyle w:val="21"/>
              <w:rPr>
                <w:sz w:val="18"/>
              </w:rPr>
            </w:pPr>
          </w:p>
        </w:tc>
        <w:tc>
          <w:tcPr>
            <w:tcW w:w="2194"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pPr>
              <w:pStyle w:val="21"/>
              <w:rPr>
                <w:sz w:val="18"/>
              </w:rPr>
            </w:pPr>
          </w:p>
        </w:tc>
        <w:tc>
          <w:tcPr>
            <w:tcW w:w="2745" w:type="dxa"/>
          </w:tcPr>
          <w:p>
            <w:pPr>
              <w:pStyle w:val="21"/>
              <w:rPr>
                <w:sz w:val="18"/>
              </w:rPr>
            </w:pPr>
          </w:p>
        </w:tc>
        <w:tc>
          <w:tcPr>
            <w:tcW w:w="1386" w:type="dxa"/>
          </w:tcPr>
          <w:p>
            <w:pPr>
              <w:pStyle w:val="21"/>
              <w:rPr>
                <w:sz w:val="18"/>
              </w:rPr>
            </w:pPr>
          </w:p>
        </w:tc>
        <w:tc>
          <w:tcPr>
            <w:tcW w:w="2194"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pPr>
              <w:pStyle w:val="21"/>
              <w:rPr>
                <w:sz w:val="18"/>
              </w:rPr>
            </w:pPr>
          </w:p>
        </w:tc>
        <w:tc>
          <w:tcPr>
            <w:tcW w:w="2745" w:type="dxa"/>
          </w:tcPr>
          <w:p>
            <w:pPr>
              <w:pStyle w:val="21"/>
              <w:rPr>
                <w:sz w:val="18"/>
              </w:rPr>
            </w:pPr>
          </w:p>
        </w:tc>
        <w:tc>
          <w:tcPr>
            <w:tcW w:w="1386" w:type="dxa"/>
          </w:tcPr>
          <w:p>
            <w:pPr>
              <w:pStyle w:val="21"/>
              <w:rPr>
                <w:sz w:val="18"/>
              </w:rPr>
            </w:pPr>
          </w:p>
        </w:tc>
        <w:tc>
          <w:tcPr>
            <w:tcW w:w="2194"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pPr>
              <w:pStyle w:val="21"/>
              <w:rPr>
                <w:sz w:val="18"/>
              </w:rPr>
            </w:pPr>
          </w:p>
        </w:tc>
        <w:tc>
          <w:tcPr>
            <w:tcW w:w="2745" w:type="dxa"/>
          </w:tcPr>
          <w:p>
            <w:pPr>
              <w:pStyle w:val="21"/>
              <w:rPr>
                <w:sz w:val="18"/>
              </w:rPr>
            </w:pPr>
          </w:p>
        </w:tc>
        <w:tc>
          <w:tcPr>
            <w:tcW w:w="1386" w:type="dxa"/>
          </w:tcPr>
          <w:p>
            <w:pPr>
              <w:pStyle w:val="21"/>
              <w:rPr>
                <w:sz w:val="18"/>
              </w:rPr>
            </w:pPr>
          </w:p>
        </w:tc>
        <w:tc>
          <w:tcPr>
            <w:tcW w:w="2194"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pPr>
              <w:pStyle w:val="21"/>
              <w:rPr>
                <w:sz w:val="18"/>
              </w:rPr>
            </w:pPr>
          </w:p>
        </w:tc>
        <w:tc>
          <w:tcPr>
            <w:tcW w:w="2745" w:type="dxa"/>
          </w:tcPr>
          <w:p>
            <w:pPr>
              <w:pStyle w:val="21"/>
              <w:rPr>
                <w:sz w:val="18"/>
              </w:rPr>
            </w:pPr>
          </w:p>
        </w:tc>
        <w:tc>
          <w:tcPr>
            <w:tcW w:w="1386" w:type="dxa"/>
          </w:tcPr>
          <w:p>
            <w:pPr>
              <w:pStyle w:val="21"/>
              <w:rPr>
                <w:sz w:val="18"/>
              </w:rPr>
            </w:pPr>
          </w:p>
        </w:tc>
        <w:tc>
          <w:tcPr>
            <w:tcW w:w="2194"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pPr>
              <w:pStyle w:val="21"/>
              <w:rPr>
                <w:sz w:val="18"/>
              </w:rPr>
            </w:pPr>
          </w:p>
        </w:tc>
        <w:tc>
          <w:tcPr>
            <w:tcW w:w="2745" w:type="dxa"/>
          </w:tcPr>
          <w:p>
            <w:pPr>
              <w:pStyle w:val="21"/>
              <w:rPr>
                <w:sz w:val="18"/>
              </w:rPr>
            </w:pPr>
          </w:p>
        </w:tc>
        <w:tc>
          <w:tcPr>
            <w:tcW w:w="1386" w:type="dxa"/>
          </w:tcPr>
          <w:p>
            <w:pPr>
              <w:pStyle w:val="21"/>
              <w:rPr>
                <w:sz w:val="18"/>
              </w:rPr>
            </w:pPr>
          </w:p>
        </w:tc>
        <w:tc>
          <w:tcPr>
            <w:tcW w:w="2194"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pPr>
              <w:pStyle w:val="21"/>
              <w:rPr>
                <w:sz w:val="18"/>
              </w:rPr>
            </w:pPr>
          </w:p>
        </w:tc>
        <w:tc>
          <w:tcPr>
            <w:tcW w:w="2745" w:type="dxa"/>
          </w:tcPr>
          <w:p>
            <w:pPr>
              <w:pStyle w:val="21"/>
              <w:rPr>
                <w:sz w:val="18"/>
              </w:rPr>
            </w:pPr>
          </w:p>
        </w:tc>
        <w:tc>
          <w:tcPr>
            <w:tcW w:w="1386" w:type="dxa"/>
          </w:tcPr>
          <w:p>
            <w:pPr>
              <w:pStyle w:val="21"/>
              <w:rPr>
                <w:sz w:val="18"/>
              </w:rPr>
            </w:pPr>
          </w:p>
        </w:tc>
        <w:tc>
          <w:tcPr>
            <w:tcW w:w="2194" w:type="dxa"/>
          </w:tcPr>
          <w:p>
            <w:pPr>
              <w:pStyle w:val="21"/>
              <w:rPr>
                <w:sz w:val="18"/>
              </w:rPr>
            </w:pPr>
          </w:p>
        </w:tc>
      </w:tr>
    </w:tbl>
    <w:p>
      <w:pPr>
        <w:pStyle w:val="10"/>
        <w:rPr>
          <w:sz w:val="20"/>
        </w:rPr>
      </w:pPr>
    </w:p>
    <w:p>
      <w:pPr>
        <w:pStyle w:val="10"/>
        <w:rPr>
          <w:sz w:val="20"/>
        </w:rPr>
      </w:pPr>
    </w:p>
    <w:p>
      <w:pPr>
        <w:pStyle w:val="10"/>
        <w:rPr>
          <w:sz w:val="20"/>
        </w:rPr>
      </w:pPr>
    </w:p>
    <w:p>
      <w:pPr>
        <w:pStyle w:val="10"/>
        <w:spacing w:before="12"/>
        <w:rPr>
          <w:sz w:val="22"/>
        </w:rPr>
      </w:pPr>
    </w:p>
    <w:p>
      <w:pPr>
        <w:pStyle w:val="10"/>
        <w:spacing w:before="10"/>
        <w:rPr>
          <w:sz w:val="17"/>
        </w:rPr>
      </w:pPr>
    </w:p>
    <w:p>
      <w:pPr>
        <w:rPr>
          <w:sz w:val="17"/>
        </w:rPr>
        <w:sectPr>
          <w:footerReference r:id="rId12" w:type="default"/>
          <w:pgSz w:w="11910" w:h="16840"/>
          <w:pgMar w:top="1360" w:right="1120" w:bottom="1080" w:left="1260" w:header="882" w:footer="845" w:gutter="0"/>
          <w:cols w:space="720" w:num="1"/>
        </w:sectPr>
      </w:pPr>
    </w:p>
    <w:p>
      <w:pPr>
        <w:pStyle w:val="10"/>
        <w:spacing w:before="67"/>
        <w:ind w:left="583"/>
        <w:rPr>
          <w:rFonts w:hint="eastAsia"/>
        </w:rPr>
      </w:pPr>
      <w:bookmarkStart w:id="79" w:name="附件六_项目经理委任书"/>
      <w:bookmarkEnd w:id="79"/>
    </w:p>
    <w:p>
      <w:pPr>
        <w:pStyle w:val="10"/>
        <w:spacing w:before="67"/>
        <w:ind w:left="583"/>
        <w:rPr>
          <w:rFonts w:hint="eastAsia"/>
        </w:rPr>
      </w:pPr>
    </w:p>
    <w:p>
      <w:pPr>
        <w:pStyle w:val="10"/>
        <w:spacing w:before="67"/>
        <w:ind w:left="583"/>
        <w:rPr>
          <w:rFonts w:hint="eastAsia"/>
        </w:rPr>
      </w:pPr>
    </w:p>
    <w:p>
      <w:pPr>
        <w:pStyle w:val="10"/>
        <w:spacing w:before="67"/>
        <w:ind w:left="583"/>
        <w:rPr>
          <w:rFonts w:hint="eastAsia"/>
        </w:rPr>
      </w:pPr>
    </w:p>
    <w:p>
      <w:pPr>
        <w:pStyle w:val="10"/>
        <w:spacing w:before="67"/>
        <w:ind w:left="583"/>
        <w:rPr>
          <w:rFonts w:hint="eastAsia"/>
        </w:rPr>
      </w:pPr>
    </w:p>
    <w:p>
      <w:pPr>
        <w:pStyle w:val="10"/>
        <w:spacing w:before="67"/>
        <w:ind w:left="583"/>
        <w:rPr>
          <w:rFonts w:hint="eastAsia"/>
        </w:rPr>
      </w:pPr>
    </w:p>
    <w:p>
      <w:pPr>
        <w:pStyle w:val="10"/>
        <w:spacing w:before="67"/>
        <w:ind w:left="583"/>
        <w:rPr>
          <w:rFonts w:hint="eastAsia"/>
        </w:rPr>
      </w:pPr>
    </w:p>
    <w:p>
      <w:pPr>
        <w:pStyle w:val="10"/>
        <w:spacing w:before="67"/>
        <w:ind w:left="583"/>
        <w:rPr>
          <w:rFonts w:hint="eastAsia"/>
        </w:rPr>
      </w:pPr>
    </w:p>
    <w:p>
      <w:pPr>
        <w:pStyle w:val="10"/>
        <w:spacing w:before="67"/>
        <w:ind w:left="583"/>
        <w:rPr>
          <w:rFonts w:hint="eastAsia"/>
        </w:rPr>
      </w:pPr>
    </w:p>
    <w:p>
      <w:pPr>
        <w:pStyle w:val="11"/>
        <w:rPr>
          <w:rFonts w:hint="eastAsia"/>
        </w:rPr>
      </w:pPr>
    </w:p>
    <w:p>
      <w:pPr>
        <w:pStyle w:val="10"/>
        <w:spacing w:before="67"/>
        <w:ind w:left="583"/>
        <w:rPr>
          <w:rFonts w:hint="eastAsia"/>
        </w:rPr>
      </w:pPr>
    </w:p>
    <w:p>
      <w:pPr>
        <w:pStyle w:val="10"/>
        <w:spacing w:before="67"/>
        <w:ind w:left="583"/>
      </w:pPr>
      <w:r>
        <w:rPr>
          <w:rFonts w:hint="eastAsia"/>
        </w:rPr>
        <w:t>附件六 项目经理委任书</w:t>
      </w:r>
    </w:p>
    <w:p>
      <w:pPr>
        <w:pStyle w:val="10"/>
        <w:spacing w:before="5"/>
        <w:rPr>
          <w:sz w:val="32"/>
        </w:rPr>
      </w:pPr>
      <w:r>
        <w:rPr>
          <w:rFonts w:hint="eastAsia"/>
        </w:rPr>
        <w:br w:type="column"/>
      </w:r>
    </w:p>
    <w:p>
      <w:pPr>
        <w:ind w:left="583"/>
        <w:rPr>
          <w:rFonts w:hint="eastAsia"/>
          <w:sz w:val="28"/>
          <w:u w:val="single"/>
        </w:rPr>
      </w:pPr>
    </w:p>
    <w:p>
      <w:pPr>
        <w:ind w:left="583"/>
        <w:rPr>
          <w:sz w:val="28"/>
        </w:rPr>
      </w:pPr>
      <w:r>
        <w:rPr>
          <w:rFonts w:hint="eastAsia"/>
          <w:sz w:val="28"/>
          <w:u w:val="single"/>
        </w:rPr>
        <w:t>（承包人全称）</w:t>
      </w:r>
    </w:p>
    <w:p>
      <w:pPr>
        <w:rPr>
          <w:sz w:val="28"/>
        </w:rPr>
        <w:sectPr>
          <w:type w:val="continuous"/>
          <w:pgSz w:w="11910" w:h="16840"/>
          <w:pgMar w:top="1580" w:right="1120" w:bottom="280" w:left="1260" w:header="720" w:footer="720" w:gutter="0"/>
          <w:cols w:equalWidth="0" w:num="2">
            <w:col w:w="3144" w:space="130"/>
            <w:col w:w="6256"/>
          </w:cols>
        </w:sectPr>
      </w:pPr>
    </w:p>
    <w:p>
      <w:pPr>
        <w:spacing w:before="42"/>
        <w:ind w:left="147"/>
        <w:jc w:val="center"/>
        <w:rPr>
          <w:sz w:val="28"/>
        </w:rPr>
      </w:pPr>
      <w:r>
        <w:rPr>
          <w:rFonts w:hint="eastAsia"/>
          <w:sz w:val="28"/>
          <w:u w:val="single"/>
        </w:rPr>
        <w:t xml:space="preserve">（合同工程名称） </w:t>
      </w:r>
      <w:r>
        <w:rPr>
          <w:rFonts w:hint="eastAsia"/>
          <w:sz w:val="28"/>
        </w:rPr>
        <w:t>项目经理委任书</w:t>
      </w:r>
    </w:p>
    <w:p>
      <w:pPr>
        <w:pStyle w:val="10"/>
        <w:rPr>
          <w:sz w:val="28"/>
        </w:rPr>
      </w:pPr>
    </w:p>
    <w:p>
      <w:pPr>
        <w:pStyle w:val="10"/>
        <w:spacing w:before="7"/>
        <w:rPr>
          <w:sz w:val="41"/>
        </w:rPr>
      </w:pPr>
    </w:p>
    <w:p>
      <w:pPr>
        <w:pStyle w:val="10"/>
        <w:ind w:left="583"/>
      </w:pPr>
      <w:r>
        <w:rPr>
          <w:rFonts w:hint="eastAsia"/>
        </w:rPr>
        <w:t>致：</w:t>
      </w:r>
      <w:r>
        <w:rPr>
          <w:rFonts w:hint="eastAsia"/>
          <w:u w:val="single"/>
        </w:rPr>
        <w:t>（发包人全称）</w:t>
      </w:r>
    </w:p>
    <w:p>
      <w:pPr>
        <w:pStyle w:val="10"/>
        <w:spacing w:before="93" w:line="312" w:lineRule="auto"/>
        <w:ind w:left="384" w:right="382" w:firstLine="616"/>
        <w:jc w:val="both"/>
      </w:pPr>
      <w:r>
        <w:rPr>
          <w:rFonts w:hint="eastAsia"/>
          <w:u w:val="single"/>
        </w:rPr>
        <w:t xml:space="preserve">    （承包人全称）</w:t>
      </w:r>
      <w:r>
        <w:rPr>
          <w:rFonts w:hint="eastAsia"/>
          <w:spacing w:val="-5"/>
        </w:rPr>
        <w:t xml:space="preserve"> 法定代表人</w:t>
      </w:r>
      <w:r>
        <w:rPr>
          <w:rFonts w:hint="eastAsia"/>
          <w:spacing w:val="-5"/>
          <w:u w:val="single"/>
        </w:rPr>
        <w:t xml:space="preserve"> </w:t>
      </w:r>
      <w:r>
        <w:rPr>
          <w:rFonts w:hint="eastAsia"/>
          <w:u w:val="single"/>
        </w:rPr>
        <w:t>（</w:t>
      </w:r>
      <w:r>
        <w:rPr>
          <w:rFonts w:hint="eastAsia"/>
          <w:spacing w:val="-4"/>
          <w:u w:val="single"/>
        </w:rPr>
        <w:t>职务、姓名</w:t>
      </w:r>
      <w:r>
        <w:rPr>
          <w:rFonts w:hint="eastAsia"/>
          <w:u w:val="single"/>
        </w:rPr>
        <w:t>）</w:t>
      </w:r>
      <w:r>
        <w:rPr>
          <w:rFonts w:hint="eastAsia"/>
          <w:spacing w:val="-4"/>
        </w:rPr>
        <w:t xml:space="preserve"> 代表本单位委任</w:t>
      </w:r>
      <w:r>
        <w:rPr>
          <w:rFonts w:hint="eastAsia"/>
          <w:spacing w:val="-4"/>
          <w:u w:val="single"/>
        </w:rPr>
        <w:t xml:space="preserve"> </w:t>
      </w:r>
      <w:r>
        <w:rPr>
          <w:rFonts w:hint="eastAsia"/>
          <w:u w:val="single"/>
        </w:rPr>
        <w:t>（</w:t>
      </w:r>
      <w:r>
        <w:rPr>
          <w:rFonts w:hint="eastAsia"/>
          <w:spacing w:val="-5"/>
          <w:u w:val="single"/>
        </w:rPr>
        <w:t>职务、姓</w:t>
      </w:r>
      <w:r>
        <w:rPr>
          <w:rFonts w:hint="eastAsia"/>
          <w:spacing w:val="-172"/>
          <w:u w:val="single"/>
        </w:rPr>
        <w:t>名</w:t>
      </w:r>
      <w:r>
        <w:rPr>
          <w:rFonts w:hint="eastAsia"/>
          <w:spacing w:val="-220"/>
          <w:u w:val="single"/>
        </w:rPr>
        <w:t>）</w:t>
      </w:r>
      <w:r>
        <w:rPr>
          <w:rFonts w:hint="eastAsia"/>
          <w:spacing w:val="-118"/>
        </w:rPr>
        <w:t xml:space="preserve"> </w:t>
      </w:r>
      <w:r>
        <w:rPr>
          <w:rFonts w:hint="eastAsia"/>
          <w:spacing w:val="-15"/>
        </w:rPr>
        <w:t>为</w:t>
      </w:r>
      <w:r>
        <w:rPr>
          <w:rFonts w:hint="eastAsia"/>
          <w:u w:val="single"/>
        </w:rPr>
        <w:t>（合同工程名称</w:t>
      </w:r>
      <w:r>
        <w:rPr>
          <w:rFonts w:hint="eastAsia"/>
          <w:spacing w:val="-15"/>
          <w:u w:val="single"/>
        </w:rPr>
        <w:t>）</w:t>
      </w:r>
      <w:r>
        <w:rPr>
          <w:rFonts w:hint="eastAsia"/>
          <w:spacing w:val="-5"/>
        </w:rPr>
        <w:t>的项目经理。凡本合同执行中的有关技术、工程进度、现场管理、质量检验、结算与支付等方面工作，由</w:t>
      </w:r>
      <w:r>
        <w:rPr>
          <w:rFonts w:hint="eastAsia"/>
          <w:spacing w:val="-5"/>
          <w:u w:val="single"/>
        </w:rPr>
        <w:t xml:space="preserve"> （姓名） </w:t>
      </w:r>
      <w:r>
        <w:rPr>
          <w:rFonts w:hint="eastAsia"/>
          <w:spacing w:val="-5"/>
        </w:rPr>
        <w:t>代表本单位全面负责。</w:t>
      </w:r>
    </w:p>
    <w:p>
      <w:pPr>
        <w:pStyle w:val="10"/>
        <w:spacing w:before="2"/>
        <w:rPr>
          <w:sz w:val="31"/>
        </w:rPr>
      </w:pPr>
    </w:p>
    <w:p>
      <w:pPr>
        <w:pStyle w:val="10"/>
        <w:tabs>
          <w:tab w:val="left" w:pos="7267"/>
          <w:tab w:val="left" w:pos="7739"/>
          <w:tab w:val="left" w:pos="9059"/>
        </w:tabs>
        <w:spacing w:line="312" w:lineRule="auto"/>
        <w:ind w:left="4987" w:right="346" w:hanging="564"/>
      </w:pPr>
      <w:r>
        <w:rPr>
          <w:rFonts w:hint="eastAsia"/>
        </w:rPr>
        <w:t>承包人：</w:t>
      </w:r>
      <w:r>
        <w:rPr>
          <w:rFonts w:hint="eastAsia"/>
        </w:rPr>
        <w:tab/>
      </w:r>
      <w:r>
        <w:rPr>
          <w:rFonts w:hint="eastAsia"/>
        </w:rPr>
        <w:tab/>
      </w:r>
      <w:r>
        <w:rPr>
          <w:rFonts w:hint="eastAsia"/>
          <w:u w:val="single"/>
        </w:rPr>
        <w:t>（</w:t>
      </w:r>
      <w:r>
        <w:rPr>
          <w:rFonts w:hint="eastAsia"/>
        </w:rPr>
        <w:t>盖单位章</w:t>
      </w:r>
      <w:r>
        <w:rPr>
          <w:rFonts w:hint="eastAsia"/>
          <w:spacing w:val="-18"/>
        </w:rPr>
        <w:t xml:space="preserve">） </w:t>
      </w:r>
      <w:r>
        <w:rPr>
          <w:rFonts w:hint="eastAsia"/>
        </w:rPr>
        <w:t>法定代表人：</w:t>
      </w:r>
      <w:r>
        <w:rPr>
          <w:rFonts w:hint="eastAsia"/>
          <w:u w:val="single"/>
        </w:rPr>
        <w:t xml:space="preserve"> </w:t>
      </w:r>
      <w:r>
        <w:rPr>
          <w:rFonts w:hint="eastAsia"/>
          <w:u w:val="single"/>
        </w:rPr>
        <w:tab/>
      </w:r>
      <w:r>
        <w:rPr>
          <w:rFonts w:hint="eastAsia"/>
          <w:u w:val="single"/>
        </w:rPr>
        <w:t>（职务）</w:t>
      </w:r>
      <w:r>
        <w:rPr>
          <w:rFonts w:hint="eastAsia"/>
          <w:u w:val="single"/>
        </w:rPr>
        <w:tab/>
      </w:r>
    </w:p>
    <w:p>
      <w:pPr>
        <w:pStyle w:val="10"/>
        <w:tabs>
          <w:tab w:val="left" w:pos="7543"/>
          <w:tab w:val="left" w:pos="9059"/>
        </w:tabs>
        <w:spacing w:before="3"/>
        <w:ind w:left="6703"/>
      </w:pPr>
      <w:r>
        <w:rPr>
          <w:rFonts w:hint="eastAsia"/>
          <w:u w:val="single"/>
        </w:rPr>
        <w:t xml:space="preserve"> </w:t>
      </w:r>
      <w:r>
        <w:rPr>
          <w:rFonts w:hint="eastAsia"/>
          <w:u w:val="single"/>
        </w:rPr>
        <w:tab/>
      </w:r>
      <w:r>
        <w:rPr>
          <w:rFonts w:hint="eastAsia"/>
          <w:u w:val="single"/>
        </w:rPr>
        <w:t>（姓名）</w:t>
      </w:r>
      <w:r>
        <w:rPr>
          <w:rFonts w:hint="eastAsia"/>
          <w:u w:val="single"/>
        </w:rPr>
        <w:tab/>
      </w:r>
    </w:p>
    <w:p>
      <w:pPr>
        <w:pStyle w:val="10"/>
        <w:tabs>
          <w:tab w:val="left" w:pos="7543"/>
          <w:tab w:val="left" w:pos="9059"/>
        </w:tabs>
        <w:spacing w:before="90"/>
        <w:ind w:left="6703"/>
      </w:pPr>
      <w:r>
        <w:rPr>
          <w:rFonts w:hint="eastAsia"/>
          <w:u w:val="single"/>
        </w:rPr>
        <w:t xml:space="preserve"> </w:t>
      </w:r>
      <w:r>
        <w:rPr>
          <w:rFonts w:hint="eastAsia"/>
          <w:u w:val="single"/>
        </w:rPr>
        <w:tab/>
      </w:r>
      <w:r>
        <w:rPr>
          <w:rFonts w:hint="eastAsia"/>
          <w:u w:val="single"/>
        </w:rPr>
        <w:t>（签字）</w:t>
      </w:r>
      <w:r>
        <w:rPr>
          <w:rFonts w:hint="eastAsia"/>
          <w:u w:val="single"/>
        </w:rPr>
        <w:tab/>
      </w:r>
    </w:p>
    <w:p>
      <w:pPr>
        <w:pStyle w:val="10"/>
        <w:tabs>
          <w:tab w:val="left" w:pos="7063"/>
          <w:tab w:val="left" w:pos="7903"/>
          <w:tab w:val="left" w:pos="8743"/>
        </w:tabs>
        <w:spacing w:before="94"/>
        <w:ind w:left="6223"/>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0"/>
        <w:rPr>
          <w:sz w:val="20"/>
        </w:rPr>
      </w:pPr>
    </w:p>
    <w:p>
      <w:pPr>
        <w:pStyle w:val="10"/>
        <w:rPr>
          <w:sz w:val="20"/>
        </w:rPr>
      </w:pPr>
    </w:p>
    <w:p>
      <w:pPr>
        <w:pStyle w:val="10"/>
        <w:rPr>
          <w:sz w:val="21"/>
        </w:rPr>
      </w:pPr>
      <w:r>
        <mc:AlternateContent>
          <mc:Choice Requires="wps">
            <w:drawing>
              <wp:anchor distT="0" distB="0" distL="114300" distR="114300" simplePos="0" relativeHeight="251667456" behindDoc="1" locked="0" layoutInCell="1" allowOverlap="1">
                <wp:simplePos x="0" y="0"/>
                <wp:positionH relativeFrom="page">
                  <wp:posOffset>1043305</wp:posOffset>
                </wp:positionH>
                <wp:positionV relativeFrom="paragraph">
                  <wp:posOffset>200660</wp:posOffset>
                </wp:positionV>
                <wp:extent cx="5508625" cy="0"/>
                <wp:effectExtent l="0" t="0" r="0" b="0"/>
                <wp:wrapTopAndBottom/>
                <wp:docPr id="18" name="直线 35"/>
                <wp:cNvGraphicFramePr/>
                <a:graphic xmlns:a="http://schemas.openxmlformats.org/drawingml/2006/main">
                  <a:graphicData uri="http://schemas.microsoft.com/office/word/2010/wordprocessingShape">
                    <wps:wsp>
                      <wps:cNvCnPr/>
                      <wps:spPr>
                        <a:xfrm>
                          <a:off x="0" y="0"/>
                          <a:ext cx="550862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5" o:spid="_x0000_s1026" o:spt="20" style="position:absolute;left:0pt;margin-left:82.15pt;margin-top:15.8pt;height:0pt;width:433.75pt;mso-position-horizontal-relative:page;mso-wrap-distance-bottom:0pt;mso-wrap-distance-top:0pt;z-index:-251649024;mso-width-relative:page;mso-height-relative:page;" filled="f" stroked="t" coordsize="21600,21600" o:gfxdata="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ehEp3V&#10;AAAACgEAAA8AAAAAAAAAAQAgAAAAIgAAAGRycy9kb3ducmV2LnhtbFBLAQIUABQAAAAIAIdO4kC7&#10;5xU+6gEAAN0DAAAOAAAAAAAAAAEAIAAAACQBAABkcnMvZTJvRG9jLnhtbFBLBQYAAAAABgAGAFkB&#10;AACABQAAAAA=&#10;">
                <v:fill on="f" focussize="0,0"/>
                <v:stroke weight="0.72pt" color="#000000" joinstyle="round"/>
                <v:imagedata o:title=""/>
                <o:lock v:ext="edit" aspectratio="f"/>
                <w10:wrap type="topAndBottom"/>
              </v:line>
            </w:pict>
          </mc:Fallback>
        </mc:AlternateContent>
      </w:r>
    </w:p>
    <w:p>
      <w:pPr>
        <w:pStyle w:val="10"/>
        <w:rPr>
          <w:sz w:val="20"/>
        </w:rPr>
      </w:pPr>
    </w:p>
    <w:p>
      <w:pPr>
        <w:pStyle w:val="10"/>
        <w:tabs>
          <w:tab w:val="left" w:pos="2982"/>
        </w:tabs>
        <w:spacing w:before="204"/>
        <w:ind w:left="583"/>
      </w:pPr>
      <w:r>
        <w:rPr>
          <w:rFonts w:hint="eastAsia"/>
        </w:rPr>
        <w:t>抄送：</w:t>
      </w:r>
      <w:r>
        <w:rPr>
          <w:rFonts w:hint="eastAsia"/>
          <w:spacing w:val="119"/>
          <w:u w:val="single"/>
        </w:rPr>
        <w:t xml:space="preserve"> </w:t>
      </w:r>
      <w:r>
        <w:rPr>
          <w:rFonts w:hint="eastAsia"/>
          <w:u w:val="single"/>
        </w:rPr>
        <w:t>（监理人）</w:t>
      </w:r>
      <w:r>
        <w:rPr>
          <w:rFonts w:hint="eastAsia"/>
          <w:u w:val="single"/>
        </w:rPr>
        <w:tab/>
      </w:r>
    </w:p>
    <w:p>
      <w:pPr>
        <w:sectPr>
          <w:type w:val="continuous"/>
          <w:pgSz w:w="11910" w:h="16840"/>
          <w:pgMar w:top="1580" w:right="1120" w:bottom="280" w:left="1260" w:header="720" w:footer="720" w:gutter="0"/>
          <w:cols w:space="720" w:num="1"/>
        </w:sectPr>
      </w:pPr>
    </w:p>
    <w:p>
      <w:pPr>
        <w:pStyle w:val="10"/>
        <w:spacing w:before="4"/>
        <w:rPr>
          <w:sz w:val="19"/>
        </w:rPr>
      </w:pPr>
    </w:p>
    <w:p>
      <w:pPr>
        <w:pStyle w:val="10"/>
        <w:spacing w:before="66"/>
        <w:ind w:left="384"/>
      </w:pPr>
      <w:r>
        <w:rPr>
          <w:rFonts w:hint="eastAsia"/>
        </w:rPr>
        <w:t>附件七 履约保证金格式</w:t>
      </w:r>
    </w:p>
    <w:p>
      <w:pPr>
        <w:pStyle w:val="10"/>
        <w:spacing w:before="93"/>
        <w:ind w:left="583"/>
      </w:pPr>
      <w:r>
        <w:rPr>
          <w:rFonts w:hint="eastAsia"/>
        </w:rPr>
        <w:t>如采用银行保函，格式如下。</w:t>
      </w:r>
    </w:p>
    <w:p>
      <w:pPr>
        <w:pStyle w:val="10"/>
        <w:spacing w:before="9"/>
        <w:rPr>
          <w:sz w:val="29"/>
        </w:rPr>
      </w:pPr>
    </w:p>
    <w:p>
      <w:pPr>
        <w:spacing w:before="62"/>
        <w:ind w:left="149"/>
        <w:jc w:val="center"/>
        <w:rPr>
          <w:sz w:val="28"/>
        </w:rPr>
      </w:pPr>
      <w:r>
        <w:rPr>
          <w:rFonts w:hint="eastAsia"/>
          <w:sz w:val="28"/>
        </w:rPr>
        <w:t>履约保证金</w:t>
      </w:r>
    </w:p>
    <w:p>
      <w:pPr>
        <w:pStyle w:val="10"/>
        <w:rPr>
          <w:sz w:val="20"/>
        </w:rPr>
      </w:pPr>
    </w:p>
    <w:p>
      <w:pPr>
        <w:pStyle w:val="10"/>
        <w:spacing w:before="3"/>
        <w:rPr>
          <w:sz w:val="18"/>
        </w:rPr>
      </w:pPr>
    </w:p>
    <w:p>
      <w:pPr>
        <w:pStyle w:val="10"/>
        <w:tabs>
          <w:tab w:val="left" w:pos="3143"/>
        </w:tabs>
        <w:ind w:left="703"/>
      </w:pPr>
      <w:r>
        <w:rPr>
          <w:rFonts w:hint="eastAsia"/>
          <w:u w:val="single"/>
        </w:rPr>
        <w:t xml:space="preserve"> </w:t>
      </w:r>
      <w:r>
        <w:rPr>
          <w:rFonts w:hint="eastAsia"/>
          <w:u w:val="single"/>
        </w:rPr>
        <w:tab/>
      </w:r>
      <w:r>
        <w:rPr>
          <w:rFonts w:hint="eastAsia"/>
        </w:rPr>
        <w:t>（发包人名称）：</w:t>
      </w:r>
    </w:p>
    <w:p>
      <w:pPr>
        <w:pStyle w:val="10"/>
        <w:spacing w:before="7"/>
        <w:rPr>
          <w:sz w:val="38"/>
        </w:rPr>
      </w:pPr>
    </w:p>
    <w:p>
      <w:pPr>
        <w:pStyle w:val="10"/>
        <w:tabs>
          <w:tab w:val="left" w:pos="2073"/>
          <w:tab w:val="left" w:pos="3371"/>
          <w:tab w:val="left" w:pos="8095"/>
          <w:tab w:val="left" w:pos="8582"/>
        </w:tabs>
        <w:spacing w:line="312" w:lineRule="auto"/>
        <w:ind w:left="384" w:right="462" w:firstLine="600"/>
        <w:jc w:val="both"/>
      </w:pPr>
      <w:r>
        <w:rPr>
          <w:rFonts w:hint="eastAsia"/>
        </w:rPr>
        <w:t>鉴于</w:t>
      </w:r>
      <w:r>
        <w:rPr>
          <w:rFonts w:hint="eastAsia"/>
          <w:u w:val="single"/>
        </w:rPr>
        <w:t xml:space="preserve"> </w:t>
      </w:r>
      <w:r>
        <w:rPr>
          <w:rFonts w:hint="eastAsia"/>
          <w:u w:val="single"/>
        </w:rPr>
        <w:tab/>
      </w:r>
      <w:r>
        <w:rPr>
          <w:rFonts w:hint="eastAsia"/>
          <w:u w:val="single"/>
        </w:rPr>
        <w:tab/>
      </w:r>
      <w:r>
        <w:rPr>
          <w:rFonts w:hint="eastAsia"/>
          <w:spacing w:val="-3"/>
        </w:rPr>
        <w:t>（</w:t>
      </w:r>
      <w:r>
        <w:rPr>
          <w:rFonts w:hint="eastAsia"/>
        </w:rPr>
        <w:t>发包人名称</w:t>
      </w:r>
      <w:r>
        <w:rPr>
          <w:rFonts w:hint="eastAsia"/>
          <w:spacing w:val="-17"/>
        </w:rPr>
        <w:t>，</w:t>
      </w:r>
      <w:r>
        <w:rPr>
          <w:rFonts w:hint="eastAsia"/>
        </w:rPr>
        <w:t>以下简称“发包人</w:t>
      </w:r>
      <w:r>
        <w:rPr>
          <w:rFonts w:hint="eastAsia"/>
          <w:spacing w:val="-8"/>
        </w:rPr>
        <w:t>”）</w:t>
      </w:r>
      <w:r>
        <w:rPr>
          <w:rFonts w:hint="eastAsia"/>
        </w:rPr>
        <w:t>接受</w:t>
      </w:r>
      <w:r>
        <w:rPr>
          <w:rFonts w:hint="eastAsia"/>
          <w:u w:val="single"/>
        </w:rPr>
        <w:t xml:space="preserve"> </w:t>
      </w:r>
      <w:r>
        <w:rPr>
          <w:rFonts w:hint="eastAsia"/>
          <w:u w:val="single"/>
        </w:rPr>
        <w:tab/>
      </w:r>
      <w:r>
        <w:rPr>
          <w:rFonts w:hint="eastAsia"/>
          <w:u w:val="single"/>
        </w:rPr>
        <w:tab/>
      </w:r>
      <w:r>
        <w:rPr>
          <w:rFonts w:hint="eastAsia"/>
        </w:rPr>
        <w:t>（</w:t>
      </w:r>
      <w:r>
        <w:rPr>
          <w:rFonts w:hint="eastAsia"/>
          <w:spacing w:val="-17"/>
        </w:rPr>
        <w:t>承</w:t>
      </w:r>
      <w:r>
        <w:rPr>
          <w:rFonts w:hint="eastAsia"/>
        </w:rPr>
        <w:t>包人名称，以下简称“承包人”）于</w:t>
      </w:r>
      <w:r>
        <w:rPr>
          <w:rFonts w:hint="eastAsia"/>
          <w:u w:val="single"/>
        </w:rPr>
        <w:t xml:space="preserve">    </w:t>
      </w:r>
      <w:r>
        <w:rPr>
          <w:rFonts w:hint="eastAsia"/>
          <w:spacing w:val="14"/>
          <w:u w:val="single"/>
        </w:rPr>
        <w:t xml:space="preserve"> </w:t>
      </w:r>
      <w:r>
        <w:rPr>
          <w:rFonts w:hint="eastAsia"/>
        </w:rPr>
        <w:t>年</w:t>
      </w:r>
      <w:r>
        <w:rPr>
          <w:rFonts w:hint="eastAsia"/>
          <w:u w:val="single"/>
        </w:rPr>
        <w:t xml:space="preserve">   </w:t>
      </w:r>
      <w:r>
        <w:rPr>
          <w:rFonts w:hint="eastAsia"/>
          <w:spacing w:val="12"/>
          <w:u w:val="single"/>
        </w:rPr>
        <w:t xml:space="preserve"> </w:t>
      </w:r>
      <w:r>
        <w:rPr>
          <w:rFonts w:hint="eastAsia"/>
        </w:rPr>
        <w:t>月</w:t>
      </w:r>
      <w:r>
        <w:rPr>
          <w:rFonts w:hint="eastAsia"/>
          <w:u w:val="single"/>
        </w:rPr>
        <w:t xml:space="preserve">   </w:t>
      </w:r>
      <w:r>
        <w:rPr>
          <w:rFonts w:hint="eastAsia"/>
          <w:spacing w:val="10"/>
          <w:u w:val="single"/>
        </w:rPr>
        <w:t xml:space="preserve"> </w:t>
      </w:r>
      <w:r>
        <w:rPr>
          <w:rFonts w:hint="eastAsia"/>
        </w:rPr>
        <w:t>日参加</w:t>
      </w:r>
      <w:r>
        <w:rPr>
          <w:rFonts w:hint="eastAsia"/>
          <w:u w:val="single"/>
        </w:rPr>
        <w:t xml:space="preserve"> </w:t>
      </w:r>
      <w:r>
        <w:rPr>
          <w:rFonts w:hint="eastAsia"/>
          <w:u w:val="single"/>
        </w:rPr>
        <w:tab/>
      </w:r>
      <w:r>
        <w:rPr>
          <w:rFonts w:hint="eastAsia"/>
        </w:rPr>
        <w:t>（项目</w:t>
      </w:r>
      <w:r>
        <w:rPr>
          <w:rFonts w:hint="eastAsia"/>
          <w:spacing w:val="-14"/>
        </w:rPr>
        <w:t>名</w:t>
      </w:r>
      <w:r>
        <w:rPr>
          <w:rFonts w:hint="eastAsia"/>
        </w:rPr>
        <w:t>称）</w:t>
      </w:r>
      <w:r>
        <w:rPr>
          <w:rFonts w:hint="eastAsia"/>
          <w:u w:val="single"/>
        </w:rPr>
        <w:t xml:space="preserve"> </w:t>
      </w:r>
      <w:r>
        <w:rPr>
          <w:rFonts w:hint="eastAsia"/>
          <w:u w:val="single"/>
        </w:rPr>
        <w:tab/>
      </w:r>
      <w:r>
        <w:rPr>
          <w:rFonts w:hint="eastAsia"/>
        </w:rPr>
        <w:t>标段施工的投标。我方愿意无条件地、不可撤销地就承包人履行与你方订立的合同，向你方提供担保。</w:t>
      </w:r>
    </w:p>
    <w:p>
      <w:pPr>
        <w:pStyle w:val="20"/>
        <w:numPr>
          <w:ilvl w:val="0"/>
          <w:numId w:val="58"/>
        </w:numPr>
        <w:tabs>
          <w:tab w:val="left" w:pos="1164"/>
          <w:tab w:val="left" w:pos="5783"/>
          <w:tab w:val="left" w:pos="8003"/>
        </w:tabs>
        <w:spacing w:line="307" w:lineRule="exact"/>
        <w:jc w:val="both"/>
        <w:rPr>
          <w:sz w:val="24"/>
        </w:rPr>
      </w:pPr>
      <w:r>
        <w:rPr>
          <w:rFonts w:hint="eastAsia"/>
          <w:sz w:val="24"/>
        </w:rPr>
        <w:t>担保金额人民币（大写）</w:t>
      </w:r>
      <w:r>
        <w:rPr>
          <w:rFonts w:hint="eastAsia"/>
          <w:sz w:val="24"/>
          <w:u w:val="single"/>
        </w:rPr>
        <w:t xml:space="preserve"> </w:t>
      </w:r>
      <w:r>
        <w:rPr>
          <w:rFonts w:hint="eastAsia"/>
          <w:sz w:val="24"/>
          <w:u w:val="single"/>
        </w:rPr>
        <w:tab/>
      </w:r>
      <w:r>
        <w:rPr>
          <w:rFonts w:hint="eastAsia"/>
          <w:sz w:val="24"/>
        </w:rPr>
        <w:t>元（¥</w:t>
      </w:r>
      <w:r>
        <w:rPr>
          <w:rFonts w:hint="eastAsia"/>
          <w:sz w:val="24"/>
          <w:u w:val="single"/>
        </w:rPr>
        <w:t xml:space="preserve"> </w:t>
      </w:r>
      <w:r>
        <w:rPr>
          <w:rFonts w:hint="eastAsia"/>
          <w:sz w:val="24"/>
          <w:u w:val="single"/>
        </w:rPr>
        <w:tab/>
      </w:r>
      <w:r>
        <w:rPr>
          <w:rFonts w:hint="eastAsia"/>
          <w:sz w:val="24"/>
        </w:rPr>
        <w:t>）。</w:t>
      </w:r>
    </w:p>
    <w:p>
      <w:pPr>
        <w:pStyle w:val="20"/>
        <w:numPr>
          <w:ilvl w:val="0"/>
          <w:numId w:val="58"/>
        </w:numPr>
        <w:tabs>
          <w:tab w:val="left" w:pos="1169"/>
        </w:tabs>
        <w:spacing w:before="94" w:line="312" w:lineRule="auto"/>
        <w:ind w:left="384" w:right="467" w:firstLine="480"/>
        <w:jc w:val="both"/>
        <w:rPr>
          <w:sz w:val="10"/>
        </w:rPr>
      </w:pPr>
      <w:r>
        <w:rPr>
          <w:rFonts w:hint="eastAsia"/>
          <w:spacing w:val="3"/>
          <w:sz w:val="24"/>
        </w:rPr>
        <w:t>担保有效期自发包人与承包人签订的合同生效之日起至发包人签发交工验收证书且承包人按照合同约定缴纳质量保证金之日止。</w:t>
      </w:r>
    </w:p>
    <w:p>
      <w:pPr>
        <w:pStyle w:val="20"/>
        <w:numPr>
          <w:ilvl w:val="0"/>
          <w:numId w:val="58"/>
        </w:numPr>
        <w:tabs>
          <w:tab w:val="left" w:pos="1164"/>
        </w:tabs>
        <w:spacing w:line="312" w:lineRule="auto"/>
        <w:ind w:left="384" w:right="442" w:firstLine="480"/>
        <w:jc w:val="both"/>
        <w:rPr>
          <w:sz w:val="24"/>
        </w:rPr>
      </w:pPr>
      <w:r>
        <w:rPr>
          <w:rFonts w:hint="eastAsia"/>
          <w:spacing w:val="-1"/>
          <w:sz w:val="24"/>
        </w:rPr>
        <w:t xml:space="preserve">在本担保有效期内，因承包人违反合同约定的义务给你方造成经济损失时， </w:t>
      </w:r>
      <w:r>
        <w:rPr>
          <w:rFonts w:hint="eastAsia"/>
          <w:spacing w:val="-2"/>
          <w:sz w:val="24"/>
        </w:rPr>
        <w:t xml:space="preserve">我方在收到你方以书面形式提出的在担保金额内的赔偿要求后，在 </w:t>
      </w:r>
      <w:r>
        <w:rPr>
          <w:rFonts w:hint="eastAsia"/>
          <w:sz w:val="24"/>
        </w:rPr>
        <w:t>7</w:t>
      </w:r>
      <w:r>
        <w:rPr>
          <w:rFonts w:hint="eastAsia"/>
          <w:spacing w:val="11"/>
          <w:sz w:val="24"/>
        </w:rPr>
        <w:t xml:space="preserve"> </w:t>
      </w:r>
      <w:r>
        <w:rPr>
          <w:rFonts w:hint="eastAsia"/>
          <w:sz w:val="24"/>
        </w:rPr>
        <w:t>日内无条件支付，无须你方出具证明或陈述理由。</w:t>
      </w:r>
    </w:p>
    <w:p>
      <w:pPr>
        <w:pStyle w:val="20"/>
        <w:numPr>
          <w:ilvl w:val="0"/>
          <w:numId w:val="58"/>
        </w:numPr>
        <w:tabs>
          <w:tab w:val="left" w:pos="1164"/>
        </w:tabs>
        <w:spacing w:line="312" w:lineRule="auto"/>
        <w:ind w:left="384" w:right="346" w:firstLine="480"/>
        <w:jc w:val="both"/>
        <w:rPr>
          <w:sz w:val="24"/>
        </w:rPr>
      </w:pPr>
      <w:r>
        <w:rPr>
          <w:rFonts w:hint="eastAsia"/>
          <w:spacing w:val="-5"/>
          <w:sz w:val="24"/>
        </w:rPr>
        <w:t xml:space="preserve">发包人和承包人按合同条款第 </w:t>
      </w:r>
      <w:r>
        <w:rPr>
          <w:rFonts w:hint="eastAsia"/>
          <w:sz w:val="24"/>
        </w:rPr>
        <w:t xml:space="preserve">20 </w:t>
      </w:r>
      <w:r>
        <w:rPr>
          <w:rFonts w:hint="eastAsia"/>
          <w:spacing w:val="-5"/>
          <w:sz w:val="24"/>
        </w:rPr>
        <w:t xml:space="preserve">条变更合同时，无论我方是否收到该变更， </w:t>
      </w:r>
      <w:r>
        <w:rPr>
          <w:rFonts w:hint="eastAsia"/>
          <w:sz w:val="24"/>
        </w:rPr>
        <w:t>我方承担本担保规定的义务不变。</w:t>
      </w:r>
    </w:p>
    <w:p>
      <w:pPr>
        <w:pStyle w:val="10"/>
      </w:pPr>
    </w:p>
    <w:p>
      <w:pPr>
        <w:pStyle w:val="10"/>
      </w:pPr>
    </w:p>
    <w:p>
      <w:pPr>
        <w:pStyle w:val="10"/>
        <w:tabs>
          <w:tab w:val="left" w:pos="7739"/>
          <w:tab w:val="left" w:pos="8843"/>
        </w:tabs>
        <w:spacing w:before="186" w:line="312" w:lineRule="auto"/>
        <w:ind w:left="3880" w:right="346"/>
        <w:jc w:val="both"/>
      </w:pPr>
      <w:r>
        <w:rPr>
          <w:rFonts w:hint="eastAsia"/>
        </w:rPr>
        <w:t>担保人名称：</w:t>
      </w:r>
      <w:r>
        <w:rPr>
          <w:rFonts w:hint="eastAsia"/>
        </w:rPr>
        <w:tab/>
      </w:r>
      <w:r>
        <w:rPr>
          <w:rFonts w:hint="eastAsia"/>
          <w:u w:val="single"/>
        </w:rPr>
        <w:t>（</w:t>
      </w:r>
      <w:r>
        <w:rPr>
          <w:rFonts w:hint="eastAsia"/>
        </w:rPr>
        <w:t>盖单位章</w:t>
      </w:r>
      <w:r>
        <w:rPr>
          <w:rFonts w:hint="eastAsia"/>
          <w:spacing w:val="-18"/>
        </w:rPr>
        <w:t xml:space="preserve">） </w:t>
      </w:r>
      <w:r>
        <w:rPr>
          <w:rFonts w:hint="eastAsia"/>
        </w:rPr>
        <w:t xml:space="preserve">法定代表人或其委托代理人：       </w:t>
      </w:r>
      <w:r>
        <w:rPr>
          <w:rFonts w:hint="eastAsia"/>
          <w:spacing w:val="19"/>
        </w:rPr>
        <w:t xml:space="preserve"> </w:t>
      </w:r>
      <w:r>
        <w:rPr>
          <w:rFonts w:hint="eastAsia"/>
          <w:u w:val="single"/>
        </w:rPr>
        <w:t>（</w:t>
      </w:r>
      <w:r>
        <w:rPr>
          <w:rFonts w:hint="eastAsia"/>
        </w:rPr>
        <w:t>签字</w:t>
      </w:r>
      <w:r>
        <w:rPr>
          <w:rFonts w:hint="eastAsia"/>
          <w:spacing w:val="-18"/>
        </w:rPr>
        <w:t xml:space="preserve">） </w:t>
      </w:r>
      <w:r>
        <w:rPr>
          <w:rFonts w:hint="eastAsia"/>
        </w:rPr>
        <w:t xml:space="preserve">地 </w:t>
      </w:r>
      <w:r>
        <w:rPr>
          <w:rFonts w:hint="eastAsia"/>
          <w:spacing w:val="119"/>
        </w:rPr>
        <w:t xml:space="preserve"> </w:t>
      </w:r>
      <w:r>
        <w:rPr>
          <w:rFonts w:hint="eastAsia"/>
        </w:rPr>
        <w:t>址 ：</w:t>
      </w:r>
      <w:r>
        <w:rPr>
          <w:rFonts w:hint="eastAsia"/>
          <w:u w:val="single"/>
        </w:rPr>
        <w:t xml:space="preserve"> </w:t>
      </w:r>
      <w:r>
        <w:rPr>
          <w:rFonts w:hint="eastAsia"/>
          <w:u w:val="single"/>
        </w:rPr>
        <w:tab/>
      </w:r>
      <w:r>
        <w:rPr>
          <w:rFonts w:hint="eastAsia"/>
          <w:u w:val="single"/>
        </w:rPr>
        <w:tab/>
      </w:r>
    </w:p>
    <w:p>
      <w:pPr>
        <w:pStyle w:val="10"/>
        <w:tabs>
          <w:tab w:val="left" w:pos="4600"/>
          <w:tab w:val="left" w:pos="8843"/>
          <w:tab w:val="left" w:pos="8979"/>
        </w:tabs>
        <w:spacing w:before="1" w:line="312" w:lineRule="auto"/>
        <w:ind w:left="3880" w:right="545"/>
      </w:pPr>
      <w:r>
        <w:rPr>
          <w:rFonts w:hint="eastAsia"/>
          <w:spacing w:val="-1"/>
        </w:rPr>
        <w:t>邮</w:t>
      </w:r>
      <w:r>
        <w:rPr>
          <w:rFonts w:hint="eastAsia"/>
        </w:rPr>
        <w:t>政编码：</w:t>
      </w:r>
      <w:r>
        <w:rPr>
          <w:rFonts w:hint="eastAsia"/>
          <w:u w:val="single"/>
        </w:rPr>
        <w:t xml:space="preserve"> </w:t>
      </w:r>
      <w:r>
        <w:rPr>
          <w:rFonts w:hint="eastAsia"/>
          <w:u w:val="single"/>
        </w:rPr>
        <w:tab/>
      </w:r>
      <w:r>
        <w:rPr>
          <w:rFonts w:hint="eastAsia"/>
          <w:u w:val="single"/>
        </w:rPr>
        <w:t xml:space="preserve"> </w:t>
      </w:r>
      <w:r>
        <w:rPr>
          <w:rFonts w:hint="eastAsia"/>
        </w:rPr>
        <w:t>电</w:t>
      </w:r>
      <w:r>
        <w:rPr>
          <w:rFonts w:hint="eastAsia"/>
        </w:rPr>
        <w:tab/>
      </w:r>
      <w:r>
        <w:rPr>
          <w:rFonts w:hint="eastAsia"/>
          <w:spacing w:val="-1"/>
        </w:rPr>
        <w:t>话</w:t>
      </w:r>
      <w:r>
        <w:rPr>
          <w:rFonts w:hint="eastAsia"/>
        </w:rPr>
        <w:t>：</w:t>
      </w:r>
      <w:r>
        <w:rPr>
          <w:rFonts w:hint="eastAsia"/>
          <w:u w:val="single"/>
        </w:rPr>
        <w:t xml:space="preserve"> </w:t>
      </w:r>
      <w:r>
        <w:rPr>
          <w:rFonts w:hint="eastAsia"/>
          <w:u w:val="single"/>
        </w:rPr>
        <w:tab/>
      </w:r>
      <w:r>
        <w:rPr>
          <w:rFonts w:hint="eastAsia"/>
          <w:u w:val="single"/>
        </w:rPr>
        <w:tab/>
      </w:r>
      <w:r>
        <w:rPr>
          <w:rFonts w:hint="eastAsia"/>
          <w:u w:val="single"/>
        </w:rPr>
        <w:t xml:space="preserve"> </w:t>
      </w:r>
      <w:r>
        <w:rPr>
          <w:rFonts w:hint="eastAsia"/>
        </w:rPr>
        <w:t>传</w:t>
      </w:r>
      <w:r>
        <w:rPr>
          <w:rFonts w:hint="eastAsia"/>
        </w:rPr>
        <w:tab/>
      </w:r>
      <w:r>
        <w:rPr>
          <w:rFonts w:hint="eastAsia"/>
          <w:spacing w:val="-1"/>
        </w:rPr>
        <w:t>真</w:t>
      </w:r>
      <w:r>
        <w:rPr>
          <w:rFonts w:hint="eastAsia"/>
        </w:rPr>
        <w:t>：</w:t>
      </w:r>
      <w:r>
        <w:rPr>
          <w:rFonts w:hint="eastAsia"/>
          <w:u w:val="single"/>
        </w:rPr>
        <w:t xml:space="preserve"> </w:t>
      </w:r>
      <w:r>
        <w:rPr>
          <w:rFonts w:hint="eastAsia"/>
          <w:u w:val="single"/>
        </w:rPr>
        <w:tab/>
      </w:r>
      <w:r>
        <w:rPr>
          <w:rFonts w:hint="eastAsia"/>
          <w:u w:val="single"/>
        </w:rPr>
        <w:tab/>
      </w:r>
    </w:p>
    <w:p>
      <w:pPr>
        <w:pStyle w:val="10"/>
        <w:tabs>
          <w:tab w:val="left" w:pos="5499"/>
          <w:tab w:val="left" w:pos="6520"/>
          <w:tab w:val="left" w:pos="7480"/>
        </w:tabs>
        <w:spacing w:before="1"/>
        <w:ind w:left="4600"/>
      </w:pPr>
      <w:r>
        <w:rPr>
          <w:rFonts w:hint="eastAsia"/>
          <w:u w:val="single"/>
        </w:rPr>
        <w:t xml:space="preserve"> </w:t>
      </w:r>
      <w:r>
        <w:rPr>
          <w:rFonts w:hint="eastAsia"/>
          <w:u w:val="single"/>
        </w:rPr>
        <w:tab/>
      </w:r>
      <w:r>
        <w:rPr>
          <w:rFonts w:hint="eastAsia"/>
          <w:spacing w:val="1"/>
        </w:rPr>
        <w:t xml:space="preserve"> </w:t>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0"/>
        <w:rPr>
          <w:sz w:val="20"/>
        </w:rPr>
      </w:pPr>
    </w:p>
    <w:p>
      <w:pPr>
        <w:pStyle w:val="10"/>
        <w:rPr>
          <w:sz w:val="20"/>
        </w:rPr>
      </w:pPr>
    </w:p>
    <w:p>
      <w:pPr>
        <w:pStyle w:val="10"/>
        <w:rPr>
          <w:sz w:val="20"/>
        </w:rPr>
      </w:pPr>
    </w:p>
    <w:p>
      <w:pPr>
        <w:pStyle w:val="10"/>
        <w:spacing w:before="8"/>
        <w:rPr>
          <w:sz w:val="22"/>
        </w:rPr>
      </w:pPr>
    </w:p>
    <w:p>
      <w:pPr>
        <w:pStyle w:val="10"/>
        <w:spacing w:before="9"/>
        <w:rPr>
          <w:sz w:val="8"/>
        </w:rPr>
      </w:pPr>
    </w:p>
    <w:p>
      <w:pPr>
        <w:pStyle w:val="10"/>
        <w:spacing w:before="10"/>
        <w:rPr>
          <w:sz w:val="17"/>
        </w:rPr>
      </w:pPr>
      <w:bookmarkStart w:id="80" w:name="附件八_工程资金监管协议格式"/>
      <w:bookmarkEnd w:id="80"/>
    </w:p>
    <w:p>
      <w:pPr>
        <w:pStyle w:val="11"/>
        <w:rPr>
          <w:sz w:val="17"/>
        </w:rPr>
      </w:pPr>
    </w:p>
    <w:p>
      <w:pPr>
        <w:rPr>
          <w:sz w:val="17"/>
        </w:rPr>
      </w:pPr>
    </w:p>
    <w:p>
      <w:pPr>
        <w:pStyle w:val="17"/>
        <w:rPr>
          <w:sz w:val="17"/>
        </w:rPr>
      </w:pPr>
    </w:p>
    <w:p>
      <w:pPr>
        <w:pStyle w:val="17"/>
        <w:rPr>
          <w:sz w:val="17"/>
        </w:rPr>
      </w:pPr>
    </w:p>
    <w:p>
      <w:pPr>
        <w:pStyle w:val="10"/>
        <w:spacing w:before="67"/>
        <w:ind w:left="583"/>
      </w:pPr>
      <w:r>
        <w:rPr>
          <w:rFonts w:hint="eastAsia"/>
        </w:rPr>
        <w:t>附件八 工程资金监管协议格式</w:t>
      </w:r>
    </w:p>
    <w:p>
      <w:pPr>
        <w:pStyle w:val="10"/>
        <w:spacing w:before="71" w:line="295" w:lineRule="auto"/>
        <w:ind w:left="384" w:right="346" w:firstLine="480"/>
      </w:pPr>
      <w:r>
        <w:rPr>
          <w:rFonts w:hint="eastAsia"/>
        </w:rPr>
        <w:t>（发包人与承包人签订合同协议书时应与发包人指定的银行签署工程资金监管</w:t>
      </w:r>
      <w:r>
        <w:rPr>
          <w:rFonts w:hint="eastAsia"/>
          <w:spacing w:val="-10"/>
        </w:rPr>
        <w:t>协议，工程资金监管协议内容在保证本项目资金有效监管的前提下由三方共同商定</w:t>
      </w:r>
      <w:r>
        <w:rPr>
          <w:rFonts w:hint="eastAsia"/>
          <w:spacing w:val="-19"/>
        </w:rPr>
        <w:t>）</w:t>
      </w:r>
    </w:p>
    <w:p>
      <w:pPr>
        <w:pStyle w:val="10"/>
        <w:spacing w:before="1"/>
        <w:rPr>
          <w:sz w:val="26"/>
        </w:rPr>
      </w:pPr>
    </w:p>
    <w:p>
      <w:pPr>
        <w:ind w:left="149"/>
        <w:jc w:val="center"/>
        <w:rPr>
          <w:sz w:val="28"/>
        </w:rPr>
      </w:pPr>
      <w:r>
        <w:rPr>
          <w:rFonts w:hint="eastAsia"/>
          <w:sz w:val="28"/>
        </w:rPr>
        <w:t>工程资金监管协议</w:t>
      </w:r>
    </w:p>
    <w:p>
      <w:pPr>
        <w:pStyle w:val="10"/>
        <w:spacing w:before="3"/>
        <w:rPr>
          <w:sz w:val="35"/>
        </w:rPr>
      </w:pPr>
    </w:p>
    <w:p>
      <w:pPr>
        <w:pStyle w:val="10"/>
        <w:tabs>
          <w:tab w:val="left" w:pos="3463"/>
        </w:tabs>
        <w:spacing w:line="296" w:lineRule="auto"/>
        <w:ind w:left="584"/>
        <w:jc w:val="both"/>
        <w:rPr>
          <w:spacing w:val="-9"/>
        </w:rPr>
      </w:pPr>
      <w:r>
        <w:rPr>
          <w:rFonts w:hint="eastAsia"/>
        </w:rPr>
        <w:t>发包人：</w:t>
      </w:r>
      <w:r>
        <w:rPr>
          <w:rFonts w:hint="eastAsia"/>
          <w:u w:val="single"/>
        </w:rPr>
        <w:t xml:space="preserve"> </w:t>
      </w:r>
      <w:r>
        <w:rPr>
          <w:rFonts w:hint="eastAsia"/>
          <w:u w:val="single"/>
        </w:rPr>
        <w:tab/>
      </w:r>
      <w:r>
        <w:rPr>
          <w:rFonts w:hint="eastAsia"/>
        </w:rPr>
        <w:t>（以下简称“甲方</w:t>
      </w:r>
      <w:r>
        <w:rPr>
          <w:rFonts w:hint="eastAsia"/>
          <w:spacing w:val="-9"/>
        </w:rPr>
        <w:t>”）</w:t>
      </w:r>
    </w:p>
    <w:p>
      <w:pPr>
        <w:pStyle w:val="10"/>
        <w:tabs>
          <w:tab w:val="left" w:pos="3463"/>
        </w:tabs>
        <w:spacing w:line="296" w:lineRule="auto"/>
        <w:ind w:left="584"/>
        <w:jc w:val="both"/>
        <w:rPr>
          <w:spacing w:val="-9"/>
        </w:rPr>
      </w:pPr>
      <w:r>
        <w:rPr>
          <w:rFonts w:hint="eastAsia"/>
        </w:rPr>
        <w:t>承包人：</w:t>
      </w:r>
      <w:r>
        <w:rPr>
          <w:rFonts w:hint="eastAsia"/>
          <w:u w:val="single"/>
        </w:rPr>
        <w:t xml:space="preserve"> </w:t>
      </w:r>
      <w:r>
        <w:rPr>
          <w:rFonts w:hint="eastAsia"/>
          <w:u w:val="single"/>
        </w:rPr>
        <w:tab/>
      </w:r>
      <w:r>
        <w:rPr>
          <w:rFonts w:hint="eastAsia"/>
        </w:rPr>
        <w:t>（以下简称“乙方</w:t>
      </w:r>
      <w:r>
        <w:rPr>
          <w:rFonts w:hint="eastAsia"/>
          <w:spacing w:val="-9"/>
        </w:rPr>
        <w:t xml:space="preserve">”） </w:t>
      </w:r>
    </w:p>
    <w:p>
      <w:pPr>
        <w:pStyle w:val="10"/>
        <w:tabs>
          <w:tab w:val="left" w:pos="3463"/>
        </w:tabs>
        <w:spacing w:line="296" w:lineRule="auto"/>
        <w:ind w:left="584"/>
        <w:jc w:val="both"/>
      </w:pPr>
      <w:r>
        <w:rPr>
          <w:rFonts w:hint="eastAsia"/>
        </w:rPr>
        <w:t>经办银行：</w:t>
      </w:r>
      <w:r>
        <w:rPr>
          <w:rFonts w:hint="eastAsia"/>
          <w:u w:val="single"/>
        </w:rPr>
        <w:t xml:space="preserve"> </w:t>
      </w:r>
      <w:r>
        <w:rPr>
          <w:rFonts w:hint="eastAsia"/>
          <w:u w:val="single"/>
        </w:rPr>
        <w:tab/>
      </w:r>
      <w:r>
        <w:rPr>
          <w:rFonts w:hint="eastAsia"/>
        </w:rPr>
        <w:t>（以下简称“丙方</w:t>
      </w:r>
      <w:r>
        <w:rPr>
          <w:rFonts w:hint="eastAsia"/>
          <w:spacing w:val="-9"/>
        </w:rPr>
        <w:t>”）</w:t>
      </w:r>
    </w:p>
    <w:p>
      <w:pPr>
        <w:pStyle w:val="10"/>
        <w:rPr>
          <w:sz w:val="30"/>
        </w:rPr>
      </w:pPr>
    </w:p>
    <w:p>
      <w:pPr>
        <w:pStyle w:val="10"/>
        <w:tabs>
          <w:tab w:val="left" w:pos="2795"/>
          <w:tab w:val="left" w:pos="7739"/>
        </w:tabs>
        <w:spacing w:line="297" w:lineRule="auto"/>
        <w:ind w:left="384" w:right="346" w:firstLine="480"/>
      </w:pPr>
      <w:r>
        <w:rPr>
          <w:rFonts w:hint="eastAsia"/>
        </w:rPr>
        <w:t>为了促进</w:t>
      </w:r>
      <w:r>
        <w:rPr>
          <w:rFonts w:hint="eastAsia"/>
          <w:u w:val="single"/>
        </w:rPr>
        <w:t xml:space="preserve"> </w:t>
      </w:r>
      <w:r>
        <w:rPr>
          <w:rFonts w:hint="eastAsia"/>
          <w:u w:val="single"/>
        </w:rPr>
        <w:tab/>
      </w:r>
      <w:r>
        <w:rPr>
          <w:rFonts w:hint="eastAsia"/>
        </w:rPr>
        <w:t>（项目名称）的顺利实施，管好用好建设资金，确保工程资金专款专用</w:t>
      </w:r>
      <w:r>
        <w:rPr>
          <w:rFonts w:hint="eastAsia"/>
          <w:spacing w:val="-70"/>
        </w:rPr>
        <w:t>，</w:t>
      </w:r>
      <w:r>
        <w:rPr>
          <w:rFonts w:hint="eastAsia"/>
        </w:rPr>
        <w:t>同时为承包人提供便捷有效的银行业务服务</w:t>
      </w:r>
      <w:r>
        <w:rPr>
          <w:rFonts w:hint="eastAsia"/>
          <w:spacing w:val="-70"/>
        </w:rPr>
        <w:t>，</w:t>
      </w:r>
      <w:r>
        <w:rPr>
          <w:rFonts w:hint="eastAsia"/>
        </w:rPr>
        <w:t>根据</w:t>
      </w:r>
      <w:r>
        <w:rPr>
          <w:rFonts w:hint="eastAsia"/>
          <w:u w:val="single"/>
        </w:rPr>
        <w:t xml:space="preserve"> </w:t>
      </w:r>
      <w:r>
        <w:rPr>
          <w:rFonts w:hint="eastAsia"/>
          <w:u w:val="single"/>
        </w:rPr>
        <w:tab/>
      </w:r>
      <w:r>
        <w:rPr>
          <w:rFonts w:hint="eastAsia"/>
          <w:u w:val="single"/>
        </w:rPr>
        <w:t>（</w:t>
      </w:r>
      <w:r>
        <w:rPr>
          <w:rFonts w:hint="eastAsia"/>
        </w:rPr>
        <w:t>项目名称</w:t>
      </w:r>
      <w:r>
        <w:rPr>
          <w:rFonts w:hint="eastAsia"/>
          <w:spacing w:val="-18"/>
        </w:rPr>
        <w:t xml:space="preserve">） </w:t>
      </w:r>
      <w:r>
        <w:rPr>
          <w:rFonts w:hint="eastAsia"/>
        </w:rPr>
        <w:t>合同条款有关规定，经甲、乙、丙三方协商，达成协议如下：</w:t>
      </w:r>
    </w:p>
    <w:p>
      <w:pPr>
        <w:pStyle w:val="20"/>
        <w:numPr>
          <w:ilvl w:val="0"/>
          <w:numId w:val="59"/>
        </w:numPr>
        <w:tabs>
          <w:tab w:val="left" w:pos="1164"/>
        </w:tabs>
        <w:spacing w:line="304" w:lineRule="exact"/>
        <w:rPr>
          <w:sz w:val="24"/>
        </w:rPr>
      </w:pPr>
      <w:r>
        <w:rPr>
          <w:rFonts w:hint="eastAsia"/>
          <w:sz w:val="24"/>
        </w:rPr>
        <w:t>资金管理的内容</w:t>
      </w:r>
    </w:p>
    <w:p>
      <w:pPr>
        <w:pStyle w:val="20"/>
        <w:numPr>
          <w:ilvl w:val="0"/>
          <w:numId w:val="60"/>
        </w:numPr>
        <w:tabs>
          <w:tab w:val="left" w:pos="1465"/>
          <w:tab w:val="left" w:pos="3568"/>
        </w:tabs>
        <w:spacing w:before="72" w:line="297" w:lineRule="auto"/>
        <w:ind w:right="466" w:firstLine="480"/>
        <w:rPr>
          <w:sz w:val="24"/>
        </w:rPr>
      </w:pPr>
      <w:r>
        <w:rPr>
          <w:rFonts w:hint="eastAsia"/>
          <w:sz w:val="24"/>
        </w:rPr>
        <w:t>乙方为完成</w:t>
      </w:r>
      <w:r>
        <w:rPr>
          <w:rFonts w:hint="eastAsia"/>
          <w:sz w:val="24"/>
          <w:u w:val="single"/>
        </w:rPr>
        <w:t xml:space="preserve"> </w:t>
      </w:r>
      <w:r>
        <w:rPr>
          <w:rFonts w:hint="eastAsia"/>
          <w:sz w:val="24"/>
          <w:u w:val="single"/>
        </w:rPr>
        <w:tab/>
      </w:r>
      <w:r>
        <w:rPr>
          <w:rFonts w:hint="eastAsia"/>
          <w:sz w:val="24"/>
        </w:rPr>
        <w:t>（项目名称</w:t>
      </w:r>
      <w:r>
        <w:rPr>
          <w:rFonts w:hint="eastAsia"/>
          <w:spacing w:val="-29"/>
          <w:sz w:val="24"/>
        </w:rPr>
        <w:t>）</w:t>
      </w:r>
      <w:r>
        <w:rPr>
          <w:rFonts w:hint="eastAsia"/>
          <w:sz w:val="24"/>
        </w:rPr>
        <w:t>工程成立的项目经理部在丙方开设基</w:t>
      </w:r>
      <w:r>
        <w:rPr>
          <w:rFonts w:hint="eastAsia"/>
          <w:spacing w:val="-18"/>
          <w:sz w:val="24"/>
        </w:rPr>
        <w:t>本</w:t>
      </w:r>
      <w:r>
        <w:rPr>
          <w:rFonts w:hint="eastAsia"/>
          <w:sz w:val="24"/>
        </w:rPr>
        <w:t>结算户；</w:t>
      </w:r>
    </w:p>
    <w:p>
      <w:pPr>
        <w:pStyle w:val="20"/>
        <w:numPr>
          <w:ilvl w:val="0"/>
          <w:numId w:val="60"/>
        </w:numPr>
        <w:tabs>
          <w:tab w:val="left" w:pos="1465"/>
        </w:tabs>
        <w:spacing w:line="306" w:lineRule="exact"/>
        <w:ind w:left="1465"/>
        <w:rPr>
          <w:sz w:val="24"/>
        </w:rPr>
      </w:pPr>
      <w:r>
        <w:rPr>
          <w:rFonts w:hint="eastAsia"/>
          <w:sz w:val="24"/>
        </w:rPr>
        <w:t>甲方应按合同规定将工程款汇入乙方在丙方开设的账户；</w:t>
      </w:r>
    </w:p>
    <w:p>
      <w:pPr>
        <w:pStyle w:val="20"/>
        <w:numPr>
          <w:ilvl w:val="0"/>
          <w:numId w:val="60"/>
        </w:numPr>
        <w:tabs>
          <w:tab w:val="left" w:pos="1465"/>
          <w:tab w:val="left" w:pos="7223"/>
        </w:tabs>
        <w:spacing w:before="72"/>
        <w:ind w:left="1465"/>
        <w:rPr>
          <w:sz w:val="24"/>
        </w:rPr>
      </w:pPr>
      <w:r>
        <w:rPr>
          <w:rFonts w:hint="eastAsia"/>
          <w:sz w:val="24"/>
        </w:rPr>
        <w:t>乙方应将流动资金及甲方所拨付资金专项用于</w:t>
      </w:r>
      <w:r>
        <w:rPr>
          <w:rFonts w:hint="eastAsia"/>
          <w:sz w:val="24"/>
          <w:u w:val="single"/>
        </w:rPr>
        <w:t xml:space="preserve"> </w:t>
      </w:r>
      <w:r>
        <w:rPr>
          <w:rFonts w:hint="eastAsia"/>
          <w:sz w:val="24"/>
          <w:u w:val="single"/>
        </w:rPr>
        <w:tab/>
      </w:r>
      <w:r>
        <w:rPr>
          <w:rFonts w:hint="eastAsia"/>
          <w:sz w:val="24"/>
        </w:rPr>
        <w:t>（项目名称）；</w:t>
      </w:r>
    </w:p>
    <w:p>
      <w:pPr>
        <w:pStyle w:val="20"/>
        <w:numPr>
          <w:ilvl w:val="0"/>
          <w:numId w:val="60"/>
        </w:numPr>
        <w:tabs>
          <w:tab w:val="left" w:pos="1465"/>
        </w:tabs>
        <w:spacing w:before="74" w:line="295" w:lineRule="auto"/>
        <w:ind w:right="466" w:firstLine="480"/>
        <w:rPr>
          <w:sz w:val="24"/>
        </w:rPr>
      </w:pPr>
      <w:r>
        <w:rPr>
          <w:rFonts w:hint="eastAsia"/>
          <w:spacing w:val="-3"/>
          <w:sz w:val="24"/>
        </w:rPr>
        <w:t>丙方应为乙方提供便捷有效的银行业务服务，并接受甲方委托对乙方在</w:t>
      </w:r>
      <w:r>
        <w:rPr>
          <w:rFonts w:hint="eastAsia"/>
          <w:spacing w:val="-5"/>
          <w:sz w:val="24"/>
        </w:rPr>
        <w:t>丙方开设的基本结算户资金使用情况进行监督。</w:t>
      </w:r>
    </w:p>
    <w:p>
      <w:pPr>
        <w:pStyle w:val="20"/>
        <w:numPr>
          <w:ilvl w:val="0"/>
          <w:numId w:val="59"/>
        </w:numPr>
        <w:tabs>
          <w:tab w:val="left" w:pos="1164"/>
        </w:tabs>
        <w:spacing w:before="2"/>
        <w:rPr>
          <w:sz w:val="24"/>
        </w:rPr>
      </w:pPr>
      <w:r>
        <w:rPr>
          <w:rFonts w:hint="eastAsia"/>
          <w:sz w:val="24"/>
        </w:rPr>
        <w:t>甲方的权责</w:t>
      </w:r>
    </w:p>
    <w:p>
      <w:pPr>
        <w:pStyle w:val="20"/>
        <w:numPr>
          <w:ilvl w:val="0"/>
          <w:numId w:val="61"/>
        </w:numPr>
        <w:tabs>
          <w:tab w:val="left" w:pos="1465"/>
          <w:tab w:val="left" w:pos="2860"/>
        </w:tabs>
        <w:spacing w:before="74" w:line="295" w:lineRule="auto"/>
        <w:ind w:right="466" w:firstLine="480"/>
        <w:rPr>
          <w:sz w:val="24"/>
        </w:rPr>
      </w:pPr>
      <w:r>
        <w:rPr>
          <w:rFonts w:hint="eastAsia"/>
          <w:sz w:val="24"/>
        </w:rPr>
        <w:t>按照</w:t>
      </w:r>
      <w:r>
        <w:rPr>
          <w:rFonts w:hint="eastAsia"/>
          <w:sz w:val="24"/>
          <w:u w:val="single"/>
        </w:rPr>
        <w:t xml:space="preserve"> </w:t>
      </w:r>
      <w:r>
        <w:rPr>
          <w:rFonts w:hint="eastAsia"/>
          <w:sz w:val="24"/>
          <w:u w:val="single"/>
        </w:rPr>
        <w:tab/>
      </w:r>
      <w:r>
        <w:rPr>
          <w:rFonts w:hint="eastAsia"/>
          <w:sz w:val="24"/>
        </w:rPr>
        <w:t>（项目名称</w:t>
      </w:r>
      <w:r>
        <w:rPr>
          <w:rFonts w:hint="eastAsia"/>
          <w:spacing w:val="-20"/>
          <w:sz w:val="24"/>
        </w:rPr>
        <w:t>）</w:t>
      </w:r>
      <w:r>
        <w:rPr>
          <w:rFonts w:hint="eastAsia"/>
          <w:sz w:val="24"/>
        </w:rPr>
        <w:t>合同有关条款规定的时间和方式</w:t>
      </w:r>
      <w:r>
        <w:rPr>
          <w:rFonts w:hint="eastAsia"/>
          <w:spacing w:val="-22"/>
          <w:sz w:val="24"/>
        </w:rPr>
        <w:t>，</w:t>
      </w:r>
      <w:r>
        <w:rPr>
          <w:rFonts w:hint="eastAsia"/>
          <w:sz w:val="24"/>
        </w:rPr>
        <w:t>向乙方支</w:t>
      </w:r>
      <w:r>
        <w:rPr>
          <w:rFonts w:hint="eastAsia"/>
          <w:spacing w:val="-17"/>
          <w:sz w:val="24"/>
        </w:rPr>
        <w:t>付</w:t>
      </w:r>
      <w:r>
        <w:rPr>
          <w:rFonts w:hint="eastAsia"/>
          <w:sz w:val="24"/>
        </w:rPr>
        <w:t>工程款；</w:t>
      </w:r>
    </w:p>
    <w:p>
      <w:pPr>
        <w:pStyle w:val="20"/>
        <w:numPr>
          <w:ilvl w:val="0"/>
          <w:numId w:val="61"/>
        </w:numPr>
        <w:tabs>
          <w:tab w:val="left" w:pos="1465"/>
        </w:tabs>
        <w:spacing w:before="2" w:line="297" w:lineRule="auto"/>
        <w:ind w:right="466" w:firstLine="480"/>
        <w:rPr>
          <w:sz w:val="24"/>
        </w:rPr>
      </w:pPr>
      <w:r>
        <w:rPr>
          <w:rFonts w:hint="eastAsia"/>
          <w:spacing w:val="-6"/>
          <w:sz w:val="24"/>
        </w:rPr>
        <w:t>在发现乙方将本项目资金挪用、转移时，甲方有权中止工程支付，直至乙</w:t>
      </w:r>
      <w:r>
        <w:rPr>
          <w:rFonts w:hint="eastAsia"/>
          <w:sz w:val="24"/>
        </w:rPr>
        <w:t>方改正为止；</w:t>
      </w:r>
    </w:p>
    <w:p>
      <w:pPr>
        <w:pStyle w:val="20"/>
        <w:numPr>
          <w:ilvl w:val="0"/>
          <w:numId w:val="61"/>
        </w:numPr>
        <w:tabs>
          <w:tab w:val="left" w:pos="1465"/>
        </w:tabs>
        <w:spacing w:line="295" w:lineRule="auto"/>
        <w:ind w:right="466" w:firstLine="480"/>
        <w:rPr>
          <w:sz w:val="24"/>
        </w:rPr>
      </w:pPr>
      <w:r>
        <w:rPr>
          <w:rFonts w:hint="eastAsia"/>
          <w:spacing w:val="-3"/>
          <w:sz w:val="24"/>
        </w:rPr>
        <w:t xml:space="preserve">不定期审查丙方对乙方的资金使用监督情况，如丙方不能履行其责任， </w:t>
      </w:r>
      <w:r>
        <w:rPr>
          <w:rFonts w:hint="eastAsia"/>
          <w:spacing w:val="-5"/>
          <w:sz w:val="24"/>
        </w:rPr>
        <w:t>甲方有权随时终止本协议；</w:t>
      </w:r>
    </w:p>
    <w:p>
      <w:pPr>
        <w:pStyle w:val="20"/>
        <w:numPr>
          <w:ilvl w:val="0"/>
          <w:numId w:val="61"/>
        </w:numPr>
        <w:tabs>
          <w:tab w:val="left" w:pos="1465"/>
        </w:tabs>
        <w:spacing w:before="2"/>
        <w:ind w:left="1465"/>
        <w:rPr>
          <w:sz w:val="24"/>
        </w:rPr>
      </w:pPr>
      <w:r>
        <w:rPr>
          <w:rFonts w:hint="eastAsia"/>
          <w:sz w:val="24"/>
        </w:rPr>
        <w:t>在乙、丙双方发生争议时，甲方应负责协调、解决。</w:t>
      </w:r>
    </w:p>
    <w:p>
      <w:pPr>
        <w:pStyle w:val="20"/>
        <w:numPr>
          <w:ilvl w:val="0"/>
          <w:numId w:val="59"/>
        </w:numPr>
        <w:tabs>
          <w:tab w:val="left" w:pos="1164"/>
        </w:tabs>
        <w:spacing w:before="72"/>
        <w:rPr>
          <w:sz w:val="24"/>
        </w:rPr>
      </w:pPr>
      <w:r>
        <w:rPr>
          <w:rFonts w:hint="eastAsia"/>
          <w:sz w:val="24"/>
        </w:rPr>
        <w:t>乙方的权责</w:t>
      </w:r>
    </w:p>
    <w:p>
      <w:pPr>
        <w:pStyle w:val="20"/>
        <w:numPr>
          <w:ilvl w:val="0"/>
          <w:numId w:val="62"/>
        </w:numPr>
        <w:tabs>
          <w:tab w:val="left" w:pos="1465"/>
        </w:tabs>
        <w:spacing w:before="72"/>
        <w:rPr>
          <w:sz w:val="24"/>
        </w:rPr>
      </w:pPr>
      <w:r>
        <w:rPr>
          <w:rFonts w:hint="eastAsia"/>
          <w:sz w:val="24"/>
        </w:rPr>
        <w:t>项目经理部成立以后，乙方应尽快在丙方开设基本结算户；</w:t>
      </w:r>
    </w:p>
    <w:p>
      <w:pPr>
        <w:pStyle w:val="20"/>
        <w:numPr>
          <w:ilvl w:val="0"/>
          <w:numId w:val="62"/>
        </w:numPr>
        <w:tabs>
          <w:tab w:val="left" w:pos="1465"/>
        </w:tabs>
        <w:spacing w:before="74" w:line="295" w:lineRule="auto"/>
        <w:ind w:left="384" w:right="466" w:firstLine="480"/>
        <w:rPr>
          <w:sz w:val="24"/>
        </w:rPr>
      </w:pPr>
      <w:r>
        <w:rPr>
          <w:rFonts w:hint="eastAsia"/>
          <w:spacing w:val="-6"/>
          <w:sz w:val="24"/>
        </w:rPr>
        <w:t>确保本项目资金专款专用，不发生挪用、转移资金的现象；保证不通过权</w:t>
      </w:r>
      <w:r>
        <w:rPr>
          <w:rFonts w:hint="eastAsia"/>
          <w:sz w:val="24"/>
        </w:rPr>
        <w:t>益转让、抵押、担保承担债务等任何其他方式使用基本结算户的资金；</w:t>
      </w:r>
    </w:p>
    <w:p>
      <w:pPr>
        <w:pStyle w:val="20"/>
        <w:numPr>
          <w:ilvl w:val="0"/>
          <w:numId w:val="62"/>
        </w:numPr>
        <w:tabs>
          <w:tab w:val="left" w:pos="1465"/>
        </w:tabs>
        <w:spacing w:before="2" w:line="297" w:lineRule="auto"/>
        <w:ind w:left="384" w:right="346" w:firstLine="480"/>
        <w:jc w:val="both"/>
        <w:rPr>
          <w:sz w:val="24"/>
        </w:rPr>
      </w:pPr>
      <w:r>
        <w:rPr>
          <w:rFonts w:hint="eastAsia"/>
          <w:spacing w:val="-5"/>
          <w:sz w:val="24"/>
        </w:rPr>
        <w:t>办理材料、设备等采购业务金额在</w:t>
      </w:r>
      <w:r>
        <w:rPr>
          <w:rFonts w:hint="eastAsia"/>
          <w:spacing w:val="-6"/>
          <w:sz w:val="24"/>
        </w:rPr>
        <w:t xml:space="preserve"> 万元以上的，应出示购货合同、协议和发票；在办理总额超过</w:t>
      </w:r>
      <w:r>
        <w:rPr>
          <w:rFonts w:hint="eastAsia"/>
          <w:spacing w:val="-6"/>
          <w:sz w:val="24"/>
          <w:u w:val="single"/>
        </w:rPr>
        <w:t xml:space="preserve"> </w:t>
      </w:r>
      <w:r>
        <w:rPr>
          <w:rFonts w:hint="eastAsia"/>
          <w:sz w:val="24"/>
        </w:rPr>
        <w:t xml:space="preserve"> 万元以上的采购业务时，应将合同、协议和发票复印件</w:t>
      </w:r>
      <w:r>
        <w:rPr>
          <w:rFonts w:hint="eastAsia"/>
          <w:spacing w:val="-9"/>
          <w:sz w:val="24"/>
        </w:rPr>
        <w:t>送丙方备案；购买应急材料、设备时可先办理支付手续，但事后必须补备有关资料；</w:t>
      </w:r>
    </w:p>
    <w:p>
      <w:pPr>
        <w:spacing w:line="297" w:lineRule="auto"/>
        <w:jc w:val="both"/>
        <w:rPr>
          <w:sz w:val="24"/>
        </w:rPr>
        <w:sectPr>
          <w:pgSz w:w="11910" w:h="16840"/>
          <w:pgMar w:top="1360" w:right="1120" w:bottom="1080" w:left="1260" w:header="882" w:footer="845" w:gutter="0"/>
          <w:cols w:space="720" w:num="1"/>
        </w:sectPr>
      </w:pPr>
    </w:p>
    <w:p>
      <w:pPr>
        <w:pStyle w:val="10"/>
        <w:rPr>
          <w:sz w:val="17"/>
        </w:rPr>
      </w:pPr>
    </w:p>
    <w:p>
      <w:pPr>
        <w:pStyle w:val="20"/>
        <w:numPr>
          <w:ilvl w:val="0"/>
          <w:numId w:val="62"/>
        </w:numPr>
        <w:tabs>
          <w:tab w:val="left" w:pos="1465"/>
        </w:tabs>
        <w:spacing w:before="77" w:line="295" w:lineRule="auto"/>
        <w:ind w:left="384" w:right="466" w:firstLine="480"/>
        <w:rPr>
          <w:sz w:val="24"/>
        </w:rPr>
      </w:pPr>
      <w:r>
        <w:rPr>
          <w:rFonts w:hint="eastAsia"/>
          <w:spacing w:val="-3"/>
          <w:sz w:val="24"/>
        </w:rPr>
        <w:t>用银行转账支票办理支付款项时，必须将转账支票送交丙方，由丙方负</w:t>
      </w:r>
      <w:r>
        <w:rPr>
          <w:rFonts w:hint="eastAsia"/>
          <w:spacing w:val="-5"/>
          <w:sz w:val="24"/>
        </w:rPr>
        <w:t>责办理支票转付手续；</w:t>
      </w:r>
    </w:p>
    <w:p>
      <w:pPr>
        <w:pStyle w:val="20"/>
        <w:numPr>
          <w:ilvl w:val="0"/>
          <w:numId w:val="62"/>
        </w:numPr>
        <w:tabs>
          <w:tab w:val="left" w:pos="1465"/>
        </w:tabs>
        <w:spacing w:before="2"/>
        <w:rPr>
          <w:sz w:val="24"/>
        </w:rPr>
      </w:pPr>
      <w:r>
        <w:rPr>
          <w:rFonts w:hint="eastAsia"/>
          <w:sz w:val="24"/>
        </w:rPr>
        <w:t>向分包单位支付工程进度款时，应附甲方批准分包的文件；</w:t>
      </w:r>
    </w:p>
    <w:p>
      <w:pPr>
        <w:pStyle w:val="20"/>
        <w:numPr>
          <w:ilvl w:val="0"/>
          <w:numId w:val="62"/>
        </w:numPr>
        <w:tabs>
          <w:tab w:val="left" w:pos="1465"/>
        </w:tabs>
        <w:spacing w:before="74" w:line="295" w:lineRule="auto"/>
        <w:ind w:left="384" w:right="466" w:firstLine="480"/>
        <w:rPr>
          <w:sz w:val="24"/>
        </w:rPr>
      </w:pPr>
      <w:r>
        <w:rPr>
          <w:rFonts w:hint="eastAsia"/>
          <w:spacing w:val="-4"/>
          <w:sz w:val="24"/>
        </w:rPr>
        <w:t>向上级单位缴纳管理费、机械设备及周转材料租赁摊销费等款项时，应</w:t>
      </w:r>
      <w:r>
        <w:rPr>
          <w:rFonts w:hint="eastAsia"/>
          <w:spacing w:val="-5"/>
          <w:sz w:val="24"/>
        </w:rPr>
        <w:t>附上级单位出具的转账通知等有关资料，以确保资金专款专用。</w:t>
      </w:r>
    </w:p>
    <w:p>
      <w:pPr>
        <w:pStyle w:val="20"/>
        <w:numPr>
          <w:ilvl w:val="0"/>
          <w:numId w:val="59"/>
        </w:numPr>
        <w:tabs>
          <w:tab w:val="left" w:pos="1164"/>
        </w:tabs>
        <w:spacing w:before="2"/>
        <w:rPr>
          <w:sz w:val="24"/>
        </w:rPr>
      </w:pPr>
      <w:r>
        <w:rPr>
          <w:rFonts w:hint="eastAsia"/>
          <w:sz w:val="24"/>
        </w:rPr>
        <w:t>丙方的权责</w:t>
      </w:r>
    </w:p>
    <w:p>
      <w:pPr>
        <w:pStyle w:val="20"/>
        <w:numPr>
          <w:ilvl w:val="0"/>
          <w:numId w:val="63"/>
        </w:numPr>
        <w:tabs>
          <w:tab w:val="left" w:pos="1465"/>
          <w:tab w:val="left" w:pos="2870"/>
        </w:tabs>
        <w:spacing w:before="74" w:line="295" w:lineRule="auto"/>
        <w:ind w:right="466" w:firstLine="480"/>
        <w:rPr>
          <w:sz w:val="24"/>
        </w:rPr>
      </w:pPr>
      <w:r>
        <w:rPr>
          <w:rFonts w:hint="eastAsia"/>
          <w:sz w:val="24"/>
        </w:rPr>
        <w:t>成立</w:t>
      </w:r>
      <w:r>
        <w:rPr>
          <w:rFonts w:hint="eastAsia"/>
          <w:sz w:val="24"/>
          <w:u w:val="single"/>
        </w:rPr>
        <w:t xml:space="preserve"> </w:t>
      </w:r>
      <w:r>
        <w:rPr>
          <w:rFonts w:hint="eastAsia"/>
          <w:sz w:val="24"/>
          <w:u w:val="single"/>
        </w:rPr>
        <w:tab/>
      </w:r>
      <w:r>
        <w:rPr>
          <w:rFonts w:hint="eastAsia"/>
          <w:sz w:val="24"/>
        </w:rPr>
        <w:t>（项目名称</w:t>
      </w:r>
      <w:r>
        <w:rPr>
          <w:rFonts w:hint="eastAsia"/>
          <w:spacing w:val="-17"/>
          <w:sz w:val="24"/>
        </w:rPr>
        <w:t>）</w:t>
      </w:r>
      <w:r>
        <w:rPr>
          <w:rFonts w:hint="eastAsia"/>
          <w:sz w:val="24"/>
        </w:rPr>
        <w:t>工程资金管理服务小组</w:t>
      </w:r>
      <w:r>
        <w:rPr>
          <w:rFonts w:hint="eastAsia"/>
          <w:spacing w:val="-17"/>
          <w:sz w:val="24"/>
        </w:rPr>
        <w:t>，</w:t>
      </w:r>
      <w:r>
        <w:rPr>
          <w:rFonts w:hint="eastAsia"/>
          <w:sz w:val="24"/>
        </w:rPr>
        <w:t>明确业务流程</w:t>
      </w:r>
      <w:r>
        <w:rPr>
          <w:rFonts w:hint="eastAsia"/>
          <w:spacing w:val="-17"/>
          <w:sz w:val="24"/>
        </w:rPr>
        <w:t>，</w:t>
      </w:r>
      <w:r>
        <w:rPr>
          <w:rFonts w:hint="eastAsia"/>
          <w:sz w:val="24"/>
        </w:rPr>
        <w:t>提</w:t>
      </w:r>
      <w:r>
        <w:rPr>
          <w:rFonts w:hint="eastAsia"/>
          <w:spacing w:val="-18"/>
          <w:sz w:val="24"/>
        </w:rPr>
        <w:t>高</w:t>
      </w:r>
      <w:r>
        <w:rPr>
          <w:rFonts w:hint="eastAsia"/>
          <w:sz w:val="24"/>
        </w:rPr>
        <w:t>工作效率，杜绝“压票”现象；</w:t>
      </w:r>
    </w:p>
    <w:p>
      <w:pPr>
        <w:pStyle w:val="20"/>
        <w:numPr>
          <w:ilvl w:val="0"/>
          <w:numId w:val="63"/>
        </w:numPr>
        <w:tabs>
          <w:tab w:val="left" w:pos="1465"/>
        </w:tabs>
        <w:spacing w:before="2" w:line="297" w:lineRule="auto"/>
        <w:ind w:right="462" w:firstLine="480"/>
        <w:rPr>
          <w:sz w:val="24"/>
        </w:rPr>
      </w:pPr>
      <w:r>
        <w:rPr>
          <w:rFonts w:hint="eastAsia"/>
          <w:spacing w:val="-31"/>
          <w:sz w:val="24"/>
        </w:rPr>
        <w:t>根据乙方提供的购货合同、协议和发票，检查其所购材料、设备是否用于</w:t>
      </w:r>
      <w:r>
        <w:rPr>
          <w:rFonts w:hint="eastAsia"/>
          <w:spacing w:val="8"/>
          <w:sz w:val="24"/>
          <w:u w:val="single"/>
        </w:rPr>
        <w:t xml:space="preserve"> </w:t>
      </w:r>
      <w:r>
        <w:rPr>
          <w:rFonts w:hint="eastAsia"/>
          <w:sz w:val="24"/>
          <w:u w:val="single"/>
        </w:rPr>
        <w:t xml:space="preserve">（ </w:t>
      </w:r>
      <w:r>
        <w:rPr>
          <w:rFonts w:hint="eastAsia"/>
          <w:spacing w:val="-4"/>
          <w:sz w:val="24"/>
        </w:rPr>
        <w:t>项目名称</w:t>
      </w:r>
      <w:r>
        <w:rPr>
          <w:rFonts w:hint="eastAsia"/>
          <w:sz w:val="24"/>
        </w:rPr>
        <w:t>）工程建设，对本标段以外的购货款项，有权拒绝办理，并及时报告甲方；</w:t>
      </w:r>
    </w:p>
    <w:p>
      <w:pPr>
        <w:pStyle w:val="20"/>
        <w:numPr>
          <w:ilvl w:val="0"/>
          <w:numId w:val="63"/>
        </w:numPr>
        <w:tabs>
          <w:tab w:val="left" w:pos="1465"/>
        </w:tabs>
        <w:spacing w:line="295" w:lineRule="auto"/>
        <w:ind w:right="466" w:firstLine="480"/>
        <w:rPr>
          <w:sz w:val="24"/>
        </w:rPr>
      </w:pPr>
      <w:r>
        <w:rPr>
          <w:rFonts w:hint="eastAsia"/>
          <w:spacing w:val="-3"/>
          <w:sz w:val="24"/>
        </w:rPr>
        <w:t>根据乙方与分包单位签订的合同及支付文件，检查其支付款项是否符合</w:t>
      </w:r>
      <w:r>
        <w:rPr>
          <w:rFonts w:hint="eastAsia"/>
          <w:spacing w:val="-5"/>
          <w:sz w:val="24"/>
        </w:rPr>
        <w:t>有关条件，向分包单位以外单位的支付有权拒绝办理，并及时报告甲方；</w:t>
      </w:r>
    </w:p>
    <w:p>
      <w:pPr>
        <w:pStyle w:val="20"/>
        <w:numPr>
          <w:ilvl w:val="0"/>
          <w:numId w:val="63"/>
        </w:numPr>
        <w:tabs>
          <w:tab w:val="left" w:pos="1465"/>
        </w:tabs>
        <w:spacing w:before="2" w:line="295" w:lineRule="auto"/>
        <w:ind w:right="346" w:firstLine="480"/>
        <w:rPr>
          <w:sz w:val="24"/>
        </w:rPr>
      </w:pPr>
      <w:r>
        <w:rPr>
          <w:rFonts w:hint="eastAsia"/>
          <w:spacing w:val="-3"/>
          <w:sz w:val="24"/>
        </w:rPr>
        <w:t>根据乙方提供的上级单位出具的转账通知等有关资料，办理管理费、机械</w:t>
      </w:r>
      <w:r>
        <w:rPr>
          <w:rFonts w:hint="eastAsia"/>
          <w:spacing w:val="-9"/>
          <w:sz w:val="24"/>
        </w:rPr>
        <w:t xml:space="preserve">设备及周转材料租赁摊销费等款项的支付；对超出转账通知等有关资料以外的支付， </w:t>
      </w:r>
      <w:r>
        <w:rPr>
          <w:rFonts w:hint="eastAsia"/>
          <w:sz w:val="24"/>
        </w:rPr>
        <w:t>有权拒绝办理，并及时报告甲方；</w:t>
      </w:r>
    </w:p>
    <w:p>
      <w:pPr>
        <w:pStyle w:val="20"/>
        <w:numPr>
          <w:ilvl w:val="0"/>
          <w:numId w:val="63"/>
        </w:numPr>
        <w:tabs>
          <w:tab w:val="left" w:pos="1465"/>
        </w:tabs>
        <w:spacing w:before="5" w:line="295" w:lineRule="auto"/>
        <w:ind w:right="466" w:firstLine="480"/>
        <w:rPr>
          <w:sz w:val="24"/>
        </w:rPr>
      </w:pPr>
      <w:r>
        <w:rPr>
          <w:rFonts w:hint="eastAsia"/>
          <w:spacing w:val="-4"/>
          <w:sz w:val="24"/>
        </w:rPr>
        <w:t>定期将乙方前一个周期的支付情况，整理后书面报送甲方；乙方复印备</w:t>
      </w:r>
      <w:r>
        <w:rPr>
          <w:rFonts w:hint="eastAsia"/>
          <w:spacing w:val="-5"/>
          <w:sz w:val="24"/>
        </w:rPr>
        <w:t>案的材料一并送甲方。</w:t>
      </w:r>
    </w:p>
    <w:p>
      <w:pPr>
        <w:pStyle w:val="20"/>
        <w:numPr>
          <w:ilvl w:val="0"/>
          <w:numId w:val="59"/>
        </w:numPr>
        <w:tabs>
          <w:tab w:val="left" w:pos="1164"/>
        </w:tabs>
        <w:spacing w:before="2" w:line="297" w:lineRule="auto"/>
        <w:ind w:left="384" w:right="466" w:firstLine="480"/>
        <w:rPr>
          <w:sz w:val="24"/>
        </w:rPr>
      </w:pPr>
      <w:r>
        <w:rPr>
          <w:rFonts w:hint="eastAsia"/>
          <w:spacing w:val="-6"/>
          <w:sz w:val="24"/>
        </w:rPr>
        <w:t>甲、乙、丙三方都应履行保密责任，不得将其他两方的业务情况透露给三方</w:t>
      </w:r>
      <w:r>
        <w:rPr>
          <w:rFonts w:hint="eastAsia"/>
          <w:sz w:val="24"/>
        </w:rPr>
        <w:t>以外的其他单位或个人。</w:t>
      </w:r>
    </w:p>
    <w:p>
      <w:pPr>
        <w:pStyle w:val="20"/>
        <w:numPr>
          <w:ilvl w:val="0"/>
          <w:numId w:val="59"/>
        </w:numPr>
        <w:tabs>
          <w:tab w:val="left" w:pos="1164"/>
        </w:tabs>
        <w:spacing w:line="295" w:lineRule="auto"/>
        <w:ind w:left="384" w:right="466" w:firstLine="480"/>
        <w:rPr>
          <w:sz w:val="24"/>
        </w:rPr>
      </w:pPr>
      <w:r>
        <w:rPr>
          <w:rFonts w:hint="eastAsia"/>
          <w:spacing w:val="-3"/>
          <w:sz w:val="24"/>
        </w:rPr>
        <w:t>本协议有效期自乙方在丙方开户起，至工程交工验收甲方向乙方颁发交工验</w:t>
      </w:r>
      <w:r>
        <w:rPr>
          <w:rFonts w:hint="eastAsia"/>
          <w:sz w:val="24"/>
        </w:rPr>
        <w:t>收证书后结束。</w:t>
      </w:r>
    </w:p>
    <w:p>
      <w:pPr>
        <w:pStyle w:val="20"/>
        <w:numPr>
          <w:ilvl w:val="0"/>
          <w:numId w:val="59"/>
        </w:numPr>
        <w:tabs>
          <w:tab w:val="left" w:pos="1164"/>
        </w:tabs>
        <w:spacing w:before="3"/>
        <w:rPr>
          <w:sz w:val="24"/>
        </w:rPr>
      </w:pPr>
      <w:r>
        <w:rPr>
          <w:rFonts w:hint="eastAsia"/>
          <w:sz w:val="24"/>
        </w:rPr>
        <w:t>本协议未尽事宜，由甲方牵头，三方协商解决。</w:t>
      </w:r>
    </w:p>
    <w:p>
      <w:pPr>
        <w:pStyle w:val="20"/>
        <w:numPr>
          <w:ilvl w:val="0"/>
          <w:numId w:val="59"/>
        </w:numPr>
        <w:tabs>
          <w:tab w:val="left" w:pos="1164"/>
        </w:tabs>
        <w:spacing w:before="72" w:line="295" w:lineRule="auto"/>
        <w:ind w:left="384" w:right="466" w:firstLine="480"/>
        <w:rPr>
          <w:sz w:val="24"/>
        </w:rPr>
      </w:pPr>
      <w:r>
        <w:rPr>
          <w:rFonts w:hint="eastAsia"/>
          <w:spacing w:val="-1"/>
          <w:sz w:val="24"/>
        </w:rPr>
        <w:t>本协议正本三份、副本</w:t>
      </w:r>
      <w:r>
        <w:rPr>
          <w:rFonts w:hint="eastAsia"/>
          <w:spacing w:val="3"/>
          <w:sz w:val="24"/>
        </w:rPr>
        <w:t xml:space="preserve"> 份。合同三方各执正本一份、副本</w:t>
      </w:r>
      <w:r>
        <w:rPr>
          <w:rFonts w:hint="eastAsia"/>
          <w:spacing w:val="12"/>
          <w:sz w:val="24"/>
        </w:rPr>
        <w:t xml:space="preserve"> 份，当正本与</w:t>
      </w:r>
      <w:r>
        <w:rPr>
          <w:rFonts w:hint="eastAsia"/>
          <w:sz w:val="24"/>
        </w:rPr>
        <w:t>副本内容不一致时，以正本为准。</w:t>
      </w:r>
    </w:p>
    <w:p>
      <w:pPr>
        <w:pStyle w:val="10"/>
        <w:spacing w:before="9"/>
        <w:rPr>
          <w:sz w:val="23"/>
        </w:rPr>
      </w:pPr>
    </w:p>
    <w:p>
      <w:pPr>
        <w:pStyle w:val="10"/>
        <w:tabs>
          <w:tab w:val="left" w:pos="4663"/>
          <w:tab w:val="left" w:pos="5143"/>
        </w:tabs>
        <w:spacing w:line="264" w:lineRule="auto"/>
        <w:ind w:left="583" w:right="3421"/>
      </w:pPr>
      <w:r>
        <w:rPr>
          <w:rFonts w:hint="eastAsia"/>
        </w:rPr>
        <w:t>发包人：</w:t>
      </w:r>
      <w:r>
        <w:rPr>
          <w:rFonts w:hint="eastAsia"/>
          <w:u w:val="single"/>
        </w:rPr>
        <w:t xml:space="preserve"> </w:t>
      </w:r>
      <w:r>
        <w:rPr>
          <w:rFonts w:hint="eastAsia"/>
          <w:u w:val="single"/>
        </w:rPr>
        <w:tab/>
      </w:r>
      <w:r>
        <w:rPr>
          <w:rFonts w:hint="eastAsia"/>
        </w:rPr>
        <w:t>（盖单位章</w:t>
      </w:r>
      <w:r>
        <w:rPr>
          <w:rFonts w:hint="eastAsia"/>
          <w:spacing w:val="-17"/>
        </w:rPr>
        <w:t xml:space="preserve">） </w:t>
      </w:r>
      <w:r>
        <w:rPr>
          <w:rFonts w:hint="eastAsia"/>
        </w:rPr>
        <w:t>法定代表人或其委托代理人：</w:t>
      </w:r>
      <w:r>
        <w:rPr>
          <w:rFonts w:hint="eastAsia"/>
          <w:u w:val="single"/>
        </w:rPr>
        <w:t xml:space="preserve"> </w:t>
      </w:r>
      <w:r>
        <w:rPr>
          <w:rFonts w:hint="eastAsia"/>
          <w:u w:val="single"/>
        </w:rPr>
        <w:tab/>
      </w:r>
      <w:r>
        <w:rPr>
          <w:rFonts w:hint="eastAsia"/>
          <w:u w:val="single"/>
        </w:rPr>
        <w:tab/>
      </w:r>
      <w:r>
        <w:rPr>
          <w:rFonts w:hint="eastAsia"/>
        </w:rPr>
        <w:t>（签字</w:t>
      </w:r>
      <w:r>
        <w:rPr>
          <w:rFonts w:hint="eastAsia"/>
          <w:spacing w:val="-17"/>
        </w:rPr>
        <w:t>）</w:t>
      </w:r>
    </w:p>
    <w:p>
      <w:pPr>
        <w:pStyle w:val="10"/>
        <w:tabs>
          <w:tab w:val="left" w:pos="3623"/>
          <w:tab w:val="left" w:pos="4703"/>
          <w:tab w:val="left" w:pos="5603"/>
        </w:tabs>
        <w:spacing w:before="3"/>
        <w:ind w:left="2543"/>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0"/>
        <w:rPr>
          <w:sz w:val="29"/>
        </w:rPr>
      </w:pPr>
    </w:p>
    <w:p>
      <w:pPr>
        <w:pStyle w:val="10"/>
        <w:tabs>
          <w:tab w:val="left" w:pos="4663"/>
          <w:tab w:val="left" w:pos="5143"/>
        </w:tabs>
        <w:spacing w:line="266" w:lineRule="auto"/>
        <w:ind w:left="583" w:right="3421"/>
      </w:pPr>
      <w:r>
        <w:rPr>
          <w:rFonts w:hint="eastAsia"/>
        </w:rPr>
        <w:t>承包人：</w:t>
      </w:r>
      <w:r>
        <w:rPr>
          <w:rFonts w:hint="eastAsia"/>
          <w:u w:val="single"/>
        </w:rPr>
        <w:t xml:space="preserve"> </w:t>
      </w:r>
      <w:r>
        <w:rPr>
          <w:rFonts w:hint="eastAsia"/>
          <w:u w:val="single"/>
        </w:rPr>
        <w:tab/>
      </w:r>
      <w:r>
        <w:rPr>
          <w:rFonts w:hint="eastAsia"/>
        </w:rPr>
        <w:t>（盖单位章</w:t>
      </w:r>
      <w:r>
        <w:rPr>
          <w:rFonts w:hint="eastAsia"/>
          <w:spacing w:val="-17"/>
        </w:rPr>
        <w:t xml:space="preserve">） </w:t>
      </w:r>
      <w:r>
        <w:rPr>
          <w:rFonts w:hint="eastAsia"/>
        </w:rPr>
        <w:t>法定代表人或其委托代理人：</w:t>
      </w:r>
      <w:r>
        <w:rPr>
          <w:rFonts w:hint="eastAsia"/>
          <w:u w:val="single"/>
        </w:rPr>
        <w:t xml:space="preserve"> </w:t>
      </w:r>
      <w:r>
        <w:rPr>
          <w:rFonts w:hint="eastAsia"/>
          <w:u w:val="single"/>
        </w:rPr>
        <w:tab/>
      </w:r>
      <w:r>
        <w:rPr>
          <w:rFonts w:hint="eastAsia"/>
          <w:u w:val="single"/>
        </w:rPr>
        <w:tab/>
      </w:r>
      <w:r>
        <w:rPr>
          <w:rFonts w:hint="eastAsia"/>
        </w:rPr>
        <w:t>（签字</w:t>
      </w:r>
      <w:r>
        <w:rPr>
          <w:rFonts w:hint="eastAsia"/>
          <w:spacing w:val="-17"/>
        </w:rPr>
        <w:t>）</w:t>
      </w:r>
    </w:p>
    <w:p>
      <w:pPr>
        <w:pStyle w:val="10"/>
        <w:tabs>
          <w:tab w:val="left" w:pos="3623"/>
          <w:tab w:val="left" w:pos="4703"/>
          <w:tab w:val="left" w:pos="5603"/>
        </w:tabs>
        <w:spacing w:line="306" w:lineRule="exact"/>
        <w:ind w:left="2543"/>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0"/>
        <w:rPr>
          <w:sz w:val="29"/>
        </w:rPr>
      </w:pPr>
    </w:p>
    <w:p>
      <w:pPr>
        <w:pStyle w:val="10"/>
        <w:tabs>
          <w:tab w:val="left" w:pos="4663"/>
          <w:tab w:val="left" w:pos="5143"/>
        </w:tabs>
        <w:spacing w:line="266" w:lineRule="auto"/>
        <w:ind w:left="583" w:right="3421"/>
      </w:pPr>
      <w:r>
        <w:rPr>
          <w:rFonts w:hint="eastAsia"/>
        </w:rPr>
        <w:t>经办银行：</w:t>
      </w:r>
      <w:r>
        <w:rPr>
          <w:rFonts w:hint="eastAsia"/>
          <w:u w:val="single"/>
        </w:rPr>
        <w:t xml:space="preserve"> </w:t>
      </w:r>
      <w:r>
        <w:rPr>
          <w:rFonts w:hint="eastAsia"/>
          <w:u w:val="single"/>
        </w:rPr>
        <w:tab/>
      </w:r>
      <w:r>
        <w:rPr>
          <w:rFonts w:hint="eastAsia"/>
        </w:rPr>
        <w:t>（盖单位章</w:t>
      </w:r>
      <w:r>
        <w:rPr>
          <w:rFonts w:hint="eastAsia"/>
          <w:spacing w:val="-17"/>
        </w:rPr>
        <w:t xml:space="preserve">） </w:t>
      </w:r>
      <w:r>
        <w:rPr>
          <w:rFonts w:hint="eastAsia"/>
        </w:rPr>
        <w:t>法定代表人或其委托代理人：</w:t>
      </w:r>
      <w:r>
        <w:rPr>
          <w:rFonts w:hint="eastAsia"/>
          <w:u w:val="single"/>
        </w:rPr>
        <w:t xml:space="preserve"> </w:t>
      </w:r>
      <w:r>
        <w:rPr>
          <w:rFonts w:hint="eastAsia"/>
          <w:u w:val="single"/>
        </w:rPr>
        <w:tab/>
      </w:r>
      <w:r>
        <w:rPr>
          <w:rFonts w:hint="eastAsia"/>
          <w:u w:val="single"/>
        </w:rPr>
        <w:tab/>
      </w:r>
      <w:r>
        <w:rPr>
          <w:rFonts w:hint="eastAsia"/>
        </w:rPr>
        <w:t>（签字</w:t>
      </w:r>
      <w:r>
        <w:rPr>
          <w:rFonts w:hint="eastAsia"/>
          <w:spacing w:val="-17"/>
        </w:rPr>
        <w:t>）</w:t>
      </w:r>
    </w:p>
    <w:p>
      <w:pPr>
        <w:pStyle w:val="10"/>
        <w:tabs>
          <w:tab w:val="left" w:pos="3623"/>
          <w:tab w:val="left" w:pos="4703"/>
          <w:tab w:val="left" w:pos="5603"/>
        </w:tabs>
        <w:spacing w:line="304" w:lineRule="exact"/>
        <w:ind w:left="2543"/>
        <w:sectPr>
          <w:pgSz w:w="11910" w:h="16840"/>
          <w:pgMar w:top="1360" w:right="1120" w:bottom="1080" w:left="1260" w:header="882" w:footer="845" w:gutter="0"/>
          <w:cols w:space="720" w:num="1"/>
        </w:sectPr>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0"/>
        <w:rPr>
          <w:sz w:val="20"/>
        </w:rPr>
      </w:pPr>
      <w:bookmarkStart w:id="81" w:name="_TOC_250024"/>
      <w:bookmarkEnd w:id="81"/>
    </w:p>
    <w:p>
      <w:pPr>
        <w:pStyle w:val="10"/>
        <w:spacing w:before="7"/>
        <w:rPr>
          <w:sz w:val="18"/>
        </w:rPr>
      </w:pPr>
    </w:p>
    <w:p>
      <w:pPr>
        <w:pStyle w:val="8"/>
        <w:tabs>
          <w:tab w:val="left" w:pos="1594"/>
        </w:tabs>
        <w:spacing w:before="50"/>
        <w:ind w:left="154"/>
        <w:rPr>
          <w:b/>
          <w:bCs/>
          <w:sz w:val="30"/>
          <w:szCs w:val="30"/>
        </w:rPr>
      </w:pPr>
      <w:bookmarkStart w:id="82" w:name="第五章__工程量清单"/>
      <w:bookmarkEnd w:id="82"/>
      <w:r>
        <w:rPr>
          <w:rFonts w:hint="eastAsia"/>
          <w:b/>
          <w:bCs/>
          <w:sz w:val="30"/>
          <w:szCs w:val="30"/>
        </w:rPr>
        <w:t>第</w:t>
      </w:r>
      <w:r>
        <w:rPr>
          <w:rFonts w:hint="eastAsia"/>
          <w:b/>
          <w:bCs/>
          <w:sz w:val="30"/>
          <w:szCs w:val="30"/>
          <w:lang w:eastAsia="zh-CN"/>
        </w:rPr>
        <w:t>三</w:t>
      </w:r>
      <w:r>
        <w:rPr>
          <w:rFonts w:hint="eastAsia"/>
          <w:b/>
          <w:bCs/>
          <w:sz w:val="30"/>
          <w:szCs w:val="30"/>
        </w:rPr>
        <w:t>章</w:t>
      </w:r>
      <w:r>
        <w:rPr>
          <w:rFonts w:hint="eastAsia"/>
          <w:b/>
          <w:bCs/>
          <w:sz w:val="30"/>
          <w:szCs w:val="30"/>
          <w:lang w:val="en-US" w:eastAsia="zh-CN"/>
        </w:rPr>
        <w:t xml:space="preserve">  </w:t>
      </w:r>
      <w:r>
        <w:rPr>
          <w:rFonts w:hint="eastAsia"/>
          <w:b/>
          <w:bCs/>
          <w:sz w:val="30"/>
          <w:szCs w:val="30"/>
        </w:rPr>
        <w:t>工程量清单</w:t>
      </w:r>
    </w:p>
    <w:p>
      <w:pPr>
        <w:pStyle w:val="10"/>
        <w:rPr>
          <w:sz w:val="20"/>
        </w:rPr>
      </w:pPr>
    </w:p>
    <w:p>
      <w:pPr>
        <w:pStyle w:val="10"/>
        <w:spacing w:before="11"/>
        <w:rPr>
          <w:sz w:val="22"/>
        </w:rPr>
      </w:pPr>
    </w:p>
    <w:p>
      <w:pPr>
        <w:pStyle w:val="20"/>
        <w:numPr>
          <w:ilvl w:val="0"/>
          <w:numId w:val="64"/>
        </w:numPr>
        <w:tabs>
          <w:tab w:val="left" w:pos="995"/>
        </w:tabs>
        <w:spacing w:before="74"/>
        <w:ind w:hanging="182"/>
        <w:jc w:val="left"/>
        <w:rPr>
          <w:sz w:val="24"/>
        </w:rPr>
      </w:pPr>
      <w:r>
        <w:rPr>
          <w:rFonts w:hint="eastAsia"/>
          <w:sz w:val="24"/>
        </w:rPr>
        <w:t>工程量清单说明</w:t>
      </w:r>
    </w:p>
    <w:p>
      <w:pPr>
        <w:pStyle w:val="10"/>
        <w:spacing w:before="7"/>
        <w:rPr>
          <w:sz w:val="20"/>
        </w:rPr>
      </w:pPr>
    </w:p>
    <w:p>
      <w:pPr>
        <w:pStyle w:val="20"/>
        <w:numPr>
          <w:ilvl w:val="1"/>
          <w:numId w:val="65"/>
        </w:numPr>
        <w:tabs>
          <w:tab w:val="left" w:pos="1114"/>
        </w:tabs>
        <w:spacing w:before="1" w:line="304" w:lineRule="auto"/>
        <w:ind w:right="251" w:firstLine="480"/>
        <w:rPr>
          <w:sz w:val="24"/>
        </w:rPr>
      </w:pPr>
      <w:r>
        <w:rPr>
          <w:rFonts w:hint="eastAsia"/>
          <w:spacing w:val="-1"/>
          <w:sz w:val="24"/>
        </w:rPr>
        <w:t>本工程量清单是根据</w:t>
      </w:r>
      <w:r>
        <w:rPr>
          <w:rFonts w:hint="eastAsia"/>
          <w:spacing w:val="-1"/>
          <w:sz w:val="24"/>
          <w:lang w:eastAsia="zh-CN"/>
        </w:rPr>
        <w:t>磋商</w:t>
      </w:r>
      <w:r>
        <w:rPr>
          <w:rFonts w:hint="eastAsia"/>
          <w:spacing w:val="-1"/>
          <w:sz w:val="24"/>
        </w:rPr>
        <w:t>文件中包括的有合同约束力的工程量清单计量规则、</w:t>
      </w:r>
      <w:r>
        <w:rPr>
          <w:rFonts w:hint="eastAsia"/>
          <w:sz w:val="24"/>
        </w:rPr>
        <w:t>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pPr>
        <w:pStyle w:val="20"/>
        <w:numPr>
          <w:ilvl w:val="1"/>
          <w:numId w:val="65"/>
        </w:numPr>
        <w:tabs>
          <w:tab w:val="left" w:pos="1114"/>
        </w:tabs>
        <w:spacing w:before="5" w:line="304" w:lineRule="auto"/>
        <w:ind w:right="232" w:firstLine="480"/>
        <w:rPr>
          <w:sz w:val="24"/>
        </w:rPr>
      </w:pPr>
      <w:r>
        <w:rPr>
          <w:rFonts w:hint="eastAsia"/>
          <w:spacing w:val="-12"/>
          <w:sz w:val="24"/>
        </w:rPr>
        <w:t>本工程量清单应与</w:t>
      </w:r>
      <w:r>
        <w:rPr>
          <w:rFonts w:hint="eastAsia"/>
          <w:spacing w:val="-12"/>
          <w:sz w:val="24"/>
          <w:lang w:eastAsia="zh-CN"/>
        </w:rPr>
        <w:t>磋商</w:t>
      </w:r>
      <w:r>
        <w:rPr>
          <w:rFonts w:hint="eastAsia"/>
          <w:spacing w:val="-12"/>
          <w:sz w:val="24"/>
        </w:rPr>
        <w:t>文件中的</w:t>
      </w:r>
      <w:r>
        <w:rPr>
          <w:rFonts w:hint="eastAsia"/>
          <w:spacing w:val="-12"/>
          <w:sz w:val="24"/>
          <w:lang w:eastAsia="zh-CN"/>
        </w:rPr>
        <w:t>磋商</w:t>
      </w:r>
      <w:r>
        <w:rPr>
          <w:rFonts w:hint="eastAsia"/>
          <w:spacing w:val="-12"/>
          <w:sz w:val="24"/>
        </w:rPr>
        <w:t>须知、合同条款、工程量清单计量规则、</w:t>
      </w:r>
      <w:r>
        <w:rPr>
          <w:rFonts w:hint="eastAsia"/>
          <w:sz w:val="24"/>
        </w:rPr>
        <w:t>技术规范及图纸等一起阅读和理解。</w:t>
      </w:r>
    </w:p>
    <w:p>
      <w:pPr>
        <w:pStyle w:val="20"/>
        <w:numPr>
          <w:ilvl w:val="1"/>
          <w:numId w:val="65"/>
        </w:numPr>
        <w:tabs>
          <w:tab w:val="left" w:pos="1114"/>
        </w:tabs>
        <w:spacing w:before="3" w:line="304" w:lineRule="auto"/>
        <w:ind w:right="352" w:firstLine="480"/>
        <w:rPr>
          <w:sz w:val="24"/>
        </w:rPr>
      </w:pPr>
      <w:r>
        <w:rPr>
          <w:rFonts w:hint="eastAsia"/>
          <w:spacing w:val="-5"/>
          <w:sz w:val="24"/>
        </w:rPr>
        <w:t>本工程量清单中所列工程数量是估算的或设计的预计数量，仅作为投标报价的</w:t>
      </w:r>
      <w:r>
        <w:rPr>
          <w:rFonts w:hint="eastAsia"/>
          <w:sz w:val="24"/>
        </w:rPr>
        <w:t>共同基础，不能作为最终结算与支付的依据。实际支付应按实际完成的工程量，由承包人按工程量清单计量规则规定的计量方法，以监理人认可的尺寸、断面计量，按本工程量清单的单价和总额价计算支付金额；或者根据具体情况，按合同条款的规定， 由监理人确定的单价或总额价计算支付额。</w:t>
      </w:r>
    </w:p>
    <w:p>
      <w:pPr>
        <w:pStyle w:val="20"/>
        <w:numPr>
          <w:ilvl w:val="1"/>
          <w:numId w:val="65"/>
        </w:numPr>
        <w:tabs>
          <w:tab w:val="left" w:pos="1114"/>
        </w:tabs>
        <w:spacing w:before="6" w:line="307" w:lineRule="auto"/>
        <w:ind w:right="457" w:firstLine="480"/>
        <w:jc w:val="both"/>
        <w:rPr>
          <w:sz w:val="24"/>
        </w:rPr>
      </w:pPr>
      <w:r>
        <w:rPr>
          <w:rFonts w:hint="eastAsia"/>
          <w:sz w:val="24"/>
        </w:rPr>
        <w:t>工程量清单各章是与第</w:t>
      </w:r>
      <w:r>
        <w:rPr>
          <w:rFonts w:hint="eastAsia"/>
          <w:sz w:val="24"/>
          <w:lang w:eastAsia="zh-CN"/>
        </w:rPr>
        <w:t>六</w:t>
      </w:r>
      <w:r>
        <w:rPr>
          <w:rFonts w:hint="eastAsia"/>
          <w:sz w:val="24"/>
        </w:rPr>
        <w:t>章“工程量清单计量规则”的章次编号相对应的，因此，工程量清单中各章的工程子目的范围与计量等应与“工程量清单计量规则”</w:t>
      </w:r>
      <w:r>
        <w:rPr>
          <w:rFonts w:hint="eastAsia"/>
          <w:spacing w:val="-6"/>
          <w:sz w:val="24"/>
        </w:rPr>
        <w:t>相应章</w:t>
      </w:r>
      <w:r>
        <w:rPr>
          <w:rFonts w:hint="eastAsia"/>
          <w:sz w:val="24"/>
        </w:rPr>
        <w:t>节的范围、计量与支付条款结合起来理解或解释。</w:t>
      </w:r>
    </w:p>
    <w:p>
      <w:pPr>
        <w:pStyle w:val="20"/>
        <w:numPr>
          <w:ilvl w:val="1"/>
          <w:numId w:val="65"/>
        </w:numPr>
        <w:tabs>
          <w:tab w:val="left" w:pos="1114"/>
        </w:tabs>
        <w:spacing w:line="307" w:lineRule="auto"/>
        <w:ind w:right="352" w:firstLine="480"/>
        <w:jc w:val="both"/>
        <w:rPr>
          <w:sz w:val="24"/>
        </w:rPr>
      </w:pPr>
      <w:r>
        <w:rPr>
          <w:rFonts w:hint="eastAsia"/>
          <w:spacing w:val="-7"/>
          <w:sz w:val="24"/>
        </w:rPr>
        <w:t>对作业和材料的一般说明或规定，未重复写入工程量清单内，在给工程量清单</w:t>
      </w:r>
      <w:r>
        <w:rPr>
          <w:rFonts w:hint="eastAsia"/>
          <w:sz w:val="24"/>
        </w:rPr>
        <w:t>各子目标价前，应参阅第</w:t>
      </w:r>
      <w:r>
        <w:rPr>
          <w:rFonts w:hint="eastAsia"/>
          <w:sz w:val="24"/>
          <w:lang w:eastAsia="zh-CN"/>
        </w:rPr>
        <w:t>五</w:t>
      </w:r>
      <w:r>
        <w:rPr>
          <w:rFonts w:hint="eastAsia"/>
          <w:sz w:val="24"/>
        </w:rPr>
        <w:t>章“技术规范”的有关内容。</w:t>
      </w:r>
    </w:p>
    <w:p>
      <w:pPr>
        <w:pStyle w:val="20"/>
        <w:numPr>
          <w:ilvl w:val="1"/>
          <w:numId w:val="65"/>
        </w:numPr>
        <w:tabs>
          <w:tab w:val="left" w:pos="1114"/>
        </w:tabs>
        <w:spacing w:line="304" w:lineRule="auto"/>
        <w:ind w:right="352" w:firstLine="480"/>
        <w:jc w:val="both"/>
        <w:rPr>
          <w:sz w:val="24"/>
        </w:rPr>
      </w:pPr>
      <w:r>
        <w:rPr>
          <w:rFonts w:hint="eastAsia"/>
          <w:spacing w:val="-7"/>
          <w:sz w:val="24"/>
        </w:rPr>
        <w:t>工程量清单中所列工程量的变动，丝毫不会降低或影响合同条款的效力，也不</w:t>
      </w:r>
      <w:r>
        <w:rPr>
          <w:rFonts w:hint="eastAsia"/>
          <w:sz w:val="24"/>
        </w:rPr>
        <w:t>免除承包人按规定的标准进行施工和修复缺陷的责任。</w:t>
      </w:r>
    </w:p>
    <w:p>
      <w:pPr>
        <w:pStyle w:val="20"/>
        <w:numPr>
          <w:ilvl w:val="1"/>
          <w:numId w:val="65"/>
        </w:numPr>
        <w:tabs>
          <w:tab w:val="left" w:pos="1114"/>
        </w:tabs>
        <w:spacing w:line="304" w:lineRule="auto"/>
        <w:ind w:right="232" w:firstLine="480"/>
        <w:jc w:val="both"/>
        <w:rPr>
          <w:sz w:val="24"/>
        </w:rPr>
      </w:pPr>
      <w:r>
        <w:rPr>
          <w:rFonts w:hint="eastAsia"/>
          <w:sz w:val="24"/>
        </w:rPr>
        <w:t>图纸中所列的工程数量表及数量汇总表仅是提供资料，不是工程量清单的外</w:t>
      </w:r>
      <w:r>
        <w:rPr>
          <w:rFonts w:hint="eastAsia"/>
          <w:spacing w:val="-7"/>
          <w:sz w:val="24"/>
        </w:rPr>
        <w:t>延。当图纸与工程量清单所列数量不一致时，以工程量清单所列数量作为报价的依据。</w:t>
      </w:r>
    </w:p>
    <w:p>
      <w:pPr>
        <w:pStyle w:val="20"/>
        <w:numPr>
          <w:ilvl w:val="0"/>
          <w:numId w:val="64"/>
        </w:numPr>
        <w:tabs>
          <w:tab w:val="left" w:pos="875"/>
        </w:tabs>
        <w:spacing w:before="171"/>
        <w:ind w:left="874" w:hanging="182"/>
        <w:jc w:val="left"/>
        <w:rPr>
          <w:sz w:val="24"/>
        </w:rPr>
      </w:pPr>
      <w:r>
        <w:rPr>
          <w:rFonts w:hint="eastAsia"/>
          <w:sz w:val="24"/>
        </w:rPr>
        <w:t>投标报价说明</w:t>
      </w:r>
    </w:p>
    <w:p>
      <w:pPr>
        <w:pStyle w:val="10"/>
        <w:spacing w:before="7"/>
        <w:rPr>
          <w:sz w:val="20"/>
        </w:rPr>
      </w:pPr>
    </w:p>
    <w:p>
      <w:pPr>
        <w:pStyle w:val="20"/>
        <w:numPr>
          <w:ilvl w:val="1"/>
          <w:numId w:val="64"/>
        </w:numPr>
        <w:tabs>
          <w:tab w:val="left" w:pos="1114"/>
        </w:tabs>
        <w:ind w:hanging="421"/>
        <w:rPr>
          <w:sz w:val="24"/>
        </w:rPr>
      </w:pPr>
      <w:r>
        <w:rPr>
          <w:rFonts w:hint="eastAsia"/>
          <w:sz w:val="24"/>
        </w:rPr>
        <w:t>工程量清单中的每一子目须填入单价或价格，且只允许有一个报价。</w:t>
      </w:r>
    </w:p>
    <w:p>
      <w:pPr>
        <w:pStyle w:val="20"/>
        <w:numPr>
          <w:ilvl w:val="1"/>
          <w:numId w:val="64"/>
        </w:numPr>
        <w:tabs>
          <w:tab w:val="left" w:pos="1114"/>
        </w:tabs>
        <w:spacing w:before="84" w:line="304" w:lineRule="auto"/>
        <w:ind w:left="213" w:right="274" w:firstLine="480"/>
        <w:rPr>
          <w:sz w:val="24"/>
        </w:rPr>
      </w:pPr>
      <w:r>
        <w:rPr>
          <w:rFonts w:hint="eastAsia"/>
          <w:spacing w:val="-10"/>
          <w:sz w:val="24"/>
        </w:rPr>
        <w:t>除非合同另有规定，工程量清单中有标价的单价和总额价均已包括了为实施和完成合同工程所需的劳务、材料、机械、质检(自检)</w:t>
      </w:r>
      <w:r>
        <w:rPr>
          <w:rFonts w:hint="eastAsia"/>
          <w:spacing w:val="-11"/>
          <w:sz w:val="24"/>
        </w:rPr>
        <w:t>、安装、缺陷修复、管理、保险、</w:t>
      </w:r>
      <w:r>
        <w:rPr>
          <w:rFonts w:hint="eastAsia"/>
          <w:sz w:val="24"/>
        </w:rPr>
        <w:t>税费、利润等费用，以及合同明示或暗示的所有责任、义务和一般风险；还包括现场考察时对工程的理解与认识，以及材料采集供应、运输情况、地理环境、水文地质、工程地质、自然条件、社会情况等的影响与风险。</w:t>
      </w:r>
    </w:p>
    <w:p>
      <w:pPr>
        <w:pStyle w:val="20"/>
        <w:numPr>
          <w:ilvl w:val="1"/>
          <w:numId w:val="64"/>
        </w:numPr>
        <w:tabs>
          <w:tab w:val="left" w:pos="1114"/>
        </w:tabs>
        <w:spacing w:before="8"/>
        <w:ind w:hanging="421"/>
        <w:rPr>
          <w:sz w:val="24"/>
        </w:rPr>
      </w:pPr>
      <w:r>
        <w:rPr>
          <w:rFonts w:hint="eastAsia"/>
          <w:sz w:val="24"/>
        </w:rPr>
        <w:t>所有保险及保险费，均隐含在其他工程报价中，不在报价中单列。</w:t>
      </w:r>
    </w:p>
    <w:p>
      <w:pPr>
        <w:rPr>
          <w:sz w:val="24"/>
        </w:rPr>
        <w:sectPr>
          <w:headerReference r:id="rId13" w:type="default"/>
          <w:pgSz w:w="11910" w:h="16840"/>
          <w:pgMar w:top="1360" w:right="1119" w:bottom="1040" w:left="1260" w:header="882" w:footer="845" w:gutter="0"/>
          <w:cols w:space="720" w:num="1"/>
        </w:sectPr>
      </w:pPr>
    </w:p>
    <w:p>
      <w:pPr>
        <w:pStyle w:val="10"/>
        <w:spacing w:before="7"/>
        <w:rPr>
          <w:sz w:val="8"/>
        </w:rPr>
      </w:pPr>
    </w:p>
    <w:p>
      <w:pPr>
        <w:pStyle w:val="20"/>
        <w:numPr>
          <w:ilvl w:val="1"/>
          <w:numId w:val="64"/>
        </w:numPr>
        <w:tabs>
          <w:tab w:val="left" w:pos="1114"/>
        </w:tabs>
        <w:spacing w:before="76" w:line="304" w:lineRule="auto"/>
        <w:ind w:left="213" w:right="352" w:firstLine="480"/>
        <w:rPr>
          <w:sz w:val="24"/>
        </w:rPr>
      </w:pPr>
      <w:r>
        <w:rPr>
          <w:rFonts w:hint="eastAsia"/>
          <w:spacing w:val="-6"/>
          <w:sz w:val="24"/>
        </w:rPr>
        <w:t>工程量清单中投标</w:t>
      </w:r>
      <w:r>
        <w:rPr>
          <w:rFonts w:hint="eastAsia"/>
          <w:spacing w:val="-6"/>
          <w:sz w:val="24"/>
          <w:lang w:eastAsia="zh-CN"/>
        </w:rPr>
        <w:t>供应商</w:t>
      </w:r>
      <w:r>
        <w:rPr>
          <w:rFonts w:hint="eastAsia"/>
          <w:spacing w:val="-6"/>
          <w:sz w:val="24"/>
        </w:rPr>
        <w:t>没有填入单价或价格的子目，其费用视为已分摊在工程量</w:t>
      </w:r>
      <w:r>
        <w:rPr>
          <w:rFonts w:hint="eastAsia"/>
          <w:sz w:val="24"/>
        </w:rPr>
        <w:t>清单中其他相关子目的单价或价格之中。承包人必须按监理人指令完成工程量清单中未填入单价或价格的子目，但不能得到结算与支付。</w:t>
      </w:r>
    </w:p>
    <w:p>
      <w:pPr>
        <w:pStyle w:val="20"/>
        <w:numPr>
          <w:ilvl w:val="1"/>
          <w:numId w:val="64"/>
        </w:numPr>
        <w:tabs>
          <w:tab w:val="left" w:pos="1114"/>
        </w:tabs>
        <w:spacing w:line="297" w:lineRule="auto"/>
        <w:ind w:left="213" w:right="407" w:firstLine="480"/>
        <w:jc w:val="both"/>
        <w:rPr>
          <w:sz w:val="24"/>
        </w:rPr>
      </w:pPr>
      <w:r>
        <w:rPr>
          <w:rFonts w:hint="eastAsia"/>
          <w:spacing w:val="-13"/>
          <w:sz w:val="24"/>
        </w:rPr>
        <w:t>工程量清单中本合同工程的每一个细目，凡有工程数量者，都应填入单价，投标</w:t>
      </w:r>
      <w:r>
        <w:rPr>
          <w:rFonts w:hint="eastAsia"/>
          <w:spacing w:val="-13"/>
          <w:sz w:val="24"/>
          <w:lang w:eastAsia="zh-CN"/>
        </w:rPr>
        <w:t>供应商</w:t>
      </w:r>
      <w:r>
        <w:rPr>
          <w:rFonts w:hint="eastAsia"/>
          <w:spacing w:val="-13"/>
          <w:sz w:val="24"/>
        </w:rPr>
        <w:t>亦应按要求填入总额价。符合合同条款规定的全部费用应认为已被计入有标价的工程量清单所列各子目之中，未列子目不予计量的工作，其费用应视为已分摊在本合同工程的有</w:t>
      </w:r>
      <w:r>
        <w:rPr>
          <w:rFonts w:hint="eastAsia"/>
          <w:spacing w:val="-12"/>
          <w:sz w:val="24"/>
        </w:rPr>
        <w:t>关子目的单价或总额价之中。</w:t>
      </w:r>
    </w:p>
    <w:p>
      <w:pPr>
        <w:pStyle w:val="20"/>
        <w:numPr>
          <w:ilvl w:val="1"/>
          <w:numId w:val="64"/>
        </w:numPr>
        <w:tabs>
          <w:tab w:val="left" w:pos="1114"/>
        </w:tabs>
        <w:spacing w:line="297" w:lineRule="auto"/>
        <w:ind w:left="213" w:right="352" w:firstLine="480"/>
        <w:jc w:val="both"/>
        <w:rPr>
          <w:sz w:val="24"/>
        </w:rPr>
      </w:pPr>
      <w:r>
        <w:rPr>
          <w:rFonts w:hint="eastAsia"/>
          <w:spacing w:val="-6"/>
          <w:sz w:val="24"/>
        </w:rPr>
        <w:t>承包人用于本合同工程的各类装备的提供、运输、维护、拆卸、拼装等支付的</w:t>
      </w:r>
      <w:r>
        <w:rPr>
          <w:rFonts w:hint="eastAsia"/>
          <w:sz w:val="24"/>
        </w:rPr>
        <w:t>费用，已包括在工程量清单的单价与总额价之中。</w:t>
      </w:r>
    </w:p>
    <w:p>
      <w:pPr>
        <w:pStyle w:val="20"/>
        <w:numPr>
          <w:ilvl w:val="1"/>
          <w:numId w:val="64"/>
        </w:numPr>
        <w:tabs>
          <w:tab w:val="left" w:pos="1114"/>
          <w:tab w:val="left" w:pos="7233"/>
        </w:tabs>
        <w:spacing w:line="297" w:lineRule="auto"/>
        <w:ind w:left="213" w:right="352" w:firstLine="480"/>
        <w:rPr>
          <w:sz w:val="24"/>
        </w:rPr>
      </w:pPr>
      <w:r>
        <w:rPr>
          <w:rFonts w:hint="eastAsia"/>
          <w:sz w:val="24"/>
        </w:rPr>
        <w:t>工程量清单中标明的暂列金额以</w:t>
      </w:r>
      <w:r>
        <w:rPr>
          <w:rFonts w:hint="eastAsia"/>
          <w:spacing w:val="-61"/>
          <w:sz w:val="24"/>
        </w:rPr>
        <w:t xml:space="preserve"> </w:t>
      </w:r>
      <w:r>
        <w:rPr>
          <w:rFonts w:hint="eastAsia"/>
          <w:sz w:val="24"/>
        </w:rPr>
        <w:t>100 章至</w:t>
      </w:r>
      <w:r>
        <w:rPr>
          <w:rFonts w:hint="eastAsia"/>
          <w:spacing w:val="-60"/>
          <w:sz w:val="24"/>
        </w:rPr>
        <w:t xml:space="preserve"> </w:t>
      </w:r>
      <w:r>
        <w:rPr>
          <w:rFonts w:hint="eastAsia"/>
          <w:sz w:val="24"/>
        </w:rPr>
        <w:t>700 章合计的</w:t>
      </w:r>
      <w:r>
        <w:rPr>
          <w:rFonts w:hint="eastAsia"/>
          <w:sz w:val="24"/>
          <w:u w:val="single"/>
        </w:rPr>
        <w:t xml:space="preserve"> </w:t>
      </w:r>
      <w:r>
        <w:rPr>
          <w:rFonts w:hint="eastAsia"/>
          <w:sz w:val="24"/>
          <w:u w:val="single"/>
          <w:lang w:val="en-US"/>
        </w:rPr>
        <w:t>3</w:t>
      </w:r>
      <w:r>
        <w:rPr>
          <w:rFonts w:hint="eastAsia"/>
          <w:sz w:val="24"/>
          <w:u w:val="single"/>
        </w:rPr>
        <w:t xml:space="preserve"> </w:t>
      </w:r>
      <w:r>
        <w:rPr>
          <w:rFonts w:hint="eastAsia"/>
          <w:sz w:val="24"/>
        </w:rPr>
        <w:t>%</w:t>
      </w:r>
      <w:r>
        <w:fldChar w:fldCharType="begin"/>
      </w:r>
      <w:r>
        <w:instrText xml:space="preserve"> HYPERLINK \l "_bookmark54" </w:instrText>
      </w:r>
      <w:r>
        <w:fldChar w:fldCharType="separate"/>
      </w:r>
      <w:r>
        <w:rPr>
          <w:rFonts w:hint="eastAsia"/>
          <w:position w:val="12"/>
          <w:sz w:val="12"/>
        </w:rPr>
        <w:t>①</w:t>
      </w:r>
      <w:r>
        <w:rPr>
          <w:rFonts w:hint="eastAsia"/>
          <w:position w:val="12"/>
          <w:sz w:val="12"/>
        </w:rPr>
        <w:fldChar w:fldCharType="end"/>
      </w:r>
      <w:r>
        <w:rPr>
          <w:rFonts w:hint="eastAsia"/>
          <w:sz w:val="24"/>
        </w:rPr>
        <w:t>计列</w:t>
      </w:r>
      <w:r>
        <w:rPr>
          <w:rFonts w:hint="eastAsia"/>
          <w:spacing w:val="-60"/>
          <w:sz w:val="24"/>
        </w:rPr>
        <w:t>，</w:t>
      </w:r>
      <w:r>
        <w:rPr>
          <w:rFonts w:hint="eastAsia"/>
          <w:sz w:val="24"/>
        </w:rPr>
        <w:t>用于工</w:t>
      </w:r>
      <w:r>
        <w:rPr>
          <w:rFonts w:hint="eastAsia"/>
          <w:spacing w:val="-17"/>
          <w:sz w:val="24"/>
        </w:rPr>
        <w:t>程</w:t>
      </w:r>
      <w:r>
        <w:rPr>
          <w:rFonts w:hint="eastAsia"/>
          <w:sz w:val="24"/>
        </w:rPr>
        <w:t>变更费，应由监理人按合同规定，结合工程具体情况，报经发包人批准后全部或部分的使用，或者不予动用。</w:t>
      </w:r>
    </w:p>
    <w:p>
      <w:pPr>
        <w:pStyle w:val="20"/>
        <w:numPr>
          <w:ilvl w:val="1"/>
          <w:numId w:val="64"/>
        </w:numPr>
        <w:tabs>
          <w:tab w:val="left" w:pos="1114"/>
        </w:tabs>
        <w:spacing w:before="3"/>
        <w:ind w:hanging="421"/>
        <w:rPr>
          <w:sz w:val="24"/>
        </w:rPr>
      </w:pPr>
      <w:r>
        <w:rPr>
          <w:rFonts w:hint="eastAsia"/>
          <w:sz w:val="24"/>
        </w:rPr>
        <w:t>工程量清单中各项金额均以人民币（元） 结算。</w: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6"/>
        <w:rPr>
          <w:sz w:val="11"/>
        </w:rPr>
      </w:pPr>
    </w:p>
    <w:p>
      <w:pPr>
        <w:pStyle w:val="10"/>
        <w:spacing w:before="12"/>
        <w:rPr>
          <w:sz w:val="14"/>
        </w:rPr>
      </w:pPr>
    </w:p>
    <w:p>
      <w:pPr>
        <w:pStyle w:val="10"/>
        <w:spacing w:before="7"/>
        <w:rPr>
          <w:sz w:val="8"/>
        </w:rPr>
      </w:pPr>
    </w:p>
    <w:p>
      <w:pPr>
        <w:pStyle w:val="20"/>
        <w:numPr>
          <w:ilvl w:val="0"/>
          <w:numId w:val="64"/>
        </w:numPr>
        <w:tabs>
          <w:tab w:val="left" w:pos="875"/>
        </w:tabs>
        <w:spacing w:before="76"/>
        <w:ind w:left="874" w:hanging="182"/>
        <w:jc w:val="left"/>
        <w:rPr>
          <w:sz w:val="24"/>
        </w:rPr>
      </w:pPr>
      <w:r>
        <w:rPr>
          <w:rFonts w:hint="eastAsia"/>
          <w:sz w:val="24"/>
        </w:rPr>
        <w:t>工程量清单</w:t>
      </w:r>
    </w:p>
    <w:p>
      <w:pPr>
        <w:pStyle w:val="20"/>
        <w:numPr>
          <w:ilvl w:val="0"/>
          <w:numId w:val="0"/>
        </w:numPr>
        <w:tabs>
          <w:tab w:val="left" w:pos="1114"/>
        </w:tabs>
        <w:spacing w:before="84"/>
        <w:ind w:left="692" w:leftChars="0"/>
        <w:rPr>
          <w:rFonts w:hint="eastAsia" w:ascii="宋体" w:hAnsi="宋体" w:eastAsia="宋体" w:cs="宋体"/>
          <w:sz w:val="24"/>
        </w:rPr>
      </w:pPr>
      <w:r>
        <w:rPr>
          <w:rFonts w:hint="eastAsia" w:ascii="宋体" w:hAnsi="宋体" w:eastAsia="宋体" w:cs="宋体"/>
          <w:sz w:val="24"/>
          <w:lang w:val="en-US" w:eastAsia="zh-CN"/>
        </w:rPr>
        <w:t>3.1</w:t>
      </w:r>
      <w:r>
        <w:rPr>
          <w:rFonts w:hint="eastAsia" w:cs="宋体"/>
          <w:sz w:val="24"/>
          <w:lang w:val="en-US" w:eastAsia="zh-CN"/>
        </w:rPr>
        <w:t xml:space="preserve"> </w:t>
      </w:r>
      <w:r>
        <w:rPr>
          <w:rFonts w:hint="eastAsia" w:ascii="宋体" w:hAnsi="宋体" w:eastAsia="宋体" w:cs="宋体"/>
          <w:sz w:val="24"/>
        </w:rPr>
        <w:t>工程量清单表</w:t>
      </w:r>
    </w:p>
    <w:p>
      <w:pPr>
        <w:pStyle w:val="10"/>
        <w:rPr>
          <w:rFonts w:hint="eastAsia" w:ascii="宋体" w:hAnsi="宋体" w:eastAsia="宋体" w:cs="宋体"/>
          <w:sz w:val="20"/>
        </w:rPr>
      </w:pPr>
    </w:p>
    <w:tbl>
      <w:tblPr>
        <w:tblStyle w:val="18"/>
        <w:tblW w:w="938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4"/>
        <w:gridCol w:w="4684"/>
        <w:gridCol w:w="1020"/>
        <w:gridCol w:w="880"/>
        <w:gridCol w:w="890"/>
        <w:gridCol w:w="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388"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9388" w:type="dxa"/>
            <w:gridSpan w:val="6"/>
            <w:tcBorders>
              <w:top w:val="nil"/>
              <w:left w:val="nil"/>
              <w:bottom w:val="nil"/>
              <w:right w:val="nil"/>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528" w:type="dxa"/>
            <w:gridSpan w:val="4"/>
            <w:tcBorders>
              <w:top w:val="nil"/>
              <w:left w:val="nil"/>
              <w:bottom w:val="nil"/>
              <w:right w:val="nil"/>
            </w:tcBorders>
            <w:shd w:val="clear" w:color="auto" w:fill="auto"/>
            <w:noWrap/>
            <w:vAlign w:val="center"/>
          </w:tcPr>
          <w:p>
            <w:pPr>
              <w:rPr>
                <w:rFonts w:hint="default"/>
              </w:rPr>
            </w:pPr>
            <w:r>
              <w:rPr>
                <w:rFonts w:hint="default"/>
                <w:lang w:val="en-US" w:eastAsia="zh-CN"/>
              </w:rPr>
              <w:t>标段: 博湖县2022年度北山牧道修缮工程</w:t>
            </w:r>
          </w:p>
        </w:tc>
        <w:tc>
          <w:tcPr>
            <w:tcW w:w="1860" w:type="dxa"/>
            <w:gridSpan w:val="2"/>
            <w:tcBorders>
              <w:top w:val="nil"/>
              <w:left w:val="nil"/>
              <w:bottom w:val="nil"/>
              <w:right w:val="nil"/>
            </w:tcBorders>
            <w:shd w:val="clear" w:color="auto" w:fill="auto"/>
            <w:noWrap/>
            <w:vAlign w:val="center"/>
          </w:tcPr>
          <w:p>
            <w:pPr>
              <w:rPr>
                <w:rFonts w:hint="default"/>
              </w:rPr>
            </w:pPr>
            <w:r>
              <w:rPr>
                <w:rFonts w:hint="default"/>
                <w:lang w:val="en-US" w:eastAsia="zh-CN"/>
              </w:rPr>
              <w:t>货币单位: 人民币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88" w:type="dxa"/>
            <w:gridSpan w:val="6"/>
            <w:tcBorders>
              <w:top w:val="single" w:color="000000" w:sz="8" w:space="0"/>
              <w:left w:val="single" w:color="000000" w:sz="8" w:space="0"/>
              <w:bottom w:val="single" w:color="000000" w:sz="4" w:space="0"/>
              <w:right w:val="single" w:color="000000" w:sz="8" w:space="0"/>
            </w:tcBorders>
            <w:shd w:val="clear" w:color="auto" w:fill="auto"/>
            <w:noWrap/>
            <w:vAlign w:val="center"/>
          </w:tcPr>
          <w:p>
            <w:pPr>
              <w:jc w:val="center"/>
              <w:rPr>
                <w:rFonts w:hint="default"/>
              </w:rPr>
            </w:pPr>
            <w:r>
              <w:rPr>
                <w:rFonts w:hint="default"/>
                <w:lang w:val="en-US" w:eastAsia="zh-CN"/>
              </w:rPr>
              <w:t>清单 第100章  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44" w:type="dxa"/>
            <w:tcBorders>
              <w:top w:val="nil"/>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子目号</w:t>
            </w:r>
          </w:p>
        </w:tc>
        <w:tc>
          <w:tcPr>
            <w:tcW w:w="4684"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子  目  名  称</w:t>
            </w:r>
          </w:p>
        </w:tc>
        <w:tc>
          <w:tcPr>
            <w:tcW w:w="1020"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单位</w:t>
            </w:r>
          </w:p>
        </w:tc>
        <w:tc>
          <w:tcPr>
            <w:tcW w:w="880"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数量</w:t>
            </w:r>
          </w:p>
        </w:tc>
        <w:tc>
          <w:tcPr>
            <w:tcW w:w="890"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单价</w:t>
            </w:r>
          </w:p>
        </w:tc>
        <w:tc>
          <w:tcPr>
            <w:tcW w:w="970" w:type="dxa"/>
            <w:tcBorders>
              <w:top w:val="nil"/>
              <w:left w:val="nil"/>
              <w:bottom w:val="single" w:color="000000" w:sz="4" w:space="0"/>
              <w:right w:val="single" w:color="000000" w:sz="8" w:space="0"/>
            </w:tcBorders>
            <w:shd w:val="clear" w:color="auto" w:fill="auto"/>
            <w:noWrap/>
            <w:vAlign w:val="center"/>
          </w:tcPr>
          <w:p>
            <w:pPr>
              <w:rPr>
                <w:rFonts w:hint="default"/>
              </w:rPr>
            </w:pPr>
            <w:r>
              <w:rPr>
                <w:rFonts w:hint="default"/>
                <w:lang w:val="en-US" w:eastAsia="zh-CN"/>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102-1</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竣工文件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总额</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102-2</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施工环保费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总额</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103-1</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临时道路修建、养护与拆除(包括原道路的养护)</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总额</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103-2</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临时工程用地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总额</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103-3</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临时供电设施架设、维护与拆除</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总额</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103-4</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电信设施的提供、维修与拆除</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总额</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103-5</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临时供水与排污设施</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总额</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104-1</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承包人驻地建设</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总额</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105-1</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安全生产费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总额</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4" w:type="dxa"/>
            <w:tcBorders>
              <w:top w:val="single" w:color="000000" w:sz="4" w:space="0"/>
              <w:left w:val="single" w:color="000000" w:sz="8" w:space="0"/>
              <w:bottom w:val="single" w:color="000000" w:sz="8" w:space="0"/>
              <w:right w:val="nil"/>
            </w:tcBorders>
            <w:shd w:val="clear" w:color="auto" w:fill="auto"/>
            <w:noWrap/>
            <w:vAlign w:val="center"/>
          </w:tcPr>
          <w:p>
            <w:pPr>
              <w:rPr>
                <w:rFonts w:hint="default"/>
              </w:rPr>
            </w:pPr>
          </w:p>
        </w:tc>
        <w:tc>
          <w:tcPr>
            <w:tcW w:w="4684" w:type="dxa"/>
            <w:tcBorders>
              <w:top w:val="single" w:color="000000" w:sz="4" w:space="0"/>
              <w:left w:val="nil"/>
              <w:bottom w:val="single" w:color="000000" w:sz="8" w:space="0"/>
              <w:right w:val="nil"/>
            </w:tcBorders>
            <w:shd w:val="clear" w:color="auto" w:fill="auto"/>
            <w:noWrap/>
            <w:vAlign w:val="center"/>
          </w:tcPr>
          <w:p>
            <w:pPr>
              <w:rPr>
                <w:rFonts w:hint="default"/>
              </w:rPr>
            </w:pPr>
            <w:r>
              <w:rPr>
                <w:rFonts w:hint="default"/>
                <w:lang w:val="en-US" w:eastAsia="zh-CN"/>
              </w:rPr>
              <w:t>清单  第 100 章合计   人民币</w:t>
            </w:r>
          </w:p>
        </w:tc>
        <w:tc>
          <w:tcPr>
            <w:tcW w:w="1020" w:type="dxa"/>
            <w:tcBorders>
              <w:top w:val="single" w:color="000000" w:sz="4" w:space="0"/>
              <w:left w:val="nil"/>
              <w:bottom w:val="single" w:color="000000" w:sz="8" w:space="0"/>
              <w:right w:val="nil"/>
            </w:tcBorders>
            <w:shd w:val="clear" w:color="auto" w:fill="auto"/>
            <w:noWrap/>
            <w:vAlign w:val="center"/>
          </w:tcPr>
          <w:p>
            <w:pPr>
              <w:rPr>
                <w:rFonts w:hint="default"/>
              </w:rPr>
            </w:pPr>
          </w:p>
        </w:tc>
        <w:tc>
          <w:tcPr>
            <w:tcW w:w="2740" w:type="dxa"/>
            <w:gridSpan w:val="3"/>
            <w:tcBorders>
              <w:top w:val="single" w:color="000000" w:sz="4" w:space="0"/>
              <w:left w:val="nil"/>
              <w:bottom w:val="single" w:color="000000" w:sz="8"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388" w:type="dxa"/>
            <w:gridSpan w:val="6"/>
            <w:tcBorders>
              <w:top w:val="nil"/>
              <w:left w:val="nil"/>
              <w:bottom w:val="nil"/>
              <w:right w:val="nil"/>
            </w:tcBorders>
            <w:shd w:val="clear" w:color="auto" w:fill="auto"/>
            <w:noWrap/>
            <w:vAlign w:val="center"/>
          </w:tcPr>
          <w:p>
            <w:pPr>
              <w:rPr>
                <w:rFonts w:hint="default"/>
              </w:rPr>
            </w:pPr>
            <w:r>
              <w:rPr>
                <w:rFonts w:hint="default"/>
                <w:lang w:val="en-US" w:eastAsia="zh-CN"/>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528" w:type="dxa"/>
            <w:gridSpan w:val="4"/>
            <w:tcBorders>
              <w:top w:val="nil"/>
              <w:left w:val="nil"/>
              <w:bottom w:val="nil"/>
              <w:right w:val="nil"/>
            </w:tcBorders>
            <w:shd w:val="clear" w:color="auto" w:fill="auto"/>
            <w:noWrap/>
            <w:vAlign w:val="center"/>
          </w:tcPr>
          <w:p>
            <w:pPr>
              <w:rPr>
                <w:rFonts w:hint="default"/>
              </w:rPr>
            </w:pPr>
            <w:r>
              <w:rPr>
                <w:rFonts w:hint="default"/>
                <w:lang w:val="en-US" w:eastAsia="zh-CN"/>
              </w:rPr>
              <w:t>标段: 博湖县2022年度北山牧道修缮工程</w:t>
            </w:r>
          </w:p>
        </w:tc>
        <w:tc>
          <w:tcPr>
            <w:tcW w:w="1860" w:type="dxa"/>
            <w:gridSpan w:val="2"/>
            <w:tcBorders>
              <w:top w:val="nil"/>
              <w:left w:val="nil"/>
              <w:bottom w:val="nil"/>
              <w:right w:val="nil"/>
            </w:tcBorders>
            <w:shd w:val="clear" w:color="auto" w:fill="auto"/>
            <w:noWrap/>
            <w:vAlign w:val="center"/>
          </w:tcPr>
          <w:p>
            <w:pPr>
              <w:rPr>
                <w:rFonts w:hint="default"/>
              </w:rPr>
            </w:pPr>
            <w:r>
              <w:rPr>
                <w:rFonts w:hint="default"/>
                <w:lang w:val="en-US" w:eastAsia="zh-CN"/>
              </w:rPr>
              <w:t>货币单位: 人民币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88" w:type="dxa"/>
            <w:gridSpan w:val="6"/>
            <w:tcBorders>
              <w:top w:val="single" w:color="000000" w:sz="8" w:space="0"/>
              <w:left w:val="single" w:color="000000" w:sz="8" w:space="0"/>
              <w:bottom w:val="single" w:color="000000" w:sz="4" w:space="0"/>
              <w:right w:val="single" w:color="000000" w:sz="8" w:space="0"/>
            </w:tcBorders>
            <w:shd w:val="clear" w:color="auto" w:fill="auto"/>
            <w:noWrap/>
            <w:vAlign w:val="center"/>
          </w:tcPr>
          <w:p>
            <w:pPr>
              <w:jc w:val="center"/>
              <w:rPr>
                <w:rFonts w:hint="default"/>
              </w:rPr>
            </w:pPr>
            <w:r>
              <w:rPr>
                <w:rFonts w:hint="default"/>
                <w:lang w:val="en-US" w:eastAsia="zh-CN"/>
              </w:rPr>
              <w:t>清单 第200章  路基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nil"/>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子目号</w:t>
            </w:r>
          </w:p>
        </w:tc>
        <w:tc>
          <w:tcPr>
            <w:tcW w:w="4684"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子  目  名  称</w:t>
            </w:r>
          </w:p>
        </w:tc>
        <w:tc>
          <w:tcPr>
            <w:tcW w:w="1020"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单位</w:t>
            </w:r>
          </w:p>
        </w:tc>
        <w:tc>
          <w:tcPr>
            <w:tcW w:w="880"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数量</w:t>
            </w:r>
          </w:p>
        </w:tc>
        <w:tc>
          <w:tcPr>
            <w:tcW w:w="890"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单价</w:t>
            </w:r>
          </w:p>
        </w:tc>
        <w:tc>
          <w:tcPr>
            <w:tcW w:w="970" w:type="dxa"/>
            <w:tcBorders>
              <w:top w:val="nil"/>
              <w:left w:val="nil"/>
              <w:bottom w:val="single" w:color="000000" w:sz="4" w:space="0"/>
              <w:right w:val="single" w:color="000000" w:sz="8" w:space="0"/>
            </w:tcBorders>
            <w:shd w:val="clear" w:color="auto" w:fill="auto"/>
            <w:noWrap/>
            <w:vAlign w:val="center"/>
          </w:tcPr>
          <w:p>
            <w:pPr>
              <w:rPr>
                <w:rFonts w:hint="default"/>
              </w:rPr>
            </w:pPr>
            <w:r>
              <w:rPr>
                <w:rFonts w:hint="default"/>
                <w:lang w:val="en-US" w:eastAsia="zh-CN"/>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202-1</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清理与掘除</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-a</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清理现场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m2</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40088</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203-1</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路基挖方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-a</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挖土方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m3</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1225</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204-1</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路基填筑(包括填前压实)</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-c</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借土填方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m3</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13447</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4" w:type="dxa"/>
            <w:tcBorders>
              <w:top w:val="single" w:color="000000" w:sz="4" w:space="0"/>
              <w:left w:val="single" w:color="000000" w:sz="8" w:space="0"/>
              <w:bottom w:val="single" w:color="000000" w:sz="8" w:space="0"/>
              <w:right w:val="nil"/>
            </w:tcBorders>
            <w:shd w:val="clear" w:color="auto" w:fill="auto"/>
            <w:noWrap/>
            <w:vAlign w:val="center"/>
          </w:tcPr>
          <w:p>
            <w:pPr>
              <w:rPr>
                <w:rFonts w:hint="default"/>
              </w:rPr>
            </w:pPr>
          </w:p>
        </w:tc>
        <w:tc>
          <w:tcPr>
            <w:tcW w:w="4684" w:type="dxa"/>
            <w:tcBorders>
              <w:top w:val="single" w:color="000000" w:sz="4" w:space="0"/>
              <w:left w:val="nil"/>
              <w:bottom w:val="single" w:color="000000" w:sz="8" w:space="0"/>
              <w:right w:val="nil"/>
            </w:tcBorders>
            <w:shd w:val="clear" w:color="auto" w:fill="auto"/>
            <w:noWrap/>
            <w:vAlign w:val="center"/>
          </w:tcPr>
          <w:p>
            <w:pPr>
              <w:rPr>
                <w:rFonts w:hint="default"/>
              </w:rPr>
            </w:pPr>
            <w:r>
              <w:rPr>
                <w:rFonts w:hint="default"/>
                <w:lang w:val="en-US" w:eastAsia="zh-CN"/>
              </w:rPr>
              <w:t>清单  第 200 章合计   人民币</w:t>
            </w:r>
          </w:p>
        </w:tc>
        <w:tc>
          <w:tcPr>
            <w:tcW w:w="1020" w:type="dxa"/>
            <w:tcBorders>
              <w:top w:val="single" w:color="000000" w:sz="4" w:space="0"/>
              <w:left w:val="nil"/>
              <w:bottom w:val="single" w:color="000000" w:sz="8" w:space="0"/>
              <w:right w:val="nil"/>
            </w:tcBorders>
            <w:shd w:val="clear" w:color="auto" w:fill="auto"/>
            <w:noWrap/>
            <w:vAlign w:val="center"/>
          </w:tcPr>
          <w:p>
            <w:pPr>
              <w:rPr>
                <w:rFonts w:hint="default"/>
              </w:rPr>
            </w:pPr>
          </w:p>
        </w:tc>
        <w:tc>
          <w:tcPr>
            <w:tcW w:w="2740" w:type="dxa"/>
            <w:gridSpan w:val="3"/>
            <w:tcBorders>
              <w:top w:val="single" w:color="000000" w:sz="4" w:space="0"/>
              <w:left w:val="nil"/>
              <w:bottom w:val="single" w:color="000000" w:sz="8"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388" w:type="dxa"/>
            <w:gridSpan w:val="6"/>
            <w:tcBorders>
              <w:top w:val="nil"/>
              <w:left w:val="nil"/>
              <w:bottom w:val="nil"/>
              <w:right w:val="nil"/>
            </w:tcBorders>
            <w:shd w:val="clear" w:color="auto" w:fill="auto"/>
            <w:noWrap/>
            <w:vAlign w:val="center"/>
          </w:tcPr>
          <w:p>
            <w:pPr>
              <w:rPr>
                <w:rFonts w:hint="default"/>
              </w:rPr>
            </w:pPr>
            <w:r>
              <w:rPr>
                <w:rFonts w:hint="default"/>
                <w:lang w:val="en-US" w:eastAsia="zh-CN"/>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528" w:type="dxa"/>
            <w:gridSpan w:val="4"/>
            <w:tcBorders>
              <w:top w:val="nil"/>
              <w:left w:val="nil"/>
              <w:bottom w:val="nil"/>
              <w:right w:val="nil"/>
            </w:tcBorders>
            <w:shd w:val="clear" w:color="auto" w:fill="auto"/>
            <w:noWrap/>
            <w:vAlign w:val="center"/>
          </w:tcPr>
          <w:p>
            <w:pPr>
              <w:rPr>
                <w:rFonts w:hint="default"/>
              </w:rPr>
            </w:pPr>
            <w:r>
              <w:rPr>
                <w:rFonts w:hint="default"/>
                <w:lang w:val="en-US" w:eastAsia="zh-CN"/>
              </w:rPr>
              <w:t>标段: 博湖县2022年度北山牧道修缮工程</w:t>
            </w:r>
          </w:p>
        </w:tc>
        <w:tc>
          <w:tcPr>
            <w:tcW w:w="1860" w:type="dxa"/>
            <w:gridSpan w:val="2"/>
            <w:tcBorders>
              <w:top w:val="nil"/>
              <w:left w:val="nil"/>
              <w:bottom w:val="nil"/>
              <w:right w:val="nil"/>
            </w:tcBorders>
            <w:shd w:val="clear" w:color="auto" w:fill="auto"/>
            <w:noWrap/>
            <w:vAlign w:val="center"/>
          </w:tcPr>
          <w:p>
            <w:pPr>
              <w:rPr>
                <w:rFonts w:hint="default"/>
              </w:rPr>
            </w:pPr>
            <w:r>
              <w:rPr>
                <w:rFonts w:hint="default"/>
                <w:lang w:val="en-US" w:eastAsia="zh-CN"/>
              </w:rPr>
              <w:t>货币单位: 人民币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88" w:type="dxa"/>
            <w:gridSpan w:val="6"/>
            <w:tcBorders>
              <w:top w:val="single" w:color="000000" w:sz="8" w:space="0"/>
              <w:left w:val="single" w:color="000000" w:sz="8" w:space="0"/>
              <w:bottom w:val="single" w:color="000000" w:sz="4" w:space="0"/>
              <w:right w:val="single" w:color="000000" w:sz="8" w:space="0"/>
            </w:tcBorders>
            <w:shd w:val="clear" w:color="auto" w:fill="auto"/>
            <w:noWrap/>
            <w:vAlign w:val="center"/>
          </w:tcPr>
          <w:p>
            <w:pPr>
              <w:jc w:val="center"/>
              <w:rPr>
                <w:rFonts w:hint="default"/>
              </w:rPr>
            </w:pPr>
            <w:r>
              <w:rPr>
                <w:rFonts w:hint="default"/>
                <w:lang w:val="en-US" w:eastAsia="zh-CN"/>
              </w:rPr>
              <w:t>清单 第300章  路面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nil"/>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子目号</w:t>
            </w:r>
          </w:p>
        </w:tc>
        <w:tc>
          <w:tcPr>
            <w:tcW w:w="4684"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子  目  名  称</w:t>
            </w:r>
          </w:p>
        </w:tc>
        <w:tc>
          <w:tcPr>
            <w:tcW w:w="1020"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单位</w:t>
            </w:r>
          </w:p>
        </w:tc>
        <w:tc>
          <w:tcPr>
            <w:tcW w:w="880"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数量</w:t>
            </w:r>
          </w:p>
        </w:tc>
        <w:tc>
          <w:tcPr>
            <w:tcW w:w="890"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单价</w:t>
            </w:r>
          </w:p>
        </w:tc>
        <w:tc>
          <w:tcPr>
            <w:tcW w:w="970" w:type="dxa"/>
            <w:tcBorders>
              <w:top w:val="nil"/>
              <w:left w:val="nil"/>
              <w:bottom w:val="single" w:color="000000" w:sz="4" w:space="0"/>
              <w:right w:val="single" w:color="000000" w:sz="8" w:space="0"/>
            </w:tcBorders>
            <w:shd w:val="clear" w:color="auto" w:fill="auto"/>
            <w:noWrap/>
            <w:vAlign w:val="center"/>
          </w:tcPr>
          <w:p>
            <w:pPr>
              <w:rPr>
                <w:rFonts w:hint="default"/>
              </w:rPr>
            </w:pPr>
            <w:r>
              <w:rPr>
                <w:rFonts w:hint="default"/>
                <w:lang w:val="en-US" w:eastAsia="zh-CN"/>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303-1</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天然砂砾面层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-a</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厚200mm</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m2</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40088</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nil"/>
              <w:left w:val="nil"/>
              <w:bottom w:val="nil"/>
              <w:right w:val="single" w:color="000000" w:sz="8"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4" w:type="dxa"/>
            <w:tcBorders>
              <w:top w:val="single" w:color="000000" w:sz="4" w:space="0"/>
              <w:left w:val="single" w:color="000000" w:sz="8" w:space="0"/>
              <w:bottom w:val="single" w:color="000000" w:sz="8" w:space="0"/>
              <w:right w:val="nil"/>
            </w:tcBorders>
            <w:shd w:val="clear" w:color="auto" w:fill="auto"/>
            <w:noWrap/>
            <w:vAlign w:val="center"/>
          </w:tcPr>
          <w:p>
            <w:pPr>
              <w:rPr>
                <w:rFonts w:hint="default"/>
              </w:rPr>
            </w:pPr>
          </w:p>
        </w:tc>
        <w:tc>
          <w:tcPr>
            <w:tcW w:w="4684" w:type="dxa"/>
            <w:tcBorders>
              <w:top w:val="single" w:color="000000" w:sz="4" w:space="0"/>
              <w:left w:val="nil"/>
              <w:bottom w:val="single" w:color="000000" w:sz="8" w:space="0"/>
              <w:right w:val="nil"/>
            </w:tcBorders>
            <w:shd w:val="clear" w:color="auto" w:fill="auto"/>
            <w:noWrap/>
            <w:vAlign w:val="center"/>
          </w:tcPr>
          <w:p>
            <w:pPr>
              <w:rPr>
                <w:rFonts w:hint="default"/>
              </w:rPr>
            </w:pPr>
            <w:r>
              <w:rPr>
                <w:rFonts w:hint="default"/>
                <w:lang w:val="en-US" w:eastAsia="zh-CN"/>
              </w:rPr>
              <w:t>清单  第 300 章合计   人民币</w:t>
            </w:r>
          </w:p>
        </w:tc>
        <w:tc>
          <w:tcPr>
            <w:tcW w:w="1020" w:type="dxa"/>
            <w:tcBorders>
              <w:top w:val="single" w:color="000000" w:sz="4" w:space="0"/>
              <w:left w:val="nil"/>
              <w:bottom w:val="single" w:color="000000" w:sz="8" w:space="0"/>
              <w:right w:val="nil"/>
            </w:tcBorders>
            <w:shd w:val="clear" w:color="auto" w:fill="auto"/>
            <w:noWrap/>
            <w:vAlign w:val="center"/>
          </w:tcPr>
          <w:p>
            <w:pPr>
              <w:rPr>
                <w:rFonts w:hint="default"/>
              </w:rPr>
            </w:pPr>
          </w:p>
        </w:tc>
        <w:tc>
          <w:tcPr>
            <w:tcW w:w="2740" w:type="dxa"/>
            <w:gridSpan w:val="3"/>
            <w:tcBorders>
              <w:top w:val="single" w:color="000000" w:sz="4" w:space="0"/>
              <w:left w:val="nil"/>
              <w:bottom w:val="single" w:color="000000" w:sz="8"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88" w:type="dxa"/>
            <w:gridSpan w:val="6"/>
            <w:tcBorders>
              <w:top w:val="nil"/>
              <w:left w:val="nil"/>
              <w:bottom w:val="nil"/>
              <w:right w:val="nil"/>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388" w:type="dxa"/>
            <w:gridSpan w:val="6"/>
            <w:tcBorders>
              <w:top w:val="nil"/>
              <w:left w:val="nil"/>
              <w:bottom w:val="nil"/>
              <w:right w:val="nil"/>
            </w:tcBorders>
            <w:shd w:val="clear" w:color="auto" w:fill="auto"/>
            <w:noWrap/>
            <w:vAlign w:val="center"/>
          </w:tcPr>
          <w:p>
            <w:pPr>
              <w:rPr>
                <w:rFonts w:hint="default"/>
              </w:rPr>
            </w:pPr>
            <w:r>
              <w:rPr>
                <w:rFonts w:hint="default"/>
                <w:lang w:val="en-US" w:eastAsia="zh-CN"/>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528" w:type="dxa"/>
            <w:gridSpan w:val="4"/>
            <w:tcBorders>
              <w:top w:val="nil"/>
              <w:left w:val="nil"/>
              <w:bottom w:val="nil"/>
              <w:right w:val="nil"/>
            </w:tcBorders>
            <w:shd w:val="clear" w:color="auto" w:fill="auto"/>
            <w:noWrap/>
            <w:vAlign w:val="center"/>
          </w:tcPr>
          <w:p>
            <w:pPr>
              <w:rPr>
                <w:rFonts w:hint="default"/>
              </w:rPr>
            </w:pPr>
            <w:r>
              <w:rPr>
                <w:rFonts w:hint="default"/>
                <w:lang w:val="en-US" w:eastAsia="zh-CN"/>
              </w:rPr>
              <w:t>标段: 博湖县2022年度北山牧道修缮工程</w:t>
            </w:r>
          </w:p>
        </w:tc>
        <w:tc>
          <w:tcPr>
            <w:tcW w:w="1860" w:type="dxa"/>
            <w:gridSpan w:val="2"/>
            <w:tcBorders>
              <w:top w:val="nil"/>
              <w:left w:val="nil"/>
              <w:bottom w:val="nil"/>
              <w:right w:val="nil"/>
            </w:tcBorders>
            <w:shd w:val="clear" w:color="auto" w:fill="auto"/>
            <w:noWrap/>
            <w:vAlign w:val="center"/>
          </w:tcPr>
          <w:p>
            <w:pPr>
              <w:rPr>
                <w:rFonts w:hint="default"/>
              </w:rPr>
            </w:pPr>
            <w:r>
              <w:rPr>
                <w:rFonts w:hint="default"/>
                <w:lang w:val="en-US" w:eastAsia="zh-CN"/>
              </w:rPr>
              <w:t>货币单位: 人民币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88" w:type="dxa"/>
            <w:gridSpan w:val="6"/>
            <w:tcBorders>
              <w:top w:val="single" w:color="000000" w:sz="8" w:space="0"/>
              <w:left w:val="single" w:color="000000" w:sz="8" w:space="0"/>
              <w:bottom w:val="single" w:color="000000" w:sz="4" w:space="0"/>
              <w:right w:val="single" w:color="000000" w:sz="8" w:space="0"/>
            </w:tcBorders>
            <w:shd w:val="clear" w:color="auto" w:fill="auto"/>
            <w:noWrap/>
            <w:vAlign w:val="center"/>
          </w:tcPr>
          <w:p>
            <w:pPr>
              <w:jc w:val="center"/>
              <w:rPr>
                <w:rFonts w:hint="default"/>
              </w:rPr>
            </w:pPr>
            <w:r>
              <w:rPr>
                <w:rFonts w:hint="default"/>
                <w:lang w:val="en-US" w:eastAsia="zh-CN"/>
              </w:rPr>
              <w:t>清单 第500章 排水与涵洞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nil"/>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子目号</w:t>
            </w:r>
          </w:p>
        </w:tc>
        <w:tc>
          <w:tcPr>
            <w:tcW w:w="4684"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子  目  名  称</w:t>
            </w:r>
          </w:p>
        </w:tc>
        <w:tc>
          <w:tcPr>
            <w:tcW w:w="1020"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单位</w:t>
            </w:r>
          </w:p>
        </w:tc>
        <w:tc>
          <w:tcPr>
            <w:tcW w:w="880"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数量</w:t>
            </w:r>
          </w:p>
        </w:tc>
        <w:tc>
          <w:tcPr>
            <w:tcW w:w="890"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单价</w:t>
            </w:r>
          </w:p>
        </w:tc>
        <w:tc>
          <w:tcPr>
            <w:tcW w:w="970" w:type="dxa"/>
            <w:tcBorders>
              <w:top w:val="nil"/>
              <w:left w:val="nil"/>
              <w:bottom w:val="single" w:color="000000" w:sz="4" w:space="0"/>
              <w:right w:val="single" w:color="000000" w:sz="8" w:space="0"/>
            </w:tcBorders>
            <w:shd w:val="clear" w:color="auto" w:fill="auto"/>
            <w:noWrap/>
            <w:vAlign w:val="center"/>
          </w:tcPr>
          <w:p>
            <w:pPr>
              <w:rPr>
                <w:rFonts w:hint="default"/>
              </w:rPr>
            </w:pPr>
            <w:r>
              <w:rPr>
                <w:rFonts w:hint="default"/>
                <w:lang w:val="en-US" w:eastAsia="zh-CN"/>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503-1</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过水路面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-b</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过水路面（包括路面结构层、钢筋及边坡）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m2</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750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509-1</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蓄水池(包括导流槽及蓄水池)</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-a</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C30砼</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m3</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26.15</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4" w:type="dxa"/>
            <w:tcBorders>
              <w:top w:val="single" w:color="000000" w:sz="4" w:space="0"/>
              <w:left w:val="single" w:color="000000" w:sz="8" w:space="0"/>
              <w:bottom w:val="single" w:color="000000" w:sz="8" w:space="0"/>
              <w:right w:val="nil"/>
            </w:tcBorders>
            <w:shd w:val="clear" w:color="auto" w:fill="auto"/>
            <w:noWrap/>
            <w:vAlign w:val="center"/>
          </w:tcPr>
          <w:p>
            <w:pPr>
              <w:rPr>
                <w:rFonts w:hint="default"/>
              </w:rPr>
            </w:pPr>
          </w:p>
        </w:tc>
        <w:tc>
          <w:tcPr>
            <w:tcW w:w="4684" w:type="dxa"/>
            <w:tcBorders>
              <w:top w:val="single" w:color="000000" w:sz="4" w:space="0"/>
              <w:left w:val="nil"/>
              <w:bottom w:val="single" w:color="000000" w:sz="8" w:space="0"/>
              <w:right w:val="nil"/>
            </w:tcBorders>
            <w:shd w:val="clear" w:color="auto" w:fill="auto"/>
            <w:noWrap/>
            <w:vAlign w:val="center"/>
          </w:tcPr>
          <w:p>
            <w:pPr>
              <w:rPr>
                <w:rFonts w:hint="default"/>
              </w:rPr>
            </w:pPr>
            <w:r>
              <w:rPr>
                <w:rFonts w:hint="default"/>
                <w:lang w:val="en-US" w:eastAsia="zh-CN"/>
              </w:rPr>
              <w:t>清单  第 500 章合计   人民币</w:t>
            </w:r>
          </w:p>
        </w:tc>
        <w:tc>
          <w:tcPr>
            <w:tcW w:w="1020" w:type="dxa"/>
            <w:tcBorders>
              <w:top w:val="single" w:color="000000" w:sz="4" w:space="0"/>
              <w:left w:val="nil"/>
              <w:bottom w:val="single" w:color="000000" w:sz="8" w:space="0"/>
              <w:right w:val="nil"/>
            </w:tcBorders>
            <w:shd w:val="clear" w:color="auto" w:fill="auto"/>
            <w:noWrap/>
            <w:vAlign w:val="center"/>
          </w:tcPr>
          <w:p>
            <w:pPr>
              <w:rPr>
                <w:rFonts w:hint="default"/>
              </w:rPr>
            </w:pPr>
          </w:p>
        </w:tc>
        <w:tc>
          <w:tcPr>
            <w:tcW w:w="2740" w:type="dxa"/>
            <w:gridSpan w:val="3"/>
            <w:tcBorders>
              <w:top w:val="single" w:color="000000" w:sz="4" w:space="0"/>
              <w:left w:val="nil"/>
              <w:bottom w:val="single" w:color="000000" w:sz="8"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88" w:type="dxa"/>
            <w:gridSpan w:val="6"/>
            <w:tcBorders>
              <w:top w:val="nil"/>
              <w:left w:val="nil"/>
              <w:bottom w:val="nil"/>
              <w:right w:val="nil"/>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388" w:type="dxa"/>
            <w:gridSpan w:val="6"/>
            <w:tcBorders>
              <w:top w:val="nil"/>
              <w:left w:val="nil"/>
              <w:bottom w:val="nil"/>
              <w:right w:val="nil"/>
            </w:tcBorders>
            <w:shd w:val="clear" w:color="auto" w:fill="auto"/>
            <w:noWrap/>
            <w:vAlign w:val="center"/>
          </w:tcPr>
          <w:p>
            <w:pPr>
              <w:rPr>
                <w:rFonts w:hint="default"/>
              </w:rPr>
            </w:pPr>
            <w:r>
              <w:rPr>
                <w:rFonts w:hint="default"/>
                <w:lang w:val="en-US" w:eastAsia="zh-CN"/>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528" w:type="dxa"/>
            <w:gridSpan w:val="4"/>
            <w:tcBorders>
              <w:top w:val="nil"/>
              <w:left w:val="nil"/>
              <w:bottom w:val="nil"/>
              <w:right w:val="nil"/>
            </w:tcBorders>
            <w:shd w:val="clear" w:color="auto" w:fill="auto"/>
            <w:noWrap/>
            <w:vAlign w:val="center"/>
          </w:tcPr>
          <w:p>
            <w:pPr>
              <w:rPr>
                <w:rFonts w:hint="default"/>
              </w:rPr>
            </w:pPr>
            <w:r>
              <w:rPr>
                <w:rFonts w:hint="default"/>
                <w:lang w:val="en-US" w:eastAsia="zh-CN"/>
              </w:rPr>
              <w:t>标段: 博湖县2022年度北山牧道修缮工程</w:t>
            </w:r>
          </w:p>
        </w:tc>
        <w:tc>
          <w:tcPr>
            <w:tcW w:w="1860" w:type="dxa"/>
            <w:gridSpan w:val="2"/>
            <w:tcBorders>
              <w:top w:val="nil"/>
              <w:left w:val="nil"/>
              <w:bottom w:val="nil"/>
              <w:right w:val="nil"/>
            </w:tcBorders>
            <w:shd w:val="clear" w:color="auto" w:fill="auto"/>
            <w:noWrap/>
            <w:vAlign w:val="center"/>
          </w:tcPr>
          <w:p>
            <w:pPr>
              <w:rPr>
                <w:rFonts w:hint="default"/>
              </w:rPr>
            </w:pPr>
            <w:r>
              <w:rPr>
                <w:rFonts w:hint="default"/>
                <w:lang w:val="en-US" w:eastAsia="zh-CN"/>
              </w:rPr>
              <w:t>货币单位: 人民币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88" w:type="dxa"/>
            <w:gridSpan w:val="6"/>
            <w:tcBorders>
              <w:top w:val="single" w:color="000000" w:sz="8" w:space="0"/>
              <w:left w:val="single" w:color="000000" w:sz="8" w:space="0"/>
              <w:bottom w:val="single" w:color="000000" w:sz="4" w:space="0"/>
              <w:right w:val="single" w:color="000000" w:sz="8" w:space="0"/>
            </w:tcBorders>
            <w:shd w:val="clear" w:color="auto" w:fill="auto"/>
            <w:noWrap/>
            <w:vAlign w:val="center"/>
          </w:tcPr>
          <w:p>
            <w:pPr>
              <w:jc w:val="center"/>
              <w:rPr>
                <w:rFonts w:hint="default"/>
              </w:rPr>
            </w:pPr>
            <w:r>
              <w:rPr>
                <w:rFonts w:hint="default"/>
                <w:lang w:val="en-US" w:eastAsia="zh-CN"/>
              </w:rPr>
              <w:t>清单 第700章 安全设施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nil"/>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子目号</w:t>
            </w:r>
          </w:p>
        </w:tc>
        <w:tc>
          <w:tcPr>
            <w:tcW w:w="4684"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子  目  名  称</w:t>
            </w:r>
          </w:p>
        </w:tc>
        <w:tc>
          <w:tcPr>
            <w:tcW w:w="1020"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单位</w:t>
            </w:r>
          </w:p>
        </w:tc>
        <w:tc>
          <w:tcPr>
            <w:tcW w:w="880"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数量</w:t>
            </w:r>
          </w:p>
        </w:tc>
        <w:tc>
          <w:tcPr>
            <w:tcW w:w="890" w:type="dxa"/>
            <w:tcBorders>
              <w:top w:val="nil"/>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单价</w:t>
            </w:r>
          </w:p>
        </w:tc>
        <w:tc>
          <w:tcPr>
            <w:tcW w:w="970" w:type="dxa"/>
            <w:tcBorders>
              <w:top w:val="nil"/>
              <w:left w:val="nil"/>
              <w:bottom w:val="single" w:color="000000" w:sz="4" w:space="0"/>
              <w:right w:val="single" w:color="000000" w:sz="8" w:space="0"/>
            </w:tcBorders>
            <w:shd w:val="clear" w:color="auto" w:fill="auto"/>
            <w:noWrap/>
            <w:vAlign w:val="center"/>
          </w:tcPr>
          <w:p>
            <w:pPr>
              <w:rPr>
                <w:rFonts w:hint="default"/>
              </w:rPr>
            </w:pPr>
            <w:r>
              <w:rPr>
                <w:rFonts w:hint="default"/>
                <w:lang w:val="en-US" w:eastAsia="zh-CN"/>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701-1</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柱式护栏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-a</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 xml:space="preserve">钢管护柱 </w:t>
            </w:r>
            <w:r>
              <w:rPr>
                <w:rFonts w:hint="eastAsia"/>
                <w:lang w:val="en-US" w:eastAsia="zh-CN"/>
              </w:rPr>
              <w:t>Φ</w:t>
            </w:r>
            <w:r>
              <w:rPr>
                <w:rFonts w:hint="default"/>
                <w:lang w:val="en-US" w:eastAsia="zh-CN"/>
              </w:rPr>
              <w:t>140*130cm</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153</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705-1</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铝合金标志牌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-a</w:t>
            </w: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△70cm单柱式铝合金标志牌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r>
              <w:rPr>
                <w:rFonts w:hint="default"/>
                <w:lang w:val="en-US" w:eastAsia="zh-CN"/>
              </w:rPr>
              <w:t>6</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default"/>
              </w:rPr>
            </w:pPr>
          </w:p>
        </w:tc>
        <w:tc>
          <w:tcPr>
            <w:tcW w:w="4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rPr>
            </w:pPr>
          </w:p>
        </w:tc>
        <w:tc>
          <w:tcPr>
            <w:tcW w:w="9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44" w:type="dxa"/>
            <w:tcBorders>
              <w:top w:val="single" w:color="000000" w:sz="4" w:space="0"/>
              <w:left w:val="single" w:color="000000" w:sz="8" w:space="0"/>
              <w:bottom w:val="single" w:color="000000" w:sz="8" w:space="0"/>
              <w:right w:val="nil"/>
            </w:tcBorders>
            <w:shd w:val="clear" w:color="auto" w:fill="auto"/>
            <w:noWrap/>
            <w:vAlign w:val="center"/>
          </w:tcPr>
          <w:p>
            <w:pPr>
              <w:rPr>
                <w:rFonts w:hint="default"/>
              </w:rPr>
            </w:pPr>
          </w:p>
        </w:tc>
        <w:tc>
          <w:tcPr>
            <w:tcW w:w="4684" w:type="dxa"/>
            <w:tcBorders>
              <w:top w:val="single" w:color="000000" w:sz="4" w:space="0"/>
              <w:left w:val="nil"/>
              <w:bottom w:val="single" w:color="000000" w:sz="8" w:space="0"/>
              <w:right w:val="nil"/>
            </w:tcBorders>
            <w:shd w:val="clear" w:color="auto" w:fill="auto"/>
            <w:noWrap/>
            <w:vAlign w:val="center"/>
          </w:tcPr>
          <w:p>
            <w:pPr>
              <w:rPr>
                <w:rFonts w:hint="default"/>
              </w:rPr>
            </w:pPr>
            <w:r>
              <w:rPr>
                <w:rFonts w:hint="default"/>
                <w:lang w:val="en-US" w:eastAsia="zh-CN"/>
              </w:rPr>
              <w:t>清单  第 700 章合计   人民币</w:t>
            </w:r>
          </w:p>
        </w:tc>
        <w:tc>
          <w:tcPr>
            <w:tcW w:w="1020" w:type="dxa"/>
            <w:tcBorders>
              <w:top w:val="single" w:color="000000" w:sz="4" w:space="0"/>
              <w:left w:val="nil"/>
              <w:bottom w:val="single" w:color="000000" w:sz="8" w:space="0"/>
              <w:right w:val="nil"/>
            </w:tcBorders>
            <w:shd w:val="clear" w:color="auto" w:fill="auto"/>
            <w:noWrap/>
            <w:vAlign w:val="center"/>
          </w:tcPr>
          <w:p>
            <w:pPr>
              <w:rPr>
                <w:rFonts w:hint="default"/>
              </w:rPr>
            </w:pPr>
          </w:p>
        </w:tc>
        <w:tc>
          <w:tcPr>
            <w:tcW w:w="2740" w:type="dxa"/>
            <w:gridSpan w:val="3"/>
            <w:tcBorders>
              <w:top w:val="single" w:color="000000" w:sz="4" w:space="0"/>
              <w:left w:val="nil"/>
              <w:bottom w:val="single" w:color="000000" w:sz="8" w:space="0"/>
              <w:right w:val="single" w:color="000000" w:sz="8" w:space="0"/>
            </w:tcBorders>
            <w:shd w:val="clear" w:color="auto" w:fill="auto"/>
            <w:noWrap/>
            <w:vAlign w:val="center"/>
          </w:tcPr>
          <w:p>
            <w:pPr>
              <w:rPr>
                <w:rFonts w:hint="default"/>
              </w:rPr>
            </w:pPr>
            <w:r>
              <w:rPr>
                <w:rFonts w:hint="default"/>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4" w:type="dxa"/>
            <w:tcBorders>
              <w:top w:val="nil"/>
              <w:left w:val="nil"/>
              <w:bottom w:val="nil"/>
              <w:right w:val="nil"/>
            </w:tcBorders>
            <w:shd w:val="clear" w:color="auto" w:fill="auto"/>
            <w:noWrap/>
            <w:vAlign w:val="center"/>
          </w:tcPr>
          <w:p>
            <w:pPr>
              <w:rPr>
                <w:rFonts w:hint="eastAsia"/>
              </w:rPr>
            </w:pPr>
          </w:p>
        </w:tc>
        <w:tc>
          <w:tcPr>
            <w:tcW w:w="4684" w:type="dxa"/>
            <w:tcBorders>
              <w:top w:val="nil"/>
              <w:left w:val="nil"/>
              <w:bottom w:val="nil"/>
              <w:right w:val="nil"/>
            </w:tcBorders>
            <w:shd w:val="clear" w:color="auto" w:fill="auto"/>
            <w:noWrap/>
            <w:vAlign w:val="center"/>
          </w:tcPr>
          <w:p>
            <w:pPr>
              <w:rPr>
                <w:rFonts w:hint="eastAsia"/>
              </w:rPr>
            </w:pPr>
          </w:p>
        </w:tc>
        <w:tc>
          <w:tcPr>
            <w:tcW w:w="1020" w:type="dxa"/>
            <w:tcBorders>
              <w:top w:val="nil"/>
              <w:left w:val="nil"/>
              <w:bottom w:val="nil"/>
              <w:right w:val="nil"/>
            </w:tcBorders>
            <w:shd w:val="clear" w:color="auto" w:fill="auto"/>
            <w:noWrap/>
            <w:vAlign w:val="center"/>
          </w:tcPr>
          <w:p>
            <w:pPr>
              <w:rPr>
                <w:rFonts w:hint="eastAsia"/>
              </w:rPr>
            </w:pPr>
          </w:p>
        </w:tc>
        <w:tc>
          <w:tcPr>
            <w:tcW w:w="880" w:type="dxa"/>
            <w:tcBorders>
              <w:top w:val="nil"/>
              <w:left w:val="nil"/>
              <w:bottom w:val="nil"/>
              <w:right w:val="nil"/>
            </w:tcBorders>
            <w:shd w:val="clear" w:color="auto" w:fill="auto"/>
            <w:vAlign w:val="center"/>
          </w:tcPr>
          <w:p>
            <w:pPr>
              <w:rPr>
                <w:rFonts w:hint="eastAsia"/>
              </w:rPr>
            </w:pPr>
          </w:p>
        </w:tc>
        <w:tc>
          <w:tcPr>
            <w:tcW w:w="890" w:type="dxa"/>
            <w:tcBorders>
              <w:top w:val="nil"/>
              <w:left w:val="nil"/>
              <w:bottom w:val="nil"/>
              <w:right w:val="nil"/>
            </w:tcBorders>
            <w:shd w:val="clear" w:color="auto" w:fill="auto"/>
            <w:vAlign w:val="center"/>
          </w:tcPr>
          <w:p>
            <w:pPr>
              <w:rPr>
                <w:rFonts w:hint="eastAsia"/>
              </w:rPr>
            </w:pPr>
          </w:p>
        </w:tc>
        <w:tc>
          <w:tcPr>
            <w:tcW w:w="970" w:type="dxa"/>
            <w:tcBorders>
              <w:top w:val="nil"/>
              <w:left w:val="nil"/>
              <w:bottom w:val="nil"/>
              <w:right w:val="nil"/>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4" w:type="dxa"/>
            <w:tcBorders>
              <w:top w:val="nil"/>
              <w:left w:val="nil"/>
              <w:bottom w:val="nil"/>
              <w:right w:val="nil"/>
            </w:tcBorders>
            <w:shd w:val="clear" w:color="auto" w:fill="auto"/>
            <w:noWrap/>
            <w:vAlign w:val="center"/>
          </w:tcPr>
          <w:p>
            <w:pPr>
              <w:rPr>
                <w:rFonts w:hint="eastAsia"/>
              </w:rPr>
            </w:pPr>
          </w:p>
        </w:tc>
        <w:tc>
          <w:tcPr>
            <w:tcW w:w="4684" w:type="dxa"/>
            <w:tcBorders>
              <w:top w:val="nil"/>
              <w:left w:val="nil"/>
              <w:bottom w:val="nil"/>
              <w:right w:val="nil"/>
            </w:tcBorders>
            <w:shd w:val="clear" w:color="auto" w:fill="auto"/>
            <w:noWrap/>
            <w:vAlign w:val="center"/>
          </w:tcPr>
          <w:p>
            <w:pPr>
              <w:rPr>
                <w:rFonts w:hint="eastAsia"/>
              </w:rPr>
            </w:pPr>
          </w:p>
        </w:tc>
        <w:tc>
          <w:tcPr>
            <w:tcW w:w="1020" w:type="dxa"/>
            <w:tcBorders>
              <w:top w:val="nil"/>
              <w:left w:val="nil"/>
              <w:bottom w:val="nil"/>
              <w:right w:val="nil"/>
            </w:tcBorders>
            <w:shd w:val="clear" w:color="auto" w:fill="auto"/>
            <w:noWrap/>
            <w:vAlign w:val="center"/>
          </w:tcPr>
          <w:p>
            <w:pPr>
              <w:rPr>
                <w:rFonts w:hint="eastAsia"/>
              </w:rPr>
            </w:pPr>
          </w:p>
        </w:tc>
        <w:tc>
          <w:tcPr>
            <w:tcW w:w="880" w:type="dxa"/>
            <w:tcBorders>
              <w:top w:val="nil"/>
              <w:left w:val="nil"/>
              <w:bottom w:val="nil"/>
              <w:right w:val="nil"/>
            </w:tcBorders>
            <w:shd w:val="clear" w:color="auto" w:fill="auto"/>
            <w:vAlign w:val="center"/>
          </w:tcPr>
          <w:p>
            <w:pPr>
              <w:rPr>
                <w:rFonts w:hint="eastAsia"/>
              </w:rPr>
            </w:pPr>
          </w:p>
        </w:tc>
        <w:tc>
          <w:tcPr>
            <w:tcW w:w="890" w:type="dxa"/>
            <w:tcBorders>
              <w:top w:val="nil"/>
              <w:left w:val="nil"/>
              <w:bottom w:val="nil"/>
              <w:right w:val="nil"/>
            </w:tcBorders>
            <w:shd w:val="clear" w:color="auto" w:fill="auto"/>
            <w:vAlign w:val="center"/>
          </w:tcPr>
          <w:p>
            <w:pPr>
              <w:rPr>
                <w:rFonts w:hint="eastAsia"/>
              </w:rPr>
            </w:pPr>
          </w:p>
        </w:tc>
        <w:tc>
          <w:tcPr>
            <w:tcW w:w="970" w:type="dxa"/>
            <w:tcBorders>
              <w:top w:val="nil"/>
              <w:left w:val="nil"/>
              <w:bottom w:val="nil"/>
              <w:right w:val="nil"/>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4" w:type="dxa"/>
            <w:tcBorders>
              <w:top w:val="nil"/>
              <w:left w:val="nil"/>
              <w:bottom w:val="nil"/>
              <w:right w:val="nil"/>
            </w:tcBorders>
            <w:shd w:val="clear" w:color="auto" w:fill="auto"/>
            <w:noWrap/>
            <w:vAlign w:val="center"/>
          </w:tcPr>
          <w:p>
            <w:pPr>
              <w:rPr>
                <w:rFonts w:hint="eastAsia"/>
              </w:rPr>
            </w:pPr>
          </w:p>
        </w:tc>
        <w:tc>
          <w:tcPr>
            <w:tcW w:w="4684" w:type="dxa"/>
            <w:tcBorders>
              <w:top w:val="nil"/>
              <w:left w:val="nil"/>
              <w:bottom w:val="nil"/>
              <w:right w:val="nil"/>
            </w:tcBorders>
            <w:shd w:val="clear" w:color="auto" w:fill="auto"/>
            <w:noWrap/>
            <w:vAlign w:val="center"/>
          </w:tcPr>
          <w:p>
            <w:pPr>
              <w:rPr>
                <w:rFonts w:hint="eastAsia"/>
              </w:rPr>
            </w:pPr>
          </w:p>
        </w:tc>
        <w:tc>
          <w:tcPr>
            <w:tcW w:w="1020" w:type="dxa"/>
            <w:tcBorders>
              <w:top w:val="nil"/>
              <w:left w:val="nil"/>
              <w:bottom w:val="nil"/>
              <w:right w:val="nil"/>
            </w:tcBorders>
            <w:shd w:val="clear" w:color="auto" w:fill="auto"/>
            <w:noWrap/>
            <w:vAlign w:val="center"/>
          </w:tcPr>
          <w:p>
            <w:pPr>
              <w:rPr>
                <w:rFonts w:hint="eastAsia"/>
              </w:rPr>
            </w:pPr>
          </w:p>
        </w:tc>
        <w:tc>
          <w:tcPr>
            <w:tcW w:w="880" w:type="dxa"/>
            <w:tcBorders>
              <w:top w:val="nil"/>
              <w:left w:val="nil"/>
              <w:bottom w:val="nil"/>
              <w:right w:val="nil"/>
            </w:tcBorders>
            <w:shd w:val="clear" w:color="auto" w:fill="auto"/>
            <w:vAlign w:val="center"/>
          </w:tcPr>
          <w:p>
            <w:pPr>
              <w:rPr>
                <w:rFonts w:hint="eastAsia"/>
              </w:rPr>
            </w:pPr>
          </w:p>
        </w:tc>
        <w:tc>
          <w:tcPr>
            <w:tcW w:w="890" w:type="dxa"/>
            <w:tcBorders>
              <w:top w:val="nil"/>
              <w:left w:val="nil"/>
              <w:bottom w:val="nil"/>
              <w:right w:val="nil"/>
            </w:tcBorders>
            <w:shd w:val="clear" w:color="auto" w:fill="auto"/>
            <w:vAlign w:val="center"/>
          </w:tcPr>
          <w:p>
            <w:pPr>
              <w:rPr>
                <w:rFonts w:hint="eastAsia"/>
              </w:rPr>
            </w:pPr>
          </w:p>
        </w:tc>
        <w:tc>
          <w:tcPr>
            <w:tcW w:w="970" w:type="dxa"/>
            <w:tcBorders>
              <w:top w:val="nil"/>
              <w:left w:val="nil"/>
              <w:bottom w:val="nil"/>
              <w:right w:val="nil"/>
            </w:tcBorders>
            <w:shd w:val="clear" w:color="auto" w:fill="auto"/>
            <w:vAlign w:val="center"/>
          </w:tcPr>
          <w:p>
            <w:pPr>
              <w:rPr>
                <w:rFonts w:hint="eastAsia"/>
              </w:rPr>
            </w:pPr>
          </w:p>
        </w:tc>
      </w:tr>
    </w:tbl>
    <w:p>
      <w:pPr>
        <w:pStyle w:val="20"/>
        <w:numPr>
          <w:ilvl w:val="0"/>
          <w:numId w:val="0"/>
        </w:numPr>
        <w:tabs>
          <w:tab w:val="left" w:pos="1114"/>
        </w:tabs>
        <w:spacing w:before="84"/>
        <w:rPr>
          <w:rFonts w:hint="eastAsia" w:ascii="宋体" w:hAnsi="宋体" w:eastAsia="宋体" w:cs="宋体"/>
          <w:sz w:val="24"/>
          <w:lang w:val="en-US" w:eastAsia="zh-CN"/>
        </w:rPr>
      </w:pPr>
    </w:p>
    <w:p>
      <w:pPr>
        <w:pStyle w:val="20"/>
        <w:numPr>
          <w:ilvl w:val="0"/>
          <w:numId w:val="0"/>
        </w:numPr>
        <w:tabs>
          <w:tab w:val="left" w:pos="1114"/>
        </w:tabs>
        <w:spacing w:before="84"/>
        <w:ind w:left="692" w:leftChars="0"/>
        <w:rPr>
          <w:rFonts w:hint="eastAsia" w:ascii="宋体" w:hAnsi="宋体" w:eastAsia="宋体" w:cs="宋体"/>
          <w:sz w:val="24"/>
          <w:lang w:val="en-US" w:eastAsia="zh-CN"/>
        </w:rPr>
      </w:pPr>
      <w:r>
        <w:rPr>
          <w:rFonts w:hint="eastAsia" w:ascii="宋体" w:hAnsi="宋体" w:eastAsia="宋体" w:cs="宋体"/>
          <w:sz w:val="24"/>
          <w:lang w:val="en-US" w:eastAsia="zh-CN"/>
        </w:rPr>
        <w:t>3.2</w:t>
      </w:r>
      <w:r>
        <w:rPr>
          <w:rFonts w:hint="eastAsia" w:cs="宋体"/>
          <w:sz w:val="24"/>
          <w:lang w:val="en-US" w:eastAsia="zh-CN"/>
        </w:rPr>
        <w:t xml:space="preserve"> </w:t>
      </w:r>
      <w:r>
        <w:rPr>
          <w:rFonts w:hint="eastAsia" w:ascii="宋体" w:hAnsi="宋体" w:eastAsia="宋体" w:cs="宋体"/>
          <w:sz w:val="24"/>
          <w:lang w:val="en-US" w:eastAsia="zh-CN"/>
        </w:rPr>
        <w:t>投标报价汇总表</w:t>
      </w:r>
    </w:p>
    <w:tbl>
      <w:tblPr>
        <w:tblStyle w:val="18"/>
        <w:tblW w:w="964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35"/>
        <w:gridCol w:w="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9649" w:type="dxa"/>
            <w:gridSpan w:val="2"/>
            <w:tcBorders>
              <w:top w:val="nil"/>
              <w:left w:val="nil"/>
              <w:bottom w:val="nil"/>
              <w:right w:val="nil"/>
            </w:tcBorders>
            <w:shd w:val="clear" w:color="auto" w:fill="auto"/>
            <w:noWrap/>
            <w:vAlign w:val="center"/>
          </w:tcPr>
          <w:p>
            <w:pPr>
              <w:keepNext w:val="0"/>
              <w:keepLines w:val="0"/>
              <w:widowControl/>
              <w:suppressLineNumbers w:val="0"/>
              <w:ind w:firstLine="3614" w:firstLineChars="1000"/>
              <w:jc w:val="both"/>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6"/>
                <w:szCs w:val="36"/>
                <w:u w:val="none"/>
                <w:lang w:val="en-US" w:eastAsia="zh-CN" w:bidi="ar"/>
              </w:rPr>
              <w:t>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nil"/>
              <w:left w:val="nil"/>
              <w:bottom w:val="nil"/>
              <w:right w:val="nil"/>
            </w:tcBorders>
            <w:shd w:val="clear" w:color="auto" w:fill="auto"/>
            <w:noWrap/>
            <w:vAlign w:val="center"/>
          </w:tcPr>
          <w:tbl>
            <w:tblPr>
              <w:tblStyle w:val="18"/>
              <w:tblW w:w="9119"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11"/>
              <w:gridCol w:w="111"/>
              <w:gridCol w:w="1154"/>
              <w:gridCol w:w="3142"/>
              <w:gridCol w:w="3376"/>
              <w:gridCol w:w="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63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标段：博湖县2022年度北山牧道修缮工程</w:t>
                  </w:r>
                </w:p>
              </w:tc>
              <w:tc>
                <w:tcPr>
                  <w:tcW w:w="1088"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9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  目  名  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9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9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路基土石方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9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9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排水与涵洞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9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9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第100章至700章清单合计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9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gridSpan w:val="3"/>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暂列金额(按清单合计金额的</w:t>
                  </w:r>
                  <w:r>
                    <w:rPr>
                      <w:rStyle w:val="32"/>
                      <w:lang w:val="en-US" w:eastAsia="zh-CN" w:bidi="ar"/>
                    </w:rPr>
                    <w:t xml:space="preserve"> 3 </w:t>
                  </w:r>
                  <w:r>
                    <w:rPr>
                      <w:rFonts w:hint="eastAsia" w:ascii="宋体" w:hAnsi="宋体" w:eastAsia="宋体" w:cs="宋体"/>
                      <w:i w:val="0"/>
                      <w:iCs w:val="0"/>
                      <w:color w:val="000000"/>
                      <w:kern w:val="0"/>
                      <w:sz w:val="24"/>
                      <w:szCs w:val="24"/>
                      <w:u w:val="none"/>
                      <w:lang w:val="en-US" w:eastAsia="zh-CN" w:bidi="ar"/>
                    </w:rPr>
                    <w:t>%计列)</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9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gridSpan w:val="3"/>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投标报价(6+7=8)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1434" w:type="dxa"/>
                  <w:gridSpan w:val="2"/>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21"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21"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950"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8"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1434" w:type="dxa"/>
                  <w:gridSpan w:val="2"/>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21"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21"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950"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8"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13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17"/>
        <w:rPr>
          <w:rFonts w:hint="eastAsia" w:ascii="宋体" w:hAnsi="宋体" w:eastAsia="宋体" w:cs="宋体"/>
          <w:sz w:val="18"/>
        </w:rPr>
        <w:sectPr>
          <w:footerReference r:id="rId14" w:type="default"/>
          <w:pgSz w:w="11910" w:h="16840"/>
          <w:pgMar w:top="1360" w:right="1119" w:bottom="1040" w:left="1260" w:header="882" w:footer="845" w:gutter="0"/>
          <w:cols w:space="720" w:num="1"/>
        </w:sectPr>
      </w:pPr>
    </w:p>
    <w:p>
      <w:pPr>
        <w:tabs>
          <w:tab w:val="left" w:pos="1245"/>
        </w:tabs>
        <w:spacing w:before="45"/>
        <w:ind w:left="405"/>
        <w:rPr>
          <w:rFonts w:hint="eastAsia" w:ascii="宋体" w:hAnsi="宋体" w:eastAsia="宋体" w:cs="宋体"/>
          <w:sz w:val="21"/>
        </w:rPr>
      </w:pPr>
    </w:p>
    <w:p>
      <w:pPr>
        <w:pStyle w:val="10"/>
        <w:rPr>
          <w:rFonts w:hint="eastAsia" w:ascii="宋体" w:hAnsi="宋体" w:eastAsia="宋体" w:cs="宋体"/>
          <w:sz w:val="17"/>
        </w:rPr>
      </w:pPr>
    </w:p>
    <w:p>
      <w:pPr>
        <w:pStyle w:val="20"/>
        <w:numPr>
          <w:ilvl w:val="0"/>
          <w:numId w:val="0"/>
        </w:numPr>
        <w:tabs>
          <w:tab w:val="left" w:pos="1131"/>
        </w:tabs>
        <w:spacing w:before="74" w:after="9"/>
        <w:ind w:left="709" w:leftChars="0"/>
        <w:rPr>
          <w:rFonts w:hint="eastAsia" w:ascii="宋体" w:hAnsi="宋体" w:eastAsia="宋体" w:cs="宋体"/>
          <w:sz w:val="24"/>
        </w:rPr>
      </w:pPr>
      <w:r>
        <w:rPr>
          <w:rFonts w:hint="eastAsia" w:ascii="宋体" w:hAnsi="宋体" w:eastAsia="宋体" w:cs="宋体"/>
          <w:sz w:val="24"/>
          <w:lang w:val="en-US" w:eastAsia="zh-CN"/>
        </w:rPr>
        <w:t>3.3</w:t>
      </w:r>
      <w:r>
        <w:rPr>
          <w:rFonts w:hint="eastAsia" w:cs="宋体"/>
          <w:sz w:val="24"/>
          <w:lang w:val="en-US" w:eastAsia="zh-CN"/>
        </w:rPr>
        <w:t xml:space="preserve"> </w:t>
      </w:r>
      <w:r>
        <w:rPr>
          <w:rFonts w:hint="eastAsia" w:ascii="宋体" w:hAnsi="宋体" w:eastAsia="宋体" w:cs="宋体"/>
          <w:sz w:val="24"/>
        </w:rPr>
        <w:t>工程量清单单价分析表</w:t>
      </w:r>
    </w:p>
    <w:p>
      <w:pPr>
        <w:pStyle w:val="20"/>
        <w:numPr>
          <w:ilvl w:val="0"/>
          <w:numId w:val="0"/>
        </w:numPr>
        <w:tabs>
          <w:tab w:val="left" w:pos="1131"/>
        </w:tabs>
        <w:spacing w:before="74" w:after="9"/>
        <w:ind w:left="709" w:leftChars="0"/>
        <w:rPr>
          <w:rFonts w:hint="eastAsia" w:ascii="宋体" w:hAnsi="宋体" w:eastAsia="宋体" w:cs="宋体"/>
          <w:sz w:val="26"/>
        </w:rPr>
      </w:pPr>
      <w:r>
        <w:rPr>
          <w:rFonts w:hint="eastAsia" w:ascii="宋体" w:hAnsi="宋体" w:eastAsia="宋体" w:cs="宋体"/>
          <w:sz w:val="24"/>
          <w:lang w:eastAsia="zh-CN"/>
        </w:rPr>
        <w:t>（</w:t>
      </w:r>
      <w:r>
        <w:rPr>
          <w:rFonts w:hint="eastAsia" w:ascii="宋体" w:hAnsi="宋体" w:eastAsia="宋体" w:cs="宋体"/>
          <w:sz w:val="24"/>
          <w:lang w:val="en-US" w:eastAsia="zh-CN"/>
        </w:rPr>
        <w:t>项目</w:t>
      </w:r>
      <w:r>
        <w:rPr>
          <w:rFonts w:hint="eastAsia" w:ascii="宋体" w:hAnsi="宋体" w:eastAsia="宋体" w:cs="宋体"/>
          <w:i w:val="0"/>
          <w:iCs w:val="0"/>
          <w:color w:val="000000"/>
          <w:kern w:val="0"/>
          <w:sz w:val="22"/>
          <w:szCs w:val="22"/>
          <w:u w:val="none"/>
          <w:lang w:val="en-US" w:eastAsia="zh-CN" w:bidi="ar"/>
        </w:rPr>
        <w:t xml:space="preserve">: 博湖县2022年度北山牧道修缮工程 </w:t>
      </w:r>
      <w:r>
        <w:rPr>
          <w:rFonts w:hint="eastAsia" w:ascii="宋体" w:hAnsi="宋体" w:eastAsia="宋体" w:cs="宋体"/>
          <w:sz w:val="24"/>
          <w:lang w:eastAsia="zh-CN"/>
        </w:rPr>
        <w:t>）</w:t>
      </w:r>
    </w:p>
    <w:p>
      <w:pPr>
        <w:pStyle w:val="10"/>
        <w:rPr>
          <w:rFonts w:hint="eastAsia" w:ascii="宋体" w:hAnsi="宋体" w:eastAsia="宋体" w:cs="宋体"/>
          <w:sz w:val="26"/>
        </w:rPr>
      </w:pPr>
    </w:p>
    <w:tbl>
      <w:tblPr>
        <w:tblStyle w:val="18"/>
        <w:tblpPr w:leftFromText="180" w:rightFromText="180" w:vertAnchor="text" w:horzAnchor="page" w:tblpX="1157" w:tblpY="23"/>
        <w:tblOverlap w:val="never"/>
        <w:tblW w:w="143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911"/>
        <w:gridCol w:w="1091"/>
        <w:gridCol w:w="602"/>
        <w:gridCol w:w="602"/>
        <w:gridCol w:w="609"/>
        <w:gridCol w:w="689"/>
        <w:gridCol w:w="689"/>
        <w:gridCol w:w="689"/>
        <w:gridCol w:w="690"/>
        <w:gridCol w:w="640"/>
        <w:gridCol w:w="709"/>
        <w:gridCol w:w="851"/>
        <w:gridCol w:w="850"/>
        <w:gridCol w:w="851"/>
        <w:gridCol w:w="850"/>
        <w:gridCol w:w="851"/>
        <w:gridCol w:w="1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34" w:type="dxa"/>
            <w:vMerge w:val="restart"/>
          </w:tcPr>
          <w:p>
            <w:pPr>
              <w:pStyle w:val="21"/>
              <w:rPr>
                <w:rFonts w:hint="eastAsia" w:ascii="宋体" w:hAnsi="宋体" w:eastAsia="宋体" w:cs="宋体"/>
                <w:sz w:val="20"/>
              </w:rPr>
            </w:pPr>
          </w:p>
          <w:p>
            <w:pPr>
              <w:pStyle w:val="21"/>
              <w:rPr>
                <w:rFonts w:hint="eastAsia" w:ascii="宋体" w:hAnsi="宋体" w:eastAsia="宋体" w:cs="宋体"/>
                <w:sz w:val="20"/>
              </w:rPr>
            </w:pPr>
          </w:p>
          <w:p>
            <w:pPr>
              <w:pStyle w:val="21"/>
              <w:rPr>
                <w:rFonts w:hint="eastAsia" w:ascii="宋体" w:hAnsi="宋体" w:eastAsia="宋体" w:cs="宋体"/>
                <w:sz w:val="20"/>
              </w:rPr>
            </w:pPr>
          </w:p>
          <w:p>
            <w:pPr>
              <w:pStyle w:val="21"/>
              <w:spacing w:before="161"/>
              <w:ind w:left="217"/>
              <w:rPr>
                <w:rFonts w:hint="eastAsia" w:ascii="宋体" w:hAnsi="宋体" w:eastAsia="宋体" w:cs="宋体"/>
                <w:sz w:val="20"/>
              </w:rPr>
            </w:pPr>
            <w:r>
              <w:rPr>
                <w:rFonts w:hint="eastAsia" w:ascii="宋体" w:hAnsi="宋体" w:eastAsia="宋体" w:cs="宋体"/>
                <w:sz w:val="20"/>
              </w:rPr>
              <w:t>序号</w:t>
            </w:r>
          </w:p>
        </w:tc>
        <w:tc>
          <w:tcPr>
            <w:tcW w:w="911" w:type="dxa"/>
            <w:vMerge w:val="restart"/>
          </w:tcPr>
          <w:p>
            <w:pPr>
              <w:pStyle w:val="21"/>
              <w:rPr>
                <w:rFonts w:hint="eastAsia" w:ascii="宋体" w:hAnsi="宋体" w:eastAsia="宋体" w:cs="宋体"/>
                <w:sz w:val="20"/>
              </w:rPr>
            </w:pPr>
          </w:p>
          <w:p>
            <w:pPr>
              <w:pStyle w:val="21"/>
              <w:rPr>
                <w:rFonts w:hint="eastAsia" w:ascii="宋体" w:hAnsi="宋体" w:eastAsia="宋体" w:cs="宋体"/>
                <w:sz w:val="20"/>
              </w:rPr>
            </w:pPr>
          </w:p>
          <w:p>
            <w:pPr>
              <w:pStyle w:val="21"/>
              <w:rPr>
                <w:rFonts w:hint="eastAsia" w:ascii="宋体" w:hAnsi="宋体" w:eastAsia="宋体" w:cs="宋体"/>
                <w:sz w:val="20"/>
              </w:rPr>
            </w:pPr>
          </w:p>
          <w:p>
            <w:pPr>
              <w:pStyle w:val="21"/>
              <w:spacing w:before="161"/>
              <w:ind w:left="254"/>
              <w:rPr>
                <w:rFonts w:hint="eastAsia" w:ascii="宋体" w:hAnsi="宋体" w:eastAsia="宋体" w:cs="宋体"/>
                <w:sz w:val="20"/>
              </w:rPr>
            </w:pPr>
            <w:r>
              <w:rPr>
                <w:rFonts w:hint="eastAsia" w:ascii="宋体" w:hAnsi="宋体" w:eastAsia="宋体" w:cs="宋体"/>
                <w:sz w:val="20"/>
              </w:rPr>
              <w:t>编码</w:t>
            </w:r>
          </w:p>
        </w:tc>
        <w:tc>
          <w:tcPr>
            <w:tcW w:w="1091" w:type="dxa"/>
            <w:vMerge w:val="restart"/>
          </w:tcPr>
          <w:p>
            <w:pPr>
              <w:pStyle w:val="21"/>
              <w:rPr>
                <w:rFonts w:hint="eastAsia" w:ascii="宋体" w:hAnsi="宋体" w:eastAsia="宋体" w:cs="宋体"/>
                <w:sz w:val="20"/>
              </w:rPr>
            </w:pPr>
          </w:p>
          <w:p>
            <w:pPr>
              <w:pStyle w:val="21"/>
              <w:rPr>
                <w:rFonts w:hint="eastAsia" w:ascii="宋体" w:hAnsi="宋体" w:eastAsia="宋体" w:cs="宋体"/>
                <w:sz w:val="20"/>
              </w:rPr>
            </w:pPr>
          </w:p>
          <w:p>
            <w:pPr>
              <w:pStyle w:val="21"/>
              <w:rPr>
                <w:rFonts w:hint="eastAsia" w:ascii="宋体" w:hAnsi="宋体" w:eastAsia="宋体" w:cs="宋体"/>
                <w:sz w:val="17"/>
              </w:rPr>
            </w:pPr>
          </w:p>
          <w:p>
            <w:pPr>
              <w:pStyle w:val="21"/>
              <w:spacing w:before="1" w:line="374" w:lineRule="auto"/>
              <w:ind w:left="272" w:right="408"/>
              <w:rPr>
                <w:rFonts w:hint="eastAsia" w:ascii="宋体" w:hAnsi="宋体" w:eastAsia="宋体" w:cs="宋体"/>
                <w:sz w:val="20"/>
              </w:rPr>
            </w:pPr>
            <w:r>
              <w:rPr>
                <w:rFonts w:hint="eastAsia" w:ascii="宋体" w:hAnsi="宋体" w:eastAsia="宋体" w:cs="宋体"/>
                <w:sz w:val="20"/>
              </w:rPr>
              <w:t>子目名称</w:t>
            </w:r>
          </w:p>
        </w:tc>
        <w:tc>
          <w:tcPr>
            <w:tcW w:w="1813" w:type="dxa"/>
            <w:gridSpan w:val="3"/>
          </w:tcPr>
          <w:p>
            <w:pPr>
              <w:pStyle w:val="21"/>
              <w:spacing w:before="121"/>
              <w:ind w:left="688"/>
              <w:rPr>
                <w:rFonts w:hint="eastAsia" w:ascii="宋体" w:hAnsi="宋体" w:eastAsia="宋体" w:cs="宋体"/>
                <w:sz w:val="20"/>
              </w:rPr>
            </w:pPr>
            <w:r>
              <w:rPr>
                <w:rFonts w:hint="eastAsia" w:ascii="宋体" w:hAnsi="宋体" w:eastAsia="宋体" w:cs="宋体"/>
                <w:sz w:val="20"/>
              </w:rPr>
              <w:t>人工费</w:t>
            </w:r>
          </w:p>
        </w:tc>
        <w:tc>
          <w:tcPr>
            <w:tcW w:w="4106" w:type="dxa"/>
            <w:gridSpan w:val="6"/>
          </w:tcPr>
          <w:p>
            <w:pPr>
              <w:pStyle w:val="21"/>
              <w:spacing w:before="121"/>
              <w:ind w:left="1814" w:right="1641"/>
              <w:jc w:val="center"/>
              <w:rPr>
                <w:rFonts w:hint="eastAsia" w:ascii="宋体" w:hAnsi="宋体" w:eastAsia="宋体" w:cs="宋体"/>
                <w:sz w:val="20"/>
              </w:rPr>
            </w:pPr>
            <w:r>
              <w:rPr>
                <w:rFonts w:hint="eastAsia" w:ascii="宋体" w:hAnsi="宋体" w:eastAsia="宋体" w:cs="宋体"/>
                <w:sz w:val="20"/>
              </w:rPr>
              <w:t>材料费</w:t>
            </w:r>
          </w:p>
        </w:tc>
        <w:tc>
          <w:tcPr>
            <w:tcW w:w="851" w:type="dxa"/>
            <w:vMerge w:val="restart"/>
          </w:tcPr>
          <w:p>
            <w:pPr>
              <w:pStyle w:val="21"/>
              <w:rPr>
                <w:rFonts w:hint="eastAsia" w:ascii="宋体" w:hAnsi="宋体" w:eastAsia="宋体" w:cs="宋体"/>
                <w:sz w:val="20"/>
              </w:rPr>
            </w:pPr>
          </w:p>
          <w:p>
            <w:pPr>
              <w:pStyle w:val="21"/>
              <w:rPr>
                <w:rFonts w:hint="eastAsia" w:ascii="宋体" w:hAnsi="宋体" w:eastAsia="宋体" w:cs="宋体"/>
                <w:sz w:val="20"/>
              </w:rPr>
            </w:pPr>
          </w:p>
          <w:p>
            <w:pPr>
              <w:pStyle w:val="21"/>
              <w:rPr>
                <w:rFonts w:hint="eastAsia" w:ascii="宋体" w:hAnsi="宋体" w:eastAsia="宋体" w:cs="宋体"/>
                <w:sz w:val="17"/>
              </w:rPr>
            </w:pPr>
          </w:p>
          <w:p>
            <w:pPr>
              <w:pStyle w:val="21"/>
              <w:spacing w:before="1" w:line="374" w:lineRule="auto"/>
              <w:ind w:left="224" w:right="115" w:hanging="101"/>
              <w:rPr>
                <w:rFonts w:hint="eastAsia" w:ascii="宋体" w:hAnsi="宋体" w:eastAsia="宋体" w:cs="宋体"/>
                <w:sz w:val="20"/>
              </w:rPr>
            </w:pPr>
            <w:r>
              <w:rPr>
                <w:rFonts w:hint="eastAsia" w:ascii="宋体" w:hAnsi="宋体" w:eastAsia="宋体" w:cs="宋体"/>
                <w:sz w:val="20"/>
              </w:rPr>
              <w:t>机械使用费</w:t>
            </w:r>
          </w:p>
        </w:tc>
        <w:tc>
          <w:tcPr>
            <w:tcW w:w="850" w:type="dxa"/>
            <w:vMerge w:val="restart"/>
          </w:tcPr>
          <w:p>
            <w:pPr>
              <w:pStyle w:val="21"/>
              <w:rPr>
                <w:rFonts w:hint="eastAsia" w:ascii="宋体" w:hAnsi="宋体" w:eastAsia="宋体" w:cs="宋体"/>
                <w:sz w:val="20"/>
              </w:rPr>
            </w:pPr>
          </w:p>
          <w:p>
            <w:pPr>
              <w:pStyle w:val="21"/>
              <w:rPr>
                <w:rFonts w:hint="eastAsia" w:ascii="宋体" w:hAnsi="宋体" w:eastAsia="宋体" w:cs="宋体"/>
                <w:sz w:val="20"/>
              </w:rPr>
            </w:pPr>
          </w:p>
          <w:p>
            <w:pPr>
              <w:pStyle w:val="21"/>
              <w:rPr>
                <w:rFonts w:hint="eastAsia" w:ascii="宋体" w:hAnsi="宋体" w:eastAsia="宋体" w:cs="宋体"/>
                <w:sz w:val="20"/>
              </w:rPr>
            </w:pPr>
          </w:p>
          <w:p>
            <w:pPr>
              <w:pStyle w:val="21"/>
              <w:spacing w:before="161"/>
              <w:ind w:left="223"/>
              <w:rPr>
                <w:rFonts w:hint="eastAsia" w:ascii="宋体" w:hAnsi="宋体" w:eastAsia="宋体" w:cs="宋体"/>
                <w:sz w:val="20"/>
              </w:rPr>
            </w:pPr>
            <w:r>
              <w:rPr>
                <w:rFonts w:hint="eastAsia" w:ascii="宋体" w:hAnsi="宋体" w:eastAsia="宋体" w:cs="宋体"/>
                <w:sz w:val="20"/>
              </w:rPr>
              <w:t>其他</w:t>
            </w:r>
          </w:p>
        </w:tc>
        <w:tc>
          <w:tcPr>
            <w:tcW w:w="851" w:type="dxa"/>
            <w:vMerge w:val="restart"/>
          </w:tcPr>
          <w:p>
            <w:pPr>
              <w:pStyle w:val="21"/>
              <w:rPr>
                <w:rFonts w:hint="eastAsia" w:ascii="宋体" w:hAnsi="宋体" w:eastAsia="宋体" w:cs="宋体"/>
                <w:sz w:val="20"/>
              </w:rPr>
            </w:pPr>
          </w:p>
          <w:p>
            <w:pPr>
              <w:pStyle w:val="21"/>
              <w:rPr>
                <w:rFonts w:hint="eastAsia" w:ascii="宋体" w:hAnsi="宋体" w:eastAsia="宋体" w:cs="宋体"/>
                <w:sz w:val="20"/>
              </w:rPr>
            </w:pPr>
          </w:p>
          <w:p>
            <w:pPr>
              <w:pStyle w:val="21"/>
              <w:rPr>
                <w:rFonts w:hint="eastAsia" w:ascii="宋体" w:hAnsi="宋体" w:eastAsia="宋体" w:cs="宋体"/>
                <w:sz w:val="20"/>
              </w:rPr>
            </w:pPr>
          </w:p>
          <w:p>
            <w:pPr>
              <w:pStyle w:val="21"/>
              <w:spacing w:before="161"/>
              <w:ind w:left="107"/>
              <w:rPr>
                <w:rFonts w:hint="eastAsia" w:ascii="宋体" w:hAnsi="宋体" w:eastAsia="宋体" w:cs="宋体"/>
                <w:sz w:val="20"/>
              </w:rPr>
            </w:pPr>
            <w:r>
              <w:rPr>
                <w:rFonts w:hint="eastAsia" w:ascii="宋体" w:hAnsi="宋体" w:eastAsia="宋体" w:cs="宋体"/>
                <w:sz w:val="20"/>
              </w:rPr>
              <w:t>管理费</w:t>
            </w:r>
          </w:p>
        </w:tc>
        <w:tc>
          <w:tcPr>
            <w:tcW w:w="850" w:type="dxa"/>
            <w:vMerge w:val="restart"/>
          </w:tcPr>
          <w:p>
            <w:pPr>
              <w:pStyle w:val="21"/>
              <w:rPr>
                <w:rFonts w:hint="eastAsia" w:ascii="宋体" w:hAnsi="宋体" w:eastAsia="宋体" w:cs="宋体"/>
                <w:sz w:val="20"/>
              </w:rPr>
            </w:pPr>
          </w:p>
          <w:p>
            <w:pPr>
              <w:pStyle w:val="21"/>
              <w:rPr>
                <w:rFonts w:hint="eastAsia" w:ascii="宋体" w:hAnsi="宋体" w:eastAsia="宋体" w:cs="宋体"/>
                <w:sz w:val="20"/>
              </w:rPr>
            </w:pPr>
          </w:p>
          <w:p>
            <w:pPr>
              <w:pStyle w:val="21"/>
              <w:rPr>
                <w:rFonts w:hint="eastAsia" w:ascii="宋体" w:hAnsi="宋体" w:eastAsia="宋体" w:cs="宋体"/>
                <w:sz w:val="20"/>
              </w:rPr>
            </w:pPr>
          </w:p>
          <w:p>
            <w:pPr>
              <w:pStyle w:val="21"/>
              <w:spacing w:before="161"/>
              <w:ind w:left="224"/>
              <w:rPr>
                <w:rFonts w:hint="eastAsia" w:ascii="宋体" w:hAnsi="宋体" w:eastAsia="宋体" w:cs="宋体"/>
                <w:sz w:val="20"/>
              </w:rPr>
            </w:pPr>
            <w:r>
              <w:rPr>
                <w:rFonts w:hint="eastAsia" w:ascii="宋体" w:hAnsi="宋体" w:eastAsia="宋体" w:cs="宋体"/>
                <w:sz w:val="20"/>
              </w:rPr>
              <w:t>税费</w:t>
            </w:r>
          </w:p>
        </w:tc>
        <w:tc>
          <w:tcPr>
            <w:tcW w:w="851" w:type="dxa"/>
            <w:vMerge w:val="restart"/>
          </w:tcPr>
          <w:p>
            <w:pPr>
              <w:pStyle w:val="21"/>
              <w:rPr>
                <w:rFonts w:hint="eastAsia" w:ascii="宋体" w:hAnsi="宋体" w:eastAsia="宋体" w:cs="宋体"/>
                <w:sz w:val="20"/>
              </w:rPr>
            </w:pPr>
          </w:p>
          <w:p>
            <w:pPr>
              <w:pStyle w:val="21"/>
              <w:rPr>
                <w:rFonts w:hint="eastAsia" w:ascii="宋体" w:hAnsi="宋体" w:eastAsia="宋体" w:cs="宋体"/>
                <w:sz w:val="20"/>
              </w:rPr>
            </w:pPr>
          </w:p>
          <w:p>
            <w:pPr>
              <w:pStyle w:val="21"/>
              <w:rPr>
                <w:rFonts w:hint="eastAsia" w:ascii="宋体" w:hAnsi="宋体" w:eastAsia="宋体" w:cs="宋体"/>
                <w:sz w:val="20"/>
              </w:rPr>
            </w:pPr>
          </w:p>
          <w:p>
            <w:pPr>
              <w:pStyle w:val="21"/>
              <w:spacing w:before="161"/>
              <w:ind w:left="223"/>
              <w:rPr>
                <w:rFonts w:hint="eastAsia" w:ascii="宋体" w:hAnsi="宋体" w:eastAsia="宋体" w:cs="宋体"/>
                <w:sz w:val="20"/>
              </w:rPr>
            </w:pPr>
            <w:r>
              <w:rPr>
                <w:rFonts w:hint="eastAsia" w:ascii="宋体" w:hAnsi="宋体" w:eastAsia="宋体" w:cs="宋体"/>
                <w:sz w:val="20"/>
              </w:rPr>
              <w:t>利润</w:t>
            </w:r>
          </w:p>
        </w:tc>
        <w:tc>
          <w:tcPr>
            <w:tcW w:w="1301" w:type="dxa"/>
            <w:vMerge w:val="restart"/>
          </w:tcPr>
          <w:p>
            <w:pPr>
              <w:pStyle w:val="21"/>
              <w:rPr>
                <w:rFonts w:hint="eastAsia" w:ascii="宋体" w:hAnsi="宋体" w:eastAsia="宋体" w:cs="宋体"/>
                <w:sz w:val="20"/>
              </w:rPr>
            </w:pPr>
          </w:p>
          <w:p>
            <w:pPr>
              <w:pStyle w:val="21"/>
              <w:rPr>
                <w:rFonts w:hint="eastAsia" w:ascii="宋体" w:hAnsi="宋体" w:eastAsia="宋体" w:cs="宋体"/>
                <w:sz w:val="20"/>
              </w:rPr>
            </w:pPr>
          </w:p>
          <w:p>
            <w:pPr>
              <w:pStyle w:val="21"/>
              <w:rPr>
                <w:rFonts w:hint="eastAsia" w:ascii="宋体" w:hAnsi="宋体" w:eastAsia="宋体" w:cs="宋体"/>
                <w:sz w:val="20"/>
              </w:rPr>
            </w:pPr>
          </w:p>
          <w:p>
            <w:pPr>
              <w:pStyle w:val="21"/>
              <w:spacing w:before="161"/>
              <w:ind w:left="248"/>
              <w:rPr>
                <w:rFonts w:hint="eastAsia" w:ascii="宋体" w:hAnsi="宋体" w:eastAsia="宋体" w:cs="宋体"/>
                <w:sz w:val="20"/>
              </w:rPr>
            </w:pPr>
            <w:r>
              <w:rPr>
                <w:rFonts w:hint="eastAsia" w:ascii="宋体" w:hAnsi="宋体" w:eastAsia="宋体" w:cs="宋体"/>
                <w:sz w:val="20"/>
              </w:rPr>
              <w:t>综合单价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34" w:type="dxa"/>
            <w:vMerge w:val="continue"/>
            <w:tcBorders>
              <w:top w:val="nil"/>
            </w:tcBorders>
          </w:tcPr>
          <w:p>
            <w:pPr>
              <w:rPr>
                <w:rFonts w:hint="eastAsia" w:ascii="宋体" w:hAnsi="宋体" w:eastAsia="宋体" w:cs="宋体"/>
                <w:sz w:val="2"/>
                <w:szCs w:val="2"/>
              </w:rPr>
            </w:pPr>
          </w:p>
        </w:tc>
        <w:tc>
          <w:tcPr>
            <w:tcW w:w="911" w:type="dxa"/>
            <w:vMerge w:val="continue"/>
            <w:tcBorders>
              <w:top w:val="nil"/>
            </w:tcBorders>
          </w:tcPr>
          <w:p>
            <w:pPr>
              <w:rPr>
                <w:rFonts w:hint="eastAsia" w:ascii="宋体" w:hAnsi="宋体" w:eastAsia="宋体" w:cs="宋体"/>
                <w:sz w:val="2"/>
                <w:szCs w:val="2"/>
              </w:rPr>
            </w:pPr>
          </w:p>
        </w:tc>
        <w:tc>
          <w:tcPr>
            <w:tcW w:w="1091" w:type="dxa"/>
            <w:vMerge w:val="continue"/>
            <w:tcBorders>
              <w:top w:val="nil"/>
            </w:tcBorders>
          </w:tcPr>
          <w:p>
            <w:pPr>
              <w:rPr>
                <w:rFonts w:hint="eastAsia" w:ascii="宋体" w:hAnsi="宋体" w:eastAsia="宋体" w:cs="宋体"/>
                <w:sz w:val="2"/>
                <w:szCs w:val="2"/>
              </w:rPr>
            </w:pPr>
          </w:p>
        </w:tc>
        <w:tc>
          <w:tcPr>
            <w:tcW w:w="602" w:type="dxa"/>
            <w:vMerge w:val="restart"/>
          </w:tcPr>
          <w:p>
            <w:pPr>
              <w:pStyle w:val="21"/>
              <w:rPr>
                <w:rFonts w:hint="eastAsia" w:ascii="宋体" w:hAnsi="宋体" w:eastAsia="宋体" w:cs="宋体"/>
                <w:sz w:val="20"/>
              </w:rPr>
            </w:pPr>
          </w:p>
          <w:p>
            <w:pPr>
              <w:pStyle w:val="21"/>
              <w:spacing w:before="12"/>
              <w:rPr>
                <w:rFonts w:hint="eastAsia" w:ascii="宋体" w:hAnsi="宋体" w:eastAsia="宋体" w:cs="宋体"/>
                <w:sz w:val="20"/>
              </w:rPr>
            </w:pPr>
          </w:p>
          <w:p>
            <w:pPr>
              <w:pStyle w:val="21"/>
              <w:spacing w:line="374" w:lineRule="auto"/>
              <w:ind w:left="201" w:right="189"/>
              <w:rPr>
                <w:rFonts w:hint="eastAsia" w:ascii="宋体" w:hAnsi="宋体" w:eastAsia="宋体" w:cs="宋体"/>
                <w:sz w:val="20"/>
              </w:rPr>
            </w:pPr>
            <w:r>
              <w:rPr>
                <w:rFonts w:hint="eastAsia" w:ascii="宋体" w:hAnsi="宋体" w:eastAsia="宋体" w:cs="宋体"/>
                <w:sz w:val="20"/>
              </w:rPr>
              <w:t>工日</w:t>
            </w:r>
          </w:p>
        </w:tc>
        <w:tc>
          <w:tcPr>
            <w:tcW w:w="602" w:type="dxa"/>
            <w:vMerge w:val="restart"/>
          </w:tcPr>
          <w:p>
            <w:pPr>
              <w:pStyle w:val="21"/>
              <w:rPr>
                <w:rFonts w:hint="eastAsia" w:ascii="宋体" w:hAnsi="宋体" w:eastAsia="宋体" w:cs="宋体"/>
                <w:sz w:val="20"/>
              </w:rPr>
            </w:pPr>
          </w:p>
          <w:p>
            <w:pPr>
              <w:pStyle w:val="21"/>
              <w:spacing w:before="12"/>
              <w:rPr>
                <w:rFonts w:hint="eastAsia" w:ascii="宋体" w:hAnsi="宋体" w:eastAsia="宋体" w:cs="宋体"/>
                <w:sz w:val="20"/>
              </w:rPr>
            </w:pPr>
          </w:p>
          <w:p>
            <w:pPr>
              <w:pStyle w:val="21"/>
              <w:spacing w:line="374" w:lineRule="auto"/>
              <w:ind w:left="199" w:right="191"/>
              <w:rPr>
                <w:rFonts w:hint="eastAsia" w:ascii="宋体" w:hAnsi="宋体" w:eastAsia="宋体" w:cs="宋体"/>
                <w:sz w:val="20"/>
              </w:rPr>
            </w:pPr>
            <w:r>
              <w:rPr>
                <w:rFonts w:hint="eastAsia" w:ascii="宋体" w:hAnsi="宋体" w:eastAsia="宋体" w:cs="宋体"/>
                <w:sz w:val="20"/>
              </w:rPr>
              <w:t>单价</w:t>
            </w:r>
          </w:p>
        </w:tc>
        <w:tc>
          <w:tcPr>
            <w:tcW w:w="609" w:type="dxa"/>
            <w:vMerge w:val="restart"/>
          </w:tcPr>
          <w:p>
            <w:pPr>
              <w:pStyle w:val="21"/>
              <w:rPr>
                <w:rFonts w:hint="eastAsia" w:ascii="宋体" w:hAnsi="宋体" w:eastAsia="宋体" w:cs="宋体"/>
                <w:sz w:val="20"/>
              </w:rPr>
            </w:pPr>
          </w:p>
          <w:p>
            <w:pPr>
              <w:pStyle w:val="21"/>
              <w:spacing w:before="12"/>
              <w:rPr>
                <w:rFonts w:hint="eastAsia" w:ascii="宋体" w:hAnsi="宋体" w:eastAsia="宋体" w:cs="宋体"/>
                <w:sz w:val="20"/>
              </w:rPr>
            </w:pPr>
          </w:p>
          <w:p>
            <w:pPr>
              <w:pStyle w:val="21"/>
              <w:spacing w:line="374" w:lineRule="auto"/>
              <w:ind w:left="204" w:right="193"/>
              <w:rPr>
                <w:rFonts w:hint="eastAsia" w:ascii="宋体" w:hAnsi="宋体" w:eastAsia="宋体" w:cs="宋体"/>
                <w:sz w:val="20"/>
              </w:rPr>
            </w:pPr>
            <w:r>
              <w:rPr>
                <w:rFonts w:hint="eastAsia" w:ascii="宋体" w:hAnsi="宋体" w:eastAsia="宋体" w:cs="宋体"/>
                <w:sz w:val="20"/>
              </w:rPr>
              <w:t>金额</w:t>
            </w:r>
          </w:p>
        </w:tc>
        <w:tc>
          <w:tcPr>
            <w:tcW w:w="2757" w:type="dxa"/>
            <w:gridSpan w:val="4"/>
          </w:tcPr>
          <w:p>
            <w:pPr>
              <w:pStyle w:val="21"/>
              <w:spacing w:before="163"/>
              <w:ind w:left="1240" w:right="1067"/>
              <w:jc w:val="center"/>
              <w:rPr>
                <w:rFonts w:hint="eastAsia" w:ascii="宋体" w:hAnsi="宋体" w:eastAsia="宋体" w:cs="宋体"/>
                <w:sz w:val="20"/>
              </w:rPr>
            </w:pPr>
            <w:r>
              <w:rPr>
                <w:rFonts w:hint="eastAsia" w:ascii="宋体" w:hAnsi="宋体" w:eastAsia="宋体" w:cs="宋体"/>
                <w:sz w:val="20"/>
              </w:rPr>
              <w:t>主材</w:t>
            </w:r>
          </w:p>
        </w:tc>
        <w:tc>
          <w:tcPr>
            <w:tcW w:w="640" w:type="dxa"/>
            <w:vMerge w:val="restart"/>
          </w:tcPr>
          <w:p>
            <w:pPr>
              <w:pStyle w:val="21"/>
              <w:rPr>
                <w:rFonts w:hint="eastAsia" w:ascii="宋体" w:hAnsi="宋体" w:eastAsia="宋体" w:cs="宋体"/>
                <w:sz w:val="20"/>
              </w:rPr>
            </w:pPr>
          </w:p>
          <w:p>
            <w:pPr>
              <w:pStyle w:val="21"/>
              <w:spacing w:before="12"/>
              <w:rPr>
                <w:rFonts w:hint="eastAsia" w:ascii="宋体" w:hAnsi="宋体" w:eastAsia="宋体" w:cs="宋体"/>
                <w:sz w:val="20"/>
              </w:rPr>
            </w:pPr>
          </w:p>
          <w:p>
            <w:pPr>
              <w:pStyle w:val="21"/>
              <w:spacing w:line="374" w:lineRule="auto"/>
              <w:ind w:left="220" w:right="110" w:hanging="101"/>
              <w:rPr>
                <w:rFonts w:hint="eastAsia" w:ascii="宋体" w:hAnsi="宋体" w:eastAsia="宋体" w:cs="宋体"/>
                <w:sz w:val="20"/>
              </w:rPr>
            </w:pPr>
            <w:r>
              <w:rPr>
                <w:rFonts w:hint="eastAsia" w:ascii="宋体" w:hAnsi="宋体" w:eastAsia="宋体" w:cs="宋体"/>
                <w:sz w:val="20"/>
              </w:rPr>
              <w:t>辅材费</w:t>
            </w:r>
          </w:p>
        </w:tc>
        <w:tc>
          <w:tcPr>
            <w:tcW w:w="709" w:type="dxa"/>
            <w:vMerge w:val="restart"/>
          </w:tcPr>
          <w:p>
            <w:pPr>
              <w:pStyle w:val="21"/>
              <w:rPr>
                <w:rFonts w:hint="eastAsia" w:ascii="宋体" w:hAnsi="宋体" w:eastAsia="宋体" w:cs="宋体"/>
                <w:sz w:val="20"/>
              </w:rPr>
            </w:pPr>
          </w:p>
          <w:p>
            <w:pPr>
              <w:pStyle w:val="21"/>
              <w:rPr>
                <w:rFonts w:hint="eastAsia" w:ascii="宋体" w:hAnsi="宋体" w:eastAsia="宋体" w:cs="宋体"/>
                <w:sz w:val="20"/>
              </w:rPr>
            </w:pPr>
          </w:p>
          <w:p>
            <w:pPr>
              <w:pStyle w:val="21"/>
              <w:spacing w:before="9"/>
              <w:rPr>
                <w:rFonts w:hint="eastAsia" w:ascii="宋体" w:hAnsi="宋体" w:eastAsia="宋体" w:cs="宋体"/>
                <w:sz w:val="16"/>
              </w:rPr>
            </w:pPr>
          </w:p>
          <w:p>
            <w:pPr>
              <w:pStyle w:val="21"/>
              <w:ind w:left="153"/>
              <w:rPr>
                <w:rFonts w:hint="eastAsia" w:ascii="宋体" w:hAnsi="宋体" w:eastAsia="宋体" w:cs="宋体"/>
                <w:sz w:val="20"/>
              </w:rPr>
            </w:pPr>
            <w:r>
              <w:rPr>
                <w:rFonts w:hint="eastAsia" w:ascii="宋体" w:hAnsi="宋体" w:eastAsia="宋体" w:cs="宋体"/>
                <w:sz w:val="20"/>
              </w:rPr>
              <w:t>金额</w:t>
            </w:r>
          </w:p>
        </w:tc>
        <w:tc>
          <w:tcPr>
            <w:tcW w:w="851" w:type="dxa"/>
            <w:vMerge w:val="continue"/>
            <w:tcBorders>
              <w:top w:val="nil"/>
            </w:tcBorders>
          </w:tcPr>
          <w:p>
            <w:pPr>
              <w:rPr>
                <w:rFonts w:hint="eastAsia" w:ascii="宋体" w:hAnsi="宋体" w:eastAsia="宋体" w:cs="宋体"/>
                <w:sz w:val="2"/>
                <w:szCs w:val="2"/>
              </w:rPr>
            </w:pPr>
          </w:p>
        </w:tc>
        <w:tc>
          <w:tcPr>
            <w:tcW w:w="850" w:type="dxa"/>
            <w:vMerge w:val="continue"/>
            <w:tcBorders>
              <w:top w:val="nil"/>
            </w:tcBorders>
          </w:tcPr>
          <w:p>
            <w:pPr>
              <w:rPr>
                <w:rFonts w:hint="eastAsia" w:ascii="宋体" w:hAnsi="宋体" w:eastAsia="宋体" w:cs="宋体"/>
                <w:sz w:val="2"/>
                <w:szCs w:val="2"/>
              </w:rPr>
            </w:pPr>
          </w:p>
        </w:tc>
        <w:tc>
          <w:tcPr>
            <w:tcW w:w="851" w:type="dxa"/>
            <w:vMerge w:val="continue"/>
            <w:tcBorders>
              <w:top w:val="nil"/>
            </w:tcBorders>
          </w:tcPr>
          <w:p>
            <w:pPr>
              <w:rPr>
                <w:rFonts w:hint="eastAsia" w:ascii="宋体" w:hAnsi="宋体" w:eastAsia="宋体" w:cs="宋体"/>
                <w:sz w:val="2"/>
                <w:szCs w:val="2"/>
              </w:rPr>
            </w:pPr>
          </w:p>
        </w:tc>
        <w:tc>
          <w:tcPr>
            <w:tcW w:w="850" w:type="dxa"/>
            <w:vMerge w:val="continue"/>
            <w:tcBorders>
              <w:top w:val="nil"/>
            </w:tcBorders>
          </w:tcPr>
          <w:p>
            <w:pPr>
              <w:rPr>
                <w:rFonts w:hint="eastAsia" w:ascii="宋体" w:hAnsi="宋体" w:eastAsia="宋体" w:cs="宋体"/>
                <w:sz w:val="2"/>
                <w:szCs w:val="2"/>
              </w:rPr>
            </w:pPr>
          </w:p>
        </w:tc>
        <w:tc>
          <w:tcPr>
            <w:tcW w:w="851" w:type="dxa"/>
            <w:vMerge w:val="continue"/>
            <w:tcBorders>
              <w:top w:val="nil"/>
            </w:tcBorders>
          </w:tcPr>
          <w:p>
            <w:pPr>
              <w:rPr>
                <w:rFonts w:hint="eastAsia" w:ascii="宋体" w:hAnsi="宋体" w:eastAsia="宋体" w:cs="宋体"/>
                <w:sz w:val="2"/>
                <w:szCs w:val="2"/>
              </w:rPr>
            </w:pPr>
          </w:p>
        </w:tc>
        <w:tc>
          <w:tcPr>
            <w:tcW w:w="1301"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834" w:type="dxa"/>
            <w:vMerge w:val="continue"/>
            <w:tcBorders>
              <w:top w:val="nil"/>
            </w:tcBorders>
          </w:tcPr>
          <w:p>
            <w:pPr>
              <w:rPr>
                <w:rFonts w:hint="eastAsia" w:ascii="宋体" w:hAnsi="宋体" w:eastAsia="宋体" w:cs="宋体"/>
                <w:sz w:val="2"/>
                <w:szCs w:val="2"/>
              </w:rPr>
            </w:pPr>
          </w:p>
        </w:tc>
        <w:tc>
          <w:tcPr>
            <w:tcW w:w="911" w:type="dxa"/>
            <w:vMerge w:val="continue"/>
            <w:tcBorders>
              <w:top w:val="nil"/>
            </w:tcBorders>
          </w:tcPr>
          <w:p>
            <w:pPr>
              <w:rPr>
                <w:rFonts w:hint="eastAsia" w:ascii="宋体" w:hAnsi="宋体" w:eastAsia="宋体" w:cs="宋体"/>
                <w:sz w:val="2"/>
                <w:szCs w:val="2"/>
              </w:rPr>
            </w:pPr>
          </w:p>
        </w:tc>
        <w:tc>
          <w:tcPr>
            <w:tcW w:w="1091" w:type="dxa"/>
            <w:vMerge w:val="continue"/>
            <w:tcBorders>
              <w:top w:val="nil"/>
            </w:tcBorders>
          </w:tcPr>
          <w:p>
            <w:pPr>
              <w:rPr>
                <w:rFonts w:hint="eastAsia" w:ascii="宋体" w:hAnsi="宋体" w:eastAsia="宋体" w:cs="宋体"/>
                <w:sz w:val="2"/>
                <w:szCs w:val="2"/>
              </w:rPr>
            </w:pPr>
          </w:p>
        </w:tc>
        <w:tc>
          <w:tcPr>
            <w:tcW w:w="602" w:type="dxa"/>
            <w:vMerge w:val="continue"/>
            <w:tcBorders>
              <w:top w:val="nil"/>
            </w:tcBorders>
          </w:tcPr>
          <w:p>
            <w:pPr>
              <w:rPr>
                <w:rFonts w:hint="eastAsia" w:ascii="宋体" w:hAnsi="宋体" w:eastAsia="宋体" w:cs="宋体"/>
                <w:sz w:val="2"/>
                <w:szCs w:val="2"/>
              </w:rPr>
            </w:pPr>
          </w:p>
        </w:tc>
        <w:tc>
          <w:tcPr>
            <w:tcW w:w="602" w:type="dxa"/>
            <w:vMerge w:val="continue"/>
            <w:tcBorders>
              <w:top w:val="nil"/>
            </w:tcBorders>
          </w:tcPr>
          <w:p>
            <w:pPr>
              <w:rPr>
                <w:rFonts w:hint="eastAsia" w:ascii="宋体" w:hAnsi="宋体" w:eastAsia="宋体" w:cs="宋体"/>
                <w:sz w:val="2"/>
                <w:szCs w:val="2"/>
              </w:rPr>
            </w:pPr>
          </w:p>
        </w:tc>
        <w:tc>
          <w:tcPr>
            <w:tcW w:w="609" w:type="dxa"/>
            <w:vMerge w:val="continue"/>
            <w:tcBorders>
              <w:top w:val="nil"/>
            </w:tcBorders>
          </w:tcPr>
          <w:p>
            <w:pPr>
              <w:rPr>
                <w:rFonts w:hint="eastAsia" w:ascii="宋体" w:hAnsi="宋体" w:eastAsia="宋体" w:cs="宋体"/>
                <w:sz w:val="2"/>
                <w:szCs w:val="2"/>
              </w:rPr>
            </w:pPr>
          </w:p>
        </w:tc>
        <w:tc>
          <w:tcPr>
            <w:tcW w:w="689" w:type="dxa"/>
          </w:tcPr>
          <w:p>
            <w:pPr>
              <w:pStyle w:val="21"/>
              <w:spacing w:before="10"/>
              <w:rPr>
                <w:rFonts w:hint="eastAsia" w:ascii="宋体" w:hAnsi="宋体" w:eastAsia="宋体" w:cs="宋体"/>
                <w:sz w:val="21"/>
              </w:rPr>
            </w:pPr>
          </w:p>
          <w:p>
            <w:pPr>
              <w:pStyle w:val="21"/>
              <w:spacing w:line="372" w:lineRule="auto"/>
              <w:ind w:left="142" w:right="135"/>
              <w:rPr>
                <w:rFonts w:hint="eastAsia" w:ascii="宋体" w:hAnsi="宋体" w:eastAsia="宋体" w:cs="宋体"/>
                <w:sz w:val="20"/>
              </w:rPr>
            </w:pPr>
            <w:r>
              <w:rPr>
                <w:rFonts w:hint="eastAsia" w:ascii="宋体" w:hAnsi="宋体" w:eastAsia="宋体" w:cs="宋体"/>
                <w:sz w:val="20"/>
              </w:rPr>
              <w:t>主材耗量</w:t>
            </w:r>
          </w:p>
        </w:tc>
        <w:tc>
          <w:tcPr>
            <w:tcW w:w="689" w:type="dxa"/>
          </w:tcPr>
          <w:p>
            <w:pPr>
              <w:pStyle w:val="21"/>
              <w:rPr>
                <w:rFonts w:hint="eastAsia" w:ascii="宋体" w:hAnsi="宋体" w:eastAsia="宋体" w:cs="宋体"/>
                <w:sz w:val="20"/>
              </w:rPr>
            </w:pPr>
          </w:p>
          <w:p>
            <w:pPr>
              <w:pStyle w:val="21"/>
              <w:spacing w:before="4"/>
              <w:rPr>
                <w:rFonts w:hint="eastAsia" w:ascii="宋体" w:hAnsi="宋体" w:eastAsia="宋体" w:cs="宋体"/>
                <w:sz w:val="17"/>
              </w:rPr>
            </w:pPr>
          </w:p>
          <w:p>
            <w:pPr>
              <w:pStyle w:val="21"/>
              <w:spacing w:before="1"/>
              <w:ind w:left="142"/>
              <w:rPr>
                <w:rFonts w:hint="eastAsia" w:ascii="宋体" w:hAnsi="宋体" w:eastAsia="宋体" w:cs="宋体"/>
                <w:sz w:val="20"/>
              </w:rPr>
            </w:pPr>
            <w:r>
              <w:rPr>
                <w:rFonts w:hint="eastAsia" w:ascii="宋体" w:hAnsi="宋体" w:eastAsia="宋体" w:cs="宋体"/>
                <w:sz w:val="20"/>
              </w:rPr>
              <w:t>单位</w:t>
            </w:r>
          </w:p>
        </w:tc>
        <w:tc>
          <w:tcPr>
            <w:tcW w:w="689" w:type="dxa"/>
          </w:tcPr>
          <w:p>
            <w:pPr>
              <w:pStyle w:val="21"/>
              <w:rPr>
                <w:rFonts w:hint="eastAsia" w:ascii="宋体" w:hAnsi="宋体" w:eastAsia="宋体" w:cs="宋体"/>
                <w:sz w:val="20"/>
              </w:rPr>
            </w:pPr>
          </w:p>
          <w:p>
            <w:pPr>
              <w:pStyle w:val="21"/>
              <w:spacing w:before="4"/>
              <w:rPr>
                <w:rFonts w:hint="eastAsia" w:ascii="宋体" w:hAnsi="宋体" w:eastAsia="宋体" w:cs="宋体"/>
                <w:sz w:val="17"/>
              </w:rPr>
            </w:pPr>
          </w:p>
          <w:p>
            <w:pPr>
              <w:pStyle w:val="21"/>
              <w:spacing w:before="1"/>
              <w:ind w:left="142"/>
              <w:rPr>
                <w:rFonts w:hint="eastAsia" w:ascii="宋体" w:hAnsi="宋体" w:eastAsia="宋体" w:cs="宋体"/>
                <w:sz w:val="20"/>
              </w:rPr>
            </w:pPr>
            <w:r>
              <w:rPr>
                <w:rFonts w:hint="eastAsia" w:ascii="宋体" w:hAnsi="宋体" w:eastAsia="宋体" w:cs="宋体"/>
                <w:sz w:val="20"/>
              </w:rPr>
              <w:t>单价</w:t>
            </w:r>
          </w:p>
        </w:tc>
        <w:tc>
          <w:tcPr>
            <w:tcW w:w="690" w:type="dxa"/>
          </w:tcPr>
          <w:p>
            <w:pPr>
              <w:pStyle w:val="21"/>
              <w:spacing w:before="10"/>
              <w:rPr>
                <w:rFonts w:hint="eastAsia" w:ascii="宋体" w:hAnsi="宋体" w:eastAsia="宋体" w:cs="宋体"/>
                <w:sz w:val="21"/>
              </w:rPr>
            </w:pPr>
          </w:p>
          <w:p>
            <w:pPr>
              <w:pStyle w:val="21"/>
              <w:spacing w:line="372" w:lineRule="auto"/>
              <w:ind w:left="245" w:right="135" w:hanging="101"/>
              <w:rPr>
                <w:rFonts w:hint="eastAsia" w:ascii="宋体" w:hAnsi="宋体" w:eastAsia="宋体" w:cs="宋体"/>
                <w:sz w:val="20"/>
              </w:rPr>
            </w:pPr>
            <w:r>
              <w:rPr>
                <w:rFonts w:hint="eastAsia" w:ascii="宋体" w:hAnsi="宋体" w:eastAsia="宋体" w:cs="宋体"/>
                <w:sz w:val="20"/>
              </w:rPr>
              <w:t>主材费</w:t>
            </w:r>
          </w:p>
        </w:tc>
        <w:tc>
          <w:tcPr>
            <w:tcW w:w="640" w:type="dxa"/>
            <w:vMerge w:val="continue"/>
            <w:tcBorders>
              <w:top w:val="nil"/>
            </w:tcBorders>
          </w:tcPr>
          <w:p>
            <w:pPr>
              <w:rPr>
                <w:rFonts w:hint="eastAsia" w:ascii="宋体" w:hAnsi="宋体" w:eastAsia="宋体" w:cs="宋体"/>
                <w:sz w:val="2"/>
                <w:szCs w:val="2"/>
              </w:rPr>
            </w:pPr>
          </w:p>
        </w:tc>
        <w:tc>
          <w:tcPr>
            <w:tcW w:w="709" w:type="dxa"/>
            <w:vMerge w:val="continue"/>
            <w:tcBorders>
              <w:top w:val="nil"/>
            </w:tcBorders>
          </w:tcPr>
          <w:p>
            <w:pPr>
              <w:rPr>
                <w:rFonts w:hint="eastAsia" w:ascii="宋体" w:hAnsi="宋体" w:eastAsia="宋体" w:cs="宋体"/>
                <w:sz w:val="2"/>
                <w:szCs w:val="2"/>
              </w:rPr>
            </w:pPr>
          </w:p>
        </w:tc>
        <w:tc>
          <w:tcPr>
            <w:tcW w:w="851" w:type="dxa"/>
            <w:vMerge w:val="continue"/>
            <w:tcBorders>
              <w:top w:val="nil"/>
            </w:tcBorders>
          </w:tcPr>
          <w:p>
            <w:pPr>
              <w:rPr>
                <w:rFonts w:hint="eastAsia" w:ascii="宋体" w:hAnsi="宋体" w:eastAsia="宋体" w:cs="宋体"/>
                <w:sz w:val="2"/>
                <w:szCs w:val="2"/>
              </w:rPr>
            </w:pPr>
          </w:p>
        </w:tc>
        <w:tc>
          <w:tcPr>
            <w:tcW w:w="850" w:type="dxa"/>
            <w:vMerge w:val="continue"/>
            <w:tcBorders>
              <w:top w:val="nil"/>
            </w:tcBorders>
          </w:tcPr>
          <w:p>
            <w:pPr>
              <w:rPr>
                <w:rFonts w:hint="eastAsia" w:ascii="宋体" w:hAnsi="宋体" w:eastAsia="宋体" w:cs="宋体"/>
                <w:sz w:val="2"/>
                <w:szCs w:val="2"/>
              </w:rPr>
            </w:pPr>
          </w:p>
        </w:tc>
        <w:tc>
          <w:tcPr>
            <w:tcW w:w="851" w:type="dxa"/>
            <w:vMerge w:val="continue"/>
            <w:tcBorders>
              <w:top w:val="nil"/>
            </w:tcBorders>
          </w:tcPr>
          <w:p>
            <w:pPr>
              <w:rPr>
                <w:rFonts w:hint="eastAsia" w:ascii="宋体" w:hAnsi="宋体" w:eastAsia="宋体" w:cs="宋体"/>
                <w:sz w:val="2"/>
                <w:szCs w:val="2"/>
              </w:rPr>
            </w:pPr>
          </w:p>
        </w:tc>
        <w:tc>
          <w:tcPr>
            <w:tcW w:w="850" w:type="dxa"/>
            <w:vMerge w:val="continue"/>
            <w:tcBorders>
              <w:top w:val="nil"/>
            </w:tcBorders>
          </w:tcPr>
          <w:p>
            <w:pPr>
              <w:rPr>
                <w:rFonts w:hint="eastAsia" w:ascii="宋体" w:hAnsi="宋体" w:eastAsia="宋体" w:cs="宋体"/>
                <w:sz w:val="2"/>
                <w:szCs w:val="2"/>
              </w:rPr>
            </w:pPr>
          </w:p>
        </w:tc>
        <w:tc>
          <w:tcPr>
            <w:tcW w:w="851" w:type="dxa"/>
            <w:vMerge w:val="continue"/>
            <w:tcBorders>
              <w:top w:val="nil"/>
            </w:tcBorders>
          </w:tcPr>
          <w:p>
            <w:pPr>
              <w:rPr>
                <w:rFonts w:hint="eastAsia" w:ascii="宋体" w:hAnsi="宋体" w:eastAsia="宋体" w:cs="宋体"/>
                <w:sz w:val="2"/>
                <w:szCs w:val="2"/>
              </w:rPr>
            </w:pPr>
          </w:p>
        </w:tc>
        <w:tc>
          <w:tcPr>
            <w:tcW w:w="1301"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34" w:type="dxa"/>
          </w:tcPr>
          <w:p>
            <w:pPr>
              <w:pStyle w:val="21"/>
              <w:rPr>
                <w:rFonts w:hint="eastAsia" w:ascii="宋体" w:hAnsi="宋体" w:eastAsia="宋体" w:cs="宋体"/>
                <w:sz w:val="20"/>
              </w:rPr>
            </w:pPr>
          </w:p>
        </w:tc>
        <w:tc>
          <w:tcPr>
            <w:tcW w:w="911" w:type="dxa"/>
          </w:tcPr>
          <w:p>
            <w:pPr>
              <w:pStyle w:val="21"/>
              <w:rPr>
                <w:rFonts w:hint="eastAsia" w:ascii="宋体" w:hAnsi="宋体" w:eastAsia="宋体" w:cs="宋体"/>
                <w:sz w:val="20"/>
              </w:rPr>
            </w:pPr>
          </w:p>
        </w:tc>
        <w:tc>
          <w:tcPr>
            <w:tcW w:w="1091" w:type="dxa"/>
          </w:tcPr>
          <w:p>
            <w:pPr>
              <w:pStyle w:val="21"/>
              <w:rPr>
                <w:rFonts w:hint="eastAsia" w:ascii="宋体" w:hAnsi="宋体" w:eastAsia="宋体" w:cs="宋体"/>
                <w:sz w:val="20"/>
              </w:rPr>
            </w:pPr>
          </w:p>
        </w:tc>
        <w:tc>
          <w:tcPr>
            <w:tcW w:w="602" w:type="dxa"/>
          </w:tcPr>
          <w:p>
            <w:pPr>
              <w:pStyle w:val="21"/>
              <w:rPr>
                <w:rFonts w:hint="eastAsia" w:ascii="宋体" w:hAnsi="宋体" w:eastAsia="宋体" w:cs="宋体"/>
                <w:sz w:val="20"/>
              </w:rPr>
            </w:pPr>
          </w:p>
        </w:tc>
        <w:tc>
          <w:tcPr>
            <w:tcW w:w="602" w:type="dxa"/>
          </w:tcPr>
          <w:p>
            <w:pPr>
              <w:pStyle w:val="21"/>
              <w:rPr>
                <w:rFonts w:hint="eastAsia" w:ascii="宋体" w:hAnsi="宋体" w:eastAsia="宋体" w:cs="宋体"/>
                <w:sz w:val="20"/>
              </w:rPr>
            </w:pPr>
          </w:p>
        </w:tc>
        <w:tc>
          <w:tcPr>
            <w:tcW w:w="60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90" w:type="dxa"/>
          </w:tcPr>
          <w:p>
            <w:pPr>
              <w:pStyle w:val="21"/>
              <w:rPr>
                <w:rFonts w:hint="eastAsia" w:ascii="宋体" w:hAnsi="宋体" w:eastAsia="宋体" w:cs="宋体"/>
                <w:sz w:val="20"/>
              </w:rPr>
            </w:pPr>
          </w:p>
        </w:tc>
        <w:tc>
          <w:tcPr>
            <w:tcW w:w="640" w:type="dxa"/>
          </w:tcPr>
          <w:p>
            <w:pPr>
              <w:pStyle w:val="21"/>
              <w:rPr>
                <w:rFonts w:hint="eastAsia" w:ascii="宋体" w:hAnsi="宋体" w:eastAsia="宋体" w:cs="宋体"/>
                <w:sz w:val="20"/>
              </w:rPr>
            </w:pPr>
          </w:p>
        </w:tc>
        <w:tc>
          <w:tcPr>
            <w:tcW w:w="709"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850"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850"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1301" w:type="dxa"/>
          </w:tcPr>
          <w:p>
            <w:pPr>
              <w:pStyle w:val="21"/>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34" w:type="dxa"/>
          </w:tcPr>
          <w:p>
            <w:pPr>
              <w:pStyle w:val="21"/>
              <w:rPr>
                <w:rFonts w:hint="eastAsia" w:ascii="宋体" w:hAnsi="宋体" w:eastAsia="宋体" w:cs="宋体"/>
                <w:sz w:val="20"/>
              </w:rPr>
            </w:pPr>
          </w:p>
        </w:tc>
        <w:tc>
          <w:tcPr>
            <w:tcW w:w="911" w:type="dxa"/>
          </w:tcPr>
          <w:p>
            <w:pPr>
              <w:pStyle w:val="21"/>
              <w:rPr>
                <w:rFonts w:hint="eastAsia" w:ascii="宋体" w:hAnsi="宋体" w:eastAsia="宋体" w:cs="宋体"/>
                <w:sz w:val="20"/>
              </w:rPr>
            </w:pPr>
          </w:p>
        </w:tc>
        <w:tc>
          <w:tcPr>
            <w:tcW w:w="1091" w:type="dxa"/>
          </w:tcPr>
          <w:p>
            <w:pPr>
              <w:pStyle w:val="21"/>
              <w:rPr>
                <w:rFonts w:hint="eastAsia" w:ascii="宋体" w:hAnsi="宋体" w:eastAsia="宋体" w:cs="宋体"/>
                <w:sz w:val="20"/>
              </w:rPr>
            </w:pPr>
          </w:p>
        </w:tc>
        <w:tc>
          <w:tcPr>
            <w:tcW w:w="602" w:type="dxa"/>
          </w:tcPr>
          <w:p>
            <w:pPr>
              <w:pStyle w:val="21"/>
              <w:rPr>
                <w:rFonts w:hint="eastAsia" w:ascii="宋体" w:hAnsi="宋体" w:eastAsia="宋体" w:cs="宋体"/>
                <w:sz w:val="20"/>
              </w:rPr>
            </w:pPr>
          </w:p>
        </w:tc>
        <w:tc>
          <w:tcPr>
            <w:tcW w:w="602" w:type="dxa"/>
          </w:tcPr>
          <w:p>
            <w:pPr>
              <w:pStyle w:val="21"/>
              <w:rPr>
                <w:rFonts w:hint="eastAsia" w:ascii="宋体" w:hAnsi="宋体" w:eastAsia="宋体" w:cs="宋体"/>
                <w:sz w:val="20"/>
              </w:rPr>
            </w:pPr>
          </w:p>
        </w:tc>
        <w:tc>
          <w:tcPr>
            <w:tcW w:w="60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90" w:type="dxa"/>
          </w:tcPr>
          <w:p>
            <w:pPr>
              <w:pStyle w:val="21"/>
              <w:rPr>
                <w:rFonts w:hint="eastAsia" w:ascii="宋体" w:hAnsi="宋体" w:eastAsia="宋体" w:cs="宋体"/>
                <w:sz w:val="20"/>
              </w:rPr>
            </w:pPr>
          </w:p>
        </w:tc>
        <w:tc>
          <w:tcPr>
            <w:tcW w:w="640" w:type="dxa"/>
          </w:tcPr>
          <w:p>
            <w:pPr>
              <w:pStyle w:val="21"/>
              <w:rPr>
                <w:rFonts w:hint="eastAsia" w:ascii="宋体" w:hAnsi="宋体" w:eastAsia="宋体" w:cs="宋体"/>
                <w:sz w:val="20"/>
              </w:rPr>
            </w:pPr>
          </w:p>
        </w:tc>
        <w:tc>
          <w:tcPr>
            <w:tcW w:w="709"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850"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850"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1301" w:type="dxa"/>
          </w:tcPr>
          <w:p>
            <w:pPr>
              <w:pStyle w:val="21"/>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34" w:type="dxa"/>
          </w:tcPr>
          <w:p>
            <w:pPr>
              <w:pStyle w:val="21"/>
              <w:rPr>
                <w:rFonts w:hint="eastAsia" w:ascii="宋体" w:hAnsi="宋体" w:eastAsia="宋体" w:cs="宋体"/>
                <w:sz w:val="20"/>
              </w:rPr>
            </w:pPr>
          </w:p>
        </w:tc>
        <w:tc>
          <w:tcPr>
            <w:tcW w:w="911" w:type="dxa"/>
          </w:tcPr>
          <w:p>
            <w:pPr>
              <w:pStyle w:val="21"/>
              <w:rPr>
                <w:rFonts w:hint="eastAsia" w:ascii="宋体" w:hAnsi="宋体" w:eastAsia="宋体" w:cs="宋体"/>
                <w:sz w:val="20"/>
              </w:rPr>
            </w:pPr>
          </w:p>
        </w:tc>
        <w:tc>
          <w:tcPr>
            <w:tcW w:w="1091" w:type="dxa"/>
          </w:tcPr>
          <w:p>
            <w:pPr>
              <w:pStyle w:val="21"/>
              <w:rPr>
                <w:rFonts w:hint="eastAsia" w:ascii="宋体" w:hAnsi="宋体" w:eastAsia="宋体" w:cs="宋体"/>
                <w:sz w:val="20"/>
              </w:rPr>
            </w:pPr>
          </w:p>
        </w:tc>
        <w:tc>
          <w:tcPr>
            <w:tcW w:w="602" w:type="dxa"/>
          </w:tcPr>
          <w:p>
            <w:pPr>
              <w:pStyle w:val="21"/>
              <w:rPr>
                <w:rFonts w:hint="eastAsia" w:ascii="宋体" w:hAnsi="宋体" w:eastAsia="宋体" w:cs="宋体"/>
                <w:sz w:val="20"/>
              </w:rPr>
            </w:pPr>
          </w:p>
        </w:tc>
        <w:tc>
          <w:tcPr>
            <w:tcW w:w="602" w:type="dxa"/>
          </w:tcPr>
          <w:p>
            <w:pPr>
              <w:pStyle w:val="21"/>
              <w:rPr>
                <w:rFonts w:hint="eastAsia" w:ascii="宋体" w:hAnsi="宋体" w:eastAsia="宋体" w:cs="宋体"/>
                <w:sz w:val="20"/>
              </w:rPr>
            </w:pPr>
          </w:p>
        </w:tc>
        <w:tc>
          <w:tcPr>
            <w:tcW w:w="60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90" w:type="dxa"/>
          </w:tcPr>
          <w:p>
            <w:pPr>
              <w:pStyle w:val="21"/>
              <w:rPr>
                <w:rFonts w:hint="eastAsia" w:ascii="宋体" w:hAnsi="宋体" w:eastAsia="宋体" w:cs="宋体"/>
                <w:sz w:val="20"/>
              </w:rPr>
            </w:pPr>
          </w:p>
        </w:tc>
        <w:tc>
          <w:tcPr>
            <w:tcW w:w="640" w:type="dxa"/>
          </w:tcPr>
          <w:p>
            <w:pPr>
              <w:pStyle w:val="21"/>
              <w:rPr>
                <w:rFonts w:hint="eastAsia" w:ascii="宋体" w:hAnsi="宋体" w:eastAsia="宋体" w:cs="宋体"/>
                <w:sz w:val="20"/>
              </w:rPr>
            </w:pPr>
          </w:p>
        </w:tc>
        <w:tc>
          <w:tcPr>
            <w:tcW w:w="709"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850"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850"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1301" w:type="dxa"/>
          </w:tcPr>
          <w:p>
            <w:pPr>
              <w:pStyle w:val="21"/>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34" w:type="dxa"/>
          </w:tcPr>
          <w:p>
            <w:pPr>
              <w:pStyle w:val="21"/>
              <w:rPr>
                <w:rFonts w:hint="eastAsia" w:ascii="宋体" w:hAnsi="宋体" w:eastAsia="宋体" w:cs="宋体"/>
                <w:sz w:val="20"/>
              </w:rPr>
            </w:pPr>
          </w:p>
        </w:tc>
        <w:tc>
          <w:tcPr>
            <w:tcW w:w="911" w:type="dxa"/>
          </w:tcPr>
          <w:p>
            <w:pPr>
              <w:pStyle w:val="21"/>
              <w:rPr>
                <w:rFonts w:hint="eastAsia" w:ascii="宋体" w:hAnsi="宋体" w:eastAsia="宋体" w:cs="宋体"/>
                <w:sz w:val="20"/>
              </w:rPr>
            </w:pPr>
          </w:p>
        </w:tc>
        <w:tc>
          <w:tcPr>
            <w:tcW w:w="1091" w:type="dxa"/>
          </w:tcPr>
          <w:p>
            <w:pPr>
              <w:pStyle w:val="21"/>
              <w:rPr>
                <w:rFonts w:hint="eastAsia" w:ascii="宋体" w:hAnsi="宋体" w:eastAsia="宋体" w:cs="宋体"/>
                <w:sz w:val="20"/>
              </w:rPr>
            </w:pPr>
          </w:p>
        </w:tc>
        <w:tc>
          <w:tcPr>
            <w:tcW w:w="602" w:type="dxa"/>
          </w:tcPr>
          <w:p>
            <w:pPr>
              <w:pStyle w:val="21"/>
              <w:rPr>
                <w:rFonts w:hint="eastAsia" w:ascii="宋体" w:hAnsi="宋体" w:eastAsia="宋体" w:cs="宋体"/>
                <w:sz w:val="20"/>
              </w:rPr>
            </w:pPr>
          </w:p>
        </w:tc>
        <w:tc>
          <w:tcPr>
            <w:tcW w:w="602" w:type="dxa"/>
          </w:tcPr>
          <w:p>
            <w:pPr>
              <w:pStyle w:val="21"/>
              <w:rPr>
                <w:rFonts w:hint="eastAsia" w:ascii="宋体" w:hAnsi="宋体" w:eastAsia="宋体" w:cs="宋体"/>
                <w:sz w:val="20"/>
              </w:rPr>
            </w:pPr>
          </w:p>
        </w:tc>
        <w:tc>
          <w:tcPr>
            <w:tcW w:w="60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90" w:type="dxa"/>
          </w:tcPr>
          <w:p>
            <w:pPr>
              <w:pStyle w:val="21"/>
              <w:rPr>
                <w:rFonts w:hint="eastAsia" w:ascii="宋体" w:hAnsi="宋体" w:eastAsia="宋体" w:cs="宋体"/>
                <w:sz w:val="20"/>
              </w:rPr>
            </w:pPr>
          </w:p>
        </w:tc>
        <w:tc>
          <w:tcPr>
            <w:tcW w:w="640" w:type="dxa"/>
          </w:tcPr>
          <w:p>
            <w:pPr>
              <w:pStyle w:val="21"/>
              <w:rPr>
                <w:rFonts w:hint="eastAsia" w:ascii="宋体" w:hAnsi="宋体" w:eastAsia="宋体" w:cs="宋体"/>
                <w:sz w:val="20"/>
              </w:rPr>
            </w:pPr>
          </w:p>
        </w:tc>
        <w:tc>
          <w:tcPr>
            <w:tcW w:w="709"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850"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850"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1301" w:type="dxa"/>
          </w:tcPr>
          <w:p>
            <w:pPr>
              <w:pStyle w:val="21"/>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34" w:type="dxa"/>
          </w:tcPr>
          <w:p>
            <w:pPr>
              <w:pStyle w:val="21"/>
              <w:rPr>
                <w:rFonts w:hint="eastAsia" w:ascii="宋体" w:hAnsi="宋体" w:eastAsia="宋体" w:cs="宋体"/>
                <w:sz w:val="20"/>
              </w:rPr>
            </w:pPr>
          </w:p>
        </w:tc>
        <w:tc>
          <w:tcPr>
            <w:tcW w:w="911" w:type="dxa"/>
          </w:tcPr>
          <w:p>
            <w:pPr>
              <w:pStyle w:val="21"/>
              <w:rPr>
                <w:rFonts w:hint="eastAsia" w:ascii="宋体" w:hAnsi="宋体" w:eastAsia="宋体" w:cs="宋体"/>
                <w:sz w:val="20"/>
              </w:rPr>
            </w:pPr>
          </w:p>
        </w:tc>
        <w:tc>
          <w:tcPr>
            <w:tcW w:w="1091" w:type="dxa"/>
          </w:tcPr>
          <w:p>
            <w:pPr>
              <w:pStyle w:val="21"/>
              <w:rPr>
                <w:rFonts w:hint="eastAsia" w:ascii="宋体" w:hAnsi="宋体" w:eastAsia="宋体" w:cs="宋体"/>
                <w:sz w:val="20"/>
              </w:rPr>
            </w:pPr>
          </w:p>
        </w:tc>
        <w:tc>
          <w:tcPr>
            <w:tcW w:w="602" w:type="dxa"/>
          </w:tcPr>
          <w:p>
            <w:pPr>
              <w:pStyle w:val="21"/>
              <w:rPr>
                <w:rFonts w:hint="eastAsia" w:ascii="宋体" w:hAnsi="宋体" w:eastAsia="宋体" w:cs="宋体"/>
                <w:sz w:val="20"/>
              </w:rPr>
            </w:pPr>
          </w:p>
        </w:tc>
        <w:tc>
          <w:tcPr>
            <w:tcW w:w="602" w:type="dxa"/>
          </w:tcPr>
          <w:p>
            <w:pPr>
              <w:pStyle w:val="21"/>
              <w:rPr>
                <w:rFonts w:hint="eastAsia" w:ascii="宋体" w:hAnsi="宋体" w:eastAsia="宋体" w:cs="宋体"/>
                <w:sz w:val="20"/>
              </w:rPr>
            </w:pPr>
          </w:p>
        </w:tc>
        <w:tc>
          <w:tcPr>
            <w:tcW w:w="60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90" w:type="dxa"/>
          </w:tcPr>
          <w:p>
            <w:pPr>
              <w:pStyle w:val="21"/>
              <w:rPr>
                <w:rFonts w:hint="eastAsia" w:ascii="宋体" w:hAnsi="宋体" w:eastAsia="宋体" w:cs="宋体"/>
                <w:sz w:val="20"/>
              </w:rPr>
            </w:pPr>
          </w:p>
        </w:tc>
        <w:tc>
          <w:tcPr>
            <w:tcW w:w="640" w:type="dxa"/>
          </w:tcPr>
          <w:p>
            <w:pPr>
              <w:pStyle w:val="21"/>
              <w:rPr>
                <w:rFonts w:hint="eastAsia" w:ascii="宋体" w:hAnsi="宋体" w:eastAsia="宋体" w:cs="宋体"/>
                <w:sz w:val="20"/>
              </w:rPr>
            </w:pPr>
          </w:p>
        </w:tc>
        <w:tc>
          <w:tcPr>
            <w:tcW w:w="709"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850"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850"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1301" w:type="dxa"/>
          </w:tcPr>
          <w:p>
            <w:pPr>
              <w:pStyle w:val="21"/>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34" w:type="dxa"/>
          </w:tcPr>
          <w:p>
            <w:pPr>
              <w:pStyle w:val="21"/>
              <w:rPr>
                <w:rFonts w:hint="eastAsia" w:ascii="宋体" w:hAnsi="宋体" w:eastAsia="宋体" w:cs="宋体"/>
                <w:sz w:val="20"/>
              </w:rPr>
            </w:pPr>
          </w:p>
        </w:tc>
        <w:tc>
          <w:tcPr>
            <w:tcW w:w="911" w:type="dxa"/>
          </w:tcPr>
          <w:p>
            <w:pPr>
              <w:pStyle w:val="21"/>
              <w:rPr>
                <w:rFonts w:hint="eastAsia" w:ascii="宋体" w:hAnsi="宋体" w:eastAsia="宋体" w:cs="宋体"/>
                <w:sz w:val="20"/>
              </w:rPr>
            </w:pPr>
          </w:p>
        </w:tc>
        <w:tc>
          <w:tcPr>
            <w:tcW w:w="1091" w:type="dxa"/>
          </w:tcPr>
          <w:p>
            <w:pPr>
              <w:pStyle w:val="21"/>
              <w:rPr>
                <w:rFonts w:hint="eastAsia" w:ascii="宋体" w:hAnsi="宋体" w:eastAsia="宋体" w:cs="宋体"/>
                <w:sz w:val="20"/>
              </w:rPr>
            </w:pPr>
          </w:p>
        </w:tc>
        <w:tc>
          <w:tcPr>
            <w:tcW w:w="602" w:type="dxa"/>
          </w:tcPr>
          <w:p>
            <w:pPr>
              <w:pStyle w:val="21"/>
              <w:rPr>
                <w:rFonts w:hint="eastAsia" w:ascii="宋体" w:hAnsi="宋体" w:eastAsia="宋体" w:cs="宋体"/>
                <w:sz w:val="20"/>
              </w:rPr>
            </w:pPr>
          </w:p>
        </w:tc>
        <w:tc>
          <w:tcPr>
            <w:tcW w:w="602" w:type="dxa"/>
          </w:tcPr>
          <w:p>
            <w:pPr>
              <w:pStyle w:val="21"/>
              <w:rPr>
                <w:rFonts w:hint="eastAsia" w:ascii="宋体" w:hAnsi="宋体" w:eastAsia="宋体" w:cs="宋体"/>
                <w:sz w:val="20"/>
              </w:rPr>
            </w:pPr>
          </w:p>
        </w:tc>
        <w:tc>
          <w:tcPr>
            <w:tcW w:w="60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90" w:type="dxa"/>
          </w:tcPr>
          <w:p>
            <w:pPr>
              <w:pStyle w:val="21"/>
              <w:rPr>
                <w:rFonts w:hint="eastAsia" w:ascii="宋体" w:hAnsi="宋体" w:eastAsia="宋体" w:cs="宋体"/>
                <w:sz w:val="20"/>
              </w:rPr>
            </w:pPr>
          </w:p>
        </w:tc>
        <w:tc>
          <w:tcPr>
            <w:tcW w:w="640" w:type="dxa"/>
          </w:tcPr>
          <w:p>
            <w:pPr>
              <w:pStyle w:val="21"/>
              <w:rPr>
                <w:rFonts w:hint="eastAsia" w:ascii="宋体" w:hAnsi="宋体" w:eastAsia="宋体" w:cs="宋体"/>
                <w:sz w:val="20"/>
              </w:rPr>
            </w:pPr>
          </w:p>
        </w:tc>
        <w:tc>
          <w:tcPr>
            <w:tcW w:w="709"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850"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850"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1301" w:type="dxa"/>
          </w:tcPr>
          <w:p>
            <w:pPr>
              <w:pStyle w:val="21"/>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34" w:type="dxa"/>
          </w:tcPr>
          <w:p>
            <w:pPr>
              <w:pStyle w:val="21"/>
              <w:rPr>
                <w:rFonts w:hint="eastAsia" w:ascii="宋体" w:hAnsi="宋体" w:eastAsia="宋体" w:cs="宋体"/>
                <w:sz w:val="20"/>
              </w:rPr>
            </w:pPr>
          </w:p>
        </w:tc>
        <w:tc>
          <w:tcPr>
            <w:tcW w:w="911" w:type="dxa"/>
          </w:tcPr>
          <w:p>
            <w:pPr>
              <w:pStyle w:val="21"/>
              <w:rPr>
                <w:rFonts w:hint="eastAsia" w:ascii="宋体" w:hAnsi="宋体" w:eastAsia="宋体" w:cs="宋体"/>
                <w:sz w:val="20"/>
              </w:rPr>
            </w:pPr>
          </w:p>
        </w:tc>
        <w:tc>
          <w:tcPr>
            <w:tcW w:w="1091" w:type="dxa"/>
          </w:tcPr>
          <w:p>
            <w:pPr>
              <w:pStyle w:val="21"/>
              <w:rPr>
                <w:rFonts w:hint="eastAsia" w:ascii="宋体" w:hAnsi="宋体" w:eastAsia="宋体" w:cs="宋体"/>
                <w:sz w:val="20"/>
              </w:rPr>
            </w:pPr>
          </w:p>
        </w:tc>
        <w:tc>
          <w:tcPr>
            <w:tcW w:w="602" w:type="dxa"/>
          </w:tcPr>
          <w:p>
            <w:pPr>
              <w:pStyle w:val="21"/>
              <w:rPr>
                <w:rFonts w:hint="eastAsia" w:ascii="宋体" w:hAnsi="宋体" w:eastAsia="宋体" w:cs="宋体"/>
                <w:sz w:val="20"/>
              </w:rPr>
            </w:pPr>
          </w:p>
        </w:tc>
        <w:tc>
          <w:tcPr>
            <w:tcW w:w="602" w:type="dxa"/>
          </w:tcPr>
          <w:p>
            <w:pPr>
              <w:pStyle w:val="21"/>
              <w:rPr>
                <w:rFonts w:hint="eastAsia" w:ascii="宋体" w:hAnsi="宋体" w:eastAsia="宋体" w:cs="宋体"/>
                <w:sz w:val="20"/>
              </w:rPr>
            </w:pPr>
          </w:p>
        </w:tc>
        <w:tc>
          <w:tcPr>
            <w:tcW w:w="60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90" w:type="dxa"/>
          </w:tcPr>
          <w:p>
            <w:pPr>
              <w:pStyle w:val="21"/>
              <w:rPr>
                <w:rFonts w:hint="eastAsia" w:ascii="宋体" w:hAnsi="宋体" w:eastAsia="宋体" w:cs="宋体"/>
                <w:sz w:val="20"/>
              </w:rPr>
            </w:pPr>
          </w:p>
        </w:tc>
        <w:tc>
          <w:tcPr>
            <w:tcW w:w="640" w:type="dxa"/>
          </w:tcPr>
          <w:p>
            <w:pPr>
              <w:pStyle w:val="21"/>
              <w:rPr>
                <w:rFonts w:hint="eastAsia" w:ascii="宋体" w:hAnsi="宋体" w:eastAsia="宋体" w:cs="宋体"/>
                <w:sz w:val="20"/>
              </w:rPr>
            </w:pPr>
          </w:p>
        </w:tc>
        <w:tc>
          <w:tcPr>
            <w:tcW w:w="709"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850"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850"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1301" w:type="dxa"/>
          </w:tcPr>
          <w:p>
            <w:pPr>
              <w:pStyle w:val="21"/>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834" w:type="dxa"/>
          </w:tcPr>
          <w:p>
            <w:pPr>
              <w:pStyle w:val="21"/>
              <w:rPr>
                <w:rFonts w:hint="eastAsia" w:ascii="宋体" w:hAnsi="宋体" w:eastAsia="宋体" w:cs="宋体"/>
                <w:sz w:val="20"/>
              </w:rPr>
            </w:pPr>
          </w:p>
        </w:tc>
        <w:tc>
          <w:tcPr>
            <w:tcW w:w="911" w:type="dxa"/>
          </w:tcPr>
          <w:p>
            <w:pPr>
              <w:pStyle w:val="21"/>
              <w:rPr>
                <w:rFonts w:hint="eastAsia" w:ascii="宋体" w:hAnsi="宋体" w:eastAsia="宋体" w:cs="宋体"/>
                <w:sz w:val="20"/>
              </w:rPr>
            </w:pPr>
          </w:p>
        </w:tc>
        <w:tc>
          <w:tcPr>
            <w:tcW w:w="1091" w:type="dxa"/>
          </w:tcPr>
          <w:p>
            <w:pPr>
              <w:pStyle w:val="21"/>
              <w:rPr>
                <w:rFonts w:hint="eastAsia" w:ascii="宋体" w:hAnsi="宋体" w:eastAsia="宋体" w:cs="宋体"/>
                <w:sz w:val="20"/>
              </w:rPr>
            </w:pPr>
          </w:p>
        </w:tc>
        <w:tc>
          <w:tcPr>
            <w:tcW w:w="602" w:type="dxa"/>
          </w:tcPr>
          <w:p>
            <w:pPr>
              <w:pStyle w:val="21"/>
              <w:rPr>
                <w:rFonts w:hint="eastAsia" w:ascii="宋体" w:hAnsi="宋体" w:eastAsia="宋体" w:cs="宋体"/>
                <w:sz w:val="20"/>
              </w:rPr>
            </w:pPr>
          </w:p>
        </w:tc>
        <w:tc>
          <w:tcPr>
            <w:tcW w:w="602" w:type="dxa"/>
          </w:tcPr>
          <w:p>
            <w:pPr>
              <w:pStyle w:val="21"/>
              <w:rPr>
                <w:rFonts w:hint="eastAsia" w:ascii="宋体" w:hAnsi="宋体" w:eastAsia="宋体" w:cs="宋体"/>
                <w:sz w:val="20"/>
              </w:rPr>
            </w:pPr>
          </w:p>
        </w:tc>
        <w:tc>
          <w:tcPr>
            <w:tcW w:w="60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90" w:type="dxa"/>
          </w:tcPr>
          <w:p>
            <w:pPr>
              <w:pStyle w:val="21"/>
              <w:rPr>
                <w:rFonts w:hint="eastAsia" w:ascii="宋体" w:hAnsi="宋体" w:eastAsia="宋体" w:cs="宋体"/>
                <w:sz w:val="20"/>
              </w:rPr>
            </w:pPr>
          </w:p>
        </w:tc>
        <w:tc>
          <w:tcPr>
            <w:tcW w:w="640" w:type="dxa"/>
          </w:tcPr>
          <w:p>
            <w:pPr>
              <w:pStyle w:val="21"/>
              <w:rPr>
                <w:rFonts w:hint="eastAsia" w:ascii="宋体" w:hAnsi="宋体" w:eastAsia="宋体" w:cs="宋体"/>
                <w:sz w:val="20"/>
              </w:rPr>
            </w:pPr>
          </w:p>
        </w:tc>
        <w:tc>
          <w:tcPr>
            <w:tcW w:w="709"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850"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850"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1301" w:type="dxa"/>
          </w:tcPr>
          <w:p>
            <w:pPr>
              <w:pStyle w:val="21"/>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34" w:type="dxa"/>
          </w:tcPr>
          <w:p>
            <w:pPr>
              <w:pStyle w:val="21"/>
              <w:rPr>
                <w:rFonts w:hint="eastAsia" w:ascii="宋体" w:hAnsi="宋体" w:eastAsia="宋体" w:cs="宋体"/>
                <w:sz w:val="20"/>
              </w:rPr>
            </w:pPr>
          </w:p>
        </w:tc>
        <w:tc>
          <w:tcPr>
            <w:tcW w:w="911" w:type="dxa"/>
          </w:tcPr>
          <w:p>
            <w:pPr>
              <w:pStyle w:val="21"/>
              <w:rPr>
                <w:rFonts w:hint="eastAsia" w:ascii="宋体" w:hAnsi="宋体" w:eastAsia="宋体" w:cs="宋体"/>
                <w:sz w:val="20"/>
              </w:rPr>
            </w:pPr>
          </w:p>
        </w:tc>
        <w:tc>
          <w:tcPr>
            <w:tcW w:w="1091" w:type="dxa"/>
          </w:tcPr>
          <w:p>
            <w:pPr>
              <w:pStyle w:val="21"/>
              <w:rPr>
                <w:rFonts w:hint="eastAsia" w:ascii="宋体" w:hAnsi="宋体" w:eastAsia="宋体" w:cs="宋体"/>
                <w:sz w:val="20"/>
              </w:rPr>
            </w:pPr>
          </w:p>
        </w:tc>
        <w:tc>
          <w:tcPr>
            <w:tcW w:w="602" w:type="dxa"/>
          </w:tcPr>
          <w:p>
            <w:pPr>
              <w:pStyle w:val="21"/>
              <w:rPr>
                <w:rFonts w:hint="eastAsia" w:ascii="宋体" w:hAnsi="宋体" w:eastAsia="宋体" w:cs="宋体"/>
                <w:sz w:val="20"/>
              </w:rPr>
            </w:pPr>
          </w:p>
        </w:tc>
        <w:tc>
          <w:tcPr>
            <w:tcW w:w="602" w:type="dxa"/>
          </w:tcPr>
          <w:p>
            <w:pPr>
              <w:pStyle w:val="21"/>
              <w:rPr>
                <w:rFonts w:hint="eastAsia" w:ascii="宋体" w:hAnsi="宋体" w:eastAsia="宋体" w:cs="宋体"/>
                <w:sz w:val="20"/>
              </w:rPr>
            </w:pPr>
          </w:p>
        </w:tc>
        <w:tc>
          <w:tcPr>
            <w:tcW w:w="60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90" w:type="dxa"/>
          </w:tcPr>
          <w:p>
            <w:pPr>
              <w:pStyle w:val="21"/>
              <w:rPr>
                <w:rFonts w:hint="eastAsia" w:ascii="宋体" w:hAnsi="宋体" w:eastAsia="宋体" w:cs="宋体"/>
                <w:sz w:val="20"/>
              </w:rPr>
            </w:pPr>
          </w:p>
        </w:tc>
        <w:tc>
          <w:tcPr>
            <w:tcW w:w="640" w:type="dxa"/>
          </w:tcPr>
          <w:p>
            <w:pPr>
              <w:pStyle w:val="21"/>
              <w:rPr>
                <w:rFonts w:hint="eastAsia" w:ascii="宋体" w:hAnsi="宋体" w:eastAsia="宋体" w:cs="宋体"/>
                <w:sz w:val="20"/>
              </w:rPr>
            </w:pPr>
          </w:p>
        </w:tc>
        <w:tc>
          <w:tcPr>
            <w:tcW w:w="709"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850"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850"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1301" w:type="dxa"/>
          </w:tcPr>
          <w:p>
            <w:pPr>
              <w:pStyle w:val="21"/>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34" w:type="dxa"/>
          </w:tcPr>
          <w:p>
            <w:pPr>
              <w:pStyle w:val="21"/>
              <w:rPr>
                <w:rFonts w:hint="eastAsia" w:ascii="宋体" w:hAnsi="宋体" w:eastAsia="宋体" w:cs="宋体"/>
                <w:sz w:val="20"/>
              </w:rPr>
            </w:pPr>
          </w:p>
        </w:tc>
        <w:tc>
          <w:tcPr>
            <w:tcW w:w="911" w:type="dxa"/>
          </w:tcPr>
          <w:p>
            <w:pPr>
              <w:pStyle w:val="21"/>
              <w:rPr>
                <w:rFonts w:hint="eastAsia" w:ascii="宋体" w:hAnsi="宋体" w:eastAsia="宋体" w:cs="宋体"/>
                <w:sz w:val="20"/>
              </w:rPr>
            </w:pPr>
          </w:p>
        </w:tc>
        <w:tc>
          <w:tcPr>
            <w:tcW w:w="1091" w:type="dxa"/>
          </w:tcPr>
          <w:p>
            <w:pPr>
              <w:pStyle w:val="21"/>
              <w:rPr>
                <w:rFonts w:hint="eastAsia" w:ascii="宋体" w:hAnsi="宋体" w:eastAsia="宋体" w:cs="宋体"/>
                <w:sz w:val="20"/>
              </w:rPr>
            </w:pPr>
          </w:p>
        </w:tc>
        <w:tc>
          <w:tcPr>
            <w:tcW w:w="602" w:type="dxa"/>
          </w:tcPr>
          <w:p>
            <w:pPr>
              <w:pStyle w:val="21"/>
              <w:rPr>
                <w:rFonts w:hint="eastAsia" w:ascii="宋体" w:hAnsi="宋体" w:eastAsia="宋体" w:cs="宋体"/>
                <w:sz w:val="20"/>
              </w:rPr>
            </w:pPr>
          </w:p>
        </w:tc>
        <w:tc>
          <w:tcPr>
            <w:tcW w:w="602" w:type="dxa"/>
          </w:tcPr>
          <w:p>
            <w:pPr>
              <w:pStyle w:val="21"/>
              <w:rPr>
                <w:rFonts w:hint="eastAsia" w:ascii="宋体" w:hAnsi="宋体" w:eastAsia="宋体" w:cs="宋体"/>
                <w:sz w:val="20"/>
              </w:rPr>
            </w:pPr>
          </w:p>
        </w:tc>
        <w:tc>
          <w:tcPr>
            <w:tcW w:w="60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89" w:type="dxa"/>
          </w:tcPr>
          <w:p>
            <w:pPr>
              <w:pStyle w:val="21"/>
              <w:rPr>
                <w:rFonts w:hint="eastAsia" w:ascii="宋体" w:hAnsi="宋体" w:eastAsia="宋体" w:cs="宋体"/>
                <w:sz w:val="20"/>
              </w:rPr>
            </w:pPr>
          </w:p>
        </w:tc>
        <w:tc>
          <w:tcPr>
            <w:tcW w:w="690" w:type="dxa"/>
          </w:tcPr>
          <w:p>
            <w:pPr>
              <w:pStyle w:val="21"/>
              <w:rPr>
                <w:rFonts w:hint="eastAsia" w:ascii="宋体" w:hAnsi="宋体" w:eastAsia="宋体" w:cs="宋体"/>
                <w:sz w:val="20"/>
              </w:rPr>
            </w:pPr>
          </w:p>
        </w:tc>
        <w:tc>
          <w:tcPr>
            <w:tcW w:w="640" w:type="dxa"/>
          </w:tcPr>
          <w:p>
            <w:pPr>
              <w:pStyle w:val="21"/>
              <w:rPr>
                <w:rFonts w:hint="eastAsia" w:ascii="宋体" w:hAnsi="宋体" w:eastAsia="宋体" w:cs="宋体"/>
                <w:sz w:val="20"/>
              </w:rPr>
            </w:pPr>
          </w:p>
        </w:tc>
        <w:tc>
          <w:tcPr>
            <w:tcW w:w="709"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850"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850" w:type="dxa"/>
          </w:tcPr>
          <w:p>
            <w:pPr>
              <w:pStyle w:val="21"/>
              <w:rPr>
                <w:rFonts w:hint="eastAsia" w:ascii="宋体" w:hAnsi="宋体" w:eastAsia="宋体" w:cs="宋体"/>
                <w:sz w:val="20"/>
              </w:rPr>
            </w:pPr>
          </w:p>
        </w:tc>
        <w:tc>
          <w:tcPr>
            <w:tcW w:w="851" w:type="dxa"/>
          </w:tcPr>
          <w:p>
            <w:pPr>
              <w:pStyle w:val="21"/>
              <w:rPr>
                <w:rFonts w:hint="eastAsia" w:ascii="宋体" w:hAnsi="宋体" w:eastAsia="宋体" w:cs="宋体"/>
                <w:sz w:val="20"/>
              </w:rPr>
            </w:pPr>
          </w:p>
        </w:tc>
        <w:tc>
          <w:tcPr>
            <w:tcW w:w="1301" w:type="dxa"/>
          </w:tcPr>
          <w:p>
            <w:pPr>
              <w:pStyle w:val="21"/>
              <w:rPr>
                <w:rFonts w:hint="eastAsia" w:ascii="宋体" w:hAnsi="宋体" w:eastAsia="宋体" w:cs="宋体"/>
                <w:sz w:val="20"/>
              </w:rPr>
            </w:pPr>
          </w:p>
        </w:tc>
      </w:tr>
    </w:tbl>
    <w:p>
      <w:pPr>
        <w:spacing w:before="175"/>
        <w:ind w:left="7238" w:right="7011"/>
        <w:jc w:val="center"/>
        <w:rPr>
          <w:rFonts w:hint="eastAsia" w:ascii="宋体" w:hAnsi="宋体" w:eastAsia="宋体" w:cs="宋体"/>
          <w:sz w:val="18"/>
        </w:rPr>
        <w:sectPr>
          <w:headerReference r:id="rId15" w:type="default"/>
          <w:footerReference r:id="rId16" w:type="default"/>
          <w:pgSz w:w="16840" w:h="11910" w:orient="landscape"/>
          <w:pgMar w:top="800" w:right="1320" w:bottom="280" w:left="960" w:header="0" w:footer="0" w:gutter="0"/>
          <w:cols w:space="720" w:num="1"/>
        </w:sectPr>
      </w:pPr>
    </w:p>
    <w:p>
      <w:pPr>
        <w:rPr>
          <w:rFonts w:hint="eastAsia"/>
        </w:rPr>
      </w:pPr>
    </w:p>
    <w:p>
      <w:pPr>
        <w:pStyle w:val="10"/>
        <w:rPr>
          <w:sz w:val="20"/>
        </w:rPr>
      </w:pPr>
    </w:p>
    <w:p>
      <w:pPr>
        <w:pStyle w:val="10"/>
        <w:rPr>
          <w:sz w:val="20"/>
        </w:rPr>
      </w:pPr>
    </w:p>
    <w:p>
      <w:pPr>
        <w:pStyle w:val="8"/>
        <w:tabs>
          <w:tab w:val="left" w:pos="1439"/>
          <w:tab w:val="left" w:pos="2159"/>
        </w:tabs>
        <w:ind w:right="43" w:firstLine="3000" w:firstLineChars="1000"/>
        <w:jc w:val="both"/>
        <w:rPr>
          <w:rFonts w:hint="eastAsia"/>
          <w:sz w:val="30"/>
          <w:szCs w:val="30"/>
        </w:rPr>
      </w:pPr>
    </w:p>
    <w:p>
      <w:pPr>
        <w:pStyle w:val="8"/>
        <w:tabs>
          <w:tab w:val="left" w:pos="1439"/>
          <w:tab w:val="left" w:pos="2159"/>
        </w:tabs>
        <w:ind w:right="43" w:firstLine="3012" w:firstLineChars="1000"/>
        <w:jc w:val="both"/>
        <w:rPr>
          <w:b/>
          <w:bCs/>
          <w:sz w:val="20"/>
        </w:rPr>
        <w:sectPr>
          <w:headerReference r:id="rId17" w:type="default"/>
          <w:footerReference r:id="rId18" w:type="default"/>
          <w:pgSz w:w="11910" w:h="16840"/>
          <w:pgMar w:top="1440" w:right="1079" w:bottom="1040" w:left="1420" w:header="882" w:footer="845" w:gutter="0"/>
          <w:cols w:space="720" w:num="1"/>
        </w:sectPr>
      </w:pPr>
      <w:r>
        <w:rPr>
          <w:rFonts w:hint="eastAsia"/>
          <w:b/>
          <w:bCs/>
          <w:sz w:val="30"/>
          <w:szCs w:val="30"/>
        </w:rPr>
        <w:t>第</w:t>
      </w:r>
      <w:r>
        <w:rPr>
          <w:rFonts w:hint="eastAsia"/>
          <w:b/>
          <w:bCs/>
          <w:sz w:val="30"/>
          <w:szCs w:val="30"/>
          <w:lang w:eastAsia="zh-CN"/>
        </w:rPr>
        <w:t>四</w:t>
      </w:r>
      <w:r>
        <w:rPr>
          <w:rFonts w:hint="eastAsia"/>
          <w:b/>
          <w:bCs/>
          <w:sz w:val="30"/>
          <w:szCs w:val="30"/>
        </w:rPr>
        <w:t>章</w:t>
      </w:r>
      <w:r>
        <w:rPr>
          <w:rFonts w:hint="eastAsia"/>
          <w:b/>
          <w:bCs/>
          <w:sz w:val="30"/>
          <w:szCs w:val="30"/>
        </w:rPr>
        <w:tab/>
      </w:r>
      <w:r>
        <w:rPr>
          <w:rFonts w:hint="eastAsia"/>
          <w:b/>
          <w:bCs/>
          <w:sz w:val="30"/>
          <w:szCs w:val="30"/>
        </w:rPr>
        <w:t>图</w:t>
      </w:r>
      <w:r>
        <w:rPr>
          <w:rFonts w:hint="eastAsia"/>
          <w:b/>
          <w:bCs/>
          <w:sz w:val="30"/>
          <w:szCs w:val="30"/>
        </w:rPr>
        <w:tab/>
      </w:r>
      <w:r>
        <w:rPr>
          <w:rFonts w:hint="eastAsia"/>
          <w:b/>
          <w:bCs/>
          <w:sz w:val="30"/>
          <w:szCs w:val="30"/>
        </w:rPr>
        <w:t>纸（另册）</w:t>
      </w:r>
    </w:p>
    <w:p>
      <w:pPr>
        <w:tabs>
          <w:tab w:val="left" w:pos="1442"/>
        </w:tabs>
        <w:spacing w:before="50"/>
        <w:ind w:right="338" w:firstLine="3614" w:firstLineChars="1200"/>
        <w:jc w:val="both"/>
        <w:rPr>
          <w:sz w:val="30"/>
          <w:szCs w:val="30"/>
        </w:rPr>
      </w:pPr>
      <w:bookmarkStart w:id="83" w:name="_TOC_250023"/>
      <w:bookmarkEnd w:id="83"/>
      <w:r>
        <w:rPr>
          <w:rFonts w:hint="eastAsia"/>
          <w:b/>
          <w:sz w:val="30"/>
          <w:szCs w:val="30"/>
        </w:rPr>
        <w:t>第</w:t>
      </w:r>
      <w:r>
        <w:rPr>
          <w:rFonts w:hint="eastAsia"/>
          <w:b/>
          <w:sz w:val="30"/>
          <w:szCs w:val="30"/>
          <w:lang w:eastAsia="zh-CN"/>
        </w:rPr>
        <w:t>五</w:t>
      </w:r>
      <w:r>
        <w:rPr>
          <w:rFonts w:hint="eastAsia"/>
          <w:b/>
          <w:sz w:val="30"/>
          <w:szCs w:val="30"/>
        </w:rPr>
        <w:t>章</w:t>
      </w:r>
      <w:r>
        <w:rPr>
          <w:rFonts w:hint="eastAsia"/>
          <w:b/>
          <w:sz w:val="30"/>
          <w:szCs w:val="30"/>
          <w:lang w:val="en-US" w:eastAsia="zh-CN"/>
        </w:rPr>
        <w:t xml:space="preserve">  </w:t>
      </w:r>
      <w:r>
        <w:rPr>
          <w:rFonts w:hint="eastAsia"/>
          <w:b/>
          <w:sz w:val="30"/>
          <w:szCs w:val="30"/>
        </w:rPr>
        <w:t>技术规范</w:t>
      </w:r>
    </w:p>
    <w:p>
      <w:pPr>
        <w:pStyle w:val="10"/>
        <w:spacing w:before="313" w:line="300" w:lineRule="exact"/>
        <w:ind w:firstLine="480" w:firstLineChars="200"/>
      </w:pPr>
      <w:r>
        <w:rPr>
          <w:rFonts w:hint="eastAsia"/>
        </w:rPr>
        <w:t>一、交通运输部行业标准</w:t>
      </w:r>
    </w:p>
    <w:p>
      <w:pPr>
        <w:pStyle w:val="20"/>
        <w:numPr>
          <w:ilvl w:val="1"/>
          <w:numId w:val="66"/>
        </w:numPr>
        <w:tabs>
          <w:tab w:val="left" w:pos="1041"/>
        </w:tabs>
        <w:spacing w:line="300" w:lineRule="exact"/>
        <w:rPr>
          <w:sz w:val="24"/>
        </w:rPr>
      </w:pPr>
      <w:r>
        <w:rPr>
          <w:rFonts w:hint="eastAsia"/>
          <w:sz w:val="24"/>
        </w:rPr>
        <w:t>《公路工程技术标准》（JTG</w:t>
      </w:r>
      <w:r>
        <w:rPr>
          <w:rFonts w:hint="eastAsia"/>
          <w:spacing w:val="-2"/>
          <w:sz w:val="24"/>
        </w:rPr>
        <w:t xml:space="preserve"> </w:t>
      </w:r>
      <w:r>
        <w:rPr>
          <w:rFonts w:hint="eastAsia"/>
          <w:sz w:val="24"/>
        </w:rPr>
        <w:t>B01-2014）</w:t>
      </w:r>
    </w:p>
    <w:p>
      <w:pPr>
        <w:pStyle w:val="20"/>
        <w:numPr>
          <w:ilvl w:val="1"/>
          <w:numId w:val="66"/>
        </w:numPr>
        <w:tabs>
          <w:tab w:val="left" w:pos="1041"/>
          <w:tab w:val="left" w:pos="5369"/>
        </w:tabs>
        <w:spacing w:before="84" w:line="300" w:lineRule="exact"/>
        <w:rPr>
          <w:sz w:val="24"/>
        </w:rPr>
      </w:pPr>
      <w:r>
        <w:rPr>
          <w:rFonts w:hint="eastAsia"/>
          <w:spacing w:val="-3"/>
          <w:sz w:val="24"/>
        </w:rPr>
        <w:t>《</w:t>
      </w:r>
      <w:r>
        <w:rPr>
          <w:rFonts w:hint="eastAsia"/>
          <w:sz w:val="24"/>
        </w:rPr>
        <w:t>公路工程质量检验评定标准》</w:t>
      </w:r>
      <w:r>
        <w:rPr>
          <w:rFonts w:hint="eastAsia"/>
          <w:spacing w:val="-36"/>
          <w:sz w:val="24"/>
        </w:rPr>
        <w:t xml:space="preserve"> </w:t>
      </w:r>
      <w:r>
        <w:rPr>
          <w:rFonts w:hint="eastAsia"/>
          <w:sz w:val="24"/>
        </w:rPr>
        <w:t>第一册</w:t>
      </w:r>
      <w:r>
        <w:rPr>
          <w:rFonts w:hint="eastAsia"/>
          <w:sz w:val="24"/>
        </w:rPr>
        <w:tab/>
      </w:r>
      <w:r>
        <w:rPr>
          <w:rFonts w:hint="eastAsia"/>
          <w:spacing w:val="-3"/>
          <w:sz w:val="24"/>
        </w:rPr>
        <w:t>（</w:t>
      </w:r>
      <w:r>
        <w:rPr>
          <w:rFonts w:hint="eastAsia"/>
          <w:sz w:val="24"/>
        </w:rPr>
        <w:t>土建工程</w:t>
      </w:r>
      <w:r>
        <w:rPr>
          <w:rFonts w:hint="eastAsia"/>
          <w:spacing w:val="-16"/>
          <w:sz w:val="24"/>
        </w:rPr>
        <w:t>）（JTG</w:t>
      </w:r>
      <w:r>
        <w:rPr>
          <w:rFonts w:hint="eastAsia"/>
          <w:spacing w:val="-1"/>
          <w:sz w:val="24"/>
        </w:rPr>
        <w:t xml:space="preserve"> </w:t>
      </w:r>
      <w:r>
        <w:rPr>
          <w:rFonts w:hint="eastAsia"/>
          <w:sz w:val="24"/>
        </w:rPr>
        <w:t>F80/1-2017）</w:t>
      </w:r>
    </w:p>
    <w:p>
      <w:pPr>
        <w:pStyle w:val="20"/>
        <w:numPr>
          <w:ilvl w:val="1"/>
          <w:numId w:val="66"/>
        </w:numPr>
        <w:tabs>
          <w:tab w:val="left" w:pos="1041"/>
        </w:tabs>
        <w:spacing w:before="86" w:line="300" w:lineRule="exact"/>
        <w:rPr>
          <w:sz w:val="24"/>
        </w:rPr>
      </w:pPr>
      <w:r>
        <w:rPr>
          <w:rFonts w:hint="eastAsia"/>
          <w:sz w:val="24"/>
        </w:rPr>
        <w:t>《公路沥青路面施工技术规范》（JTG</w:t>
      </w:r>
      <w:r>
        <w:rPr>
          <w:rFonts w:hint="eastAsia"/>
          <w:spacing w:val="-2"/>
          <w:sz w:val="24"/>
        </w:rPr>
        <w:t xml:space="preserve"> </w:t>
      </w:r>
      <w:r>
        <w:rPr>
          <w:rFonts w:hint="eastAsia"/>
          <w:sz w:val="24"/>
        </w:rPr>
        <w:t>F40-2004）</w:t>
      </w:r>
    </w:p>
    <w:p>
      <w:pPr>
        <w:pStyle w:val="20"/>
        <w:numPr>
          <w:ilvl w:val="1"/>
          <w:numId w:val="66"/>
        </w:numPr>
        <w:tabs>
          <w:tab w:val="left" w:pos="1041"/>
        </w:tabs>
        <w:spacing w:before="84" w:line="300" w:lineRule="exact"/>
        <w:rPr>
          <w:sz w:val="24"/>
        </w:rPr>
      </w:pPr>
      <w:r>
        <w:rPr>
          <w:rFonts w:hint="eastAsia"/>
          <w:sz w:val="24"/>
        </w:rPr>
        <w:t>《公路路基施工技术规范》（JTG/T</w:t>
      </w:r>
      <w:r>
        <w:rPr>
          <w:rFonts w:hint="eastAsia"/>
          <w:spacing w:val="-2"/>
          <w:sz w:val="24"/>
        </w:rPr>
        <w:t xml:space="preserve"> </w:t>
      </w:r>
      <w:r>
        <w:rPr>
          <w:rFonts w:hint="eastAsia"/>
          <w:sz w:val="24"/>
        </w:rPr>
        <w:t>3610-2019）</w:t>
      </w:r>
    </w:p>
    <w:p>
      <w:pPr>
        <w:pStyle w:val="20"/>
        <w:numPr>
          <w:ilvl w:val="1"/>
          <w:numId w:val="66"/>
        </w:numPr>
        <w:tabs>
          <w:tab w:val="left" w:pos="1041"/>
        </w:tabs>
        <w:spacing w:before="83" w:line="300" w:lineRule="exact"/>
        <w:rPr>
          <w:sz w:val="24"/>
        </w:rPr>
      </w:pPr>
      <w:r>
        <w:rPr>
          <w:rFonts w:hint="eastAsia"/>
          <w:sz w:val="24"/>
        </w:rPr>
        <w:t>《公路土工合成材料应用技术规范》（JTG/T</w:t>
      </w:r>
      <w:r>
        <w:rPr>
          <w:rFonts w:hint="eastAsia"/>
          <w:spacing w:val="-2"/>
          <w:sz w:val="24"/>
        </w:rPr>
        <w:t xml:space="preserve"> </w:t>
      </w:r>
      <w:r>
        <w:rPr>
          <w:rFonts w:hint="eastAsia"/>
          <w:sz w:val="24"/>
        </w:rPr>
        <w:t>D32-2012）</w:t>
      </w:r>
    </w:p>
    <w:p>
      <w:pPr>
        <w:pStyle w:val="20"/>
        <w:numPr>
          <w:ilvl w:val="1"/>
          <w:numId w:val="66"/>
        </w:numPr>
        <w:tabs>
          <w:tab w:val="left" w:pos="1041"/>
        </w:tabs>
        <w:spacing w:before="87" w:line="300" w:lineRule="exact"/>
        <w:rPr>
          <w:sz w:val="24"/>
        </w:rPr>
      </w:pPr>
      <w:r>
        <w:rPr>
          <w:rFonts w:hint="eastAsia"/>
          <w:sz w:val="24"/>
        </w:rPr>
        <w:t>《公路路面基层施工技术细则》（JTG</w:t>
      </w:r>
      <w:r>
        <w:rPr>
          <w:rFonts w:hint="eastAsia"/>
          <w:spacing w:val="-2"/>
          <w:sz w:val="24"/>
        </w:rPr>
        <w:t xml:space="preserve"> </w:t>
      </w:r>
      <w:r>
        <w:rPr>
          <w:rFonts w:hint="eastAsia"/>
          <w:sz w:val="24"/>
        </w:rPr>
        <w:t>F20-2015）</w:t>
      </w:r>
    </w:p>
    <w:p>
      <w:pPr>
        <w:pStyle w:val="20"/>
        <w:numPr>
          <w:ilvl w:val="1"/>
          <w:numId w:val="66"/>
        </w:numPr>
        <w:tabs>
          <w:tab w:val="left" w:pos="1041"/>
        </w:tabs>
        <w:spacing w:before="83" w:line="300" w:lineRule="exact"/>
        <w:rPr>
          <w:sz w:val="24"/>
        </w:rPr>
      </w:pPr>
      <w:r>
        <w:rPr>
          <w:rFonts w:hint="eastAsia"/>
          <w:sz w:val="24"/>
        </w:rPr>
        <w:t>《公路桥涵施工技术规范》（JTG/T</w:t>
      </w:r>
      <w:r>
        <w:rPr>
          <w:rFonts w:hint="eastAsia"/>
          <w:spacing w:val="-2"/>
          <w:sz w:val="24"/>
        </w:rPr>
        <w:t xml:space="preserve"> </w:t>
      </w:r>
      <w:r>
        <w:rPr>
          <w:rFonts w:hint="eastAsia"/>
          <w:sz w:val="24"/>
        </w:rPr>
        <w:t>F50-2011）</w:t>
      </w:r>
    </w:p>
    <w:p>
      <w:pPr>
        <w:pStyle w:val="20"/>
        <w:numPr>
          <w:ilvl w:val="1"/>
          <w:numId w:val="66"/>
        </w:numPr>
        <w:tabs>
          <w:tab w:val="left" w:pos="1041"/>
        </w:tabs>
        <w:spacing w:before="84" w:line="300" w:lineRule="exact"/>
        <w:rPr>
          <w:sz w:val="24"/>
        </w:rPr>
      </w:pPr>
      <w:r>
        <w:rPr>
          <w:rFonts w:hint="eastAsia"/>
          <w:sz w:val="24"/>
        </w:rPr>
        <w:t>《公路土工试验规程》（JTG</w:t>
      </w:r>
      <w:r>
        <w:rPr>
          <w:rFonts w:hint="eastAsia"/>
          <w:spacing w:val="-2"/>
          <w:sz w:val="24"/>
        </w:rPr>
        <w:t xml:space="preserve"> </w:t>
      </w:r>
      <w:r>
        <w:rPr>
          <w:rFonts w:hint="eastAsia"/>
          <w:sz w:val="24"/>
        </w:rPr>
        <w:t>E40-2007）</w:t>
      </w:r>
    </w:p>
    <w:p>
      <w:pPr>
        <w:pStyle w:val="20"/>
        <w:numPr>
          <w:ilvl w:val="1"/>
          <w:numId w:val="66"/>
        </w:numPr>
        <w:tabs>
          <w:tab w:val="left" w:pos="1041"/>
        </w:tabs>
        <w:spacing w:before="86" w:line="300" w:lineRule="exact"/>
        <w:rPr>
          <w:sz w:val="24"/>
        </w:rPr>
      </w:pPr>
      <w:r>
        <w:rPr>
          <w:rFonts w:hint="eastAsia"/>
          <w:sz w:val="24"/>
        </w:rPr>
        <w:t>《公路工程沥青及沥青混合料试验规程》（JTG</w:t>
      </w:r>
      <w:r>
        <w:rPr>
          <w:rFonts w:hint="eastAsia"/>
          <w:spacing w:val="-2"/>
          <w:sz w:val="24"/>
        </w:rPr>
        <w:t xml:space="preserve"> </w:t>
      </w:r>
      <w:r>
        <w:rPr>
          <w:rFonts w:hint="eastAsia"/>
          <w:sz w:val="24"/>
        </w:rPr>
        <w:t>E20-2011）</w:t>
      </w:r>
    </w:p>
    <w:p>
      <w:pPr>
        <w:pStyle w:val="20"/>
        <w:numPr>
          <w:ilvl w:val="1"/>
          <w:numId w:val="66"/>
        </w:numPr>
        <w:tabs>
          <w:tab w:val="left" w:pos="1161"/>
        </w:tabs>
        <w:spacing w:before="84" w:line="300" w:lineRule="exact"/>
        <w:ind w:left="1161" w:hanging="301"/>
        <w:rPr>
          <w:sz w:val="24"/>
        </w:rPr>
      </w:pPr>
      <w:r>
        <w:rPr>
          <w:rFonts w:hint="eastAsia"/>
          <w:sz w:val="24"/>
        </w:rPr>
        <w:t>《公路工程水泥混凝土试验规程》（JTGE30-2005）</w:t>
      </w:r>
    </w:p>
    <w:p>
      <w:pPr>
        <w:pStyle w:val="20"/>
        <w:numPr>
          <w:ilvl w:val="1"/>
          <w:numId w:val="66"/>
        </w:numPr>
        <w:tabs>
          <w:tab w:val="left" w:pos="1161"/>
        </w:tabs>
        <w:spacing w:before="83" w:line="300" w:lineRule="exact"/>
        <w:ind w:left="1161" w:hanging="301"/>
        <w:rPr>
          <w:sz w:val="24"/>
        </w:rPr>
      </w:pPr>
      <w:r>
        <w:rPr>
          <w:rFonts w:hint="eastAsia"/>
          <w:sz w:val="24"/>
        </w:rPr>
        <w:t>《公路工程岩石试验规程》（JTG</w:t>
      </w:r>
      <w:r>
        <w:rPr>
          <w:rFonts w:hint="eastAsia"/>
          <w:spacing w:val="-2"/>
          <w:sz w:val="24"/>
        </w:rPr>
        <w:t xml:space="preserve"> </w:t>
      </w:r>
      <w:r>
        <w:rPr>
          <w:rFonts w:hint="eastAsia"/>
          <w:sz w:val="24"/>
        </w:rPr>
        <w:t>E41-2005）</w:t>
      </w:r>
    </w:p>
    <w:p>
      <w:pPr>
        <w:pStyle w:val="20"/>
        <w:numPr>
          <w:ilvl w:val="1"/>
          <w:numId w:val="66"/>
        </w:numPr>
        <w:tabs>
          <w:tab w:val="left" w:pos="1161"/>
        </w:tabs>
        <w:spacing w:before="87" w:line="300" w:lineRule="exact"/>
        <w:ind w:left="1161" w:hanging="301"/>
        <w:rPr>
          <w:sz w:val="24"/>
        </w:rPr>
      </w:pPr>
      <w:r>
        <w:rPr>
          <w:rFonts w:hint="eastAsia"/>
          <w:sz w:val="24"/>
        </w:rPr>
        <w:t>《公路工程无机结合料稳定材料试验规程》（JTG</w:t>
      </w:r>
      <w:r>
        <w:rPr>
          <w:rFonts w:hint="eastAsia"/>
          <w:spacing w:val="-2"/>
          <w:sz w:val="24"/>
        </w:rPr>
        <w:t xml:space="preserve"> </w:t>
      </w:r>
      <w:r>
        <w:rPr>
          <w:rFonts w:hint="eastAsia"/>
          <w:sz w:val="24"/>
        </w:rPr>
        <w:t>E51-2009）</w:t>
      </w:r>
    </w:p>
    <w:p>
      <w:pPr>
        <w:pStyle w:val="20"/>
        <w:numPr>
          <w:ilvl w:val="1"/>
          <w:numId w:val="66"/>
        </w:numPr>
        <w:tabs>
          <w:tab w:val="left" w:pos="1161"/>
        </w:tabs>
        <w:spacing w:before="83" w:line="300" w:lineRule="exact"/>
        <w:ind w:left="1161" w:hanging="301"/>
        <w:rPr>
          <w:sz w:val="24"/>
        </w:rPr>
      </w:pPr>
      <w:r>
        <w:rPr>
          <w:rFonts w:hint="eastAsia"/>
          <w:sz w:val="24"/>
        </w:rPr>
        <w:t>《公路工程集料试验规程》（JTG</w:t>
      </w:r>
      <w:r>
        <w:rPr>
          <w:rFonts w:hint="eastAsia"/>
          <w:spacing w:val="-2"/>
          <w:sz w:val="24"/>
        </w:rPr>
        <w:t xml:space="preserve"> </w:t>
      </w:r>
      <w:r>
        <w:rPr>
          <w:rFonts w:hint="eastAsia"/>
          <w:sz w:val="24"/>
        </w:rPr>
        <w:t>E42-2005）</w:t>
      </w:r>
    </w:p>
    <w:p>
      <w:pPr>
        <w:pStyle w:val="20"/>
        <w:numPr>
          <w:ilvl w:val="1"/>
          <w:numId w:val="66"/>
        </w:numPr>
        <w:tabs>
          <w:tab w:val="left" w:pos="1161"/>
        </w:tabs>
        <w:spacing w:before="84" w:line="300" w:lineRule="exact"/>
        <w:ind w:left="1161" w:hanging="301"/>
        <w:rPr>
          <w:sz w:val="24"/>
        </w:rPr>
      </w:pPr>
      <w:r>
        <w:rPr>
          <w:rFonts w:hint="eastAsia"/>
          <w:sz w:val="24"/>
        </w:rPr>
        <w:t>《公路路基路面现场测试规程》（JTG</w:t>
      </w:r>
      <w:r>
        <w:rPr>
          <w:rFonts w:hint="eastAsia"/>
          <w:spacing w:val="-2"/>
          <w:sz w:val="24"/>
        </w:rPr>
        <w:t xml:space="preserve"> </w:t>
      </w:r>
      <w:r>
        <w:rPr>
          <w:rFonts w:hint="eastAsia"/>
          <w:sz w:val="24"/>
        </w:rPr>
        <w:t>3450-2019）</w:t>
      </w:r>
    </w:p>
    <w:p>
      <w:pPr>
        <w:pStyle w:val="20"/>
        <w:numPr>
          <w:ilvl w:val="1"/>
          <w:numId w:val="66"/>
        </w:numPr>
        <w:tabs>
          <w:tab w:val="left" w:pos="1161"/>
        </w:tabs>
        <w:spacing w:before="86" w:line="300" w:lineRule="exact"/>
        <w:ind w:left="1161" w:hanging="301"/>
        <w:rPr>
          <w:sz w:val="24"/>
        </w:rPr>
      </w:pPr>
      <w:r>
        <w:rPr>
          <w:rFonts w:hint="eastAsia"/>
          <w:sz w:val="24"/>
        </w:rPr>
        <w:t>《公路土工合成材料试验规程》（JTG</w:t>
      </w:r>
      <w:r>
        <w:rPr>
          <w:rFonts w:hint="eastAsia"/>
          <w:spacing w:val="-2"/>
          <w:sz w:val="24"/>
        </w:rPr>
        <w:t xml:space="preserve"> </w:t>
      </w:r>
      <w:r>
        <w:rPr>
          <w:rFonts w:hint="eastAsia"/>
          <w:sz w:val="24"/>
        </w:rPr>
        <w:t>E50-2006）</w:t>
      </w:r>
    </w:p>
    <w:p>
      <w:pPr>
        <w:pStyle w:val="20"/>
        <w:numPr>
          <w:ilvl w:val="1"/>
          <w:numId w:val="66"/>
        </w:numPr>
        <w:tabs>
          <w:tab w:val="left" w:pos="1161"/>
        </w:tabs>
        <w:spacing w:before="84" w:line="300" w:lineRule="exact"/>
        <w:ind w:left="1161" w:hanging="301"/>
        <w:rPr>
          <w:sz w:val="24"/>
        </w:rPr>
      </w:pPr>
      <w:r>
        <w:rPr>
          <w:rFonts w:hint="eastAsia"/>
          <w:sz w:val="24"/>
        </w:rPr>
        <w:t>《公路交通安全设施施工技术规范》（JTG</w:t>
      </w:r>
      <w:r>
        <w:rPr>
          <w:rFonts w:hint="eastAsia"/>
          <w:spacing w:val="-2"/>
          <w:sz w:val="24"/>
        </w:rPr>
        <w:t xml:space="preserve"> </w:t>
      </w:r>
      <w:r>
        <w:rPr>
          <w:rFonts w:hint="eastAsia"/>
          <w:sz w:val="24"/>
        </w:rPr>
        <w:t>F71-2006）</w:t>
      </w:r>
    </w:p>
    <w:p>
      <w:pPr>
        <w:pStyle w:val="20"/>
        <w:numPr>
          <w:ilvl w:val="1"/>
          <w:numId w:val="66"/>
        </w:numPr>
        <w:tabs>
          <w:tab w:val="left" w:pos="1161"/>
        </w:tabs>
        <w:spacing w:before="83" w:line="300" w:lineRule="exact"/>
        <w:ind w:left="1161" w:hanging="301"/>
        <w:rPr>
          <w:sz w:val="24"/>
        </w:rPr>
      </w:pPr>
      <w:r>
        <w:rPr>
          <w:rFonts w:hint="eastAsia"/>
          <w:sz w:val="24"/>
        </w:rPr>
        <w:t>《公路工程施工监理规范》（JTG</w:t>
      </w:r>
      <w:r>
        <w:rPr>
          <w:rFonts w:hint="eastAsia"/>
          <w:spacing w:val="-2"/>
          <w:sz w:val="24"/>
        </w:rPr>
        <w:t xml:space="preserve"> </w:t>
      </w:r>
      <w:r>
        <w:rPr>
          <w:rFonts w:hint="eastAsia"/>
          <w:sz w:val="24"/>
        </w:rPr>
        <w:t>G10-2016）</w:t>
      </w:r>
    </w:p>
    <w:p>
      <w:pPr>
        <w:pStyle w:val="20"/>
        <w:numPr>
          <w:ilvl w:val="1"/>
          <w:numId w:val="66"/>
        </w:numPr>
        <w:tabs>
          <w:tab w:val="left" w:pos="1161"/>
        </w:tabs>
        <w:spacing w:before="87" w:line="300" w:lineRule="exact"/>
        <w:ind w:left="1161" w:hanging="301"/>
        <w:rPr>
          <w:sz w:val="24"/>
        </w:rPr>
      </w:pPr>
      <w:r>
        <w:rPr>
          <w:rFonts w:hint="eastAsia"/>
          <w:sz w:val="24"/>
        </w:rPr>
        <w:t>《小交通量农村公路工程技术标准》（JTG</w:t>
      </w:r>
      <w:r>
        <w:rPr>
          <w:rFonts w:hint="eastAsia"/>
          <w:spacing w:val="-2"/>
          <w:sz w:val="24"/>
        </w:rPr>
        <w:t xml:space="preserve"> </w:t>
      </w:r>
      <w:r>
        <w:rPr>
          <w:rFonts w:hint="eastAsia"/>
          <w:sz w:val="24"/>
        </w:rPr>
        <w:t>2111-2019）</w:t>
      </w:r>
    </w:p>
    <w:p>
      <w:pPr>
        <w:pStyle w:val="20"/>
        <w:numPr>
          <w:ilvl w:val="1"/>
          <w:numId w:val="66"/>
        </w:numPr>
        <w:tabs>
          <w:tab w:val="left" w:pos="1161"/>
        </w:tabs>
        <w:spacing w:before="83" w:line="300" w:lineRule="exact"/>
        <w:ind w:left="1161" w:hanging="301"/>
        <w:rPr>
          <w:sz w:val="24"/>
        </w:rPr>
      </w:pPr>
      <w:r>
        <w:rPr>
          <w:rFonts w:hint="eastAsia"/>
          <w:sz w:val="24"/>
        </w:rPr>
        <w:t>《公路工程无结合机料稳定材料试验规程》（JTG</w:t>
      </w:r>
      <w:r>
        <w:rPr>
          <w:rFonts w:hint="eastAsia"/>
          <w:spacing w:val="-2"/>
          <w:sz w:val="24"/>
        </w:rPr>
        <w:t xml:space="preserve"> </w:t>
      </w:r>
      <w:r>
        <w:rPr>
          <w:rFonts w:hint="eastAsia"/>
          <w:sz w:val="24"/>
        </w:rPr>
        <w:t>E51-2009）</w:t>
      </w:r>
    </w:p>
    <w:p>
      <w:pPr>
        <w:pStyle w:val="20"/>
        <w:numPr>
          <w:ilvl w:val="1"/>
          <w:numId w:val="66"/>
        </w:numPr>
        <w:tabs>
          <w:tab w:val="left" w:pos="1161"/>
        </w:tabs>
        <w:spacing w:before="84" w:line="300" w:lineRule="exact"/>
        <w:ind w:left="1161" w:hanging="301"/>
        <w:rPr>
          <w:sz w:val="24"/>
        </w:rPr>
      </w:pPr>
      <w:r>
        <w:rPr>
          <w:rFonts w:hint="eastAsia"/>
          <w:sz w:val="24"/>
        </w:rPr>
        <w:t>《公路水泥混凝土路面施工技术细则》（JTG</w:t>
      </w:r>
      <w:r>
        <w:rPr>
          <w:rFonts w:hint="eastAsia"/>
          <w:spacing w:val="-2"/>
          <w:sz w:val="24"/>
        </w:rPr>
        <w:t xml:space="preserve"> </w:t>
      </w:r>
      <w:r>
        <w:rPr>
          <w:rFonts w:hint="eastAsia"/>
          <w:sz w:val="24"/>
        </w:rPr>
        <w:t>F30-2014）</w:t>
      </w:r>
    </w:p>
    <w:p>
      <w:pPr>
        <w:pStyle w:val="20"/>
        <w:numPr>
          <w:ilvl w:val="1"/>
          <w:numId w:val="66"/>
        </w:numPr>
        <w:tabs>
          <w:tab w:val="left" w:pos="1161"/>
        </w:tabs>
        <w:spacing w:before="86" w:line="300" w:lineRule="exact"/>
        <w:ind w:left="579" w:right="2998" w:firstLine="280"/>
        <w:rPr>
          <w:sz w:val="24"/>
        </w:rPr>
      </w:pPr>
      <w:r>
        <w:rPr>
          <w:rFonts w:hint="eastAsia"/>
          <w:sz w:val="24"/>
        </w:rPr>
        <w:t>《公路工程施工安全技术规范》（JTG</w:t>
      </w:r>
      <w:r>
        <w:rPr>
          <w:rFonts w:hint="eastAsia"/>
          <w:spacing w:val="7"/>
          <w:sz w:val="24"/>
        </w:rPr>
        <w:t xml:space="preserve"> </w:t>
      </w:r>
      <w:r>
        <w:rPr>
          <w:rFonts w:hint="eastAsia"/>
          <w:spacing w:val="-3"/>
          <w:sz w:val="24"/>
        </w:rPr>
        <w:t xml:space="preserve">F902015） </w:t>
      </w:r>
    </w:p>
    <w:p>
      <w:pPr>
        <w:pStyle w:val="20"/>
        <w:numPr>
          <w:ilvl w:val="0"/>
          <w:numId w:val="0"/>
        </w:numPr>
        <w:tabs>
          <w:tab w:val="left" w:pos="1161"/>
        </w:tabs>
        <w:spacing w:before="86" w:line="300" w:lineRule="exact"/>
        <w:ind w:right="2998" w:rightChars="0" w:firstLine="480" w:firstLineChars="200"/>
        <w:rPr>
          <w:sz w:val="24"/>
        </w:rPr>
      </w:pPr>
      <w:r>
        <w:rPr>
          <w:rFonts w:hint="eastAsia"/>
          <w:sz w:val="24"/>
        </w:rPr>
        <w:t>二、相关国标</w:t>
      </w:r>
    </w:p>
    <w:p>
      <w:pPr>
        <w:pStyle w:val="20"/>
        <w:numPr>
          <w:ilvl w:val="0"/>
          <w:numId w:val="67"/>
        </w:numPr>
        <w:tabs>
          <w:tab w:val="left" w:pos="1041"/>
        </w:tabs>
        <w:spacing w:before="5" w:line="300" w:lineRule="exact"/>
        <w:rPr>
          <w:sz w:val="24"/>
        </w:rPr>
      </w:pPr>
      <w:r>
        <w:rPr>
          <w:rFonts w:hint="eastAsia"/>
          <w:spacing w:val="-7"/>
          <w:sz w:val="24"/>
        </w:rPr>
        <w:t xml:space="preserve">《钢筋混凝土用钢 第 </w:t>
      </w:r>
      <w:r>
        <w:rPr>
          <w:rFonts w:hint="eastAsia"/>
          <w:sz w:val="24"/>
        </w:rPr>
        <w:t>1 部分：热轧光圆钢筋》（GB/T</w:t>
      </w:r>
      <w:r>
        <w:rPr>
          <w:rFonts w:hint="eastAsia"/>
          <w:spacing w:val="-1"/>
          <w:sz w:val="24"/>
        </w:rPr>
        <w:t xml:space="preserve"> </w:t>
      </w:r>
      <w:r>
        <w:rPr>
          <w:rFonts w:hint="eastAsia"/>
          <w:sz w:val="24"/>
        </w:rPr>
        <w:t>1499.1-2017）</w:t>
      </w:r>
    </w:p>
    <w:p>
      <w:pPr>
        <w:pStyle w:val="20"/>
        <w:numPr>
          <w:ilvl w:val="0"/>
          <w:numId w:val="67"/>
        </w:numPr>
        <w:tabs>
          <w:tab w:val="left" w:pos="1041"/>
        </w:tabs>
        <w:spacing w:before="83" w:line="300" w:lineRule="exact"/>
        <w:rPr>
          <w:sz w:val="24"/>
        </w:rPr>
      </w:pPr>
      <w:r>
        <w:rPr>
          <w:rFonts w:hint="eastAsia"/>
          <w:spacing w:val="-7"/>
          <w:sz w:val="24"/>
        </w:rPr>
        <w:t xml:space="preserve">《钢筋混凝土用钢 第 </w:t>
      </w:r>
      <w:r>
        <w:rPr>
          <w:rFonts w:hint="eastAsia"/>
          <w:sz w:val="24"/>
        </w:rPr>
        <w:t>2 部分：热轧带肋钢筋》（GB/T</w:t>
      </w:r>
      <w:r>
        <w:rPr>
          <w:rFonts w:hint="eastAsia"/>
          <w:spacing w:val="-1"/>
          <w:sz w:val="24"/>
        </w:rPr>
        <w:t xml:space="preserve"> </w:t>
      </w:r>
      <w:r>
        <w:rPr>
          <w:rFonts w:hint="eastAsia"/>
          <w:sz w:val="24"/>
        </w:rPr>
        <w:t>1499.2-2018）</w:t>
      </w:r>
    </w:p>
    <w:p>
      <w:pPr>
        <w:pStyle w:val="20"/>
        <w:numPr>
          <w:ilvl w:val="0"/>
          <w:numId w:val="67"/>
        </w:numPr>
        <w:tabs>
          <w:tab w:val="left" w:pos="1041"/>
        </w:tabs>
        <w:spacing w:before="87" w:line="300" w:lineRule="exact"/>
        <w:rPr>
          <w:sz w:val="24"/>
        </w:rPr>
      </w:pPr>
      <w:r>
        <w:rPr>
          <w:rFonts w:hint="eastAsia"/>
          <w:sz w:val="24"/>
        </w:rPr>
        <w:t>《道路工程制图标准》（GB50162-92）</w:t>
      </w:r>
    </w:p>
    <w:p>
      <w:pPr>
        <w:pStyle w:val="20"/>
        <w:numPr>
          <w:ilvl w:val="0"/>
          <w:numId w:val="67"/>
        </w:numPr>
        <w:tabs>
          <w:tab w:val="left" w:pos="1041"/>
        </w:tabs>
        <w:spacing w:before="83" w:line="300" w:lineRule="exact"/>
        <w:ind w:left="579" w:right="4479" w:firstLine="280"/>
        <w:rPr>
          <w:sz w:val="24"/>
        </w:rPr>
      </w:pPr>
      <w:r>
        <w:rPr>
          <w:rFonts w:hint="eastAsia"/>
          <w:sz w:val="24"/>
        </w:rPr>
        <w:t>《普通螺纹公差》(GB/T</w:t>
      </w:r>
      <w:r>
        <w:rPr>
          <w:rFonts w:hint="eastAsia"/>
          <w:spacing w:val="2"/>
          <w:sz w:val="24"/>
        </w:rPr>
        <w:t xml:space="preserve"> </w:t>
      </w:r>
      <w:r>
        <w:rPr>
          <w:rFonts w:hint="eastAsia"/>
          <w:spacing w:val="-3"/>
          <w:sz w:val="24"/>
        </w:rPr>
        <w:t>197</w:t>
      </w:r>
      <w:r>
        <w:rPr>
          <w:rFonts w:hint="eastAsia"/>
          <w:spacing w:val="-3"/>
          <w:sz w:val="24"/>
          <w:lang w:val="en-US"/>
        </w:rPr>
        <w:t>-</w:t>
      </w:r>
      <w:r>
        <w:rPr>
          <w:rFonts w:hint="eastAsia"/>
          <w:spacing w:val="-3"/>
          <w:sz w:val="24"/>
        </w:rPr>
        <w:t>2018）</w:t>
      </w:r>
    </w:p>
    <w:p>
      <w:pPr>
        <w:pStyle w:val="20"/>
        <w:numPr>
          <w:ilvl w:val="0"/>
          <w:numId w:val="0"/>
        </w:numPr>
        <w:tabs>
          <w:tab w:val="left" w:pos="1041"/>
        </w:tabs>
        <w:spacing w:before="83" w:line="300" w:lineRule="exact"/>
        <w:ind w:right="4479" w:rightChars="0" w:firstLine="468" w:firstLineChars="200"/>
        <w:rPr>
          <w:sz w:val="24"/>
        </w:rPr>
      </w:pPr>
      <w:r>
        <w:rPr>
          <w:rFonts w:hint="eastAsia"/>
          <w:spacing w:val="-3"/>
          <w:sz w:val="24"/>
        </w:rPr>
        <w:t xml:space="preserve"> </w:t>
      </w:r>
      <w:r>
        <w:rPr>
          <w:rFonts w:hint="eastAsia"/>
          <w:sz w:val="24"/>
        </w:rPr>
        <w:t>三、相关地方行业标准规范、</w:t>
      </w:r>
      <w:r>
        <w:rPr>
          <w:rFonts w:hint="eastAsia"/>
          <w:sz w:val="24"/>
          <w:lang w:val="en-US"/>
        </w:rPr>
        <w:t>规</w:t>
      </w:r>
      <w:r>
        <w:rPr>
          <w:rFonts w:hint="eastAsia"/>
          <w:sz w:val="24"/>
        </w:rPr>
        <w:t>定</w:t>
      </w:r>
    </w:p>
    <w:p>
      <w:pPr>
        <w:pStyle w:val="20"/>
        <w:numPr>
          <w:ilvl w:val="0"/>
          <w:numId w:val="68"/>
        </w:numPr>
        <w:tabs>
          <w:tab w:val="left" w:pos="1041"/>
        </w:tabs>
        <w:spacing w:before="7" w:line="300" w:lineRule="exact"/>
        <w:rPr>
          <w:sz w:val="24"/>
        </w:rPr>
      </w:pPr>
      <w:r>
        <w:rPr>
          <w:rFonts w:hint="eastAsia"/>
          <w:sz w:val="24"/>
        </w:rPr>
        <w:t>《交通建设项目竣工档案编制办法》（新交办〔2009〕83 号）</w:t>
      </w:r>
    </w:p>
    <w:p>
      <w:pPr>
        <w:pStyle w:val="20"/>
        <w:numPr>
          <w:ilvl w:val="0"/>
          <w:numId w:val="68"/>
        </w:numPr>
        <w:tabs>
          <w:tab w:val="left" w:pos="1041"/>
        </w:tabs>
        <w:spacing w:before="64" w:line="300" w:lineRule="exact"/>
        <w:jc w:val="both"/>
        <w:rPr>
          <w:sz w:val="24"/>
        </w:rPr>
      </w:pPr>
      <w:r>
        <w:rPr>
          <w:rFonts w:hint="eastAsia"/>
          <w:sz w:val="24"/>
        </w:rPr>
        <w:t>新疆盐渍土地区公路路基路面设计与施工规范（XJT</w:t>
      </w:r>
      <w:r>
        <w:rPr>
          <w:rFonts w:hint="eastAsia"/>
          <w:spacing w:val="-3"/>
          <w:sz w:val="24"/>
        </w:rPr>
        <w:t xml:space="preserve"> </w:t>
      </w:r>
      <w:r>
        <w:rPr>
          <w:rFonts w:hint="eastAsia"/>
          <w:sz w:val="24"/>
        </w:rPr>
        <w:t>J01-2001）</w:t>
      </w:r>
    </w:p>
    <w:p>
      <w:pPr>
        <w:pStyle w:val="10"/>
        <w:spacing w:before="124" w:line="300" w:lineRule="exact"/>
        <w:ind w:left="380" w:right="718" w:firstLine="199"/>
        <w:jc w:val="both"/>
      </w:pPr>
      <w:bookmarkStart w:id="84" w:name="注：技术规范包括但不限于上述标准、规范。在投标文件递交截止时间前与本工程相关的标"/>
      <w:bookmarkEnd w:id="84"/>
      <w:r>
        <w:rPr>
          <w:rFonts w:hint="eastAsia"/>
          <w:spacing w:val="-8"/>
        </w:rPr>
        <w:t>注：技术规范包括但不限于上述标准、规范。在投标文件递交截止时间前与本</w:t>
      </w:r>
      <w:r>
        <w:rPr>
          <w:rFonts w:hint="eastAsia"/>
          <w:spacing w:val="-2"/>
        </w:rPr>
        <w:t>工程相关的标准或规范如果有修改或新颁</w:t>
      </w:r>
      <w:r>
        <w:rPr>
          <w:rFonts w:hint="eastAsia"/>
        </w:rPr>
        <w:t>（无论招标文件中是否引用</w:t>
      </w:r>
      <w:r>
        <w:rPr>
          <w:rFonts w:hint="eastAsia"/>
          <w:spacing w:val="-32"/>
        </w:rPr>
        <w:t>）</w:t>
      </w:r>
      <w:r>
        <w:rPr>
          <w:rFonts w:hint="eastAsia"/>
          <w:spacing w:val="-13"/>
        </w:rPr>
        <w:t>，则按新</w:t>
      </w:r>
      <w:r>
        <w:rPr>
          <w:rFonts w:hint="eastAsia"/>
          <w:spacing w:val="-9"/>
        </w:rPr>
        <w:t>标准或规范执行，相关费用视为已包含在相关工程子目的单价或总额价中，不另</w:t>
      </w:r>
      <w:r>
        <w:rPr>
          <w:rFonts w:hint="eastAsia"/>
        </w:rPr>
        <w:t>行计量与支付。</w:t>
      </w:r>
    </w:p>
    <w:p>
      <w:pPr>
        <w:spacing w:line="343" w:lineRule="auto"/>
        <w:jc w:val="both"/>
        <w:sectPr>
          <w:headerReference r:id="rId19" w:type="default"/>
          <w:pgSz w:w="11910" w:h="16840"/>
          <w:pgMar w:top="1440" w:right="1079" w:bottom="1040" w:left="1420" w:header="882" w:footer="845" w:gutter="0"/>
          <w:cols w:space="720" w:num="1"/>
        </w:sectPr>
      </w:pPr>
    </w:p>
    <w:p>
      <w:pPr>
        <w:pStyle w:val="4"/>
        <w:numPr>
          <w:ilvl w:val="0"/>
          <w:numId w:val="69"/>
        </w:numPr>
        <w:tabs>
          <w:tab w:val="left" w:pos="1852"/>
        </w:tabs>
        <w:spacing w:before="183"/>
        <w:rPr>
          <w:rFonts w:hint="eastAsia"/>
          <w:sz w:val="30"/>
          <w:szCs w:val="30"/>
        </w:rPr>
      </w:pPr>
      <w:r>
        <w:rPr>
          <w:rFonts w:hint="eastAsia"/>
          <w:sz w:val="30"/>
          <w:szCs w:val="30"/>
          <w:lang w:val="en-US" w:eastAsia="zh-CN"/>
        </w:rPr>
        <w:t xml:space="preserve"> </w:t>
      </w:r>
      <w:r>
        <w:rPr>
          <w:rFonts w:hint="eastAsia"/>
          <w:sz w:val="30"/>
          <w:szCs w:val="30"/>
        </w:rPr>
        <w:t>工程量清单计量规则</w:t>
      </w:r>
    </w:p>
    <w:p>
      <w:pPr>
        <w:widowControl w:val="0"/>
        <w:numPr>
          <w:ilvl w:val="0"/>
          <w:numId w:val="0"/>
        </w:numPr>
        <w:autoSpaceDE w:val="0"/>
        <w:autoSpaceDN w:val="0"/>
      </w:pPr>
    </w:p>
    <w:p>
      <w:pPr>
        <w:spacing w:line="347" w:lineRule="exact"/>
        <w:jc w:val="center"/>
        <w:rPr>
          <w:b/>
          <w:bCs/>
          <w:sz w:val="28"/>
          <w:szCs w:val="28"/>
        </w:rPr>
      </w:pPr>
      <w:r>
        <w:rPr>
          <w:b/>
          <w:bCs/>
          <w:sz w:val="28"/>
          <w:szCs w:val="28"/>
        </w:rPr>
        <w:t>一、说明</w:t>
      </w:r>
    </w:p>
    <w:p>
      <w:pPr>
        <w:pStyle w:val="10"/>
        <w:spacing w:before="12" w:line="360" w:lineRule="auto"/>
      </w:pPr>
      <w:r>
        <w:t>1.  一般要求</w:t>
      </w:r>
    </w:p>
    <w:p>
      <w:pPr>
        <w:pStyle w:val="10"/>
        <w:spacing w:before="12" w:line="360" w:lineRule="auto"/>
      </w:pPr>
      <w:r>
        <w:t>(1)本计量规则各章节是按第五章“工程量清单”的相应章节编号的，因此，各章</w:t>
      </w:r>
    </w:p>
    <w:p>
      <w:pPr>
        <w:pStyle w:val="10"/>
        <w:spacing w:before="12" w:line="360" w:lineRule="auto"/>
      </w:pPr>
      <w:r>
        <w:t>节工程子目的工程量计量规则与工程量清单中相对应的工程子目的“子目号”、“子目</w:t>
      </w:r>
    </w:p>
    <w:p>
      <w:pPr>
        <w:pStyle w:val="10"/>
        <w:spacing w:before="12" w:line="360" w:lineRule="auto"/>
      </w:pPr>
      <w:r>
        <w:t>名称”、“单位”一致，“工程量计量”、“工程内容”是相应的工程子目的计量依据。</w:t>
      </w:r>
    </w:p>
    <w:p>
      <w:pPr>
        <w:pStyle w:val="10"/>
        <w:spacing w:before="12" w:line="360" w:lineRule="auto"/>
      </w:pPr>
      <w:r>
        <w:t>(2)本规则所有工程项目，除个别注明者外，均采用我国法定的计量单位，即</w:t>
      </w:r>
    </w:p>
    <w:p>
      <w:pPr>
        <w:pStyle w:val="10"/>
        <w:spacing w:before="12" w:line="360" w:lineRule="auto"/>
      </w:pPr>
      <w:r>
        <w:t>国际单位及国际单位制导出的辅助单位进行计量。</w:t>
      </w:r>
    </w:p>
    <w:p>
      <w:pPr>
        <w:pStyle w:val="10"/>
        <w:spacing w:before="12" w:line="360" w:lineRule="auto"/>
      </w:pPr>
      <w:r>
        <w:t>(3)本规则的计量与支付，应与合同条款、工程量清单以及图纸同时阅读，工</w:t>
      </w:r>
    </w:p>
    <w:p>
      <w:pPr>
        <w:pStyle w:val="10"/>
        <w:spacing w:before="12" w:line="360" w:lineRule="auto"/>
      </w:pPr>
      <w:r>
        <w:t>程量清单中的支付项目号和本规则的章节编号是一致的。</w:t>
      </w:r>
    </w:p>
    <w:p>
      <w:pPr>
        <w:pStyle w:val="10"/>
        <w:spacing w:before="12" w:line="360" w:lineRule="auto"/>
      </w:pPr>
      <w:r>
        <w:t>(4)任何工程项目的计量，均应按本规则规定或监理人书面指示进行。</w:t>
      </w:r>
    </w:p>
    <w:p>
      <w:pPr>
        <w:pStyle w:val="10"/>
        <w:spacing w:before="12" w:line="360" w:lineRule="auto"/>
      </w:pPr>
      <w:r>
        <w:t>(5)按合同提供的材料数量和完成的工程数量所采用的测量与计算方法，应符</w:t>
      </w:r>
    </w:p>
    <w:p>
      <w:pPr>
        <w:pStyle w:val="10"/>
        <w:spacing w:before="12" w:line="360" w:lineRule="auto"/>
      </w:pPr>
      <w:r>
        <w:t>合本规则规定。所有这些方法，应经监理人批准或指示。承包人应提供一切计量设</w:t>
      </w:r>
    </w:p>
    <w:p>
      <w:pPr>
        <w:pStyle w:val="10"/>
        <w:spacing w:before="12" w:line="360" w:lineRule="auto"/>
      </w:pPr>
      <w:r>
        <w:t>备和条件，并保证其设备精度符合要求。</w:t>
      </w:r>
    </w:p>
    <w:p>
      <w:pPr>
        <w:pStyle w:val="10"/>
        <w:spacing w:before="12" w:line="360" w:lineRule="auto"/>
      </w:pPr>
      <w:r>
        <w:t>(6)除非监理人另有准许，一切计量工作都应在监理人在场情况下，由承包人</w:t>
      </w:r>
    </w:p>
    <w:p>
      <w:pPr>
        <w:pStyle w:val="10"/>
        <w:spacing w:before="12" w:line="360" w:lineRule="auto"/>
      </w:pPr>
      <w:r>
        <w:t>测量、记录。有承包人签名的计量记录原本，应提交给监理人审查和保存。</w:t>
      </w:r>
    </w:p>
    <w:p>
      <w:pPr>
        <w:pStyle w:val="10"/>
        <w:spacing w:before="12" w:line="360" w:lineRule="auto"/>
      </w:pPr>
      <w:r>
        <w:t>(7)工程量应由承包人计算，由监理人审核。工程量计算的副本应提交给监理</w:t>
      </w:r>
    </w:p>
    <w:p>
      <w:pPr>
        <w:pStyle w:val="10"/>
        <w:spacing w:before="12" w:line="360" w:lineRule="auto"/>
      </w:pPr>
      <w:r>
        <w:t>人并由监理人保存。</w:t>
      </w:r>
    </w:p>
    <w:p>
      <w:pPr>
        <w:pStyle w:val="10"/>
        <w:spacing w:before="12" w:line="360" w:lineRule="auto"/>
      </w:pPr>
      <w:r>
        <w:t>(8)除合同特殊约定单独计量之外，全部必需的模板、脚手架、装备、机具、</w:t>
      </w:r>
    </w:p>
    <w:p>
      <w:pPr>
        <w:pStyle w:val="10"/>
        <w:spacing w:before="12" w:line="360" w:lineRule="auto"/>
      </w:pPr>
      <w:r>
        <w:t>螺栓、垫圈和钢制件等其他材料，应包括在工程量清单中所列的有关支付项目中，均不单独计量。</w:t>
      </w:r>
    </w:p>
    <w:p>
      <w:pPr>
        <w:pStyle w:val="10"/>
        <w:spacing w:before="12" w:line="360" w:lineRule="auto"/>
      </w:pPr>
      <w:r>
        <w:t>(9)除监理人另有批准外，凡超过图纸所示的面积或体积，都不予计量与支付。</w:t>
      </w:r>
    </w:p>
    <w:p>
      <w:pPr>
        <w:pStyle w:val="10"/>
        <w:spacing w:before="12" w:line="360" w:lineRule="auto"/>
      </w:pPr>
      <w:r>
        <w:t>(10)承包人应严格标准计量基础工作和材料采购检验工作。沥青混凝土、沥青</w:t>
      </w:r>
    </w:p>
    <w:p>
      <w:pPr>
        <w:pStyle w:val="10"/>
        <w:spacing w:before="12" w:line="360" w:lineRule="auto"/>
      </w:pPr>
      <w:r>
        <w:t>碎石、水泥混凝土、高强度等级水泥砂浆的施工现场必须使用电子计量设备称重。</w:t>
      </w:r>
    </w:p>
    <w:p>
      <w:pPr>
        <w:pStyle w:val="10"/>
        <w:spacing w:before="12" w:line="360" w:lineRule="auto"/>
      </w:pPr>
      <w:r>
        <w:t>因不符合计量规定引发质量问题，所发生的费用由承包人承担。</w:t>
      </w:r>
    </w:p>
    <w:p>
      <w:pPr>
        <w:pStyle w:val="10"/>
        <w:spacing w:before="12" w:line="360" w:lineRule="auto"/>
      </w:pPr>
      <w:r>
        <w:t>2.  质量</w:t>
      </w:r>
    </w:p>
    <w:p>
      <w:pPr>
        <w:pStyle w:val="10"/>
        <w:spacing w:before="12" w:line="360" w:lineRule="auto"/>
      </w:pPr>
      <w:r>
        <w:t>(1)凡以质量计量或以质量作为配合比设计的材料，都应在精确与批准的磅秤</w:t>
      </w:r>
    </w:p>
    <w:p>
      <w:pPr>
        <w:pStyle w:val="10"/>
        <w:spacing w:before="12" w:line="360" w:lineRule="auto"/>
      </w:pPr>
      <w:r>
        <w:t>上，由称职合格的人员在监理人指定或批准的地点进行称重。</w:t>
      </w:r>
    </w:p>
    <w:p>
      <w:pPr>
        <w:pStyle w:val="10"/>
        <w:spacing w:before="12" w:line="360" w:lineRule="auto"/>
      </w:pPr>
      <w:r>
        <w:t>(2)称重计量时应满足以下条件：监理人在场；称重记录；载明包装材料、支撑装置、垫块、捆束物等质量的说明书在称重前提交给监理人作为依据。</w:t>
      </w:r>
    </w:p>
    <w:p>
      <w:pPr>
        <w:pStyle w:val="10"/>
        <w:spacing w:before="12" w:line="360" w:lineRule="auto"/>
      </w:pPr>
      <w:r>
        <w:t>(3)钢筋、钢板或型钢计量时，应按图纸或其他资料标示的尺寸和净长计算。搭接、接头套筒、焊接材料、下脚料和固定、定位架立钢筋等，则不予另行计量。钢筋、钢板或型钢应以千克计量，四舍五入，不计小数。钢筋、钢板或型钢由于理论单位质量与实际单位质量的差异而引起材料质量与数量不相匹配的情况，计量时不予考虑。</w:t>
      </w:r>
    </w:p>
    <w:p>
      <w:pPr>
        <w:pStyle w:val="10"/>
        <w:spacing w:before="12" w:line="360" w:lineRule="auto"/>
      </w:pPr>
      <w:r>
        <w:t>(4)金属材料的质量不得包括施工需要加放或使用的灰浆、楔块、填缝料、垫衬物、油料、接缝料、焊条、涂敷料等质量。</w:t>
      </w:r>
    </w:p>
    <w:p>
      <w:pPr>
        <w:pStyle w:val="10"/>
        <w:spacing w:before="12" w:line="360" w:lineRule="auto"/>
      </w:pPr>
      <w:r>
        <w:t>(5)承运按质量计量的材料的货车，应每天在监理人指定的时间和地点称出空</w:t>
      </w:r>
    </w:p>
    <w:p>
      <w:pPr>
        <w:pStyle w:val="10"/>
        <w:spacing w:before="12" w:line="360" w:lineRule="auto"/>
      </w:pPr>
      <w:r>
        <w:t>车质量，每辆货车还应标示清晰易辨的标记。</w:t>
      </w:r>
    </w:p>
    <w:p>
      <w:pPr>
        <w:pStyle w:val="10"/>
        <w:spacing w:before="12" w:line="360" w:lineRule="auto"/>
      </w:pPr>
      <w:r>
        <w:t>(6)对有规定标准的项目，例如钢筋、金属线、钢板、型钢、管材等，均有规定的规格、质量、截面尺寸等指标，这类指标应视为通常的质量或尺寸；除非引用规范中的允许偏差值加以控制，否则可用制造商的允许偏差。</w:t>
      </w:r>
    </w:p>
    <w:p>
      <w:pPr>
        <w:pStyle w:val="10"/>
        <w:spacing w:before="12" w:line="360" w:lineRule="auto"/>
      </w:pPr>
      <w:r>
        <w:t>3.  面积</w:t>
      </w:r>
    </w:p>
    <w:p>
      <w:pPr>
        <w:pStyle w:val="10"/>
        <w:spacing w:before="12" w:line="360" w:lineRule="auto"/>
      </w:pPr>
      <w:r>
        <w:t>除非另有规定，计算面积时，其长、宽应按图纸所示尺寸线或按监理人指示计量。对于面积在1m2以下的固定物(如检查井等)不予扣除。</w:t>
      </w:r>
    </w:p>
    <w:p>
      <w:pPr>
        <w:pStyle w:val="10"/>
        <w:spacing w:before="12" w:line="360" w:lineRule="auto"/>
      </w:pPr>
      <w:r>
        <w:t>4.  结构物</w:t>
      </w:r>
    </w:p>
    <w:p>
      <w:pPr>
        <w:pStyle w:val="10"/>
        <w:spacing w:before="12" w:line="360" w:lineRule="auto"/>
      </w:pPr>
      <w:r>
        <w:t>(1)结构物应按图纸所示净尺寸线，或根据监理人指示修改的尺寸线计量。</w:t>
      </w:r>
    </w:p>
    <w:p>
      <w:pPr>
        <w:pStyle w:val="10"/>
        <w:spacing w:before="12" w:line="360" w:lineRule="auto"/>
      </w:pPr>
      <w:r>
        <w:t>(2)水泥混凝土的计量应按监理人认可的并已完工工程的净尺寸计算，钢筋的体积不扣除，倒角不超过0.15m×0.15m时不扣除，体积不超过0.03m3的开孔及开口不扣除，面积不超过0.15m×0.15m的填角部分也不增加。</w:t>
      </w:r>
    </w:p>
    <w:p>
      <w:pPr>
        <w:pStyle w:val="10"/>
        <w:spacing w:before="12" w:line="360" w:lineRule="auto"/>
      </w:pPr>
      <w:r>
        <w:t>(3)所有以米计量的结构物(如管涵等)，除非图纸另有表示，应按平行于该结构</w:t>
      </w:r>
    </w:p>
    <w:p>
      <w:pPr>
        <w:pStyle w:val="10"/>
        <w:spacing w:before="12" w:line="360" w:lineRule="auto"/>
      </w:pPr>
      <w:r>
        <w:t>物位置的基面或基础的中心方向计量。</w:t>
      </w:r>
    </w:p>
    <w:p>
      <w:pPr>
        <w:pStyle w:val="10"/>
        <w:spacing w:before="12" w:line="360" w:lineRule="auto"/>
      </w:pPr>
      <w:r>
        <w:t>5.  土方</w:t>
      </w:r>
    </w:p>
    <w:p>
      <w:pPr>
        <w:pStyle w:val="10"/>
        <w:spacing w:before="12" w:line="360" w:lineRule="auto"/>
      </w:pPr>
      <w:r>
        <w:t>(1)土方体积可采用平均断面积法计算，但与似棱体公式(prismoidal formula)计算结果比较，如果误差超过±5%时，监理人可指示采用似棱体公式。</w:t>
      </w:r>
    </w:p>
    <w:p>
      <w:pPr>
        <w:pStyle w:val="10"/>
        <w:spacing w:before="12" w:line="360" w:lineRule="auto"/>
      </w:pPr>
      <w:r>
        <w:t>(2)各种不同类别的挖方与填方计量，应以图纸所示界线为限，而且应在批准的横断面图上标明。</w:t>
      </w:r>
    </w:p>
    <w:p>
      <w:pPr>
        <w:pStyle w:val="10"/>
        <w:spacing w:before="12" w:line="360" w:lineRule="auto"/>
      </w:pPr>
      <w:r>
        <w:t>(3)用于填方的土方量，应按压实后的纵断面高程和路床面为准来计量。承包人报价时，应考虑在挖方或运输过程中引起的体积差。</w:t>
      </w:r>
    </w:p>
    <w:p>
      <w:pPr>
        <w:pStyle w:val="10"/>
        <w:spacing w:before="12" w:line="360" w:lineRule="auto"/>
      </w:pPr>
      <w:r>
        <w:t>(4)在现场钉桩后56d内，承包人应将设计和进场复测的土方横断面图连同土方的面积与体积计算表一并提交监理人批准。所有横断面图都应标有图题框，其大小由监理人指定。一旦横断面图得到最后批准，承包人应交给监理人原版图及三份复制图。</w:t>
      </w:r>
    </w:p>
    <w:p>
      <w:pPr>
        <w:pStyle w:val="10"/>
        <w:spacing w:before="12" w:line="360" w:lineRule="auto"/>
      </w:pPr>
      <w:r>
        <w:t>6.  运输车辆体积</w:t>
      </w:r>
    </w:p>
    <w:p>
      <w:pPr>
        <w:pStyle w:val="10"/>
        <w:spacing w:before="12" w:line="360" w:lineRule="auto"/>
      </w:pPr>
      <w:r>
        <w:t>(1)用体积计量的材料，应以经监理人批准的车辆装运，并在运到地点进行计量。</w:t>
      </w:r>
    </w:p>
    <w:p>
      <w:pPr>
        <w:pStyle w:val="11"/>
        <w:spacing w:line="360" w:lineRule="auto"/>
        <w:ind w:left="0"/>
        <w:rPr>
          <w:rFonts w:ascii="宋体"/>
          <w:sz w:val="24"/>
          <w:szCs w:val="24"/>
        </w:rPr>
      </w:pPr>
      <w:r>
        <w:rPr>
          <w:rFonts w:ascii="宋体"/>
          <w:sz w:val="24"/>
          <w:szCs w:val="24"/>
        </w:rPr>
        <w:t>(2)用于体积运输的车辆，其车厢的形状和尺寸应使其容量能够容易而准确地测定并应保证精确度。每辆车都应有明显标记。每车所运材料的体积应于事前由监理人与承包人相互达成书面协议。</w:t>
      </w:r>
    </w:p>
    <w:p>
      <w:pPr>
        <w:pStyle w:val="11"/>
        <w:spacing w:line="360" w:lineRule="auto"/>
        <w:ind w:left="0"/>
        <w:rPr>
          <w:rFonts w:ascii="宋体"/>
          <w:sz w:val="24"/>
          <w:szCs w:val="24"/>
        </w:rPr>
      </w:pPr>
      <w:r>
        <w:rPr>
          <w:rFonts w:ascii="宋体"/>
          <w:sz w:val="24"/>
          <w:szCs w:val="24"/>
        </w:rPr>
        <w:t>(3)所有车辆都应装载成水平容积高度，车辆到达送货点时，监理人可以要求将其装载物重新整平，对超过定量运送的材料将不支付。运量达不到定量的车辆，应被拒绝或按监理人确定减少的体积接收。根据监理人的指示，承包人应在货物交付点，随机将一车材料刮平，在刮平后如发现货车运送的材料少于定量时，从前一车起所有运到的材料的计量都按同样比率减为目前的车载量。</w:t>
      </w:r>
    </w:p>
    <w:p>
      <w:pPr>
        <w:pStyle w:val="11"/>
        <w:spacing w:line="360" w:lineRule="auto"/>
        <w:ind w:left="0"/>
        <w:rPr>
          <w:rFonts w:ascii="宋体"/>
          <w:sz w:val="24"/>
          <w:szCs w:val="24"/>
        </w:rPr>
      </w:pPr>
      <w:r>
        <w:rPr>
          <w:rFonts w:ascii="宋体"/>
          <w:sz w:val="24"/>
          <w:szCs w:val="24"/>
        </w:rPr>
        <w:t>7.  质量与体积换算</w:t>
      </w:r>
    </w:p>
    <w:p>
      <w:pPr>
        <w:pStyle w:val="11"/>
        <w:spacing w:line="360" w:lineRule="auto"/>
        <w:ind w:left="0"/>
        <w:rPr>
          <w:rFonts w:ascii="宋体"/>
          <w:sz w:val="24"/>
          <w:szCs w:val="24"/>
        </w:rPr>
      </w:pPr>
      <w:r>
        <w:rPr>
          <w:rFonts w:ascii="宋体"/>
          <w:sz w:val="24"/>
          <w:szCs w:val="24"/>
        </w:rPr>
        <w:t>(1)如承包人提出要求并得到监理人的书面批准，已规定要用立方米计量的材料可以称重，并将此质量换算为立方米计量。</w:t>
      </w:r>
    </w:p>
    <w:p>
      <w:pPr>
        <w:pStyle w:val="11"/>
        <w:spacing w:line="360" w:lineRule="auto"/>
        <w:ind w:left="0"/>
        <w:rPr>
          <w:rFonts w:ascii="宋体"/>
          <w:sz w:val="24"/>
          <w:szCs w:val="24"/>
        </w:rPr>
      </w:pPr>
      <w:r>
        <w:rPr>
          <w:rFonts w:ascii="宋体"/>
          <w:sz w:val="24"/>
          <w:szCs w:val="24"/>
        </w:rPr>
        <w:t>(2)将质量计量换算为体积计量的换算系数应由监理人确定，并应在此种计量方法使用之前征得承包人的同意。</w:t>
      </w:r>
    </w:p>
    <w:p>
      <w:pPr>
        <w:pStyle w:val="11"/>
        <w:spacing w:line="360" w:lineRule="auto"/>
        <w:ind w:left="0"/>
        <w:rPr>
          <w:rFonts w:ascii="宋体"/>
          <w:sz w:val="24"/>
          <w:szCs w:val="24"/>
        </w:rPr>
      </w:pPr>
      <w:r>
        <w:rPr>
          <w:rFonts w:ascii="宋体"/>
          <w:sz w:val="24"/>
          <w:szCs w:val="24"/>
        </w:rPr>
        <w:t>8.  沥青和水泥</w:t>
      </w:r>
    </w:p>
    <w:p>
      <w:pPr>
        <w:pStyle w:val="11"/>
        <w:spacing w:line="360" w:lineRule="auto"/>
        <w:ind w:left="0"/>
        <w:rPr>
          <w:rFonts w:ascii="宋体"/>
          <w:sz w:val="24"/>
          <w:szCs w:val="24"/>
        </w:rPr>
      </w:pPr>
      <w:r>
        <w:rPr>
          <w:rFonts w:ascii="宋体"/>
          <w:sz w:val="24"/>
          <w:szCs w:val="24"/>
        </w:rPr>
        <w:t>(1)沥青和水泥应以千克为单位计量。</w:t>
      </w:r>
    </w:p>
    <w:p>
      <w:pPr>
        <w:pStyle w:val="11"/>
        <w:spacing w:line="360" w:lineRule="auto"/>
        <w:ind w:left="0"/>
        <w:rPr>
          <w:rFonts w:ascii="宋体"/>
          <w:sz w:val="24"/>
          <w:szCs w:val="24"/>
        </w:rPr>
      </w:pPr>
      <w:r>
        <w:rPr>
          <w:rFonts w:ascii="宋体"/>
          <w:sz w:val="24"/>
          <w:szCs w:val="24"/>
        </w:rPr>
        <w:t>(2)如用货车或其他运输工具装运沥青材料，可以按经过检定的质量或体积计算沥青材料的数量，但要对漏失量或泡沫进行校正。</w:t>
      </w:r>
    </w:p>
    <w:p>
      <w:pPr>
        <w:pStyle w:val="11"/>
        <w:spacing w:line="360" w:lineRule="auto"/>
        <w:ind w:left="0"/>
        <w:rPr>
          <w:rFonts w:ascii="宋体"/>
          <w:sz w:val="24"/>
          <w:szCs w:val="24"/>
        </w:rPr>
      </w:pPr>
      <w:r>
        <w:rPr>
          <w:rFonts w:ascii="宋体"/>
          <w:sz w:val="24"/>
          <w:szCs w:val="24"/>
        </w:rPr>
        <w:t>(3)水泥可以以袋作为计量的依据，但一袋的标准应为50kg。散装水泥应称重</w:t>
      </w:r>
    </w:p>
    <w:p>
      <w:pPr>
        <w:pStyle w:val="11"/>
        <w:spacing w:line="360" w:lineRule="auto"/>
        <w:ind w:left="0"/>
        <w:rPr>
          <w:rFonts w:ascii="宋体"/>
          <w:sz w:val="24"/>
          <w:szCs w:val="24"/>
        </w:rPr>
      </w:pPr>
      <w:r>
        <w:rPr>
          <w:rFonts w:ascii="宋体"/>
          <w:sz w:val="24"/>
          <w:szCs w:val="24"/>
        </w:rPr>
        <w:t>计量。</w:t>
      </w:r>
    </w:p>
    <w:p>
      <w:pPr>
        <w:pStyle w:val="11"/>
        <w:spacing w:line="360" w:lineRule="auto"/>
        <w:ind w:left="0"/>
        <w:rPr>
          <w:rFonts w:ascii="宋体"/>
          <w:sz w:val="24"/>
          <w:szCs w:val="24"/>
        </w:rPr>
      </w:pPr>
      <w:r>
        <w:rPr>
          <w:rFonts w:ascii="宋体"/>
          <w:sz w:val="24"/>
          <w:szCs w:val="24"/>
        </w:rPr>
        <w:t>9. </w:t>
      </w:r>
      <w:r>
        <w:rPr>
          <w:rFonts w:hint="eastAsia" w:ascii="宋体"/>
          <w:sz w:val="24"/>
          <w:szCs w:val="24"/>
          <w:lang w:val="en-US"/>
        </w:rPr>
        <w:t xml:space="preserve"> </w:t>
      </w:r>
      <w:r>
        <w:rPr>
          <w:rFonts w:ascii="宋体"/>
          <w:sz w:val="24"/>
          <w:szCs w:val="24"/>
        </w:rPr>
        <w:t>成套的结构单元</w:t>
      </w:r>
    </w:p>
    <w:p>
      <w:pPr>
        <w:pStyle w:val="11"/>
        <w:spacing w:line="360" w:lineRule="auto"/>
        <w:ind w:left="0"/>
        <w:rPr>
          <w:rFonts w:ascii="宋体"/>
          <w:sz w:val="24"/>
          <w:szCs w:val="24"/>
        </w:rPr>
      </w:pPr>
      <w:r>
        <w:rPr>
          <w:rFonts w:ascii="宋体"/>
          <w:sz w:val="24"/>
          <w:szCs w:val="24"/>
        </w:rPr>
        <w:t>如规定的计量单位是一成套的结构物或结构单元（实际上就是按“总额”或称“一次支付”计的工程子目），该单元应包括了所有必需的设备、配件和附属物及相关作业。</w:t>
      </w:r>
    </w:p>
    <w:p>
      <w:pPr>
        <w:pStyle w:val="11"/>
        <w:spacing w:line="360" w:lineRule="auto"/>
        <w:ind w:left="0"/>
        <w:rPr>
          <w:rFonts w:ascii="宋体"/>
          <w:sz w:val="24"/>
          <w:szCs w:val="24"/>
        </w:rPr>
      </w:pPr>
      <w:r>
        <w:rPr>
          <w:rFonts w:ascii="宋体"/>
          <w:sz w:val="24"/>
          <w:szCs w:val="24"/>
        </w:rPr>
        <w:t>10.  标准制品项目</w:t>
      </w:r>
    </w:p>
    <w:p>
      <w:pPr>
        <w:pStyle w:val="11"/>
        <w:spacing w:line="360" w:lineRule="auto"/>
        <w:ind w:left="0"/>
        <w:rPr>
          <w:rFonts w:ascii="宋体"/>
          <w:sz w:val="24"/>
          <w:szCs w:val="24"/>
        </w:rPr>
      </w:pPr>
      <w:r>
        <w:rPr>
          <w:rFonts w:ascii="宋体"/>
          <w:sz w:val="24"/>
          <w:szCs w:val="24"/>
        </w:rPr>
        <w:t>(1)如规定采用标准制品(如护栏、钢丝、钢板、轧制型材、管子等)，而这类项目又是以标准规格(单位重、截面尺寸等)标识的，则这种标识可以作为计量的标准。</w:t>
      </w:r>
    </w:p>
    <w:p>
      <w:pPr>
        <w:pStyle w:val="11"/>
        <w:spacing w:line="360" w:lineRule="auto"/>
        <w:ind w:left="0"/>
        <w:rPr>
          <w:rFonts w:ascii="宋体"/>
          <w:sz w:val="24"/>
          <w:szCs w:val="24"/>
        </w:rPr>
      </w:pPr>
      <w:r>
        <w:rPr>
          <w:rFonts w:ascii="宋体"/>
          <w:sz w:val="24"/>
          <w:szCs w:val="24"/>
        </w:rPr>
        <w:t>(2)  除非所采用标准制品的允许误差比规范的允许误差要求更严格，否则，生产厂确立的制造允许误差不予认可。</w:t>
      </w:r>
    </w:p>
    <w:p>
      <w:pPr>
        <w:pStyle w:val="9"/>
        <w:ind w:left="31" w:right="50"/>
        <w:rPr>
          <w:b/>
          <w:bCs/>
          <w:sz w:val="28"/>
          <w:szCs w:val="28"/>
        </w:rPr>
      </w:pPr>
      <w:bookmarkStart w:id="85" w:name="_TOC_250019"/>
      <w:bookmarkEnd w:id="85"/>
      <w:r>
        <w:rPr>
          <w:rFonts w:hint="eastAsia"/>
          <w:b/>
          <w:bCs/>
          <w:w w:val="95"/>
          <w:sz w:val="28"/>
          <w:szCs w:val="28"/>
        </w:rPr>
        <w:t>二、计量规则</w:t>
      </w:r>
    </w:p>
    <w:p>
      <w:pPr>
        <w:pStyle w:val="10"/>
        <w:spacing w:before="6"/>
        <w:rPr>
          <w:sz w:val="34"/>
        </w:rPr>
      </w:pPr>
    </w:p>
    <w:p>
      <w:pPr>
        <w:tabs>
          <w:tab w:val="left" w:pos="1399"/>
        </w:tabs>
        <w:ind w:right="50"/>
        <w:jc w:val="center"/>
        <w:rPr>
          <w:sz w:val="28"/>
        </w:rPr>
      </w:pPr>
      <w:r>
        <w:rPr>
          <w:rFonts w:hint="eastAsia"/>
          <w:sz w:val="28"/>
        </w:rPr>
        <w:t>第</w:t>
      </w:r>
      <w:r>
        <w:rPr>
          <w:rFonts w:hint="eastAsia"/>
          <w:spacing w:val="-71"/>
          <w:sz w:val="28"/>
        </w:rPr>
        <w:t xml:space="preserve"> </w:t>
      </w:r>
      <w:r>
        <w:rPr>
          <w:rFonts w:hint="eastAsia"/>
          <w:sz w:val="28"/>
        </w:rPr>
        <w:t>100</w:t>
      </w:r>
      <w:r>
        <w:rPr>
          <w:rFonts w:hint="eastAsia"/>
          <w:spacing w:val="-1"/>
          <w:sz w:val="28"/>
        </w:rPr>
        <w:t xml:space="preserve"> </w:t>
      </w:r>
      <w:r>
        <w:rPr>
          <w:rFonts w:hint="eastAsia"/>
          <w:sz w:val="28"/>
        </w:rPr>
        <w:t>章</w:t>
      </w:r>
      <w:r>
        <w:rPr>
          <w:rFonts w:hint="eastAsia"/>
          <w:sz w:val="28"/>
        </w:rPr>
        <w:tab/>
      </w:r>
      <w:r>
        <w:rPr>
          <w:rFonts w:hint="eastAsia"/>
          <w:spacing w:val="-1"/>
          <w:sz w:val="28"/>
        </w:rPr>
        <w:t>总</w:t>
      </w:r>
      <w:r>
        <w:rPr>
          <w:rFonts w:hint="eastAsia"/>
          <w:sz w:val="28"/>
        </w:rPr>
        <w:t>则</w:t>
      </w:r>
    </w:p>
    <w:p>
      <w:pPr>
        <w:pStyle w:val="10"/>
        <w:rPr>
          <w:sz w:val="18"/>
        </w:rPr>
      </w:pPr>
    </w:p>
    <w:tbl>
      <w:tblPr>
        <w:tblStyle w:val="18"/>
        <w:tblW w:w="9015" w:type="dxa"/>
        <w:tblInd w:w="0" w:type="dxa"/>
        <w:tblLayout w:type="fixed"/>
        <w:tblCellMar>
          <w:top w:w="0" w:type="dxa"/>
          <w:left w:w="108" w:type="dxa"/>
          <w:bottom w:w="0" w:type="dxa"/>
          <w:right w:w="108" w:type="dxa"/>
        </w:tblCellMar>
      </w:tblPr>
      <w:tblGrid>
        <w:gridCol w:w="1161"/>
        <w:gridCol w:w="1769"/>
        <w:gridCol w:w="934"/>
        <w:gridCol w:w="2091"/>
        <w:gridCol w:w="3060"/>
      </w:tblGrid>
      <w:tr>
        <w:tblPrEx>
          <w:tblCellMar>
            <w:top w:w="0" w:type="dxa"/>
            <w:left w:w="108" w:type="dxa"/>
            <w:bottom w:w="0" w:type="dxa"/>
            <w:right w:w="108" w:type="dxa"/>
          </w:tblCellMar>
        </w:tblPrEx>
        <w:trPr>
          <w:trHeight w:val="59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9" w:lineRule="exact"/>
              <w:ind w:left="265"/>
            </w:pPr>
            <w:r>
              <w:rPr>
                <w:spacing w:val="-1"/>
                <w:sz w:val="20"/>
              </w:rPr>
              <w:t>子目号</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9" w:lineRule="exact"/>
              <w:ind w:left="464"/>
            </w:pPr>
            <w:r>
              <w:rPr>
                <w:spacing w:val="-1"/>
                <w:sz w:val="20"/>
              </w:rPr>
              <w:t>子目名称</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9" w:lineRule="exact"/>
              <w:ind w:left="330"/>
            </w:pPr>
            <w:r>
              <w:rPr>
                <w:spacing w:val="-1"/>
                <w:sz w:val="20"/>
              </w:rPr>
              <w:t>单位</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9" w:lineRule="exact"/>
              <w:ind w:left="447"/>
            </w:pPr>
            <w:r>
              <w:rPr>
                <w:spacing w:val="-1"/>
                <w:sz w:val="20"/>
              </w:rPr>
              <w:t>工程量计量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9" w:lineRule="exact"/>
              <w:ind w:left="1109"/>
            </w:pPr>
            <w:r>
              <w:rPr>
                <w:spacing w:val="-1"/>
                <w:sz w:val="20"/>
              </w:rPr>
              <w:t>工程内容</w:t>
            </w:r>
          </w:p>
        </w:tc>
      </w:tr>
      <w:tr>
        <w:trPr>
          <w:trHeight w:val="109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89" w:lineRule="exact"/>
              <w:ind w:left="337"/>
            </w:pPr>
            <w:r>
              <w:rPr>
                <w:rFonts w:ascii="Times New Roman" w:hAnsi="Times New Roman" w:cs="Times New Roman"/>
                <w:spacing w:val="-1"/>
                <w:sz w:val="20"/>
              </w:rPr>
              <w:t>102-1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54" w:lineRule="exact"/>
              <w:ind w:left="282"/>
            </w:pPr>
            <w:r>
              <w:rPr>
                <w:spacing w:val="-1"/>
                <w:sz w:val="20"/>
              </w:rPr>
              <w:t>竣工文件</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54" w:lineRule="exact"/>
              <w:ind w:left="330"/>
            </w:pPr>
            <w:r>
              <w:rPr>
                <w:spacing w:val="-1"/>
                <w:sz w:val="20"/>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7" w:lineRule="exact"/>
              <w:ind w:left="282"/>
            </w:pPr>
            <w:r>
              <w:rPr>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6" w:lineRule="exact"/>
              <w:ind w:left="281"/>
            </w:pPr>
            <w:r>
              <w:rPr>
                <w:spacing w:val="-1"/>
                <w:sz w:val="20"/>
              </w:rPr>
              <w:t>按《公路工程竣（交）工验收</w:t>
            </w:r>
          </w:p>
          <w:p>
            <w:pPr>
              <w:spacing w:line="306" w:lineRule="exact"/>
              <w:ind w:left="108"/>
            </w:pPr>
            <w:r>
              <w:rPr>
                <w:spacing w:val="-1"/>
                <w:position w:val="1"/>
                <w:sz w:val="20"/>
              </w:rPr>
              <w:t>办法》、《公路工程竣</w:t>
            </w:r>
            <w:r>
              <w:rPr>
                <w:rFonts w:ascii="Times New Roman" w:hAnsi="Times New Roman" w:cs="Times New Roman"/>
                <w:spacing w:val="-1"/>
                <w:sz w:val="20"/>
              </w:rPr>
              <w:t>(</w:t>
            </w:r>
            <w:r>
              <w:rPr>
                <w:spacing w:val="-1"/>
                <w:position w:val="1"/>
                <w:sz w:val="20"/>
              </w:rPr>
              <w:t>交</w:t>
            </w:r>
            <w:r>
              <w:rPr>
                <w:rFonts w:ascii="Times New Roman" w:hAnsi="Times New Roman" w:cs="Times New Roman"/>
                <w:spacing w:val="-1"/>
                <w:sz w:val="20"/>
              </w:rPr>
              <w:t>)</w:t>
            </w:r>
            <w:r>
              <w:rPr>
                <w:spacing w:val="-1"/>
                <w:position w:val="1"/>
                <w:sz w:val="20"/>
              </w:rPr>
              <w:t>工验</w:t>
            </w:r>
          </w:p>
          <w:p>
            <w:pPr>
              <w:spacing w:line="237" w:lineRule="exact"/>
              <w:ind w:left="108"/>
            </w:pPr>
            <w:r>
              <w:rPr>
                <w:spacing w:val="-1"/>
                <w:sz w:val="20"/>
              </w:rPr>
              <w:t>收办法实施细则》及合同条款规</w:t>
            </w:r>
          </w:p>
          <w:p>
            <w:pPr>
              <w:spacing w:line="274" w:lineRule="exact"/>
              <w:ind w:left="108"/>
            </w:pPr>
            <w:r>
              <w:rPr>
                <w:spacing w:val="-1"/>
                <w:sz w:val="20"/>
              </w:rPr>
              <w:t>定进行编制</w:t>
            </w:r>
          </w:p>
        </w:tc>
      </w:tr>
      <w:tr>
        <w:trPr>
          <w:trHeight w:val="1100"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89" w:lineRule="exact"/>
              <w:ind w:left="337"/>
            </w:pPr>
            <w:r>
              <w:rPr>
                <w:rFonts w:ascii="Times New Roman" w:hAnsi="Times New Roman" w:cs="Times New Roman"/>
                <w:spacing w:val="-1"/>
                <w:sz w:val="20"/>
              </w:rPr>
              <w:t>102-2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54" w:lineRule="exact"/>
              <w:ind w:left="282"/>
            </w:pPr>
            <w:r>
              <w:rPr>
                <w:spacing w:val="-1"/>
                <w:sz w:val="20"/>
              </w:rPr>
              <w:t>施工环保费</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54" w:lineRule="exact"/>
              <w:ind w:left="330"/>
            </w:pPr>
            <w:r>
              <w:rPr>
                <w:spacing w:val="-1"/>
                <w:sz w:val="20"/>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7" w:lineRule="exact"/>
              <w:ind w:left="282"/>
            </w:pPr>
            <w:r>
              <w:rPr>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6" w:lineRule="exact"/>
              <w:ind w:left="281"/>
            </w:pPr>
            <w:r>
              <w:rPr>
                <w:spacing w:val="-1"/>
                <w:sz w:val="20"/>
              </w:rPr>
              <w:t>严格遵守国家环境保护部门</w:t>
            </w:r>
          </w:p>
          <w:p>
            <w:pPr>
              <w:spacing w:line="271" w:lineRule="exact"/>
              <w:ind w:left="108"/>
            </w:pPr>
            <w:r>
              <w:rPr>
                <w:spacing w:val="-1"/>
                <w:sz w:val="20"/>
              </w:rPr>
              <w:t>及合同条款的相关规定，落实环</w:t>
            </w:r>
          </w:p>
          <w:p>
            <w:pPr>
              <w:spacing w:line="271" w:lineRule="exact"/>
              <w:ind w:left="108"/>
            </w:pPr>
            <w:r>
              <w:rPr>
                <w:spacing w:val="-1"/>
                <w:sz w:val="20"/>
              </w:rPr>
              <w:t>境保护。包括实施过程中直接的</w:t>
            </w:r>
          </w:p>
          <w:p>
            <w:pPr>
              <w:spacing w:line="274" w:lineRule="exact"/>
              <w:ind w:left="108"/>
            </w:pPr>
            <w:r>
              <w:rPr>
                <w:spacing w:val="-1"/>
                <w:sz w:val="20"/>
              </w:rPr>
              <w:t>或间接的费用</w:t>
            </w:r>
          </w:p>
        </w:tc>
      </w:tr>
      <w:tr>
        <w:tblPrEx>
          <w:tblCellMar>
            <w:top w:w="0" w:type="dxa"/>
            <w:left w:w="108" w:type="dxa"/>
            <w:bottom w:w="0" w:type="dxa"/>
            <w:right w:w="108" w:type="dxa"/>
          </w:tblCellMar>
        </w:tblPrEx>
        <w:trPr>
          <w:trHeight w:val="218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33" w:lineRule="exact"/>
              <w:ind w:left="337"/>
            </w:pPr>
            <w:r>
              <w:rPr>
                <w:rFonts w:ascii="Times New Roman" w:hAnsi="Times New Roman" w:cs="Times New Roman"/>
                <w:spacing w:val="-1"/>
                <w:sz w:val="20"/>
              </w:rPr>
              <w:t>103-1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88" w:lineRule="exact"/>
              <w:ind w:left="282"/>
            </w:pPr>
            <w:r>
              <w:rPr>
                <w:spacing w:val="-1"/>
                <w:sz w:val="20"/>
              </w:rPr>
              <w:t>临时道路修建、</w:t>
            </w:r>
          </w:p>
          <w:p>
            <w:pPr>
              <w:spacing w:line="274" w:lineRule="exact"/>
              <w:ind w:left="107"/>
            </w:pPr>
            <w:r>
              <w:rPr>
                <w:spacing w:val="-1"/>
                <w:sz w:val="20"/>
              </w:rPr>
              <w:t>养护与拆除（包</w:t>
            </w:r>
          </w:p>
          <w:p>
            <w:pPr>
              <w:spacing w:line="271" w:lineRule="exact"/>
              <w:ind w:left="107"/>
            </w:pPr>
            <w:r>
              <w:rPr>
                <w:spacing w:val="-1"/>
                <w:sz w:val="20"/>
              </w:rPr>
              <w:t>括原道路的养</w:t>
            </w:r>
          </w:p>
          <w:p>
            <w:pPr>
              <w:spacing w:line="274" w:lineRule="exact"/>
              <w:ind w:left="107"/>
            </w:pPr>
            <w:r>
              <w:rPr>
                <w:spacing w:val="-1"/>
                <w:sz w:val="20"/>
              </w:rPr>
              <w:t>护）</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96" w:lineRule="exact"/>
              <w:ind w:left="330"/>
            </w:pPr>
            <w:r>
              <w:rPr>
                <w:spacing w:val="-1"/>
                <w:sz w:val="20"/>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61" w:lineRule="exact"/>
              <w:ind w:left="282"/>
            </w:pPr>
            <w:r>
              <w:rPr>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281"/>
            </w:pPr>
            <w:r>
              <w:rPr>
                <w:spacing w:val="-1"/>
                <w:sz w:val="20"/>
              </w:rPr>
              <w:t>承包人根据要求和需要修建</w:t>
            </w:r>
          </w:p>
          <w:p>
            <w:pPr>
              <w:spacing w:line="271" w:lineRule="exact"/>
              <w:ind w:left="108"/>
            </w:pPr>
            <w:r>
              <w:rPr>
                <w:spacing w:val="-1"/>
                <w:sz w:val="20"/>
              </w:rPr>
              <w:t>的社会交通便道和施工现场的</w:t>
            </w:r>
          </w:p>
          <w:p>
            <w:pPr>
              <w:spacing w:line="271" w:lineRule="exact"/>
              <w:ind w:left="108"/>
            </w:pPr>
            <w:r>
              <w:rPr>
                <w:spacing w:val="-1"/>
                <w:sz w:val="20"/>
              </w:rPr>
              <w:t>便道、便桥（涵），并设置必要</w:t>
            </w:r>
          </w:p>
          <w:p>
            <w:pPr>
              <w:spacing w:line="274" w:lineRule="exact"/>
              <w:ind w:left="108"/>
            </w:pPr>
            <w:r>
              <w:rPr>
                <w:spacing w:val="-1"/>
                <w:sz w:val="20"/>
              </w:rPr>
              <w:t>的交通标志，便道应加强养护、</w:t>
            </w:r>
          </w:p>
          <w:p>
            <w:pPr>
              <w:spacing w:line="271" w:lineRule="exact"/>
              <w:ind w:left="108"/>
            </w:pPr>
            <w:r>
              <w:rPr>
                <w:spacing w:val="-1"/>
                <w:sz w:val="20"/>
              </w:rPr>
              <w:t>降低扬尘。施工结束时，原有道</w:t>
            </w:r>
          </w:p>
          <w:p>
            <w:pPr>
              <w:spacing w:line="274" w:lineRule="exact"/>
              <w:ind w:left="108"/>
            </w:pPr>
            <w:r>
              <w:rPr>
                <w:spacing w:val="-1"/>
                <w:sz w:val="20"/>
              </w:rPr>
              <w:t>路应做一次全面维修保养，临时</w:t>
            </w:r>
          </w:p>
          <w:p>
            <w:pPr>
              <w:spacing w:line="271" w:lineRule="exact"/>
              <w:ind w:left="108"/>
            </w:pPr>
            <w:r>
              <w:rPr>
                <w:spacing w:val="-1"/>
                <w:sz w:val="20"/>
              </w:rPr>
              <w:t>增加的道路应拆除，并经检验合</w:t>
            </w:r>
          </w:p>
          <w:p>
            <w:pPr>
              <w:spacing w:line="274" w:lineRule="exact"/>
              <w:ind w:left="108"/>
            </w:pPr>
            <w:r>
              <w:rPr>
                <w:spacing w:val="-1"/>
                <w:sz w:val="20"/>
              </w:rPr>
              <w:t>格</w:t>
            </w:r>
          </w:p>
        </w:tc>
      </w:tr>
      <w:tr>
        <w:tblPrEx>
          <w:tblCellMar>
            <w:top w:w="0" w:type="dxa"/>
            <w:left w:w="108" w:type="dxa"/>
            <w:bottom w:w="0" w:type="dxa"/>
            <w:right w:w="108" w:type="dxa"/>
          </w:tblCellMar>
        </w:tblPrEx>
        <w:trPr>
          <w:trHeight w:val="463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7" w:lineRule="exact"/>
              <w:ind w:left="337"/>
            </w:pPr>
            <w:r>
              <w:rPr>
                <w:rFonts w:ascii="Times New Roman" w:hAnsi="Times New Roman" w:cs="Times New Roman"/>
                <w:spacing w:val="-1"/>
                <w:sz w:val="20"/>
              </w:rPr>
              <w:t>103-2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22" w:lineRule="exact"/>
              <w:ind w:left="282"/>
            </w:pPr>
            <w:r>
              <w:rPr>
                <w:spacing w:val="-1"/>
                <w:sz w:val="20"/>
              </w:rPr>
              <w:t>临时工程用地</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22" w:lineRule="exact"/>
              <w:ind w:left="330"/>
            </w:pPr>
            <w:r>
              <w:rPr>
                <w:spacing w:val="-1"/>
                <w:sz w:val="20"/>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285" w:lineRule="exact"/>
              <w:ind w:left="282"/>
            </w:pPr>
            <w:r>
              <w:rPr>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临时占地包含承包人生产、</w:t>
            </w:r>
          </w:p>
          <w:p>
            <w:pPr>
              <w:spacing w:line="237" w:lineRule="exact"/>
              <w:ind w:left="108"/>
            </w:pPr>
            <w:r>
              <w:rPr>
                <w:spacing w:val="-1"/>
                <w:sz w:val="20"/>
              </w:rPr>
              <w:t>生活用地，施工中的取、弃土场</w:t>
            </w:r>
          </w:p>
          <w:p>
            <w:pPr>
              <w:spacing w:line="271" w:lineRule="exact"/>
              <w:ind w:left="108"/>
            </w:pPr>
            <w:r>
              <w:rPr>
                <w:spacing w:val="-1"/>
                <w:sz w:val="20"/>
              </w:rPr>
              <w:t>及料场用地，临时工程及附属工</w:t>
            </w:r>
          </w:p>
          <w:p>
            <w:pPr>
              <w:spacing w:line="274" w:lineRule="exact"/>
              <w:ind w:left="108"/>
            </w:pPr>
            <w:r>
              <w:rPr>
                <w:spacing w:val="-1"/>
                <w:sz w:val="20"/>
              </w:rPr>
              <w:t>作临时用地等。</w:t>
            </w:r>
          </w:p>
          <w:p>
            <w:pPr>
              <w:spacing w:line="306" w:lineRule="exact"/>
              <w:ind w:left="281"/>
            </w:pPr>
            <w:r>
              <w:rPr>
                <w:rFonts w:ascii="Times New Roman" w:hAnsi="Times New Roman" w:cs="Times New Roman"/>
                <w:sz w:val="20"/>
              </w:rPr>
              <w:t>2.</w:t>
            </w:r>
            <w:r>
              <w:rPr>
                <w:spacing w:val="-1"/>
                <w:position w:val="1"/>
                <w:sz w:val="20"/>
              </w:rPr>
              <w:t>临时占地由承包人向当地</w:t>
            </w:r>
          </w:p>
          <w:p>
            <w:pPr>
              <w:spacing w:line="239" w:lineRule="exact"/>
              <w:ind w:left="108"/>
            </w:pPr>
            <w:r>
              <w:rPr>
                <w:spacing w:val="-1"/>
                <w:sz w:val="20"/>
              </w:rPr>
              <w:t>政府土地管理部门申请，并办理</w:t>
            </w:r>
          </w:p>
          <w:p>
            <w:pPr>
              <w:spacing w:line="271" w:lineRule="exact"/>
              <w:ind w:left="108"/>
            </w:pPr>
            <w:r>
              <w:rPr>
                <w:spacing w:val="-1"/>
                <w:sz w:val="20"/>
              </w:rPr>
              <w:t>租用手续，承包人按有关规定直</w:t>
            </w:r>
          </w:p>
          <w:p>
            <w:pPr>
              <w:spacing w:line="274" w:lineRule="exact"/>
              <w:ind w:left="108"/>
            </w:pPr>
            <w:r>
              <w:rPr>
                <w:spacing w:val="-1"/>
                <w:sz w:val="20"/>
              </w:rPr>
              <w:t>接支付其费用，发包人对此将予</w:t>
            </w:r>
          </w:p>
          <w:p>
            <w:pPr>
              <w:spacing w:line="271" w:lineRule="exact"/>
              <w:ind w:left="108"/>
            </w:pPr>
            <w:r>
              <w:rPr>
                <w:spacing w:val="-1"/>
                <w:sz w:val="20"/>
              </w:rPr>
              <w:t>以协调。</w:t>
            </w:r>
          </w:p>
          <w:p>
            <w:pPr>
              <w:spacing w:line="308" w:lineRule="exact"/>
              <w:ind w:left="281"/>
            </w:pPr>
            <w:r>
              <w:rPr>
                <w:rFonts w:ascii="Times New Roman" w:hAnsi="Times New Roman" w:cs="Times New Roman"/>
                <w:sz w:val="20"/>
              </w:rPr>
              <w:t>3.</w:t>
            </w:r>
            <w:r>
              <w:rPr>
                <w:spacing w:val="-1"/>
                <w:position w:val="1"/>
                <w:sz w:val="20"/>
              </w:rPr>
              <w:t>临时占地退还前，承包人应</w:t>
            </w:r>
          </w:p>
          <w:p>
            <w:pPr>
              <w:spacing w:line="237" w:lineRule="exact"/>
              <w:ind w:left="108"/>
            </w:pPr>
            <w:r>
              <w:rPr>
                <w:spacing w:val="-1"/>
                <w:sz w:val="20"/>
              </w:rPr>
              <w:t>自费恢复到临时占地使用前的</w:t>
            </w:r>
          </w:p>
          <w:p>
            <w:pPr>
              <w:spacing w:line="274" w:lineRule="exact"/>
              <w:ind w:left="108"/>
            </w:pPr>
            <w:r>
              <w:rPr>
                <w:spacing w:val="-1"/>
                <w:sz w:val="20"/>
              </w:rPr>
              <w:t>状态。如因承包人撤离后未按要</w:t>
            </w:r>
          </w:p>
          <w:p>
            <w:pPr>
              <w:spacing w:line="271" w:lineRule="exact"/>
              <w:ind w:left="108"/>
            </w:pPr>
            <w:r>
              <w:rPr>
                <w:spacing w:val="-1"/>
                <w:sz w:val="20"/>
              </w:rPr>
              <w:t>求对临时占地进行恢复或虽进</w:t>
            </w:r>
          </w:p>
          <w:p>
            <w:pPr>
              <w:spacing w:line="274" w:lineRule="exact"/>
              <w:ind w:left="108"/>
            </w:pPr>
            <w:r>
              <w:rPr>
                <w:spacing w:val="-1"/>
                <w:sz w:val="20"/>
              </w:rPr>
              <w:t>行了恢复但未达到使用标准的，</w:t>
            </w:r>
          </w:p>
          <w:p>
            <w:pPr>
              <w:spacing w:line="271" w:lineRule="exact"/>
              <w:ind w:left="108"/>
            </w:pPr>
            <w:r>
              <w:rPr>
                <w:spacing w:val="-1"/>
                <w:sz w:val="20"/>
              </w:rPr>
              <w:t>将由发包人委托第三方对其恢</w:t>
            </w:r>
          </w:p>
          <w:p>
            <w:pPr>
              <w:spacing w:line="274" w:lineRule="exact"/>
              <w:ind w:left="108"/>
            </w:pPr>
            <w:r>
              <w:rPr>
                <w:spacing w:val="-1"/>
                <w:sz w:val="20"/>
              </w:rPr>
              <w:t>复，所发生的费用将从应付给承</w:t>
            </w:r>
          </w:p>
          <w:p>
            <w:pPr>
              <w:spacing w:line="271" w:lineRule="exact"/>
              <w:ind w:left="108"/>
            </w:pPr>
            <w:r>
              <w:rPr>
                <w:spacing w:val="-1"/>
                <w:sz w:val="20"/>
              </w:rPr>
              <w:t>包人的任何款项内扣除。</w:t>
            </w:r>
          </w:p>
        </w:tc>
      </w:tr>
      <w:tr>
        <w:tblPrEx>
          <w:tblCellMar>
            <w:top w:w="0" w:type="dxa"/>
            <w:left w:w="108" w:type="dxa"/>
            <w:bottom w:w="0" w:type="dxa"/>
            <w:right w:w="108" w:type="dxa"/>
          </w:tblCellMar>
        </w:tblPrEx>
        <w:trPr>
          <w:trHeight w:val="218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33" w:lineRule="exact"/>
              <w:ind w:left="337"/>
            </w:pPr>
            <w:r>
              <w:rPr>
                <w:rFonts w:ascii="Times New Roman" w:hAnsi="Times New Roman" w:cs="Times New Roman"/>
                <w:spacing w:val="-1"/>
                <w:sz w:val="20"/>
              </w:rPr>
              <w:t>103-3</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5" w:lineRule="exact"/>
              <w:ind w:left="282"/>
            </w:pPr>
            <w:r>
              <w:rPr>
                <w:spacing w:val="-1"/>
                <w:sz w:val="20"/>
              </w:rPr>
              <w:t>临时供电设施</w:t>
            </w:r>
          </w:p>
          <w:p>
            <w:pPr>
              <w:spacing w:line="274" w:lineRule="exact"/>
              <w:ind w:left="107"/>
            </w:pPr>
            <w:r>
              <w:rPr>
                <w:spacing w:val="-1"/>
                <w:sz w:val="20"/>
              </w:rPr>
              <w:t>架设、维护与拆</w:t>
            </w:r>
          </w:p>
          <w:p>
            <w:pPr>
              <w:spacing w:line="271" w:lineRule="exact"/>
              <w:ind w:left="107"/>
            </w:pPr>
            <w:r>
              <w:rPr>
                <w:spacing w:val="-1"/>
                <w:sz w:val="20"/>
              </w:rPr>
              <w:t>除</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98" w:lineRule="exact"/>
              <w:ind w:left="330"/>
            </w:pPr>
            <w:r>
              <w:rPr>
                <w:spacing w:val="-1"/>
                <w:sz w:val="20"/>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61" w:lineRule="exact"/>
              <w:ind w:left="282"/>
            </w:pPr>
            <w:r>
              <w:rPr>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281"/>
            </w:pPr>
            <w:r>
              <w:rPr>
                <w:spacing w:val="-1"/>
                <w:sz w:val="20"/>
              </w:rPr>
              <w:t>承包人应当在发包人的协助</w:t>
            </w:r>
          </w:p>
          <w:p>
            <w:pPr>
              <w:spacing w:line="271" w:lineRule="exact"/>
              <w:ind w:left="108"/>
            </w:pPr>
            <w:r>
              <w:rPr>
                <w:spacing w:val="-1"/>
                <w:sz w:val="20"/>
              </w:rPr>
              <w:t>下，与当地电力部门联系，建立</w:t>
            </w:r>
          </w:p>
          <w:p>
            <w:pPr>
              <w:spacing w:line="274" w:lineRule="exact"/>
              <w:ind w:left="108"/>
            </w:pPr>
            <w:r>
              <w:rPr>
                <w:spacing w:val="-1"/>
                <w:sz w:val="20"/>
              </w:rPr>
              <w:t>临时电力系统，并配备发电设备</w:t>
            </w:r>
          </w:p>
          <w:p>
            <w:pPr>
              <w:spacing w:line="271" w:lineRule="exact"/>
              <w:ind w:left="108"/>
            </w:pPr>
            <w:r>
              <w:rPr>
                <w:spacing w:val="-1"/>
                <w:sz w:val="20"/>
              </w:rPr>
              <w:t>作为备用电源，并承担安装、操</w:t>
            </w:r>
          </w:p>
          <w:p>
            <w:pPr>
              <w:spacing w:line="274" w:lineRule="exact"/>
              <w:ind w:left="108"/>
            </w:pPr>
            <w:r>
              <w:rPr>
                <w:spacing w:val="-1"/>
                <w:sz w:val="20"/>
              </w:rPr>
              <w:t>作、维修、燃料等相关工作及费</w:t>
            </w:r>
          </w:p>
          <w:p>
            <w:pPr>
              <w:spacing w:line="271" w:lineRule="exact"/>
              <w:ind w:left="108"/>
            </w:pPr>
            <w:r>
              <w:rPr>
                <w:spacing w:val="-1"/>
                <w:sz w:val="20"/>
              </w:rPr>
              <w:t>用。工程交工后，承包人应负责</w:t>
            </w:r>
          </w:p>
          <w:p>
            <w:pPr>
              <w:spacing w:line="274" w:lineRule="exact"/>
              <w:ind w:left="108"/>
            </w:pPr>
            <w:r>
              <w:rPr>
                <w:spacing w:val="-1"/>
                <w:sz w:val="20"/>
              </w:rPr>
              <w:t>拆除所安装设备及系统，恢复到</w:t>
            </w:r>
          </w:p>
          <w:p>
            <w:pPr>
              <w:spacing w:line="271" w:lineRule="exact"/>
              <w:ind w:left="108"/>
            </w:pPr>
            <w:r>
              <w:rPr>
                <w:spacing w:val="-1"/>
                <w:sz w:val="20"/>
              </w:rPr>
              <w:t>工程实施前的状态。</w:t>
            </w:r>
          </w:p>
        </w:tc>
      </w:tr>
      <w:tr>
        <w:tblPrEx>
          <w:tblCellMar>
            <w:top w:w="0" w:type="dxa"/>
            <w:left w:w="108" w:type="dxa"/>
            <w:bottom w:w="0" w:type="dxa"/>
            <w:right w:w="108" w:type="dxa"/>
          </w:tblCellMar>
        </w:tblPrEx>
        <w:trPr>
          <w:trHeight w:val="281"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337"/>
            </w:pPr>
            <w:r>
              <w:rPr>
                <w:rFonts w:ascii="Times New Roman" w:hAnsi="Times New Roman" w:cs="Times New Roman"/>
                <w:spacing w:val="-1"/>
                <w:sz w:val="20"/>
              </w:rPr>
              <w:t>103-4</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282"/>
            </w:pPr>
            <w:r>
              <w:rPr>
                <w:spacing w:val="-1"/>
                <w:sz w:val="20"/>
              </w:rPr>
              <w:t>电信设施的提</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330"/>
            </w:pPr>
            <w:r>
              <w:rPr>
                <w:spacing w:val="-1"/>
                <w:sz w:val="20"/>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282"/>
            </w:pPr>
            <w:r>
              <w:rPr>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281"/>
            </w:pPr>
            <w:r>
              <w:rPr>
                <w:spacing w:val="-1"/>
                <w:sz w:val="20"/>
              </w:rPr>
              <w:t>承包人应当在发包人的协助</w:t>
            </w:r>
          </w:p>
        </w:tc>
      </w:tr>
    </w:tbl>
    <w:p>
      <w:pPr>
        <w:spacing w:line="250" w:lineRule="exact"/>
        <w:jc w:val="center"/>
        <w:rPr>
          <w:sz w:val="21"/>
        </w:rPr>
        <w:sectPr>
          <w:pgSz w:w="11910" w:h="16840"/>
          <w:pgMar w:top="1440" w:right="1080" w:bottom="1040" w:left="1420" w:header="882" w:footer="845"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161"/>
        <w:gridCol w:w="1769"/>
        <w:gridCol w:w="1080"/>
        <w:gridCol w:w="1945"/>
        <w:gridCol w:w="3060"/>
      </w:tblGrid>
      <w:tr>
        <w:tblPrEx>
          <w:tblCellMar>
            <w:top w:w="0" w:type="dxa"/>
            <w:left w:w="108" w:type="dxa"/>
            <w:bottom w:w="0" w:type="dxa"/>
            <w:right w:w="108" w:type="dxa"/>
          </w:tblCellMar>
        </w:tblPrEx>
        <w:trPr>
          <w:trHeight w:val="164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pP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107"/>
            </w:pPr>
            <w:r>
              <w:rPr>
                <w:spacing w:val="-1"/>
                <w:sz w:val="20"/>
              </w:rPr>
              <w:t>供、维修与拆除</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pPr>
          </w:p>
        </w:tc>
        <w:tc>
          <w:tcPr>
            <w:tcW w:w="1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pP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108"/>
            </w:pPr>
            <w:r>
              <w:rPr>
                <w:spacing w:val="-1"/>
                <w:sz w:val="20"/>
              </w:rPr>
              <w:t>下，与当地电信部门联系，建立</w:t>
            </w:r>
          </w:p>
          <w:p>
            <w:pPr>
              <w:spacing w:line="274" w:lineRule="exact"/>
              <w:ind w:left="108"/>
            </w:pPr>
            <w:r>
              <w:rPr>
                <w:spacing w:val="-1"/>
                <w:sz w:val="20"/>
              </w:rPr>
              <w:t>临时电信系统，并承担安装、操</w:t>
            </w:r>
          </w:p>
          <w:p>
            <w:pPr>
              <w:spacing w:line="271" w:lineRule="exact"/>
              <w:ind w:left="108"/>
            </w:pPr>
            <w:r>
              <w:rPr>
                <w:spacing w:val="-1"/>
                <w:sz w:val="20"/>
              </w:rPr>
              <w:t>作、维修等相关工作及费用。工</w:t>
            </w:r>
          </w:p>
          <w:p>
            <w:pPr>
              <w:spacing w:line="274" w:lineRule="exact"/>
              <w:ind w:left="108"/>
            </w:pPr>
            <w:r>
              <w:rPr>
                <w:spacing w:val="-1"/>
                <w:sz w:val="20"/>
              </w:rPr>
              <w:t>程交工后，承包人应负责拆除所</w:t>
            </w:r>
          </w:p>
          <w:p>
            <w:pPr>
              <w:spacing w:line="271" w:lineRule="exact"/>
              <w:ind w:left="108"/>
            </w:pPr>
            <w:r>
              <w:rPr>
                <w:spacing w:val="-1"/>
                <w:sz w:val="20"/>
              </w:rPr>
              <w:t>安装设备及系统，恢复到工程实</w:t>
            </w:r>
          </w:p>
          <w:p>
            <w:pPr>
              <w:spacing w:line="271" w:lineRule="exact"/>
              <w:ind w:left="108"/>
            </w:pPr>
            <w:r>
              <w:rPr>
                <w:spacing w:val="-1"/>
                <w:sz w:val="20"/>
              </w:rPr>
              <w:t>施前的状态。</w:t>
            </w:r>
          </w:p>
        </w:tc>
      </w:tr>
      <w:tr>
        <w:tblPrEx>
          <w:tblCellMar>
            <w:top w:w="0" w:type="dxa"/>
            <w:left w:w="108" w:type="dxa"/>
            <w:bottom w:w="0" w:type="dxa"/>
            <w:right w:w="108" w:type="dxa"/>
          </w:tblCellMar>
        </w:tblPrEx>
        <w:trPr>
          <w:trHeight w:val="327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777" w:lineRule="exact"/>
              <w:ind w:left="337"/>
            </w:pPr>
            <w:r>
              <w:rPr>
                <w:rFonts w:ascii="Times New Roman" w:hAnsi="Times New Roman" w:cs="Times New Roman"/>
                <w:spacing w:val="-1"/>
                <w:sz w:val="20"/>
              </w:rPr>
              <w:t>103-5</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80" w:lineRule="auto"/>
              <w:jc w:val="center"/>
              <w:rPr>
                <w:spacing w:val="-1"/>
                <w:sz w:val="20"/>
              </w:rPr>
            </w:pPr>
          </w:p>
          <w:p>
            <w:pPr>
              <w:spacing w:line="480" w:lineRule="auto"/>
              <w:jc w:val="center"/>
              <w:rPr>
                <w:spacing w:val="-1"/>
                <w:sz w:val="20"/>
              </w:rPr>
            </w:pPr>
          </w:p>
          <w:p>
            <w:pPr>
              <w:spacing w:line="480" w:lineRule="auto"/>
              <w:jc w:val="center"/>
            </w:pPr>
            <w:r>
              <w:rPr>
                <w:spacing w:val="-1"/>
                <w:sz w:val="20"/>
              </w:rPr>
              <w:t>临时供水与排污设施</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742" w:lineRule="exact"/>
              <w:ind w:left="330"/>
            </w:pPr>
            <w:r>
              <w:rPr>
                <w:spacing w:val="-1"/>
                <w:sz w:val="20"/>
              </w:rPr>
              <w:t>总额</w:t>
            </w:r>
          </w:p>
        </w:tc>
        <w:tc>
          <w:tcPr>
            <w:tcW w:w="1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605" w:lineRule="exact"/>
              <w:ind w:left="282"/>
            </w:pPr>
            <w:r>
              <w:rPr>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承包人应负责提供、安装和</w:t>
            </w:r>
          </w:p>
          <w:p>
            <w:pPr>
              <w:spacing w:line="239" w:lineRule="exact"/>
              <w:ind w:left="108"/>
            </w:pPr>
            <w:r>
              <w:rPr>
                <w:spacing w:val="-1"/>
                <w:sz w:val="20"/>
              </w:rPr>
              <w:t>保养全部施工和生活用水设施，</w:t>
            </w:r>
          </w:p>
          <w:p>
            <w:pPr>
              <w:spacing w:line="271" w:lineRule="exact"/>
              <w:ind w:left="108"/>
            </w:pPr>
            <w:r>
              <w:rPr>
                <w:spacing w:val="-1"/>
                <w:sz w:val="20"/>
              </w:rPr>
              <w:t>保证按施工和生活用水标准供</w:t>
            </w:r>
          </w:p>
          <w:p>
            <w:pPr>
              <w:spacing w:line="274" w:lineRule="exact"/>
              <w:ind w:left="108"/>
            </w:pPr>
            <w:r>
              <w:rPr>
                <w:spacing w:val="-1"/>
                <w:sz w:val="20"/>
              </w:rPr>
              <w:t>水，并承担相关费用；工程交工</w:t>
            </w:r>
          </w:p>
          <w:p>
            <w:pPr>
              <w:spacing w:line="271" w:lineRule="exact"/>
              <w:ind w:left="108"/>
            </w:pPr>
            <w:r>
              <w:rPr>
                <w:spacing w:val="-1"/>
                <w:sz w:val="20"/>
              </w:rPr>
              <w:t>后，承包人应拆除全部临时供水</w:t>
            </w:r>
          </w:p>
          <w:p>
            <w:pPr>
              <w:spacing w:line="271" w:lineRule="exact"/>
              <w:ind w:left="108"/>
            </w:pPr>
            <w:r>
              <w:rPr>
                <w:spacing w:val="-1"/>
                <w:sz w:val="20"/>
              </w:rPr>
              <w:t>设施；</w:t>
            </w:r>
          </w:p>
          <w:p>
            <w:pPr>
              <w:spacing w:line="308" w:lineRule="exact"/>
              <w:ind w:left="281"/>
            </w:pPr>
            <w:r>
              <w:rPr>
                <w:rFonts w:ascii="Times New Roman" w:hAnsi="Times New Roman" w:cs="Times New Roman"/>
                <w:sz w:val="20"/>
              </w:rPr>
              <w:t>2.</w:t>
            </w:r>
            <w:r>
              <w:rPr>
                <w:spacing w:val="-1"/>
                <w:position w:val="1"/>
                <w:sz w:val="20"/>
              </w:rPr>
              <w:t>承包人应负责安装、维修和</w:t>
            </w:r>
          </w:p>
          <w:p>
            <w:pPr>
              <w:spacing w:line="237" w:lineRule="exact"/>
              <w:ind w:left="108"/>
            </w:pPr>
            <w:r>
              <w:rPr>
                <w:spacing w:val="-1"/>
                <w:sz w:val="20"/>
              </w:rPr>
              <w:t>管理临时排污系统，并按国家相</w:t>
            </w:r>
          </w:p>
          <w:p>
            <w:pPr>
              <w:spacing w:line="274" w:lineRule="exact"/>
              <w:ind w:left="108"/>
            </w:pPr>
            <w:r>
              <w:rPr>
                <w:spacing w:val="-1"/>
                <w:sz w:val="20"/>
              </w:rPr>
              <w:t>关标准实施排放施工和生活的</w:t>
            </w:r>
          </w:p>
          <w:p>
            <w:pPr>
              <w:spacing w:line="274" w:lineRule="exact"/>
              <w:ind w:left="108"/>
            </w:pPr>
            <w:r>
              <w:rPr>
                <w:spacing w:val="-1"/>
                <w:sz w:val="20"/>
              </w:rPr>
              <w:t>污水、废水，并承担相关费用；</w:t>
            </w:r>
          </w:p>
          <w:p>
            <w:pPr>
              <w:spacing w:line="271" w:lineRule="exact"/>
              <w:ind w:left="108"/>
            </w:pPr>
            <w:r>
              <w:rPr>
                <w:spacing w:val="-1"/>
                <w:sz w:val="20"/>
              </w:rPr>
              <w:t>工程交工后，承包人应拆除全部</w:t>
            </w:r>
          </w:p>
          <w:p>
            <w:pPr>
              <w:spacing w:line="271" w:lineRule="exact"/>
              <w:ind w:left="108"/>
            </w:pPr>
            <w:r>
              <w:rPr>
                <w:spacing w:val="-1"/>
                <w:sz w:val="20"/>
              </w:rPr>
              <w:t>临时排污设施</w:t>
            </w:r>
          </w:p>
        </w:tc>
      </w:tr>
      <w:tr>
        <w:tblPrEx>
          <w:tblCellMar>
            <w:top w:w="0" w:type="dxa"/>
            <w:left w:w="108" w:type="dxa"/>
            <w:bottom w:w="0" w:type="dxa"/>
            <w:right w:w="108" w:type="dxa"/>
          </w:tblCellMar>
        </w:tblPrEx>
        <w:trPr>
          <w:trHeight w:val="2461"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69" w:lineRule="exact"/>
              <w:ind w:left="337"/>
            </w:pPr>
            <w:r>
              <w:rPr>
                <w:rFonts w:ascii="Times New Roman" w:hAnsi="Times New Roman" w:cs="Times New Roman"/>
                <w:spacing w:val="-1"/>
                <w:sz w:val="20"/>
              </w:rPr>
              <w:t>104-1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98" w:lineRule="exact"/>
              <w:jc w:val="center"/>
            </w:pPr>
            <w:r>
              <w:rPr>
                <w:spacing w:val="-1"/>
                <w:sz w:val="20"/>
              </w:rPr>
              <w:t>承包人驻地建设</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35" w:lineRule="exact"/>
              <w:ind w:left="330"/>
            </w:pPr>
            <w:r>
              <w:rPr>
                <w:spacing w:val="-1"/>
                <w:sz w:val="20"/>
              </w:rPr>
              <w:t>总额</w:t>
            </w:r>
          </w:p>
        </w:tc>
        <w:tc>
          <w:tcPr>
            <w:tcW w:w="1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98" w:lineRule="exact"/>
              <w:ind w:left="282"/>
            </w:pPr>
            <w:r>
              <w:rPr>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承包人驻地建设包括：施工</w:t>
            </w:r>
          </w:p>
          <w:p>
            <w:pPr>
              <w:spacing w:line="237" w:lineRule="exact"/>
              <w:ind w:left="108"/>
            </w:pPr>
            <w:r>
              <w:rPr>
                <w:spacing w:val="-1"/>
                <w:sz w:val="20"/>
              </w:rPr>
              <w:t>与管理所需的办公室、住房、工</w:t>
            </w:r>
          </w:p>
          <w:p>
            <w:pPr>
              <w:spacing w:line="274" w:lineRule="exact"/>
              <w:ind w:left="108"/>
            </w:pPr>
            <w:r>
              <w:rPr>
                <w:spacing w:val="-1"/>
                <w:sz w:val="20"/>
              </w:rPr>
              <w:t>地试验室、车间、工作场地、预</w:t>
            </w:r>
          </w:p>
          <w:p>
            <w:pPr>
              <w:spacing w:line="274" w:lineRule="exact"/>
              <w:ind w:left="108"/>
            </w:pPr>
            <w:r>
              <w:rPr>
                <w:spacing w:val="-1"/>
                <w:sz w:val="20"/>
              </w:rPr>
              <w:t>制场地、仓库与储料场、拌和场、</w:t>
            </w:r>
          </w:p>
          <w:p>
            <w:pPr>
              <w:spacing w:line="271" w:lineRule="exact"/>
              <w:ind w:left="108"/>
            </w:pPr>
            <w:r>
              <w:rPr>
                <w:spacing w:val="-1"/>
                <w:sz w:val="20"/>
              </w:rPr>
              <w:t>医疗卫生与消防设施等；</w:t>
            </w:r>
          </w:p>
          <w:p>
            <w:pPr>
              <w:spacing w:line="306" w:lineRule="exact"/>
              <w:ind w:left="281"/>
            </w:pPr>
            <w:r>
              <w:rPr>
                <w:rFonts w:ascii="Times New Roman" w:hAnsi="Times New Roman" w:cs="Times New Roman"/>
                <w:sz w:val="20"/>
              </w:rPr>
              <w:t>2.</w:t>
            </w:r>
            <w:r>
              <w:rPr>
                <w:spacing w:val="-1"/>
                <w:position w:val="1"/>
                <w:sz w:val="20"/>
              </w:rPr>
              <w:t>驻地的建设、管理与维护；</w:t>
            </w:r>
          </w:p>
          <w:p>
            <w:pPr>
              <w:spacing w:line="274" w:lineRule="exact"/>
              <w:ind w:left="281"/>
            </w:pPr>
            <w:r>
              <w:rPr>
                <w:rFonts w:ascii="Times New Roman" w:hAnsi="Times New Roman" w:cs="Times New Roman"/>
                <w:sz w:val="20"/>
              </w:rPr>
              <w:t>3.</w:t>
            </w:r>
            <w:r>
              <w:rPr>
                <w:spacing w:val="-1"/>
                <w:position w:val="1"/>
                <w:sz w:val="20"/>
              </w:rPr>
              <w:t>工程交工后，按照合同或协</w:t>
            </w:r>
          </w:p>
          <w:p>
            <w:pPr>
              <w:spacing w:line="236" w:lineRule="exact"/>
              <w:ind w:left="108"/>
            </w:pPr>
            <w:r>
              <w:rPr>
                <w:spacing w:val="-1"/>
                <w:sz w:val="20"/>
              </w:rPr>
              <w:t>议要求将驻地移走、清除、恢复</w:t>
            </w:r>
          </w:p>
          <w:p>
            <w:pPr>
              <w:spacing w:line="274" w:lineRule="exact"/>
              <w:ind w:left="108"/>
            </w:pPr>
            <w:r>
              <w:rPr>
                <w:spacing w:val="-1"/>
                <w:sz w:val="20"/>
              </w:rPr>
              <w:t>原貌</w:t>
            </w:r>
          </w:p>
        </w:tc>
      </w:tr>
      <w:tr>
        <w:tblPrEx>
          <w:tblCellMar>
            <w:top w:w="0" w:type="dxa"/>
            <w:left w:w="108" w:type="dxa"/>
            <w:bottom w:w="0" w:type="dxa"/>
            <w:right w:w="108" w:type="dxa"/>
          </w:tblCellMar>
        </w:tblPrEx>
        <w:trPr>
          <w:trHeight w:val="191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97" w:lineRule="exact"/>
              <w:ind w:left="337"/>
            </w:pPr>
            <w:r>
              <w:rPr>
                <w:rFonts w:ascii="Times New Roman" w:hAnsi="Times New Roman" w:cs="Times New Roman"/>
                <w:spacing w:val="-1"/>
                <w:sz w:val="20"/>
              </w:rPr>
              <w:t>105-1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62" w:lineRule="exact"/>
              <w:ind w:left="282"/>
            </w:pPr>
            <w:r>
              <w:rPr>
                <w:spacing w:val="-1"/>
                <w:sz w:val="20"/>
              </w:rPr>
              <w:t>安全生产费</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62" w:lineRule="exact"/>
              <w:ind w:left="330"/>
            </w:pPr>
            <w:r>
              <w:rPr>
                <w:spacing w:val="-1"/>
                <w:sz w:val="20"/>
              </w:rPr>
              <w:t>总额</w:t>
            </w:r>
          </w:p>
        </w:tc>
        <w:tc>
          <w:tcPr>
            <w:tcW w:w="1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6" w:lineRule="exact"/>
              <w:ind w:left="282"/>
            </w:pPr>
            <w:r>
              <w:rPr>
                <w:spacing w:val="-1"/>
                <w:sz w:val="20"/>
              </w:rPr>
              <w:t>按投标价（不含</w:t>
            </w:r>
          </w:p>
          <w:p>
            <w:pPr>
              <w:spacing w:line="271" w:lineRule="exact"/>
              <w:ind w:left="109"/>
            </w:pPr>
            <w:r>
              <w:rPr>
                <w:spacing w:val="-1"/>
                <w:sz w:val="20"/>
              </w:rPr>
              <w:t>安全生产费）的</w:t>
            </w:r>
          </w:p>
          <w:p>
            <w:pPr>
              <w:spacing w:line="306" w:lineRule="exact"/>
              <w:ind w:left="109"/>
            </w:pPr>
            <w:r>
              <w:rPr>
                <w:rFonts w:ascii="Times New Roman" w:hAnsi="Times New Roman" w:cs="Times New Roman"/>
                <w:spacing w:val="-1"/>
                <w:sz w:val="20"/>
              </w:rPr>
              <w:t>1.5%</w:t>
            </w:r>
            <w:r>
              <w:rPr>
                <w:spacing w:val="-1"/>
                <w:position w:val="1"/>
                <w:sz w:val="20"/>
              </w:rPr>
              <w:t>（若招标人公</w:t>
            </w:r>
          </w:p>
          <w:p>
            <w:pPr>
              <w:spacing w:line="239" w:lineRule="exact"/>
              <w:ind w:left="109"/>
            </w:pPr>
            <w:r>
              <w:rPr>
                <w:spacing w:val="-1"/>
                <w:sz w:val="20"/>
              </w:rPr>
              <w:t>布了最高投标限价</w:t>
            </w:r>
          </w:p>
          <w:p>
            <w:pPr>
              <w:spacing w:line="271" w:lineRule="exact"/>
              <w:ind w:left="109"/>
            </w:pPr>
            <w:r>
              <w:rPr>
                <w:spacing w:val="-1"/>
                <w:sz w:val="20"/>
              </w:rPr>
              <w:t>时，按最高投标限</w:t>
            </w:r>
          </w:p>
          <w:p>
            <w:pPr>
              <w:spacing w:line="308" w:lineRule="exact"/>
              <w:ind w:left="109"/>
            </w:pPr>
            <w:r>
              <w:rPr>
                <w:spacing w:val="-1"/>
                <w:position w:val="1"/>
                <w:sz w:val="20"/>
              </w:rPr>
              <w:t>价的</w:t>
            </w:r>
            <w:r>
              <w:rPr>
                <w:rFonts w:ascii="Calibri" w:hAnsi="Calibri" w:cs="Calibri"/>
                <w:sz w:val="20"/>
              </w:rPr>
              <w:t> </w:t>
            </w:r>
            <w:r>
              <w:rPr>
                <w:rFonts w:ascii="Times New Roman" w:hAnsi="Times New Roman" w:cs="Times New Roman"/>
                <w:spacing w:val="-1"/>
                <w:sz w:val="20"/>
              </w:rPr>
              <w:t>1.5%</w:t>
            </w:r>
            <w:r>
              <w:rPr>
                <w:spacing w:val="-1"/>
                <w:position w:val="1"/>
                <w:sz w:val="20"/>
              </w:rPr>
              <w:t>）以总额</w:t>
            </w:r>
          </w:p>
          <w:p>
            <w:pPr>
              <w:spacing w:line="237" w:lineRule="exact"/>
              <w:ind w:left="109"/>
            </w:pPr>
            <w:r>
              <w:rPr>
                <w:spacing w:val="-1"/>
                <w:sz w:val="20"/>
              </w:rPr>
              <w:t>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6" w:lineRule="exact"/>
              <w:ind w:left="281"/>
            </w:pPr>
            <w:r>
              <w:rPr>
                <w:spacing w:val="-1"/>
                <w:sz w:val="20"/>
              </w:rPr>
              <w:t>按《中华人民共和国安全生产</w:t>
            </w:r>
          </w:p>
          <w:p>
            <w:pPr>
              <w:spacing w:line="271" w:lineRule="exact"/>
              <w:ind w:left="108"/>
            </w:pPr>
            <w:r>
              <w:rPr>
                <w:spacing w:val="-1"/>
                <w:sz w:val="20"/>
              </w:rPr>
              <w:t>法》、《建设工程安全生产管理</w:t>
            </w:r>
          </w:p>
          <w:p>
            <w:pPr>
              <w:spacing w:line="271" w:lineRule="exact"/>
              <w:ind w:left="108"/>
            </w:pPr>
            <w:r>
              <w:rPr>
                <w:spacing w:val="-1"/>
                <w:sz w:val="20"/>
              </w:rPr>
              <w:t>条例》、《公路水运工程安全生</w:t>
            </w:r>
          </w:p>
          <w:p>
            <w:pPr>
              <w:spacing w:line="274" w:lineRule="exact"/>
              <w:ind w:left="108"/>
            </w:pPr>
            <w:r>
              <w:rPr>
                <w:spacing w:val="-1"/>
                <w:sz w:val="20"/>
              </w:rPr>
              <w:t>产监督管理办法》、《公路工程</w:t>
            </w:r>
          </w:p>
          <w:p>
            <w:pPr>
              <w:spacing w:line="306" w:lineRule="exact"/>
              <w:ind w:left="108"/>
            </w:pPr>
            <w:r>
              <w:rPr>
                <w:spacing w:val="-1"/>
                <w:position w:val="1"/>
                <w:sz w:val="20"/>
              </w:rPr>
              <w:t>施工安全技术规范》（</w:t>
            </w:r>
            <w:r>
              <w:rPr>
                <w:rFonts w:ascii="Times New Roman" w:hAnsi="Times New Roman" w:cs="Times New Roman"/>
                <w:sz w:val="20"/>
              </w:rPr>
              <w:t>JTG</w:t>
            </w:r>
          </w:p>
          <w:p>
            <w:pPr>
              <w:spacing w:line="274" w:lineRule="exact"/>
              <w:ind w:left="108"/>
            </w:pPr>
            <w:r>
              <w:rPr>
                <w:rFonts w:ascii="Times New Roman" w:hAnsi="Times New Roman" w:cs="Times New Roman"/>
                <w:spacing w:val="-1"/>
                <w:sz w:val="20"/>
              </w:rPr>
              <w:t>F90-2015</w:t>
            </w:r>
            <w:r>
              <w:rPr>
                <w:position w:val="1"/>
                <w:sz w:val="20"/>
              </w:rPr>
              <w:t>）及合同条款规定落实</w:t>
            </w:r>
          </w:p>
          <w:p>
            <w:pPr>
              <w:spacing w:line="237" w:lineRule="exact"/>
              <w:ind w:left="108"/>
            </w:pPr>
            <w:r>
              <w:rPr>
                <w:spacing w:val="-1"/>
                <w:sz w:val="20"/>
              </w:rPr>
              <w:t>安全生产</w:t>
            </w:r>
          </w:p>
        </w:tc>
      </w:tr>
    </w:tbl>
    <w:p>
      <w:pPr>
        <w:spacing w:line="270" w:lineRule="atLeast"/>
        <w:rPr>
          <w:sz w:val="21"/>
        </w:rPr>
        <w:sectPr>
          <w:pgSz w:w="11910" w:h="16840"/>
          <w:pgMar w:top="1440" w:right="1080" w:bottom="1040" w:left="1420" w:header="882" w:footer="845" w:gutter="0"/>
          <w:cols w:space="720" w:num="1"/>
        </w:sectPr>
      </w:pPr>
    </w:p>
    <w:p>
      <w:pPr>
        <w:spacing w:before="139"/>
        <w:ind w:left="86" w:right="194"/>
        <w:jc w:val="center"/>
        <w:rPr>
          <w:sz w:val="28"/>
        </w:rPr>
      </w:pPr>
      <w:r>
        <w:rPr>
          <w:rFonts w:hint="eastAsia"/>
          <w:sz w:val="28"/>
        </w:rPr>
        <w:t>第 200 章 路基</w:t>
      </w:r>
    </w:p>
    <w:p>
      <w:pPr>
        <w:pStyle w:val="10"/>
        <w:spacing w:before="1"/>
        <w:rPr>
          <w:sz w:val="18"/>
        </w:rPr>
      </w:pPr>
    </w:p>
    <w:tbl>
      <w:tblPr>
        <w:tblStyle w:val="18"/>
        <w:tblW w:w="9015" w:type="dxa"/>
        <w:tblInd w:w="0" w:type="dxa"/>
        <w:tblLayout w:type="fixed"/>
        <w:tblCellMar>
          <w:top w:w="0" w:type="dxa"/>
          <w:left w:w="108" w:type="dxa"/>
          <w:bottom w:w="0" w:type="dxa"/>
          <w:right w:w="108" w:type="dxa"/>
        </w:tblCellMar>
      </w:tblPr>
      <w:tblGrid>
        <w:gridCol w:w="1008"/>
        <w:gridCol w:w="1422"/>
        <w:gridCol w:w="720"/>
        <w:gridCol w:w="3110"/>
        <w:gridCol w:w="2755"/>
      </w:tblGrid>
      <w:tr>
        <w:tblPrEx>
          <w:tblCellMar>
            <w:top w:w="0" w:type="dxa"/>
            <w:left w:w="108" w:type="dxa"/>
            <w:bottom w:w="0" w:type="dxa"/>
            <w:right w:w="108" w:type="dxa"/>
          </w:tblCellMar>
        </w:tblPrEx>
        <w:trPr>
          <w:trHeight w:val="48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45" w:lineRule="exact"/>
              <w:ind w:left="188"/>
            </w:pPr>
            <w:r>
              <w:rPr>
                <w:spacing w:val="-1"/>
                <w:sz w:val="20"/>
              </w:rPr>
              <w:t>子目号</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45" w:lineRule="exact"/>
              <w:ind w:left="430"/>
            </w:pPr>
            <w:r>
              <w:rPr>
                <w:spacing w:val="-1"/>
                <w:sz w:val="20"/>
              </w:rPr>
              <w:t>子目名称</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45" w:lineRule="exact"/>
              <w:ind w:left="215"/>
            </w:pPr>
            <w:r>
              <w:rPr>
                <w:spacing w:val="-1"/>
                <w:sz w:val="20"/>
              </w:rPr>
              <w:t>单位</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45" w:lineRule="exact"/>
              <w:ind w:left="944"/>
            </w:pPr>
            <w:r>
              <w:rPr>
                <w:spacing w:val="-1"/>
                <w:sz w:val="20"/>
              </w:rPr>
              <w:t>工程量计量</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45" w:lineRule="exact"/>
              <w:ind w:left="840"/>
            </w:pPr>
            <w:r>
              <w:rPr>
                <w:spacing w:val="-1"/>
                <w:sz w:val="20"/>
              </w:rPr>
              <w:t>工程内容</w:t>
            </w:r>
          </w:p>
        </w:tc>
      </w:tr>
      <w:tr>
        <w:tblPrEx>
          <w:tblCellMar>
            <w:top w:w="0" w:type="dxa"/>
            <w:left w:w="108" w:type="dxa"/>
            <w:bottom w:w="0" w:type="dxa"/>
            <w:right w:w="108" w:type="dxa"/>
          </w:tblCellMar>
        </w:tblPrEx>
        <w:trPr>
          <w:trHeight w:val="443"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1" w:lineRule="exact"/>
              <w:ind w:left="260"/>
            </w:pPr>
            <w:r>
              <w:rPr>
                <w:rFonts w:ascii="Times New Roman" w:hAnsi="Times New Roman" w:cs="Times New Roman"/>
                <w:spacing w:val="-1"/>
                <w:sz w:val="20"/>
              </w:rPr>
              <w:t>202-1</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26" w:lineRule="exact"/>
              <w:ind w:left="281"/>
            </w:pPr>
            <w:r>
              <w:rPr>
                <w:spacing w:val="-1"/>
                <w:sz w:val="20"/>
              </w:rPr>
              <w:t>清理与掘除</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26" w:lineRule="exact"/>
            </w:pP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26" w:lineRule="exact"/>
            </w:pP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26" w:lineRule="exact"/>
            </w:pPr>
          </w:p>
        </w:tc>
      </w:tr>
      <w:tr>
        <w:tblPrEx>
          <w:tblCellMar>
            <w:top w:w="0" w:type="dxa"/>
            <w:left w:w="108" w:type="dxa"/>
            <w:bottom w:w="0" w:type="dxa"/>
            <w:right w:w="108" w:type="dxa"/>
          </w:tblCellMar>
        </w:tblPrEx>
        <w:trPr>
          <w:trHeight w:val="2875"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186" w:lineRule="exact"/>
              <w:ind w:left="423"/>
            </w:pPr>
            <w:r>
              <w:rPr>
                <w:rFonts w:ascii="Times New Roman" w:hAnsi="Times New Roman" w:cs="Times New Roman"/>
                <w:spacing w:val="-1"/>
                <w:sz w:val="20"/>
              </w:rPr>
              <w:t>-a</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151" w:lineRule="exact"/>
              <w:ind w:left="281"/>
            </w:pPr>
            <w:r>
              <w:rPr>
                <w:spacing w:val="-1"/>
                <w:sz w:val="20"/>
              </w:rPr>
              <w:t>清理现场</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095" w:lineRule="exact"/>
              <w:ind w:left="308"/>
            </w:pPr>
            <w:r>
              <w:rPr>
                <w:rFonts w:ascii="Times New Roman" w:hAnsi="Times New Roman" w:cs="Times New Roman"/>
                <w:position w:val="-4"/>
                <w:sz w:val="20"/>
              </w:rPr>
              <w:t>m</w:t>
            </w:r>
            <w:r>
              <w:rPr>
                <w:rFonts w:ascii="Times New Roman" w:hAnsi="Times New Roman" w:cs="Times New Roman"/>
                <w:spacing w:val="-4"/>
                <w:sz w:val="13"/>
              </w:rPr>
              <w:t>2</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val="0"/>
              <w:autoSpaceDN w:val="0"/>
              <w:bidi w:val="0"/>
              <w:adjustRightInd/>
              <w:snapToGrid/>
              <w:spacing w:line="260" w:lineRule="exact"/>
              <w:ind w:left="282"/>
              <w:textAlignment w:val="auto"/>
            </w:pPr>
            <w:r>
              <w:rPr>
                <w:rFonts w:ascii="Times New Roman" w:hAnsi="Times New Roman" w:cs="Times New Roman"/>
                <w:sz w:val="20"/>
              </w:rPr>
              <w:t>1.</w:t>
            </w:r>
            <w:r>
              <w:rPr>
                <w:spacing w:val="-1"/>
                <w:position w:val="1"/>
                <w:sz w:val="20"/>
              </w:rPr>
              <w:t>依据图纸所示位置及范围</w:t>
            </w:r>
          </w:p>
          <w:p>
            <w:pPr>
              <w:keepNext w:val="0"/>
              <w:keepLines w:val="0"/>
              <w:pageBreakBefore w:val="0"/>
              <w:widowControl w:val="0"/>
              <w:kinsoku/>
              <w:wordWrap/>
              <w:overflowPunct/>
              <w:topLinePunct w:val="0"/>
              <w:autoSpaceDE w:val="0"/>
              <w:autoSpaceDN w:val="0"/>
              <w:bidi w:val="0"/>
              <w:adjustRightInd/>
              <w:snapToGrid/>
              <w:spacing w:line="260" w:lineRule="exact"/>
              <w:ind w:left="109"/>
              <w:textAlignment w:val="auto"/>
            </w:pPr>
            <w:r>
              <w:rPr>
                <w:spacing w:val="-1"/>
                <w:sz w:val="20"/>
              </w:rPr>
              <w:t>（路基范围以外临时工程用</w:t>
            </w:r>
          </w:p>
          <w:p>
            <w:pPr>
              <w:keepNext w:val="0"/>
              <w:keepLines w:val="0"/>
              <w:pageBreakBefore w:val="0"/>
              <w:widowControl w:val="0"/>
              <w:kinsoku/>
              <w:wordWrap/>
              <w:overflowPunct/>
              <w:topLinePunct w:val="0"/>
              <w:autoSpaceDE w:val="0"/>
              <w:autoSpaceDN w:val="0"/>
              <w:bidi w:val="0"/>
              <w:adjustRightInd/>
              <w:snapToGrid/>
              <w:spacing w:line="260" w:lineRule="exact"/>
              <w:ind w:left="109"/>
              <w:textAlignment w:val="auto"/>
            </w:pPr>
            <w:r>
              <w:rPr>
                <w:spacing w:val="-1"/>
                <w:sz w:val="20"/>
              </w:rPr>
              <w:t>地清场等除外），按路基开挖</w:t>
            </w:r>
          </w:p>
          <w:p>
            <w:pPr>
              <w:keepNext w:val="0"/>
              <w:keepLines w:val="0"/>
              <w:pageBreakBefore w:val="0"/>
              <w:widowControl w:val="0"/>
              <w:kinsoku/>
              <w:wordWrap/>
              <w:overflowPunct/>
              <w:topLinePunct w:val="0"/>
              <w:autoSpaceDE w:val="0"/>
              <w:autoSpaceDN w:val="0"/>
              <w:bidi w:val="0"/>
              <w:adjustRightInd/>
              <w:snapToGrid/>
              <w:spacing w:line="260" w:lineRule="exact"/>
              <w:ind w:left="109"/>
              <w:textAlignment w:val="auto"/>
            </w:pPr>
            <w:r>
              <w:rPr>
                <w:spacing w:val="-1"/>
                <w:sz w:val="20"/>
              </w:rPr>
              <w:t>线或填筑边线之间的水平投</w:t>
            </w:r>
          </w:p>
          <w:p>
            <w:pPr>
              <w:keepNext w:val="0"/>
              <w:keepLines w:val="0"/>
              <w:pageBreakBefore w:val="0"/>
              <w:widowControl w:val="0"/>
              <w:kinsoku/>
              <w:wordWrap/>
              <w:overflowPunct/>
              <w:topLinePunct w:val="0"/>
              <w:autoSpaceDE w:val="0"/>
              <w:autoSpaceDN w:val="0"/>
              <w:bidi w:val="0"/>
              <w:adjustRightInd/>
              <w:snapToGrid/>
              <w:spacing w:line="260" w:lineRule="exact"/>
              <w:ind w:left="109"/>
              <w:textAlignment w:val="auto"/>
            </w:pPr>
            <w:r>
              <w:rPr>
                <w:spacing w:val="-1"/>
                <w:sz w:val="20"/>
              </w:rPr>
              <w:t>影面积以平方米为单位计量；</w:t>
            </w:r>
          </w:p>
          <w:p>
            <w:pPr>
              <w:keepNext w:val="0"/>
              <w:keepLines w:val="0"/>
              <w:pageBreakBefore w:val="0"/>
              <w:widowControl w:val="0"/>
              <w:kinsoku/>
              <w:wordWrap/>
              <w:overflowPunct/>
              <w:topLinePunct w:val="0"/>
              <w:autoSpaceDE w:val="0"/>
              <w:autoSpaceDN w:val="0"/>
              <w:bidi w:val="0"/>
              <w:adjustRightInd/>
              <w:snapToGrid/>
              <w:spacing w:line="260" w:lineRule="exact"/>
              <w:ind w:left="282"/>
              <w:textAlignment w:val="auto"/>
            </w:pPr>
            <w:r>
              <w:rPr>
                <w:rFonts w:ascii="Times New Roman" w:hAnsi="Times New Roman" w:cs="Times New Roman"/>
                <w:sz w:val="20"/>
              </w:rPr>
              <w:t>2.</w:t>
            </w:r>
            <w:r>
              <w:rPr>
                <w:spacing w:val="-1"/>
                <w:position w:val="1"/>
                <w:sz w:val="20"/>
              </w:rPr>
              <w:t>因压实而产生的下沉量，</w:t>
            </w:r>
          </w:p>
          <w:p>
            <w:pPr>
              <w:keepNext w:val="0"/>
              <w:keepLines w:val="0"/>
              <w:pageBreakBefore w:val="0"/>
              <w:widowControl w:val="0"/>
              <w:kinsoku/>
              <w:wordWrap/>
              <w:overflowPunct/>
              <w:topLinePunct w:val="0"/>
              <w:autoSpaceDE w:val="0"/>
              <w:autoSpaceDN w:val="0"/>
              <w:bidi w:val="0"/>
              <w:adjustRightInd/>
              <w:snapToGrid/>
              <w:spacing w:line="260" w:lineRule="exact"/>
              <w:ind w:left="109"/>
              <w:textAlignment w:val="auto"/>
            </w:pPr>
            <w:r>
              <w:rPr>
                <w:spacing w:val="-1"/>
                <w:sz w:val="20"/>
              </w:rPr>
              <w:t>不另行计量</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val="0"/>
              <w:autoSpaceDN w:val="0"/>
              <w:bidi w:val="0"/>
              <w:adjustRightInd/>
              <w:snapToGrid/>
              <w:spacing w:line="260" w:lineRule="exact"/>
              <w:ind w:right="-220" w:rightChars="-100"/>
              <w:textAlignment w:val="auto"/>
            </w:pPr>
            <w:r>
              <w:rPr>
                <w:rFonts w:ascii="Times New Roman" w:hAnsi="Times New Roman" w:cs="Times New Roman"/>
                <w:sz w:val="20"/>
              </w:rPr>
              <w:t>1.</w:t>
            </w:r>
            <w:r>
              <w:rPr>
                <w:spacing w:val="-1"/>
                <w:position w:val="1"/>
                <w:sz w:val="20"/>
              </w:rPr>
              <w:t>灌木、竹林、胸径小于</w:t>
            </w:r>
            <w:r>
              <w:rPr>
                <w:rFonts w:ascii="Calibri" w:hAnsi="Calibri" w:cs="Calibri"/>
                <w:sz w:val="20"/>
              </w:rPr>
              <w:t> </w:t>
            </w:r>
            <w:r>
              <w:rPr>
                <w:rFonts w:ascii="Times New Roman" w:hAnsi="Times New Roman" w:cs="Times New Roman"/>
                <w:spacing w:val="-1"/>
                <w:sz w:val="20"/>
              </w:rPr>
              <w:t>10cm</w:t>
            </w:r>
            <w:r>
              <w:rPr>
                <w:rFonts w:ascii="Calibri" w:hAnsi="Calibri" w:cs="Calibri"/>
                <w:sz w:val="20"/>
              </w:rPr>
              <w:t> </w:t>
            </w:r>
            <w:r>
              <w:rPr>
                <w:spacing w:val="-1"/>
                <w:position w:val="1"/>
                <w:sz w:val="20"/>
              </w:rPr>
              <w:t>树木的砍伐及挖</w:t>
            </w:r>
            <w:r>
              <w:rPr>
                <w:spacing w:val="-1"/>
                <w:sz w:val="20"/>
              </w:rPr>
              <w:t>根；</w:t>
            </w:r>
          </w:p>
          <w:p>
            <w:pPr>
              <w:keepNext w:val="0"/>
              <w:keepLines w:val="0"/>
              <w:pageBreakBefore w:val="0"/>
              <w:widowControl w:val="0"/>
              <w:kinsoku/>
              <w:wordWrap/>
              <w:overflowPunct/>
              <w:topLinePunct w:val="0"/>
              <w:autoSpaceDE w:val="0"/>
              <w:autoSpaceDN w:val="0"/>
              <w:bidi w:val="0"/>
              <w:adjustRightInd/>
              <w:snapToGrid/>
              <w:spacing w:line="260" w:lineRule="exact"/>
              <w:textAlignment w:val="auto"/>
            </w:pPr>
            <w:r>
              <w:rPr>
                <w:rFonts w:ascii="Times New Roman" w:hAnsi="Times New Roman" w:cs="Times New Roman"/>
                <w:sz w:val="20"/>
              </w:rPr>
              <w:t>2.</w:t>
            </w:r>
            <w:r>
              <w:rPr>
                <w:spacing w:val="-1"/>
                <w:position w:val="1"/>
                <w:sz w:val="20"/>
              </w:rPr>
              <w:t>清除场地表面</w:t>
            </w:r>
            <w:r>
              <w:rPr>
                <w:rFonts w:ascii="Calibri" w:hAnsi="Calibri" w:cs="Calibri"/>
                <w:spacing w:val="-10"/>
                <w:sz w:val="20"/>
              </w:rPr>
              <w:t> </w:t>
            </w:r>
            <w:r>
              <w:rPr>
                <w:rFonts w:ascii="Times New Roman" w:hAnsi="Times New Roman" w:cs="Times New Roman"/>
                <w:spacing w:val="-1"/>
                <w:sz w:val="20"/>
              </w:rPr>
              <w:t>0~30cm</w:t>
            </w:r>
            <w:r>
              <w:rPr>
                <w:spacing w:val="-1"/>
                <w:sz w:val="20"/>
              </w:rPr>
              <w:t>范围内的垃圾、废料、表土（腐殖土）、石头、草皮；</w:t>
            </w:r>
          </w:p>
          <w:p>
            <w:pPr>
              <w:keepNext w:val="0"/>
              <w:keepLines w:val="0"/>
              <w:pageBreakBefore w:val="0"/>
              <w:widowControl w:val="0"/>
              <w:kinsoku/>
              <w:wordWrap/>
              <w:overflowPunct/>
              <w:topLinePunct w:val="0"/>
              <w:autoSpaceDE w:val="0"/>
              <w:autoSpaceDN w:val="0"/>
              <w:bidi w:val="0"/>
              <w:adjustRightInd/>
              <w:snapToGrid/>
              <w:spacing w:line="260" w:lineRule="exact"/>
              <w:textAlignment w:val="auto"/>
            </w:pPr>
            <w:r>
              <w:rPr>
                <w:rFonts w:ascii="Times New Roman" w:hAnsi="Times New Roman" w:cs="Times New Roman"/>
                <w:sz w:val="20"/>
              </w:rPr>
              <w:t>3.</w:t>
            </w:r>
            <w:r>
              <w:rPr>
                <w:spacing w:val="-1"/>
                <w:position w:val="1"/>
                <w:sz w:val="20"/>
              </w:rPr>
              <w:t>与清理现场有关的一</w:t>
            </w:r>
            <w:r>
              <w:rPr>
                <w:spacing w:val="-1"/>
                <w:sz w:val="20"/>
              </w:rPr>
              <w:t>切挖方、坑穴的回填、清理现场后回填至原地面、整平、压实；</w:t>
            </w:r>
          </w:p>
          <w:p>
            <w:pPr>
              <w:keepNext w:val="0"/>
              <w:keepLines w:val="0"/>
              <w:pageBreakBefore w:val="0"/>
              <w:widowControl w:val="0"/>
              <w:kinsoku/>
              <w:wordWrap/>
              <w:overflowPunct/>
              <w:topLinePunct w:val="0"/>
              <w:autoSpaceDE w:val="0"/>
              <w:autoSpaceDN w:val="0"/>
              <w:bidi w:val="0"/>
              <w:adjustRightInd/>
              <w:snapToGrid/>
              <w:spacing w:line="260" w:lineRule="exact"/>
              <w:textAlignment w:val="auto"/>
            </w:pPr>
            <w:r>
              <w:rPr>
                <w:rFonts w:ascii="Times New Roman" w:hAnsi="Times New Roman" w:cs="Times New Roman"/>
                <w:sz w:val="20"/>
              </w:rPr>
              <w:t>4.</w:t>
            </w:r>
            <w:r>
              <w:rPr>
                <w:spacing w:val="-1"/>
                <w:position w:val="1"/>
                <w:sz w:val="20"/>
              </w:rPr>
              <w:t>适用材料的装卸、移</w:t>
            </w:r>
            <w:r>
              <w:rPr>
                <w:spacing w:val="-1"/>
                <w:sz w:val="20"/>
              </w:rPr>
              <w:t>运、堆放及非适用材料的移运处理；</w:t>
            </w:r>
          </w:p>
          <w:p>
            <w:pPr>
              <w:keepNext w:val="0"/>
              <w:keepLines w:val="0"/>
              <w:pageBreakBefore w:val="0"/>
              <w:widowControl w:val="0"/>
              <w:kinsoku/>
              <w:wordWrap/>
              <w:overflowPunct/>
              <w:topLinePunct w:val="0"/>
              <w:autoSpaceDE w:val="0"/>
              <w:autoSpaceDN w:val="0"/>
              <w:bidi w:val="0"/>
              <w:adjustRightInd/>
              <w:snapToGrid/>
              <w:spacing w:line="260" w:lineRule="exact"/>
              <w:textAlignment w:val="auto"/>
            </w:pPr>
            <w:r>
              <w:rPr>
                <w:rFonts w:ascii="Times New Roman" w:hAnsi="Times New Roman" w:cs="Times New Roman"/>
                <w:sz w:val="20"/>
              </w:rPr>
              <w:t>5.</w:t>
            </w:r>
            <w:r>
              <w:rPr>
                <w:spacing w:val="-1"/>
                <w:position w:val="1"/>
                <w:sz w:val="20"/>
              </w:rPr>
              <w:t>现场清理</w:t>
            </w:r>
          </w:p>
        </w:tc>
      </w:tr>
      <w:tr>
        <w:tblPrEx>
          <w:tblCellMar>
            <w:top w:w="0" w:type="dxa"/>
            <w:left w:w="108" w:type="dxa"/>
            <w:bottom w:w="0" w:type="dxa"/>
            <w:right w:w="108" w:type="dxa"/>
          </w:tblCellMar>
        </w:tblPrEx>
        <w:trPr>
          <w:trHeight w:val="1647"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96" w:lineRule="exact"/>
              <w:ind w:left="416"/>
            </w:pPr>
            <w:r>
              <w:rPr>
                <w:rFonts w:ascii="Times New Roman" w:hAnsi="Times New Roman" w:cs="Times New Roman"/>
                <w:spacing w:val="-1"/>
                <w:sz w:val="20"/>
              </w:rPr>
              <w:t>-b</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4" w:lineRule="exact"/>
            </w:pPr>
            <w:r>
              <w:rPr>
                <w:spacing w:val="-1"/>
                <w:sz w:val="20"/>
              </w:rPr>
              <w:t>砍伐树木、挖</w:t>
            </w:r>
          </w:p>
          <w:p>
            <w:pPr>
              <w:spacing w:line="274" w:lineRule="exact"/>
              <w:ind w:left="109"/>
            </w:pPr>
            <w:r>
              <w:rPr>
                <w:spacing w:val="-1"/>
                <w:sz w:val="20"/>
              </w:rPr>
              <w:t>除树根</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61" w:lineRule="exact"/>
              <w:ind w:left="320"/>
            </w:pPr>
            <w:r>
              <w:rPr>
                <w:spacing w:val="-1"/>
                <w:sz w:val="20"/>
              </w:rPr>
              <w:t>棵</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val="0"/>
              <w:autoSpaceDN w:val="0"/>
              <w:bidi w:val="0"/>
              <w:adjustRightInd/>
              <w:snapToGrid/>
              <w:spacing w:line="260" w:lineRule="exact"/>
              <w:ind w:left="282"/>
              <w:textAlignment w:val="auto"/>
            </w:pPr>
            <w:r>
              <w:rPr>
                <w:spacing w:val="-1"/>
                <w:sz w:val="20"/>
              </w:rPr>
              <w:t>依据图纸所示路基范围内胸</w:t>
            </w:r>
          </w:p>
          <w:p>
            <w:pPr>
              <w:keepNext w:val="0"/>
              <w:keepLines w:val="0"/>
              <w:pageBreakBefore w:val="0"/>
              <w:widowControl w:val="0"/>
              <w:kinsoku/>
              <w:wordWrap/>
              <w:overflowPunct/>
              <w:topLinePunct w:val="0"/>
              <w:autoSpaceDE w:val="0"/>
              <w:autoSpaceDN w:val="0"/>
              <w:bidi w:val="0"/>
              <w:adjustRightInd/>
              <w:snapToGrid/>
              <w:spacing w:line="260" w:lineRule="exact"/>
              <w:ind w:left="109"/>
              <w:textAlignment w:val="auto"/>
            </w:pPr>
            <w:r>
              <w:rPr>
                <w:spacing w:val="-1"/>
                <w:position w:val="1"/>
                <w:sz w:val="20"/>
              </w:rPr>
              <w:t>径</w:t>
            </w:r>
            <w:r>
              <w:rPr>
                <w:rFonts w:ascii="Calibri" w:hAnsi="Calibri" w:cs="Calibri"/>
                <w:sz w:val="20"/>
              </w:rPr>
              <w:t> </w:t>
            </w:r>
            <w:r>
              <w:rPr>
                <w:rFonts w:ascii="Times New Roman" w:hAnsi="Times New Roman" w:cs="Times New Roman"/>
                <w:spacing w:val="-1"/>
                <w:sz w:val="20"/>
              </w:rPr>
              <w:t>10cm</w:t>
            </w:r>
            <w:r>
              <w:rPr>
                <w:rFonts w:ascii="Calibri" w:hAnsi="Calibri" w:cs="Calibri"/>
                <w:sz w:val="20"/>
              </w:rPr>
              <w:t> </w:t>
            </w:r>
            <w:r>
              <w:rPr>
                <w:spacing w:val="-1"/>
                <w:position w:val="1"/>
                <w:sz w:val="20"/>
              </w:rPr>
              <w:t>以上（含</w:t>
            </w:r>
            <w:r>
              <w:rPr>
                <w:rFonts w:ascii="Calibri" w:hAnsi="Calibri" w:cs="Calibri"/>
                <w:sz w:val="20"/>
              </w:rPr>
              <w:t> </w:t>
            </w:r>
            <w:r>
              <w:rPr>
                <w:rFonts w:ascii="Times New Roman" w:hAnsi="Times New Roman" w:cs="Times New Roman"/>
                <w:spacing w:val="-1"/>
                <w:sz w:val="20"/>
              </w:rPr>
              <w:t>10cm</w:t>
            </w:r>
            <w:r>
              <w:rPr>
                <w:position w:val="1"/>
                <w:sz w:val="20"/>
              </w:rPr>
              <w:t>）的树</w:t>
            </w:r>
          </w:p>
          <w:p>
            <w:pPr>
              <w:keepNext w:val="0"/>
              <w:keepLines w:val="0"/>
              <w:pageBreakBefore w:val="0"/>
              <w:widowControl w:val="0"/>
              <w:kinsoku/>
              <w:wordWrap/>
              <w:overflowPunct/>
              <w:topLinePunct w:val="0"/>
              <w:autoSpaceDE w:val="0"/>
              <w:autoSpaceDN w:val="0"/>
              <w:bidi w:val="0"/>
              <w:adjustRightInd/>
              <w:snapToGrid/>
              <w:spacing w:line="260" w:lineRule="exact"/>
              <w:ind w:left="109"/>
              <w:textAlignment w:val="auto"/>
            </w:pPr>
            <w:r>
              <w:rPr>
                <w:spacing w:val="-1"/>
                <w:sz w:val="20"/>
              </w:rPr>
              <w:t>木及树根，按实际砍伐及挖除</w:t>
            </w:r>
          </w:p>
          <w:p>
            <w:pPr>
              <w:keepNext w:val="0"/>
              <w:keepLines w:val="0"/>
              <w:pageBreakBefore w:val="0"/>
              <w:widowControl w:val="0"/>
              <w:kinsoku/>
              <w:wordWrap/>
              <w:overflowPunct/>
              <w:topLinePunct w:val="0"/>
              <w:autoSpaceDE w:val="0"/>
              <w:autoSpaceDN w:val="0"/>
              <w:bidi w:val="0"/>
              <w:adjustRightInd/>
              <w:snapToGrid/>
              <w:spacing w:line="260" w:lineRule="exact"/>
              <w:ind w:left="109"/>
              <w:textAlignment w:val="auto"/>
            </w:pPr>
            <w:r>
              <w:rPr>
                <w:spacing w:val="-1"/>
                <w:sz w:val="20"/>
              </w:rPr>
              <w:t>数量以棵为单位计量</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val="0"/>
              <w:autoSpaceDN w:val="0"/>
              <w:bidi w:val="0"/>
              <w:adjustRightInd/>
              <w:snapToGrid/>
              <w:spacing w:line="260" w:lineRule="exact"/>
              <w:textAlignment w:val="auto"/>
            </w:pPr>
            <w:r>
              <w:rPr>
                <w:rFonts w:ascii="Times New Roman" w:hAnsi="Times New Roman" w:cs="Times New Roman"/>
                <w:sz w:val="20"/>
              </w:rPr>
              <w:t>1.</w:t>
            </w:r>
            <w:r>
              <w:rPr>
                <w:spacing w:val="-1"/>
                <w:position w:val="1"/>
                <w:sz w:val="20"/>
              </w:rPr>
              <w:t>砍伐；</w:t>
            </w:r>
          </w:p>
          <w:p>
            <w:pPr>
              <w:keepNext w:val="0"/>
              <w:keepLines w:val="0"/>
              <w:pageBreakBefore w:val="0"/>
              <w:widowControl w:val="0"/>
              <w:kinsoku/>
              <w:wordWrap/>
              <w:overflowPunct/>
              <w:topLinePunct w:val="0"/>
              <w:autoSpaceDE w:val="0"/>
              <w:autoSpaceDN w:val="0"/>
              <w:bidi w:val="0"/>
              <w:adjustRightInd/>
              <w:snapToGrid/>
              <w:spacing w:line="260" w:lineRule="exact"/>
              <w:textAlignment w:val="auto"/>
            </w:pPr>
            <w:r>
              <w:rPr>
                <w:rFonts w:ascii="Times New Roman" w:hAnsi="Times New Roman" w:cs="Times New Roman"/>
                <w:sz w:val="20"/>
              </w:rPr>
              <w:t>2.</w:t>
            </w:r>
            <w:r>
              <w:rPr>
                <w:spacing w:val="-1"/>
                <w:position w:val="1"/>
                <w:sz w:val="20"/>
              </w:rPr>
              <w:t>截锯；</w:t>
            </w:r>
          </w:p>
          <w:p>
            <w:pPr>
              <w:keepNext w:val="0"/>
              <w:keepLines w:val="0"/>
              <w:pageBreakBefore w:val="0"/>
              <w:widowControl w:val="0"/>
              <w:kinsoku/>
              <w:wordWrap/>
              <w:overflowPunct/>
              <w:topLinePunct w:val="0"/>
              <w:autoSpaceDE w:val="0"/>
              <w:autoSpaceDN w:val="0"/>
              <w:bidi w:val="0"/>
              <w:adjustRightInd/>
              <w:snapToGrid/>
              <w:spacing w:line="260" w:lineRule="exact"/>
              <w:textAlignment w:val="auto"/>
            </w:pPr>
            <w:r>
              <w:rPr>
                <w:rFonts w:ascii="Times New Roman" w:hAnsi="Times New Roman" w:cs="Times New Roman"/>
                <w:sz w:val="20"/>
              </w:rPr>
              <w:t>3.</w:t>
            </w:r>
            <w:r>
              <w:rPr>
                <w:spacing w:val="-1"/>
                <w:position w:val="1"/>
                <w:sz w:val="20"/>
              </w:rPr>
              <w:t>挖除树根；</w:t>
            </w:r>
          </w:p>
          <w:p>
            <w:pPr>
              <w:keepNext w:val="0"/>
              <w:keepLines w:val="0"/>
              <w:pageBreakBefore w:val="0"/>
              <w:widowControl w:val="0"/>
              <w:kinsoku/>
              <w:wordWrap/>
              <w:overflowPunct/>
              <w:topLinePunct w:val="0"/>
              <w:autoSpaceDE w:val="0"/>
              <w:autoSpaceDN w:val="0"/>
              <w:bidi w:val="0"/>
              <w:adjustRightInd/>
              <w:snapToGrid/>
              <w:spacing w:line="260" w:lineRule="exact"/>
              <w:textAlignment w:val="auto"/>
            </w:pPr>
            <w:r>
              <w:rPr>
                <w:rFonts w:ascii="Times New Roman" w:hAnsi="Times New Roman" w:cs="Times New Roman"/>
                <w:sz w:val="20"/>
              </w:rPr>
              <w:t>4.</w:t>
            </w:r>
            <w:r>
              <w:rPr>
                <w:spacing w:val="-1"/>
                <w:position w:val="1"/>
                <w:sz w:val="20"/>
              </w:rPr>
              <w:t>装卸、移运至指定地</w:t>
            </w:r>
            <w:r>
              <w:rPr>
                <w:spacing w:val="-1"/>
                <w:sz w:val="20"/>
              </w:rPr>
              <w:t>点堆放；</w:t>
            </w:r>
          </w:p>
          <w:p>
            <w:pPr>
              <w:keepNext w:val="0"/>
              <w:keepLines w:val="0"/>
              <w:pageBreakBefore w:val="0"/>
              <w:widowControl w:val="0"/>
              <w:kinsoku/>
              <w:wordWrap/>
              <w:overflowPunct/>
              <w:topLinePunct w:val="0"/>
              <w:autoSpaceDE w:val="0"/>
              <w:autoSpaceDN w:val="0"/>
              <w:bidi w:val="0"/>
              <w:adjustRightInd/>
              <w:snapToGrid/>
              <w:spacing w:line="260" w:lineRule="exact"/>
              <w:textAlignment w:val="auto"/>
            </w:pPr>
            <w:r>
              <w:rPr>
                <w:rFonts w:ascii="Times New Roman" w:hAnsi="Times New Roman" w:cs="Times New Roman"/>
                <w:sz w:val="20"/>
              </w:rPr>
              <w:t>5.</w:t>
            </w:r>
            <w:r>
              <w:rPr>
                <w:spacing w:val="-1"/>
                <w:position w:val="1"/>
                <w:sz w:val="20"/>
              </w:rPr>
              <w:t>树坑回填、夯实；</w:t>
            </w:r>
          </w:p>
          <w:p>
            <w:pPr>
              <w:keepNext w:val="0"/>
              <w:keepLines w:val="0"/>
              <w:pageBreakBefore w:val="0"/>
              <w:widowControl w:val="0"/>
              <w:kinsoku/>
              <w:wordWrap/>
              <w:overflowPunct/>
              <w:topLinePunct w:val="0"/>
              <w:autoSpaceDE w:val="0"/>
              <w:autoSpaceDN w:val="0"/>
              <w:bidi w:val="0"/>
              <w:adjustRightInd/>
              <w:snapToGrid/>
              <w:spacing w:line="260" w:lineRule="exact"/>
              <w:textAlignment w:val="auto"/>
            </w:pPr>
            <w:r>
              <w:rPr>
                <w:rFonts w:ascii="Times New Roman" w:hAnsi="Times New Roman" w:cs="Times New Roman"/>
                <w:sz w:val="20"/>
              </w:rPr>
              <w:t>6.</w:t>
            </w:r>
            <w:r>
              <w:rPr>
                <w:spacing w:val="-1"/>
                <w:position w:val="1"/>
                <w:sz w:val="20"/>
              </w:rPr>
              <w:t>现场清理</w:t>
            </w:r>
          </w:p>
        </w:tc>
      </w:tr>
      <w:tr>
        <w:tblPrEx>
          <w:tblCellMar>
            <w:top w:w="0" w:type="dxa"/>
            <w:left w:w="108" w:type="dxa"/>
            <w:bottom w:w="0" w:type="dxa"/>
            <w:right w:w="108" w:type="dxa"/>
          </w:tblCellMar>
        </w:tblPrEx>
        <w:trPr>
          <w:trHeight w:val="241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68" w:lineRule="exact"/>
              <w:ind w:left="260"/>
            </w:pPr>
            <w:r>
              <w:rPr>
                <w:rFonts w:ascii="Times New Roman" w:hAnsi="Times New Roman" w:cs="Times New Roman"/>
                <w:spacing w:val="-1"/>
                <w:sz w:val="20"/>
              </w:rPr>
              <w:t>202-2</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33" w:lineRule="exact"/>
              <w:ind w:left="281"/>
            </w:pPr>
            <w:r>
              <w:rPr>
                <w:spacing w:val="-1"/>
                <w:sz w:val="20"/>
              </w:rPr>
              <w:t>挖除旧路面</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76"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val="0"/>
              <w:autoSpaceDN w:val="0"/>
              <w:bidi w:val="0"/>
              <w:adjustRightInd/>
              <w:snapToGrid/>
              <w:spacing w:line="260" w:lineRule="exact"/>
              <w:ind w:left="282"/>
              <w:textAlignment w:val="auto"/>
            </w:pPr>
            <w:r>
              <w:rPr>
                <w:rFonts w:ascii="Times New Roman" w:hAnsi="Times New Roman" w:cs="Times New Roman"/>
                <w:sz w:val="20"/>
              </w:rPr>
              <w:t>1.</w:t>
            </w:r>
            <w:r>
              <w:rPr>
                <w:spacing w:val="-1"/>
                <w:position w:val="1"/>
                <w:sz w:val="20"/>
              </w:rPr>
              <w:t>依据图纸所示位置，挖除</w:t>
            </w:r>
          </w:p>
          <w:p>
            <w:pPr>
              <w:keepNext w:val="0"/>
              <w:keepLines w:val="0"/>
              <w:pageBreakBefore w:val="0"/>
              <w:widowControl w:val="0"/>
              <w:kinsoku/>
              <w:wordWrap/>
              <w:overflowPunct/>
              <w:topLinePunct w:val="0"/>
              <w:autoSpaceDE w:val="0"/>
              <w:autoSpaceDN w:val="0"/>
              <w:bidi w:val="0"/>
              <w:adjustRightInd/>
              <w:snapToGrid/>
              <w:spacing w:line="260" w:lineRule="exact"/>
              <w:ind w:left="109"/>
              <w:textAlignment w:val="auto"/>
            </w:pPr>
            <w:r>
              <w:rPr>
                <w:spacing w:val="-1"/>
                <w:sz w:val="20"/>
              </w:rPr>
              <w:t>路基范围内原有的旧路面，按</w:t>
            </w:r>
          </w:p>
          <w:p>
            <w:pPr>
              <w:keepNext w:val="0"/>
              <w:keepLines w:val="0"/>
              <w:pageBreakBefore w:val="0"/>
              <w:widowControl w:val="0"/>
              <w:kinsoku/>
              <w:wordWrap/>
              <w:overflowPunct/>
              <w:topLinePunct w:val="0"/>
              <w:autoSpaceDE w:val="0"/>
              <w:autoSpaceDN w:val="0"/>
              <w:bidi w:val="0"/>
              <w:adjustRightInd/>
              <w:snapToGrid/>
              <w:spacing w:line="260" w:lineRule="exact"/>
              <w:ind w:left="109"/>
              <w:textAlignment w:val="auto"/>
            </w:pPr>
            <w:r>
              <w:rPr>
                <w:spacing w:val="-1"/>
                <w:sz w:val="20"/>
              </w:rPr>
              <w:t>不同的路面结构类型以立方</w:t>
            </w:r>
          </w:p>
          <w:p>
            <w:pPr>
              <w:keepNext w:val="0"/>
              <w:keepLines w:val="0"/>
              <w:pageBreakBefore w:val="0"/>
              <w:widowControl w:val="0"/>
              <w:kinsoku/>
              <w:wordWrap/>
              <w:overflowPunct/>
              <w:topLinePunct w:val="0"/>
              <w:autoSpaceDE w:val="0"/>
              <w:autoSpaceDN w:val="0"/>
              <w:bidi w:val="0"/>
              <w:adjustRightInd/>
              <w:snapToGrid/>
              <w:spacing w:line="260" w:lineRule="exact"/>
              <w:ind w:left="109"/>
              <w:textAlignment w:val="auto"/>
            </w:pPr>
            <w:r>
              <w:rPr>
                <w:spacing w:val="-1"/>
                <w:sz w:val="20"/>
              </w:rPr>
              <w:t>米为单位计量；</w:t>
            </w:r>
          </w:p>
          <w:p>
            <w:pPr>
              <w:keepNext w:val="0"/>
              <w:keepLines w:val="0"/>
              <w:pageBreakBefore w:val="0"/>
              <w:widowControl w:val="0"/>
              <w:kinsoku/>
              <w:wordWrap/>
              <w:overflowPunct/>
              <w:topLinePunct w:val="0"/>
              <w:autoSpaceDE w:val="0"/>
              <w:autoSpaceDN w:val="0"/>
              <w:bidi w:val="0"/>
              <w:adjustRightInd/>
              <w:snapToGrid/>
              <w:spacing w:line="260" w:lineRule="exact"/>
              <w:ind w:left="282"/>
              <w:textAlignment w:val="auto"/>
            </w:pPr>
            <w:r>
              <w:rPr>
                <w:rFonts w:ascii="Times New Roman" w:hAnsi="Times New Roman" w:cs="Times New Roman"/>
                <w:sz w:val="20"/>
              </w:rPr>
              <w:t>2.</w:t>
            </w:r>
            <w:r>
              <w:rPr>
                <w:spacing w:val="-1"/>
                <w:position w:val="1"/>
                <w:sz w:val="20"/>
              </w:rPr>
              <w:t>挖除旧路面后的借方或利</w:t>
            </w:r>
          </w:p>
          <w:p>
            <w:pPr>
              <w:keepNext w:val="0"/>
              <w:keepLines w:val="0"/>
              <w:pageBreakBefore w:val="0"/>
              <w:widowControl w:val="0"/>
              <w:kinsoku/>
              <w:wordWrap/>
              <w:overflowPunct/>
              <w:topLinePunct w:val="0"/>
              <w:autoSpaceDE w:val="0"/>
              <w:autoSpaceDN w:val="0"/>
              <w:bidi w:val="0"/>
              <w:adjustRightInd/>
              <w:snapToGrid/>
              <w:spacing w:line="260" w:lineRule="exact"/>
              <w:ind w:left="109"/>
              <w:textAlignment w:val="auto"/>
            </w:pPr>
            <w:r>
              <w:rPr>
                <w:spacing w:val="-1"/>
                <w:sz w:val="20"/>
              </w:rPr>
              <w:t>用方回填至原路面标高并压</w:t>
            </w:r>
          </w:p>
          <w:p>
            <w:pPr>
              <w:keepNext w:val="0"/>
              <w:keepLines w:val="0"/>
              <w:pageBreakBefore w:val="0"/>
              <w:widowControl w:val="0"/>
              <w:kinsoku/>
              <w:wordWrap/>
              <w:overflowPunct/>
              <w:topLinePunct w:val="0"/>
              <w:autoSpaceDE w:val="0"/>
              <w:autoSpaceDN w:val="0"/>
              <w:bidi w:val="0"/>
              <w:adjustRightInd/>
              <w:snapToGrid/>
              <w:spacing w:line="260" w:lineRule="exact"/>
              <w:ind w:left="109"/>
              <w:textAlignment w:val="auto"/>
            </w:pPr>
            <w:r>
              <w:rPr>
                <w:spacing w:val="-1"/>
                <w:sz w:val="20"/>
              </w:rPr>
              <w:t>实、面层以下各结构层的挖除</w:t>
            </w:r>
          </w:p>
          <w:p>
            <w:pPr>
              <w:keepNext w:val="0"/>
              <w:keepLines w:val="0"/>
              <w:pageBreakBefore w:val="0"/>
              <w:widowControl w:val="0"/>
              <w:kinsoku/>
              <w:wordWrap/>
              <w:overflowPunct/>
              <w:topLinePunct w:val="0"/>
              <w:autoSpaceDE w:val="0"/>
              <w:autoSpaceDN w:val="0"/>
              <w:bidi w:val="0"/>
              <w:adjustRightInd/>
              <w:snapToGrid/>
              <w:spacing w:line="260" w:lineRule="exact"/>
              <w:ind w:left="109"/>
              <w:textAlignment w:val="auto"/>
            </w:pPr>
            <w:r>
              <w:rPr>
                <w:spacing w:val="-1"/>
                <w:sz w:val="20"/>
              </w:rPr>
              <w:t>费用应列入挖除旧路面单价</w:t>
            </w:r>
          </w:p>
          <w:p>
            <w:pPr>
              <w:keepNext w:val="0"/>
              <w:keepLines w:val="0"/>
              <w:pageBreakBefore w:val="0"/>
              <w:widowControl w:val="0"/>
              <w:kinsoku/>
              <w:wordWrap/>
              <w:overflowPunct/>
              <w:topLinePunct w:val="0"/>
              <w:autoSpaceDE w:val="0"/>
              <w:autoSpaceDN w:val="0"/>
              <w:bidi w:val="0"/>
              <w:adjustRightInd/>
              <w:snapToGrid/>
              <w:spacing w:line="260" w:lineRule="exact"/>
              <w:ind w:left="109"/>
              <w:textAlignment w:val="auto"/>
            </w:pPr>
            <w:r>
              <w:rPr>
                <w:spacing w:val="-1"/>
                <w:sz w:val="20"/>
              </w:rPr>
              <w:t>之内，不另行计量</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val="0"/>
              <w:autoSpaceDN w:val="0"/>
              <w:bidi w:val="0"/>
              <w:adjustRightInd/>
              <w:snapToGrid/>
              <w:spacing w:line="260" w:lineRule="exact"/>
              <w:textAlignment w:val="auto"/>
            </w:pPr>
            <w:r>
              <w:rPr>
                <w:rFonts w:ascii="Times New Roman" w:hAnsi="Times New Roman" w:cs="Times New Roman"/>
                <w:sz w:val="20"/>
              </w:rPr>
              <w:t>1.</w:t>
            </w:r>
            <w:r>
              <w:rPr>
                <w:spacing w:val="-1"/>
                <w:position w:val="1"/>
                <w:sz w:val="20"/>
              </w:rPr>
              <w:t>挖除；</w:t>
            </w:r>
          </w:p>
          <w:p>
            <w:pPr>
              <w:keepNext w:val="0"/>
              <w:keepLines w:val="0"/>
              <w:pageBreakBefore w:val="0"/>
              <w:widowControl w:val="0"/>
              <w:kinsoku/>
              <w:wordWrap/>
              <w:overflowPunct/>
              <w:topLinePunct w:val="0"/>
              <w:autoSpaceDE w:val="0"/>
              <w:autoSpaceDN w:val="0"/>
              <w:bidi w:val="0"/>
              <w:adjustRightInd/>
              <w:snapToGrid/>
              <w:spacing w:line="260" w:lineRule="exact"/>
              <w:textAlignment w:val="auto"/>
            </w:pPr>
            <w:r>
              <w:rPr>
                <w:rFonts w:ascii="Times New Roman" w:hAnsi="Times New Roman" w:cs="Times New Roman"/>
                <w:sz w:val="20"/>
              </w:rPr>
              <w:t>2.</w:t>
            </w:r>
            <w:r>
              <w:rPr>
                <w:spacing w:val="-1"/>
                <w:position w:val="1"/>
                <w:sz w:val="20"/>
              </w:rPr>
              <w:t>装卸、移运、掩埋处</w:t>
            </w:r>
            <w:r>
              <w:rPr>
                <w:spacing w:val="-1"/>
                <w:sz w:val="20"/>
              </w:rPr>
              <w:t>理；</w:t>
            </w:r>
          </w:p>
          <w:p>
            <w:pPr>
              <w:keepNext w:val="0"/>
              <w:keepLines w:val="0"/>
              <w:pageBreakBefore w:val="0"/>
              <w:widowControl w:val="0"/>
              <w:kinsoku/>
              <w:wordWrap/>
              <w:overflowPunct/>
              <w:topLinePunct w:val="0"/>
              <w:autoSpaceDE w:val="0"/>
              <w:autoSpaceDN w:val="0"/>
              <w:bidi w:val="0"/>
              <w:adjustRightInd/>
              <w:snapToGrid/>
              <w:spacing w:line="260" w:lineRule="exact"/>
              <w:textAlignment w:val="auto"/>
            </w:pPr>
            <w:r>
              <w:rPr>
                <w:rFonts w:ascii="Times New Roman" w:hAnsi="Times New Roman" w:cs="Times New Roman"/>
                <w:sz w:val="20"/>
              </w:rPr>
              <w:t>3.</w:t>
            </w:r>
            <w:r>
              <w:rPr>
                <w:spacing w:val="-1"/>
                <w:position w:val="1"/>
                <w:sz w:val="20"/>
              </w:rPr>
              <w:t>路床碾压、回填至原</w:t>
            </w:r>
            <w:r>
              <w:rPr>
                <w:spacing w:val="-1"/>
                <w:sz w:val="20"/>
              </w:rPr>
              <w:t>地面标高；</w:t>
            </w:r>
          </w:p>
          <w:p>
            <w:pPr>
              <w:keepNext w:val="0"/>
              <w:keepLines w:val="0"/>
              <w:pageBreakBefore w:val="0"/>
              <w:widowControl w:val="0"/>
              <w:kinsoku/>
              <w:wordWrap/>
              <w:overflowPunct/>
              <w:topLinePunct w:val="0"/>
              <w:autoSpaceDE w:val="0"/>
              <w:autoSpaceDN w:val="0"/>
              <w:bidi w:val="0"/>
              <w:adjustRightInd/>
              <w:snapToGrid/>
              <w:spacing w:line="260" w:lineRule="exact"/>
              <w:textAlignment w:val="auto"/>
            </w:pPr>
            <w:r>
              <w:rPr>
                <w:rFonts w:ascii="Times New Roman" w:hAnsi="Times New Roman" w:cs="Times New Roman"/>
                <w:sz w:val="20"/>
              </w:rPr>
              <w:t>4.</w:t>
            </w:r>
            <w:r>
              <w:rPr>
                <w:spacing w:val="-1"/>
                <w:position w:val="1"/>
                <w:sz w:val="20"/>
              </w:rPr>
              <w:t>场地清理、平整、压</w:t>
            </w:r>
            <w:r>
              <w:rPr>
                <w:spacing w:val="-1"/>
                <w:sz w:val="20"/>
              </w:rPr>
              <w:t>实</w:t>
            </w:r>
          </w:p>
        </w:tc>
      </w:tr>
      <w:tr>
        <w:tblPrEx>
          <w:tblCellMar>
            <w:top w:w="0" w:type="dxa"/>
            <w:left w:w="108" w:type="dxa"/>
            <w:bottom w:w="0" w:type="dxa"/>
            <w:right w:w="108" w:type="dxa"/>
          </w:tblCellMar>
        </w:tblPrEx>
        <w:trPr>
          <w:trHeight w:val="153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22" w:lineRule="exact"/>
              <w:ind w:left="260"/>
            </w:pPr>
            <w:r>
              <w:rPr>
                <w:rFonts w:ascii="Times New Roman" w:hAnsi="Times New Roman" w:cs="Times New Roman"/>
                <w:spacing w:val="-1"/>
                <w:sz w:val="20"/>
              </w:rPr>
              <w:t>202-3</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33" w:lineRule="exact"/>
              <w:ind w:left="281"/>
            </w:pPr>
            <w:r>
              <w:rPr>
                <w:spacing w:val="-1"/>
                <w:sz w:val="20"/>
              </w:rPr>
              <w:t>拆除结构物</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90"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val="0"/>
              <w:autoSpaceDN w:val="0"/>
              <w:bidi w:val="0"/>
              <w:adjustRightInd/>
              <w:snapToGrid/>
              <w:spacing w:line="260" w:lineRule="exact"/>
              <w:ind w:left="282"/>
              <w:textAlignment w:val="auto"/>
            </w:pPr>
            <w:r>
              <w:rPr>
                <w:spacing w:val="-1"/>
                <w:sz w:val="20"/>
              </w:rPr>
              <w:t>依据图纸所示位置，拆除路</w:t>
            </w:r>
          </w:p>
          <w:p>
            <w:pPr>
              <w:keepNext w:val="0"/>
              <w:keepLines w:val="0"/>
              <w:pageBreakBefore w:val="0"/>
              <w:widowControl w:val="0"/>
              <w:kinsoku/>
              <w:wordWrap/>
              <w:overflowPunct/>
              <w:topLinePunct w:val="0"/>
              <w:autoSpaceDE w:val="0"/>
              <w:autoSpaceDN w:val="0"/>
              <w:bidi w:val="0"/>
              <w:adjustRightInd/>
              <w:snapToGrid/>
              <w:spacing w:line="260" w:lineRule="exact"/>
              <w:ind w:left="109"/>
              <w:textAlignment w:val="auto"/>
            </w:pPr>
            <w:r>
              <w:rPr>
                <w:spacing w:val="-1"/>
                <w:sz w:val="20"/>
              </w:rPr>
              <w:t>基范围内原有的结构物，分不</w:t>
            </w:r>
          </w:p>
          <w:p>
            <w:pPr>
              <w:keepNext w:val="0"/>
              <w:keepLines w:val="0"/>
              <w:pageBreakBefore w:val="0"/>
              <w:widowControl w:val="0"/>
              <w:kinsoku/>
              <w:wordWrap/>
              <w:overflowPunct/>
              <w:topLinePunct w:val="0"/>
              <w:autoSpaceDE w:val="0"/>
              <w:autoSpaceDN w:val="0"/>
              <w:bidi w:val="0"/>
              <w:adjustRightInd/>
              <w:snapToGrid/>
              <w:spacing w:line="260" w:lineRule="exact"/>
              <w:ind w:left="109"/>
              <w:textAlignment w:val="auto"/>
            </w:pPr>
            <w:r>
              <w:rPr>
                <w:sz w:val="20"/>
              </w:rPr>
              <w:t>同类型（钢筋混凝土、混凝土、</w:t>
            </w:r>
            <w:r>
              <w:rPr>
                <w:spacing w:val="-1"/>
                <w:sz w:val="20"/>
              </w:rPr>
              <w:t>砖石及其他砌体），以立方米</w:t>
            </w:r>
          </w:p>
          <w:p>
            <w:pPr>
              <w:keepNext w:val="0"/>
              <w:keepLines w:val="0"/>
              <w:pageBreakBefore w:val="0"/>
              <w:widowControl w:val="0"/>
              <w:kinsoku/>
              <w:wordWrap/>
              <w:overflowPunct/>
              <w:topLinePunct w:val="0"/>
              <w:autoSpaceDE w:val="0"/>
              <w:autoSpaceDN w:val="0"/>
              <w:bidi w:val="0"/>
              <w:adjustRightInd/>
              <w:snapToGrid/>
              <w:spacing w:line="260" w:lineRule="exact"/>
              <w:ind w:left="109"/>
              <w:textAlignment w:val="auto"/>
            </w:pPr>
            <w:r>
              <w:rPr>
                <w:spacing w:val="-1"/>
                <w:sz w:val="20"/>
              </w:rPr>
              <w:t>为单位计量</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val="0"/>
              <w:autoSpaceDN w:val="0"/>
              <w:bidi w:val="0"/>
              <w:adjustRightInd/>
              <w:snapToGrid/>
              <w:spacing w:line="260" w:lineRule="exact"/>
              <w:textAlignment w:val="auto"/>
            </w:pPr>
            <w:r>
              <w:rPr>
                <w:rFonts w:ascii="Times New Roman" w:hAnsi="Times New Roman" w:cs="Times New Roman"/>
                <w:sz w:val="20"/>
              </w:rPr>
              <w:t>1.</w:t>
            </w:r>
            <w:r>
              <w:rPr>
                <w:spacing w:val="-1"/>
                <w:position w:val="1"/>
                <w:sz w:val="20"/>
              </w:rPr>
              <w:t>挖除；</w:t>
            </w:r>
          </w:p>
          <w:p>
            <w:pPr>
              <w:keepNext w:val="0"/>
              <w:keepLines w:val="0"/>
              <w:pageBreakBefore w:val="0"/>
              <w:widowControl w:val="0"/>
              <w:kinsoku/>
              <w:wordWrap/>
              <w:overflowPunct/>
              <w:topLinePunct w:val="0"/>
              <w:autoSpaceDE w:val="0"/>
              <w:autoSpaceDN w:val="0"/>
              <w:bidi w:val="0"/>
              <w:adjustRightInd/>
              <w:snapToGrid/>
              <w:spacing w:line="260" w:lineRule="exact"/>
              <w:textAlignment w:val="auto"/>
            </w:pPr>
            <w:r>
              <w:rPr>
                <w:rFonts w:ascii="Times New Roman" w:hAnsi="Times New Roman" w:cs="Times New Roman"/>
                <w:sz w:val="20"/>
              </w:rPr>
              <w:t>2.</w:t>
            </w:r>
            <w:r>
              <w:rPr>
                <w:spacing w:val="-1"/>
                <w:position w:val="1"/>
                <w:sz w:val="20"/>
              </w:rPr>
              <w:t>装卸、移运、废料处</w:t>
            </w:r>
            <w:r>
              <w:rPr>
                <w:spacing w:val="-1"/>
                <w:sz w:val="20"/>
              </w:rPr>
              <w:t>理；</w:t>
            </w:r>
          </w:p>
          <w:p>
            <w:pPr>
              <w:keepNext w:val="0"/>
              <w:keepLines w:val="0"/>
              <w:pageBreakBefore w:val="0"/>
              <w:widowControl w:val="0"/>
              <w:kinsoku/>
              <w:wordWrap/>
              <w:overflowPunct/>
              <w:topLinePunct w:val="0"/>
              <w:autoSpaceDE w:val="0"/>
              <w:autoSpaceDN w:val="0"/>
              <w:bidi w:val="0"/>
              <w:adjustRightInd/>
              <w:snapToGrid/>
              <w:spacing w:line="260" w:lineRule="exact"/>
              <w:textAlignment w:val="auto"/>
            </w:pPr>
            <w:r>
              <w:rPr>
                <w:rFonts w:ascii="Times New Roman" w:hAnsi="Times New Roman" w:cs="Times New Roman"/>
                <w:sz w:val="20"/>
              </w:rPr>
              <w:t>3.</w:t>
            </w:r>
            <w:r>
              <w:rPr>
                <w:spacing w:val="-1"/>
                <w:position w:val="1"/>
                <w:sz w:val="20"/>
              </w:rPr>
              <w:t>坑穴回填、压实；</w:t>
            </w:r>
          </w:p>
          <w:p>
            <w:pPr>
              <w:keepNext w:val="0"/>
              <w:keepLines w:val="0"/>
              <w:pageBreakBefore w:val="0"/>
              <w:widowControl w:val="0"/>
              <w:kinsoku/>
              <w:wordWrap/>
              <w:overflowPunct/>
              <w:topLinePunct w:val="0"/>
              <w:autoSpaceDE w:val="0"/>
              <w:autoSpaceDN w:val="0"/>
              <w:bidi w:val="0"/>
              <w:adjustRightInd/>
              <w:snapToGrid/>
              <w:spacing w:line="260" w:lineRule="exact"/>
              <w:textAlignment w:val="auto"/>
            </w:pPr>
            <w:r>
              <w:rPr>
                <w:rFonts w:ascii="Times New Roman" w:hAnsi="Times New Roman" w:cs="Times New Roman"/>
                <w:sz w:val="20"/>
              </w:rPr>
              <w:t>4.</w:t>
            </w:r>
            <w:r>
              <w:rPr>
                <w:spacing w:val="-1"/>
                <w:position w:val="1"/>
                <w:sz w:val="20"/>
              </w:rPr>
              <w:t>场地清理、平整</w:t>
            </w:r>
          </w:p>
        </w:tc>
      </w:tr>
      <w:tr>
        <w:tblPrEx>
          <w:tblCellMar>
            <w:top w:w="0" w:type="dxa"/>
            <w:left w:w="108" w:type="dxa"/>
            <w:bottom w:w="0" w:type="dxa"/>
            <w:right w:w="108" w:type="dxa"/>
          </w:tblCellMar>
        </w:tblPrEx>
        <w:trPr>
          <w:trHeight w:val="37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25" w:lineRule="exact"/>
              <w:ind w:left="260"/>
            </w:pPr>
            <w:r>
              <w:rPr>
                <w:rFonts w:ascii="Times New Roman" w:hAnsi="Times New Roman" w:cs="Times New Roman"/>
                <w:spacing w:val="-1"/>
                <w:sz w:val="20"/>
              </w:rPr>
              <w:t>203-1</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3" w:lineRule="exact"/>
              <w:ind w:left="281"/>
            </w:pPr>
            <w:r>
              <w:rPr>
                <w:spacing w:val="-1"/>
                <w:sz w:val="20"/>
              </w:rPr>
              <w:t>路基挖方</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3" w:lineRule="exact"/>
            </w:pP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3" w:lineRule="exact"/>
            </w:pP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3" w:lineRule="exact"/>
            </w:pPr>
          </w:p>
        </w:tc>
      </w:tr>
      <w:tr>
        <w:tblPrEx>
          <w:tblCellMar>
            <w:top w:w="0" w:type="dxa"/>
            <w:left w:w="108" w:type="dxa"/>
            <w:bottom w:w="0" w:type="dxa"/>
            <w:right w:w="108" w:type="dxa"/>
          </w:tblCellMar>
        </w:tblPrEx>
        <w:trPr>
          <w:trHeight w:val="231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97" w:lineRule="exact"/>
              <w:ind w:left="423"/>
            </w:pPr>
            <w:r>
              <w:rPr>
                <w:rFonts w:ascii="Times New Roman" w:hAnsi="Times New Roman" w:cs="Times New Roman"/>
                <w:spacing w:val="-1"/>
                <w:sz w:val="20"/>
              </w:rPr>
              <w:t>-a</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05" w:lineRule="exact"/>
              <w:ind w:left="281"/>
            </w:pPr>
            <w:r>
              <w:rPr>
                <w:spacing w:val="-1"/>
                <w:sz w:val="20"/>
              </w:rPr>
              <w:t>挖土方</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65"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val="0"/>
              <w:autoSpaceDN w:val="0"/>
              <w:bidi w:val="0"/>
              <w:adjustRightInd/>
              <w:snapToGrid/>
              <w:spacing w:line="260" w:lineRule="exact"/>
              <w:ind w:left="0"/>
              <w:textAlignment w:val="auto"/>
            </w:pPr>
            <w:r>
              <w:rPr>
                <w:rFonts w:ascii="Times New Roman" w:hAnsi="Times New Roman" w:cs="Times New Roman"/>
                <w:sz w:val="20"/>
              </w:rPr>
              <w:t>1.</w:t>
            </w:r>
            <w:r>
              <w:rPr>
                <w:spacing w:val="-1"/>
                <w:position w:val="1"/>
                <w:sz w:val="20"/>
              </w:rPr>
              <w:t>依据图纸所示地面线、路</w:t>
            </w:r>
          </w:p>
          <w:p>
            <w:pPr>
              <w:keepNext w:val="0"/>
              <w:keepLines w:val="0"/>
              <w:pageBreakBefore w:val="0"/>
              <w:widowControl w:val="0"/>
              <w:kinsoku/>
              <w:wordWrap/>
              <w:overflowPunct/>
              <w:topLinePunct w:val="0"/>
              <w:autoSpaceDE w:val="0"/>
              <w:autoSpaceDN w:val="0"/>
              <w:bidi w:val="0"/>
              <w:adjustRightInd/>
              <w:snapToGrid/>
              <w:spacing w:line="260" w:lineRule="exact"/>
              <w:ind w:left="0"/>
              <w:textAlignment w:val="auto"/>
            </w:pPr>
            <w:r>
              <w:rPr>
                <w:spacing w:val="-1"/>
                <w:sz w:val="20"/>
              </w:rPr>
              <w:t>基设计横断面图、路基土石比</w:t>
            </w:r>
          </w:p>
          <w:p>
            <w:pPr>
              <w:keepNext w:val="0"/>
              <w:keepLines w:val="0"/>
              <w:pageBreakBefore w:val="0"/>
              <w:widowControl w:val="0"/>
              <w:kinsoku/>
              <w:wordWrap/>
              <w:overflowPunct/>
              <w:topLinePunct w:val="0"/>
              <w:autoSpaceDE w:val="0"/>
              <w:autoSpaceDN w:val="0"/>
              <w:bidi w:val="0"/>
              <w:adjustRightInd/>
              <w:snapToGrid/>
              <w:spacing w:line="260" w:lineRule="exact"/>
              <w:ind w:left="0"/>
              <w:textAlignment w:val="auto"/>
            </w:pPr>
            <w:r>
              <w:rPr>
                <w:spacing w:val="-1"/>
                <w:sz w:val="20"/>
              </w:rPr>
              <w:t>例，采用平均断面面积法计</w:t>
            </w:r>
          </w:p>
          <w:p>
            <w:pPr>
              <w:keepNext w:val="0"/>
              <w:keepLines w:val="0"/>
              <w:pageBreakBefore w:val="0"/>
              <w:widowControl w:val="0"/>
              <w:kinsoku/>
              <w:wordWrap/>
              <w:overflowPunct/>
              <w:topLinePunct w:val="0"/>
              <w:autoSpaceDE w:val="0"/>
              <w:autoSpaceDN w:val="0"/>
              <w:bidi w:val="0"/>
              <w:adjustRightInd/>
              <w:snapToGrid/>
              <w:spacing w:line="260" w:lineRule="exact"/>
              <w:ind w:left="0"/>
              <w:textAlignment w:val="auto"/>
            </w:pPr>
            <w:r>
              <w:rPr>
                <w:spacing w:val="-1"/>
                <w:sz w:val="20"/>
              </w:rPr>
              <w:t>算，包括边沟、排水沟、截水</w:t>
            </w:r>
          </w:p>
          <w:p>
            <w:pPr>
              <w:keepNext w:val="0"/>
              <w:keepLines w:val="0"/>
              <w:pageBreakBefore w:val="0"/>
              <w:widowControl w:val="0"/>
              <w:kinsoku/>
              <w:wordWrap/>
              <w:overflowPunct/>
              <w:topLinePunct w:val="0"/>
              <w:autoSpaceDE w:val="0"/>
              <w:autoSpaceDN w:val="0"/>
              <w:bidi w:val="0"/>
              <w:adjustRightInd/>
              <w:snapToGrid/>
              <w:spacing w:line="260" w:lineRule="exact"/>
              <w:ind w:left="0"/>
              <w:textAlignment w:val="auto"/>
            </w:pPr>
            <w:r>
              <w:rPr>
                <w:spacing w:val="-1"/>
                <w:sz w:val="20"/>
              </w:rPr>
              <w:t>沟的土方，按照天然密实体积</w:t>
            </w:r>
          </w:p>
          <w:p>
            <w:pPr>
              <w:keepNext w:val="0"/>
              <w:keepLines w:val="0"/>
              <w:pageBreakBefore w:val="0"/>
              <w:widowControl w:val="0"/>
              <w:kinsoku/>
              <w:wordWrap/>
              <w:overflowPunct/>
              <w:topLinePunct w:val="0"/>
              <w:autoSpaceDE w:val="0"/>
              <w:autoSpaceDN w:val="0"/>
              <w:bidi w:val="0"/>
              <w:adjustRightInd/>
              <w:snapToGrid/>
              <w:spacing w:line="260" w:lineRule="exact"/>
              <w:ind w:left="0"/>
              <w:textAlignment w:val="auto"/>
            </w:pPr>
            <w:r>
              <w:rPr>
                <w:spacing w:val="-1"/>
                <w:sz w:val="20"/>
              </w:rPr>
              <w:t>以立方米为单位计量；</w:t>
            </w:r>
          </w:p>
          <w:p>
            <w:pPr>
              <w:keepNext w:val="0"/>
              <w:keepLines w:val="0"/>
              <w:pageBreakBefore w:val="0"/>
              <w:widowControl w:val="0"/>
              <w:kinsoku/>
              <w:wordWrap/>
              <w:overflowPunct/>
              <w:topLinePunct w:val="0"/>
              <w:autoSpaceDE w:val="0"/>
              <w:autoSpaceDN w:val="0"/>
              <w:bidi w:val="0"/>
              <w:adjustRightInd/>
              <w:snapToGrid/>
              <w:spacing w:line="260" w:lineRule="exact"/>
              <w:ind w:left="0"/>
              <w:textAlignment w:val="auto"/>
            </w:pPr>
            <w:r>
              <w:rPr>
                <w:rFonts w:ascii="Times New Roman" w:hAnsi="Times New Roman" w:cs="Times New Roman"/>
                <w:sz w:val="20"/>
              </w:rPr>
              <w:t>2.</w:t>
            </w:r>
            <w:r>
              <w:rPr>
                <w:spacing w:val="-1"/>
                <w:position w:val="1"/>
                <w:sz w:val="20"/>
              </w:rPr>
              <w:t>在挖土方路段、零填挖路</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val="0"/>
              <w:autoSpaceDN w:val="0"/>
              <w:bidi w:val="0"/>
              <w:adjustRightInd/>
              <w:snapToGrid/>
              <w:spacing w:line="260" w:lineRule="exact"/>
              <w:ind w:left="0"/>
              <w:textAlignment w:val="auto"/>
            </w:pPr>
            <w:r>
              <w:rPr>
                <w:rFonts w:ascii="Times New Roman" w:hAnsi="Times New Roman" w:cs="Times New Roman"/>
                <w:sz w:val="20"/>
              </w:rPr>
              <w:t>1.</w:t>
            </w:r>
            <w:r>
              <w:rPr>
                <w:spacing w:val="-1"/>
                <w:position w:val="1"/>
                <w:sz w:val="20"/>
              </w:rPr>
              <w:t>挖、装、运输、卸车；</w:t>
            </w:r>
          </w:p>
          <w:p>
            <w:pPr>
              <w:keepNext w:val="0"/>
              <w:keepLines w:val="0"/>
              <w:pageBreakBefore w:val="0"/>
              <w:widowControl w:val="0"/>
              <w:kinsoku/>
              <w:wordWrap/>
              <w:overflowPunct/>
              <w:topLinePunct w:val="0"/>
              <w:autoSpaceDE w:val="0"/>
              <w:autoSpaceDN w:val="0"/>
              <w:bidi w:val="0"/>
              <w:adjustRightInd/>
              <w:snapToGrid/>
              <w:spacing w:line="260" w:lineRule="exact"/>
              <w:ind w:left="0"/>
              <w:textAlignment w:val="auto"/>
            </w:pPr>
            <w:r>
              <w:rPr>
                <w:rFonts w:ascii="Times New Roman" w:hAnsi="Times New Roman" w:cs="Times New Roman"/>
                <w:sz w:val="20"/>
              </w:rPr>
              <w:t>2.</w:t>
            </w:r>
            <w:r>
              <w:rPr>
                <w:spacing w:val="-1"/>
                <w:position w:val="1"/>
                <w:sz w:val="20"/>
              </w:rPr>
              <w:t>填料分理、弃土整形、</w:t>
            </w:r>
            <w:r>
              <w:rPr>
                <w:spacing w:val="-1"/>
                <w:sz w:val="20"/>
              </w:rPr>
              <w:t>压实；</w:t>
            </w:r>
          </w:p>
          <w:p>
            <w:pPr>
              <w:keepNext w:val="0"/>
              <w:keepLines w:val="0"/>
              <w:pageBreakBefore w:val="0"/>
              <w:widowControl w:val="0"/>
              <w:kinsoku/>
              <w:wordWrap/>
              <w:overflowPunct/>
              <w:topLinePunct w:val="0"/>
              <w:autoSpaceDE w:val="0"/>
              <w:autoSpaceDN w:val="0"/>
              <w:bidi w:val="0"/>
              <w:adjustRightInd/>
              <w:snapToGrid/>
              <w:spacing w:line="260" w:lineRule="exact"/>
              <w:ind w:left="0"/>
              <w:textAlignment w:val="auto"/>
            </w:pPr>
            <w:r>
              <w:rPr>
                <w:rFonts w:ascii="Times New Roman" w:hAnsi="Times New Roman" w:cs="Times New Roman"/>
                <w:sz w:val="20"/>
              </w:rPr>
              <w:t>3.</w:t>
            </w:r>
            <w:r>
              <w:rPr>
                <w:spacing w:val="-1"/>
                <w:position w:val="1"/>
                <w:sz w:val="20"/>
              </w:rPr>
              <w:t>施工排水处理；</w:t>
            </w:r>
          </w:p>
          <w:p>
            <w:pPr>
              <w:keepNext w:val="0"/>
              <w:keepLines w:val="0"/>
              <w:pageBreakBefore w:val="0"/>
              <w:widowControl w:val="0"/>
              <w:kinsoku/>
              <w:wordWrap/>
              <w:overflowPunct/>
              <w:topLinePunct w:val="0"/>
              <w:autoSpaceDE w:val="0"/>
              <w:autoSpaceDN w:val="0"/>
              <w:bidi w:val="0"/>
              <w:adjustRightInd/>
              <w:snapToGrid/>
              <w:spacing w:line="260" w:lineRule="exact"/>
              <w:ind w:left="0"/>
              <w:textAlignment w:val="auto"/>
            </w:pPr>
            <w:r>
              <w:rPr>
                <w:rFonts w:ascii="Times New Roman" w:hAnsi="Times New Roman" w:cs="Times New Roman"/>
                <w:sz w:val="20"/>
              </w:rPr>
              <w:t>4.</w:t>
            </w:r>
            <w:r>
              <w:rPr>
                <w:spacing w:val="-1"/>
                <w:position w:val="1"/>
                <w:sz w:val="20"/>
              </w:rPr>
              <w:t>边坡整修、路床顶面以下挖松深</w:t>
            </w:r>
            <w:r>
              <w:rPr>
                <w:rFonts w:ascii="Calibri" w:hAnsi="Calibri" w:cs="Calibri"/>
                <w:sz w:val="20"/>
              </w:rPr>
              <w:t> </w:t>
            </w:r>
            <w:r>
              <w:rPr>
                <w:rFonts w:ascii="Times New Roman" w:hAnsi="Times New Roman" w:cs="Times New Roman"/>
                <w:spacing w:val="-1"/>
                <w:sz w:val="20"/>
              </w:rPr>
              <w:t>300mm</w:t>
            </w:r>
            <w:r>
              <w:rPr>
                <w:rFonts w:ascii="Calibri" w:hAnsi="Calibri" w:cs="Calibri"/>
                <w:sz w:val="20"/>
              </w:rPr>
              <w:t> </w:t>
            </w:r>
            <w:r>
              <w:rPr>
                <w:spacing w:val="-1"/>
                <w:position w:val="1"/>
                <w:sz w:val="20"/>
              </w:rPr>
              <w:t>再压</w:t>
            </w:r>
            <w:r>
              <w:rPr>
                <w:spacing w:val="-1"/>
                <w:sz w:val="20"/>
              </w:rPr>
              <w:t>实、路床清理</w:t>
            </w:r>
          </w:p>
        </w:tc>
      </w:tr>
    </w:tbl>
    <w:p>
      <w:pPr>
        <w:spacing w:line="242" w:lineRule="auto"/>
        <w:jc w:val="both"/>
        <w:rPr>
          <w:sz w:val="21"/>
        </w:rPr>
        <w:sectPr>
          <w:footerReference r:id="rId20" w:type="default"/>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blPrEx>
          <w:tblCellMar>
            <w:top w:w="0" w:type="dxa"/>
            <w:left w:w="108" w:type="dxa"/>
            <w:bottom w:w="0" w:type="dxa"/>
            <w:right w:w="108" w:type="dxa"/>
          </w:tblCellMar>
        </w:tblPrEx>
        <w:trPr>
          <w:trHeight w:val="3823"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37" w:lineRule="exact"/>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37" w:lineRule="exact"/>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37" w:lineRule="exact"/>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109"/>
            </w:pPr>
            <w:r>
              <w:rPr>
                <w:spacing w:val="-1"/>
                <w:sz w:val="20"/>
              </w:rPr>
              <w:t>段、低填路段的路床顶面以下</w:t>
            </w:r>
          </w:p>
          <w:p>
            <w:pPr>
              <w:spacing w:line="308" w:lineRule="exact"/>
              <w:ind w:left="109"/>
            </w:pPr>
            <w:r>
              <w:rPr>
                <w:rFonts w:ascii="Times New Roman" w:hAnsi="Times New Roman" w:cs="Times New Roman"/>
                <w:spacing w:val="-1"/>
                <w:sz w:val="20"/>
              </w:rPr>
              <w:t>0</w:t>
            </w:r>
            <w:r>
              <w:rPr>
                <w:spacing w:val="-1"/>
                <w:position w:val="1"/>
                <w:sz w:val="20"/>
              </w:rPr>
              <w:t>～</w:t>
            </w:r>
            <w:r>
              <w:rPr>
                <w:rFonts w:ascii="Times New Roman" w:hAnsi="Times New Roman" w:cs="Times New Roman"/>
                <w:spacing w:val="-1"/>
                <w:sz w:val="20"/>
              </w:rPr>
              <w:t>800mm</w:t>
            </w:r>
            <w:r>
              <w:rPr>
                <w:rFonts w:ascii="Calibri" w:hAnsi="Calibri" w:cs="Calibri"/>
                <w:sz w:val="20"/>
              </w:rPr>
              <w:t> </w:t>
            </w:r>
            <w:r>
              <w:rPr>
                <w:spacing w:val="-1"/>
                <w:position w:val="1"/>
                <w:sz w:val="20"/>
              </w:rPr>
              <w:t>范围内的压实度不</w:t>
            </w:r>
          </w:p>
          <w:p>
            <w:pPr>
              <w:spacing w:line="237" w:lineRule="exact"/>
              <w:ind w:left="109"/>
            </w:pPr>
            <w:r>
              <w:rPr>
                <w:spacing w:val="-1"/>
                <w:sz w:val="20"/>
              </w:rPr>
              <w:t>满足技术规范要求时，按规范</w:t>
            </w:r>
          </w:p>
          <w:p>
            <w:pPr>
              <w:spacing w:line="274" w:lineRule="exact"/>
              <w:ind w:left="109"/>
            </w:pPr>
            <w:r>
              <w:rPr>
                <w:spacing w:val="-1"/>
                <w:sz w:val="20"/>
              </w:rPr>
              <w:t>要求所采取的翻松、压实，作</w:t>
            </w:r>
          </w:p>
          <w:p>
            <w:pPr>
              <w:spacing w:line="271" w:lineRule="exact"/>
              <w:ind w:left="109"/>
            </w:pPr>
            <w:r>
              <w:rPr>
                <w:spacing w:val="-1"/>
                <w:sz w:val="20"/>
              </w:rPr>
              <w:t>为挖土方的附属工作，不另行</w:t>
            </w:r>
          </w:p>
          <w:p>
            <w:pPr>
              <w:spacing w:line="271" w:lineRule="exact"/>
              <w:ind w:left="109"/>
            </w:pPr>
            <w:r>
              <w:rPr>
                <w:spacing w:val="-1"/>
                <w:sz w:val="20"/>
              </w:rPr>
              <w:t>计量；</w:t>
            </w:r>
          </w:p>
          <w:p>
            <w:pPr>
              <w:spacing w:line="308" w:lineRule="exact"/>
              <w:ind w:left="282"/>
            </w:pPr>
            <w:r>
              <w:rPr>
                <w:rFonts w:ascii="Times New Roman" w:hAnsi="Times New Roman" w:cs="Times New Roman"/>
                <w:sz w:val="20"/>
              </w:rPr>
              <w:t>3.</w:t>
            </w:r>
            <w:r>
              <w:rPr>
                <w:spacing w:val="-1"/>
                <w:position w:val="1"/>
                <w:sz w:val="20"/>
              </w:rPr>
              <w:t>凡超过图纸或监理人规定</w:t>
            </w:r>
          </w:p>
          <w:p>
            <w:pPr>
              <w:spacing w:line="237" w:lineRule="exact"/>
              <w:ind w:left="109"/>
            </w:pPr>
            <w:r>
              <w:rPr>
                <w:spacing w:val="-1"/>
                <w:sz w:val="20"/>
              </w:rPr>
              <w:t>尺寸的开挖，均不予计量；</w:t>
            </w:r>
          </w:p>
          <w:p>
            <w:pPr>
              <w:spacing w:line="308" w:lineRule="exact"/>
              <w:ind w:left="282"/>
            </w:pPr>
            <w:r>
              <w:rPr>
                <w:rFonts w:ascii="Times New Roman" w:hAnsi="Times New Roman" w:cs="Times New Roman"/>
                <w:sz w:val="20"/>
              </w:rPr>
              <w:t>4.</w:t>
            </w:r>
            <w:r>
              <w:rPr>
                <w:spacing w:val="-1"/>
                <w:position w:val="1"/>
                <w:sz w:val="20"/>
              </w:rPr>
              <w:t>结构物台背回填的挖运土</w:t>
            </w:r>
          </w:p>
          <w:p>
            <w:pPr>
              <w:spacing w:line="239" w:lineRule="exact"/>
              <w:ind w:left="109"/>
            </w:pPr>
            <w:r>
              <w:rPr>
                <w:spacing w:val="-1"/>
                <w:sz w:val="20"/>
              </w:rPr>
              <w:t>方不另行计量，桥梁及明涵的</w:t>
            </w:r>
          </w:p>
          <w:p>
            <w:pPr>
              <w:spacing w:line="271" w:lineRule="exact"/>
              <w:ind w:left="109"/>
            </w:pPr>
            <w:r>
              <w:rPr>
                <w:spacing w:val="-1"/>
                <w:sz w:val="20"/>
              </w:rPr>
              <w:t>搭板、埋板下的路面结构层在</w:t>
            </w:r>
          </w:p>
          <w:p>
            <w:pPr>
              <w:spacing w:line="271" w:lineRule="exact"/>
              <w:ind w:left="109"/>
            </w:pPr>
            <w:r>
              <w:rPr>
                <w:spacing w:val="-1"/>
                <w:sz w:val="20"/>
              </w:rPr>
              <w:t>相应章节内计量；</w:t>
            </w:r>
          </w:p>
          <w:p>
            <w:pPr>
              <w:spacing w:line="308" w:lineRule="exact"/>
              <w:ind w:left="282"/>
            </w:pPr>
            <w:r>
              <w:rPr>
                <w:rFonts w:ascii="Times New Roman" w:hAnsi="Times New Roman" w:cs="Times New Roman"/>
                <w:sz w:val="20"/>
              </w:rPr>
              <w:t>5.</w:t>
            </w:r>
            <w:r>
              <w:rPr>
                <w:spacing w:val="-1"/>
                <w:position w:val="1"/>
                <w:sz w:val="20"/>
              </w:rPr>
              <w:t>挖台阶的土方作为附属工</w:t>
            </w:r>
          </w:p>
          <w:p>
            <w:pPr>
              <w:spacing w:line="236" w:lineRule="exact"/>
              <w:ind w:left="109"/>
            </w:pPr>
            <w:r>
              <w:rPr>
                <w:spacing w:val="-1"/>
                <w:sz w:val="20"/>
              </w:rPr>
              <w:t>作，不另行计量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36" w:lineRule="exact"/>
            </w:pPr>
          </w:p>
        </w:tc>
      </w:tr>
      <w:tr>
        <w:tblPrEx>
          <w:tblCellMar>
            <w:top w:w="0" w:type="dxa"/>
            <w:left w:w="108" w:type="dxa"/>
            <w:bottom w:w="0" w:type="dxa"/>
            <w:right w:w="108" w:type="dxa"/>
          </w:tblCellMar>
        </w:tblPrEx>
        <w:trPr>
          <w:trHeight w:val="4095"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185" w:lineRule="exact"/>
              <w:ind w:left="416"/>
            </w:pPr>
            <w:r>
              <w:rPr>
                <w:rFonts w:ascii="Times New Roman" w:hAnsi="Times New Roman" w:cs="Times New Roman"/>
                <w:spacing w:val="-1"/>
                <w:sz w:val="20"/>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194" w:lineRule="exact"/>
              <w:ind w:left="281"/>
            </w:pPr>
            <w:r>
              <w:rPr>
                <w:spacing w:val="-1"/>
                <w:sz w:val="20"/>
              </w:rPr>
              <w:t>挖石方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154"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2"/>
            </w:pPr>
            <w:r>
              <w:rPr>
                <w:rFonts w:ascii="Times New Roman" w:hAnsi="Times New Roman" w:cs="Times New Roman"/>
                <w:sz w:val="20"/>
              </w:rPr>
              <w:t>1.</w:t>
            </w:r>
            <w:r>
              <w:rPr>
                <w:spacing w:val="-1"/>
                <w:position w:val="1"/>
                <w:sz w:val="20"/>
              </w:rPr>
              <w:t>依据图纸所示地面线、路</w:t>
            </w:r>
          </w:p>
          <w:p>
            <w:pPr>
              <w:spacing w:line="237" w:lineRule="exact"/>
              <w:ind w:left="109"/>
            </w:pPr>
            <w:r>
              <w:rPr>
                <w:spacing w:val="-1"/>
                <w:sz w:val="20"/>
              </w:rPr>
              <w:t>基设计横断面图、路基土石比</w:t>
            </w:r>
          </w:p>
          <w:p>
            <w:pPr>
              <w:spacing w:line="271" w:lineRule="exact"/>
              <w:ind w:left="109"/>
            </w:pPr>
            <w:r>
              <w:rPr>
                <w:spacing w:val="-1"/>
                <w:sz w:val="20"/>
              </w:rPr>
              <w:t>例，按平均断面积法计算，包</w:t>
            </w:r>
          </w:p>
          <w:p>
            <w:pPr>
              <w:spacing w:line="274" w:lineRule="exact"/>
              <w:ind w:left="109"/>
            </w:pPr>
            <w:r>
              <w:rPr>
                <w:spacing w:val="-1"/>
                <w:sz w:val="20"/>
              </w:rPr>
              <w:t>括边沟、排水沟、截水沟的石</w:t>
            </w:r>
          </w:p>
          <w:p>
            <w:pPr>
              <w:spacing w:line="274" w:lineRule="exact"/>
              <w:ind w:left="109"/>
            </w:pPr>
            <w:r>
              <w:rPr>
                <w:spacing w:val="-1"/>
                <w:sz w:val="20"/>
              </w:rPr>
              <w:t>方，按照天然体积以立方米为</w:t>
            </w:r>
          </w:p>
          <w:p>
            <w:pPr>
              <w:spacing w:line="271" w:lineRule="exact"/>
              <w:ind w:left="109"/>
            </w:pPr>
            <w:r>
              <w:rPr>
                <w:spacing w:val="-1"/>
                <w:sz w:val="20"/>
              </w:rPr>
              <w:t>单位计量；</w:t>
            </w:r>
          </w:p>
          <w:p>
            <w:pPr>
              <w:spacing w:line="308" w:lineRule="exact"/>
              <w:ind w:left="282"/>
            </w:pPr>
            <w:r>
              <w:rPr>
                <w:rFonts w:ascii="Times New Roman" w:hAnsi="Times New Roman" w:cs="Times New Roman"/>
                <w:sz w:val="20"/>
              </w:rPr>
              <w:t>2.</w:t>
            </w:r>
            <w:r>
              <w:rPr>
                <w:spacing w:val="-1"/>
                <w:position w:val="1"/>
                <w:sz w:val="20"/>
              </w:rPr>
              <w:t>凡超过图纸或监理人规定</w:t>
            </w:r>
          </w:p>
          <w:p>
            <w:pPr>
              <w:spacing w:line="237" w:lineRule="exact"/>
              <w:ind w:left="109"/>
            </w:pPr>
            <w:r>
              <w:rPr>
                <w:spacing w:val="-1"/>
                <w:sz w:val="20"/>
              </w:rPr>
              <w:t>尺寸的开挖，均不予计量；</w:t>
            </w:r>
          </w:p>
          <w:p>
            <w:pPr>
              <w:spacing w:line="306" w:lineRule="exact"/>
              <w:ind w:left="282"/>
            </w:pPr>
            <w:r>
              <w:rPr>
                <w:rFonts w:ascii="Times New Roman" w:hAnsi="Times New Roman" w:cs="Times New Roman"/>
                <w:sz w:val="20"/>
              </w:rPr>
              <w:t>3.</w:t>
            </w:r>
            <w:r>
              <w:rPr>
                <w:spacing w:val="-1"/>
                <w:position w:val="1"/>
                <w:sz w:val="20"/>
              </w:rPr>
              <w:t>爆破安全措施、运输</w:t>
            </w:r>
            <w:r>
              <w:rPr>
                <w:rFonts w:ascii="Times New Roman" w:hAnsi="Times New Roman" w:cs="Times New Roman"/>
                <w:spacing w:val="-1"/>
                <w:sz w:val="20"/>
              </w:rPr>
              <w:t>(</w:t>
            </w:r>
            <w:r>
              <w:rPr>
                <w:spacing w:val="-1"/>
                <w:position w:val="1"/>
                <w:sz w:val="20"/>
              </w:rPr>
              <w:t>不论</w:t>
            </w:r>
          </w:p>
          <w:p>
            <w:pPr>
              <w:spacing w:line="274" w:lineRule="exact"/>
              <w:ind w:left="109"/>
            </w:pPr>
            <w:r>
              <w:rPr>
                <w:spacing w:val="-1"/>
                <w:position w:val="1"/>
                <w:sz w:val="20"/>
              </w:rPr>
              <w:t>运距远近</w:t>
            </w:r>
            <w:r>
              <w:rPr>
                <w:rFonts w:ascii="Times New Roman" w:hAnsi="Times New Roman" w:cs="Times New Roman"/>
                <w:spacing w:val="-1"/>
                <w:sz w:val="20"/>
              </w:rPr>
              <w:t>)</w:t>
            </w:r>
            <w:r>
              <w:rPr>
                <w:spacing w:val="-1"/>
                <w:position w:val="1"/>
                <w:sz w:val="20"/>
              </w:rPr>
              <w:t>和堆放、质量检验、</w:t>
            </w:r>
          </w:p>
          <w:p>
            <w:pPr>
              <w:spacing w:line="237" w:lineRule="exact"/>
              <w:ind w:left="109"/>
            </w:pPr>
            <w:r>
              <w:rPr>
                <w:spacing w:val="-1"/>
                <w:sz w:val="20"/>
              </w:rPr>
              <w:t>临时道路和临时排水均属于</w:t>
            </w:r>
          </w:p>
          <w:p>
            <w:pPr>
              <w:spacing w:line="274" w:lineRule="exact"/>
              <w:ind w:left="109"/>
            </w:pPr>
            <w:r>
              <w:rPr>
                <w:spacing w:val="-1"/>
                <w:sz w:val="20"/>
              </w:rPr>
              <w:t>附属工作，不另行计量与支</w:t>
            </w:r>
          </w:p>
          <w:p>
            <w:pPr>
              <w:spacing w:line="271" w:lineRule="exact"/>
              <w:ind w:left="109"/>
            </w:pPr>
            <w:r>
              <w:rPr>
                <w:spacing w:val="-1"/>
                <w:sz w:val="20"/>
              </w:rPr>
              <w:t>付；</w:t>
            </w:r>
          </w:p>
          <w:p>
            <w:pPr>
              <w:spacing w:line="308" w:lineRule="exact"/>
              <w:ind w:left="282"/>
            </w:pPr>
            <w:r>
              <w:rPr>
                <w:rFonts w:ascii="Times New Roman" w:hAnsi="Times New Roman" w:cs="Times New Roman"/>
                <w:sz w:val="20"/>
              </w:rPr>
              <w:t>4.</w:t>
            </w:r>
            <w:r>
              <w:rPr>
                <w:spacing w:val="-1"/>
                <w:position w:val="1"/>
                <w:sz w:val="20"/>
              </w:rPr>
              <w:t>挖台阶的土方作为附属工</w:t>
            </w:r>
          </w:p>
          <w:p>
            <w:pPr>
              <w:spacing w:line="237" w:lineRule="exact"/>
              <w:ind w:left="109"/>
            </w:pPr>
            <w:r>
              <w:rPr>
                <w:spacing w:val="-1"/>
                <w:sz w:val="20"/>
              </w:rPr>
              <w:t>作，不另行计量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32" w:lineRule="exact"/>
              <w:ind w:left="281"/>
            </w:pPr>
            <w:r>
              <w:rPr>
                <w:rFonts w:ascii="Times New Roman" w:hAnsi="Times New Roman" w:cs="Times New Roman"/>
                <w:sz w:val="20"/>
              </w:rPr>
              <w:t>1.</w:t>
            </w:r>
            <w:r>
              <w:rPr>
                <w:spacing w:val="-1"/>
                <w:position w:val="1"/>
                <w:sz w:val="20"/>
              </w:rPr>
              <w:t>石方爆破；</w:t>
            </w:r>
          </w:p>
          <w:p>
            <w:pPr>
              <w:spacing w:line="271" w:lineRule="exact"/>
              <w:ind w:left="281"/>
            </w:pPr>
            <w:r>
              <w:rPr>
                <w:rFonts w:ascii="Times New Roman" w:hAnsi="Times New Roman" w:cs="Times New Roman"/>
                <w:sz w:val="20"/>
              </w:rPr>
              <w:t>2.</w:t>
            </w:r>
            <w:r>
              <w:rPr>
                <w:spacing w:val="-1"/>
                <w:position w:val="1"/>
                <w:sz w:val="20"/>
              </w:rPr>
              <w:t>挖、装、运输、卸车；</w:t>
            </w:r>
          </w:p>
          <w:p>
            <w:pPr>
              <w:spacing w:line="274" w:lineRule="exact"/>
              <w:ind w:left="281"/>
            </w:pPr>
            <w:r>
              <w:rPr>
                <w:rFonts w:ascii="Times New Roman" w:hAnsi="Times New Roman" w:cs="Times New Roman"/>
                <w:sz w:val="20"/>
              </w:rPr>
              <w:t>3.</w:t>
            </w:r>
            <w:r>
              <w:rPr>
                <w:spacing w:val="-1"/>
                <w:position w:val="1"/>
                <w:sz w:val="20"/>
              </w:rPr>
              <w:t>填料分理、弃土整形、</w:t>
            </w:r>
          </w:p>
          <w:p>
            <w:pPr>
              <w:spacing w:line="236" w:lineRule="exact"/>
              <w:ind w:left="108"/>
            </w:pPr>
            <w:r>
              <w:rPr>
                <w:spacing w:val="-1"/>
                <w:sz w:val="20"/>
              </w:rPr>
              <w:t>压实；</w:t>
            </w:r>
          </w:p>
          <w:p>
            <w:pPr>
              <w:spacing w:line="308" w:lineRule="exact"/>
              <w:ind w:left="281"/>
            </w:pPr>
            <w:r>
              <w:rPr>
                <w:rFonts w:ascii="Times New Roman" w:hAnsi="Times New Roman" w:cs="Times New Roman"/>
                <w:sz w:val="20"/>
              </w:rPr>
              <w:t>4.</w:t>
            </w:r>
            <w:r>
              <w:rPr>
                <w:spacing w:val="-1"/>
                <w:position w:val="1"/>
                <w:sz w:val="20"/>
              </w:rPr>
              <w:t>施工排水处理；</w:t>
            </w:r>
          </w:p>
          <w:p>
            <w:pPr>
              <w:spacing w:line="271" w:lineRule="exact"/>
              <w:ind w:left="281"/>
            </w:pPr>
            <w:r>
              <w:rPr>
                <w:rFonts w:ascii="Times New Roman" w:hAnsi="Times New Roman" w:cs="Times New Roman"/>
                <w:sz w:val="20"/>
              </w:rPr>
              <w:t>5.</w:t>
            </w:r>
            <w:r>
              <w:rPr>
                <w:spacing w:val="-1"/>
                <w:position w:val="1"/>
                <w:sz w:val="20"/>
              </w:rPr>
              <w:t>边坡整修、路床顶面</w:t>
            </w:r>
          </w:p>
          <w:p>
            <w:pPr>
              <w:spacing w:line="239" w:lineRule="exact"/>
              <w:ind w:left="108"/>
            </w:pPr>
            <w:r>
              <w:rPr>
                <w:spacing w:val="-1"/>
                <w:sz w:val="20"/>
              </w:rPr>
              <w:t>凿平或填平压实、路床清</w:t>
            </w:r>
          </w:p>
          <w:p>
            <w:pPr>
              <w:spacing w:line="271" w:lineRule="exact"/>
              <w:ind w:left="108"/>
            </w:pPr>
            <w:r>
              <w:rPr>
                <w:spacing w:val="-1"/>
                <w:sz w:val="20"/>
              </w:rPr>
              <w:t>理</w:t>
            </w:r>
          </w:p>
        </w:tc>
      </w:tr>
      <w:tr>
        <w:tblPrEx>
          <w:tblCellMar>
            <w:top w:w="0" w:type="dxa"/>
            <w:left w:w="108" w:type="dxa"/>
            <w:bottom w:w="0" w:type="dxa"/>
            <w:right w:w="108" w:type="dxa"/>
          </w:tblCellMar>
        </w:tblPrEx>
        <w:trPr>
          <w:trHeight w:val="1099"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87" w:lineRule="exact"/>
              <w:ind w:left="423"/>
            </w:pPr>
            <w:r>
              <w:rPr>
                <w:rFonts w:ascii="Times New Roman" w:hAnsi="Times New Roman" w:cs="Times New Roman"/>
                <w:spacing w:val="-1"/>
                <w:sz w:val="20"/>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5" w:lineRule="exact"/>
              <w:ind w:left="281"/>
            </w:pPr>
            <w:r>
              <w:rPr>
                <w:spacing w:val="-1"/>
                <w:sz w:val="20"/>
              </w:rPr>
              <w:t>挖除非适用材</w:t>
            </w:r>
          </w:p>
          <w:p>
            <w:pPr>
              <w:spacing w:line="360" w:lineRule="exact"/>
              <w:ind w:left="109"/>
            </w:pPr>
            <w:r>
              <w:rPr>
                <w:spacing w:val="-1"/>
                <w:sz w:val="20"/>
              </w:rPr>
              <w:t>料（不含淤泥）</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55"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79" w:lineRule="exact"/>
              <w:ind w:left="282"/>
            </w:pPr>
            <w:r>
              <w:rPr>
                <w:spacing w:val="-1"/>
                <w:sz w:val="20"/>
              </w:rPr>
              <w:t>依据图纸所示位置，挖除路</w:t>
            </w:r>
          </w:p>
          <w:p>
            <w:pPr>
              <w:spacing w:line="274" w:lineRule="exact"/>
              <w:ind w:left="109"/>
            </w:pPr>
            <w:r>
              <w:rPr>
                <w:spacing w:val="-1"/>
                <w:sz w:val="20"/>
              </w:rPr>
              <w:t>基范围内非适用材料（不含淤</w:t>
            </w:r>
          </w:p>
          <w:p>
            <w:pPr>
              <w:spacing w:line="271" w:lineRule="exact"/>
              <w:ind w:left="109"/>
            </w:pPr>
            <w:r>
              <w:rPr>
                <w:spacing w:val="-1"/>
                <w:sz w:val="20"/>
              </w:rPr>
              <w:t>泥）以立方米为单位计量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施工排水处理；</w:t>
            </w:r>
          </w:p>
          <w:p>
            <w:pPr>
              <w:spacing w:line="271" w:lineRule="exact"/>
              <w:ind w:left="281"/>
            </w:pPr>
            <w:r>
              <w:rPr>
                <w:rFonts w:ascii="Times New Roman" w:hAnsi="Times New Roman" w:cs="Times New Roman"/>
                <w:sz w:val="20"/>
              </w:rPr>
              <w:t>2.</w:t>
            </w:r>
            <w:r>
              <w:rPr>
                <w:spacing w:val="-1"/>
                <w:position w:val="1"/>
                <w:sz w:val="20"/>
              </w:rPr>
              <w:t>挖除、装载、运输、</w:t>
            </w:r>
          </w:p>
          <w:p>
            <w:pPr>
              <w:spacing w:line="239" w:lineRule="exact"/>
              <w:ind w:left="108"/>
            </w:pPr>
            <w:r>
              <w:rPr>
                <w:spacing w:val="-1"/>
                <w:sz w:val="20"/>
              </w:rPr>
              <w:t>卸车、堆放、弃土整形；</w:t>
            </w:r>
          </w:p>
          <w:p>
            <w:pPr>
              <w:spacing w:line="306" w:lineRule="exact"/>
              <w:ind w:left="281"/>
            </w:pPr>
            <w:r>
              <w:rPr>
                <w:rFonts w:ascii="Times New Roman" w:hAnsi="Times New Roman" w:cs="Times New Roman"/>
                <w:sz w:val="20"/>
              </w:rPr>
              <w:t>3.</w:t>
            </w:r>
            <w:r>
              <w:rPr>
                <w:spacing w:val="-1"/>
                <w:position w:val="1"/>
                <w:sz w:val="20"/>
              </w:rPr>
              <w:t>现场清理</w:t>
            </w:r>
          </w:p>
        </w:tc>
      </w:tr>
      <w:tr>
        <w:tblPrEx>
          <w:tblCellMar>
            <w:top w:w="0" w:type="dxa"/>
            <w:left w:w="108" w:type="dxa"/>
            <w:bottom w:w="0" w:type="dxa"/>
            <w:right w:w="108" w:type="dxa"/>
          </w:tblCellMar>
        </w:tblPrEx>
        <w:trPr>
          <w:trHeight w:val="110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87" w:lineRule="exact"/>
              <w:ind w:left="416"/>
            </w:pPr>
            <w:r>
              <w:rPr>
                <w:rFonts w:ascii="Times New Roman" w:hAnsi="Times New Roman" w:cs="Times New Roman"/>
                <w:spacing w:val="-1"/>
                <w:sz w:val="20"/>
              </w:rPr>
              <w:t>-d</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98" w:lineRule="exact"/>
              <w:ind w:left="281"/>
            </w:pPr>
            <w:r>
              <w:rPr>
                <w:spacing w:val="-1"/>
                <w:sz w:val="20"/>
              </w:rPr>
              <w:t>挖淤泥</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56"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1" w:lineRule="exact"/>
              <w:ind w:left="282"/>
            </w:pPr>
            <w:r>
              <w:rPr>
                <w:spacing w:val="-1"/>
                <w:sz w:val="20"/>
              </w:rPr>
              <w:t>依据图纸所示位置，挖除路</w:t>
            </w:r>
          </w:p>
          <w:p>
            <w:pPr>
              <w:spacing w:line="271" w:lineRule="exact"/>
              <w:ind w:left="109"/>
            </w:pPr>
            <w:r>
              <w:rPr>
                <w:spacing w:val="-1"/>
                <w:sz w:val="20"/>
              </w:rPr>
              <w:t>基范围内淤泥以立方米为单</w:t>
            </w:r>
          </w:p>
          <w:p>
            <w:pPr>
              <w:spacing w:line="271" w:lineRule="exact"/>
              <w:ind w:left="109"/>
            </w:pPr>
            <w:r>
              <w:rPr>
                <w:spacing w:val="-1"/>
                <w:sz w:val="20"/>
              </w:rPr>
              <w:t>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施工排水处理；</w:t>
            </w:r>
          </w:p>
          <w:p>
            <w:pPr>
              <w:spacing w:line="274" w:lineRule="exact"/>
              <w:ind w:left="281"/>
            </w:pPr>
            <w:r>
              <w:rPr>
                <w:rFonts w:ascii="Times New Roman" w:hAnsi="Times New Roman" w:cs="Times New Roman"/>
                <w:sz w:val="20"/>
              </w:rPr>
              <w:t>2.</w:t>
            </w:r>
            <w:r>
              <w:rPr>
                <w:spacing w:val="-1"/>
                <w:position w:val="1"/>
                <w:sz w:val="20"/>
              </w:rPr>
              <w:t>挖除、装载、运输、</w:t>
            </w:r>
          </w:p>
          <w:p>
            <w:pPr>
              <w:spacing w:line="237" w:lineRule="exact"/>
              <w:ind w:left="108"/>
            </w:pPr>
            <w:r>
              <w:rPr>
                <w:spacing w:val="-1"/>
                <w:sz w:val="20"/>
              </w:rPr>
              <w:t>卸车、堆放、弃土整形；</w:t>
            </w:r>
          </w:p>
          <w:p>
            <w:pPr>
              <w:spacing w:line="308" w:lineRule="exact"/>
              <w:ind w:left="281"/>
            </w:pPr>
            <w:r>
              <w:rPr>
                <w:rFonts w:ascii="Times New Roman" w:hAnsi="Times New Roman" w:cs="Times New Roman"/>
                <w:sz w:val="20"/>
              </w:rPr>
              <w:t>3.</w:t>
            </w:r>
            <w:r>
              <w:rPr>
                <w:spacing w:val="-1"/>
                <w:position w:val="1"/>
                <w:sz w:val="20"/>
              </w:rPr>
              <w:t>现场清理</w:t>
            </w:r>
          </w:p>
        </w:tc>
      </w:tr>
      <w:tr>
        <w:tblPrEx>
          <w:tblCellMar>
            <w:top w:w="0" w:type="dxa"/>
            <w:left w:w="108" w:type="dxa"/>
            <w:bottom w:w="0" w:type="dxa"/>
            <w:right w:w="108" w:type="dxa"/>
          </w:tblCellMar>
        </w:tblPrEx>
        <w:trPr>
          <w:trHeight w:val="73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04" w:lineRule="exact"/>
              <w:ind w:left="260"/>
            </w:pPr>
            <w:r>
              <w:rPr>
                <w:rFonts w:ascii="Times New Roman" w:hAnsi="Times New Roman" w:cs="Times New Roman"/>
                <w:spacing w:val="-1"/>
                <w:sz w:val="20"/>
              </w:rPr>
              <w:t>203-2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2" w:lineRule="exact"/>
              <w:ind w:left="281"/>
            </w:pPr>
            <w:r>
              <w:rPr>
                <w:spacing w:val="-1"/>
                <w:sz w:val="20"/>
              </w:rPr>
              <w:t>改河、改渠、</w:t>
            </w:r>
          </w:p>
          <w:p>
            <w:pPr>
              <w:spacing w:line="360" w:lineRule="exact"/>
              <w:ind w:left="109"/>
            </w:pPr>
            <w:r>
              <w:rPr>
                <w:spacing w:val="-1"/>
                <w:sz w:val="20"/>
              </w:rPr>
              <w:t>改路挖方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r>
      <w:tr>
        <w:tblPrEx>
          <w:tblCellMar>
            <w:top w:w="0" w:type="dxa"/>
            <w:left w:w="108" w:type="dxa"/>
            <w:bottom w:w="0" w:type="dxa"/>
            <w:right w:w="108" w:type="dxa"/>
          </w:tblCellMar>
        </w:tblPrEx>
        <w:trPr>
          <w:trHeight w:val="273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504" w:lineRule="exact"/>
              <w:ind w:left="423"/>
            </w:pPr>
            <w:r>
              <w:rPr>
                <w:rFonts w:ascii="Times New Roman" w:hAnsi="Times New Roman" w:cs="Times New Roman"/>
                <w:spacing w:val="-1"/>
                <w:sz w:val="20"/>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513" w:lineRule="exact"/>
              <w:ind w:left="281"/>
            </w:pPr>
            <w:r>
              <w:rPr>
                <w:spacing w:val="-1"/>
                <w:sz w:val="20"/>
              </w:rPr>
              <w:t>挖土方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73"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8" w:lineRule="exact"/>
              <w:ind w:left="282"/>
            </w:pPr>
            <w:r>
              <w:rPr>
                <w:rFonts w:ascii="Times New Roman" w:hAnsi="Times New Roman" w:cs="Times New Roman"/>
                <w:sz w:val="20"/>
              </w:rPr>
              <w:t>1.</w:t>
            </w:r>
            <w:r>
              <w:rPr>
                <w:spacing w:val="-1"/>
                <w:position w:val="1"/>
                <w:sz w:val="20"/>
              </w:rPr>
              <w:t>依据图纸所示地面线、路</w:t>
            </w:r>
          </w:p>
          <w:p>
            <w:pPr>
              <w:spacing w:line="239" w:lineRule="exact"/>
              <w:ind w:left="109"/>
            </w:pPr>
            <w:r>
              <w:rPr>
                <w:spacing w:val="-1"/>
                <w:sz w:val="20"/>
              </w:rPr>
              <w:t>基设计横断面图、路基土石比</w:t>
            </w:r>
          </w:p>
          <w:p>
            <w:pPr>
              <w:spacing w:line="271" w:lineRule="exact"/>
              <w:ind w:left="109"/>
            </w:pPr>
            <w:r>
              <w:rPr>
                <w:spacing w:val="-1"/>
                <w:sz w:val="20"/>
              </w:rPr>
              <w:t>例，采用平均断面面积法计</w:t>
            </w:r>
          </w:p>
          <w:p>
            <w:pPr>
              <w:spacing w:line="274" w:lineRule="exact"/>
              <w:ind w:left="109"/>
            </w:pPr>
            <w:r>
              <w:rPr>
                <w:spacing w:val="-1"/>
                <w:sz w:val="20"/>
              </w:rPr>
              <w:t>算，包括边沟、排水沟、截水</w:t>
            </w:r>
          </w:p>
          <w:p>
            <w:pPr>
              <w:spacing w:line="271" w:lineRule="exact"/>
              <w:ind w:left="109"/>
            </w:pPr>
            <w:r>
              <w:rPr>
                <w:spacing w:val="-1"/>
                <w:sz w:val="20"/>
              </w:rPr>
              <w:t>沟的土方，按照天然密实体积</w:t>
            </w:r>
          </w:p>
          <w:p>
            <w:pPr>
              <w:spacing w:line="274" w:lineRule="exact"/>
              <w:ind w:left="109"/>
            </w:pPr>
            <w:r>
              <w:rPr>
                <w:spacing w:val="-1"/>
                <w:sz w:val="20"/>
              </w:rPr>
              <w:t>以立方米为单位计量；</w:t>
            </w:r>
          </w:p>
          <w:p>
            <w:pPr>
              <w:spacing w:line="306" w:lineRule="exact"/>
              <w:ind w:left="282"/>
            </w:pPr>
            <w:r>
              <w:rPr>
                <w:rFonts w:ascii="Times New Roman" w:hAnsi="Times New Roman" w:cs="Times New Roman"/>
                <w:sz w:val="20"/>
              </w:rPr>
              <w:t>2.</w:t>
            </w:r>
            <w:r>
              <w:rPr>
                <w:spacing w:val="-1"/>
                <w:position w:val="1"/>
                <w:sz w:val="20"/>
              </w:rPr>
              <w:t>在挖土方路段、零填挖路</w:t>
            </w:r>
          </w:p>
          <w:p>
            <w:pPr>
              <w:spacing w:line="239" w:lineRule="exact"/>
              <w:ind w:left="109"/>
            </w:pPr>
            <w:r>
              <w:rPr>
                <w:spacing w:val="-1"/>
                <w:sz w:val="20"/>
              </w:rPr>
              <w:t>段、低填路段的路床顶面以下</w:t>
            </w:r>
          </w:p>
          <w:p>
            <w:pPr>
              <w:spacing w:line="306" w:lineRule="exact"/>
              <w:ind w:left="109"/>
            </w:pPr>
            <w:r>
              <w:rPr>
                <w:rFonts w:ascii="Times New Roman" w:hAnsi="Times New Roman" w:cs="Times New Roman"/>
                <w:spacing w:val="-1"/>
                <w:sz w:val="20"/>
              </w:rPr>
              <w:t>0</w:t>
            </w:r>
            <w:r>
              <w:rPr>
                <w:spacing w:val="-1"/>
                <w:position w:val="1"/>
                <w:sz w:val="20"/>
              </w:rPr>
              <w:t>～</w:t>
            </w:r>
            <w:r>
              <w:rPr>
                <w:rFonts w:ascii="Times New Roman" w:hAnsi="Times New Roman" w:cs="Times New Roman"/>
                <w:spacing w:val="-1"/>
                <w:sz w:val="20"/>
              </w:rPr>
              <w:t>800mm</w:t>
            </w:r>
            <w:r>
              <w:rPr>
                <w:rFonts w:ascii="Calibri" w:hAnsi="Calibri" w:cs="Calibri"/>
                <w:sz w:val="20"/>
              </w:rPr>
              <w:t> </w:t>
            </w:r>
            <w:r>
              <w:rPr>
                <w:spacing w:val="-1"/>
                <w:position w:val="1"/>
                <w:sz w:val="20"/>
              </w:rPr>
              <w:t>范围内的压实度不</w:t>
            </w:r>
          </w:p>
          <w:p>
            <w:pPr>
              <w:spacing w:line="239" w:lineRule="exact"/>
              <w:ind w:left="109"/>
            </w:pPr>
            <w:r>
              <w:rPr>
                <w:spacing w:val="-1"/>
                <w:sz w:val="20"/>
              </w:rPr>
              <w:t>满足技术规范要求时，按规范</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86" w:lineRule="exact"/>
              <w:ind w:left="281"/>
            </w:pPr>
            <w:r>
              <w:rPr>
                <w:rFonts w:ascii="Times New Roman" w:hAnsi="Times New Roman" w:cs="Times New Roman"/>
                <w:sz w:val="20"/>
              </w:rPr>
              <w:t>1.</w:t>
            </w:r>
            <w:r>
              <w:rPr>
                <w:spacing w:val="-1"/>
                <w:position w:val="1"/>
                <w:sz w:val="20"/>
              </w:rPr>
              <w:t>挖、装、运输、卸车；</w:t>
            </w:r>
          </w:p>
          <w:p>
            <w:pPr>
              <w:spacing w:line="274" w:lineRule="exact"/>
              <w:ind w:left="281"/>
            </w:pPr>
            <w:r>
              <w:rPr>
                <w:rFonts w:ascii="Times New Roman" w:hAnsi="Times New Roman" w:cs="Times New Roman"/>
                <w:sz w:val="20"/>
              </w:rPr>
              <w:t>2.</w:t>
            </w:r>
            <w:r>
              <w:rPr>
                <w:spacing w:val="-1"/>
                <w:position w:val="1"/>
                <w:sz w:val="20"/>
              </w:rPr>
              <w:t>填料分理、弃土整形、</w:t>
            </w:r>
          </w:p>
          <w:p>
            <w:pPr>
              <w:spacing w:line="237" w:lineRule="exact"/>
              <w:ind w:left="108"/>
            </w:pPr>
            <w:r>
              <w:rPr>
                <w:spacing w:val="-1"/>
                <w:sz w:val="20"/>
              </w:rPr>
              <w:t>压实；</w:t>
            </w:r>
          </w:p>
          <w:p>
            <w:pPr>
              <w:spacing w:line="308" w:lineRule="exact"/>
              <w:ind w:left="281"/>
            </w:pPr>
            <w:r>
              <w:rPr>
                <w:rFonts w:ascii="Times New Roman" w:hAnsi="Times New Roman" w:cs="Times New Roman"/>
                <w:sz w:val="20"/>
              </w:rPr>
              <w:t>3.</w:t>
            </w:r>
            <w:r>
              <w:rPr>
                <w:spacing w:val="-1"/>
                <w:position w:val="1"/>
                <w:sz w:val="20"/>
              </w:rPr>
              <w:t>施工排水处理；</w:t>
            </w:r>
          </w:p>
          <w:p>
            <w:pPr>
              <w:spacing w:line="271" w:lineRule="exact"/>
              <w:ind w:left="281"/>
            </w:pPr>
            <w:r>
              <w:rPr>
                <w:rFonts w:ascii="Times New Roman" w:hAnsi="Times New Roman" w:cs="Times New Roman"/>
                <w:sz w:val="20"/>
              </w:rPr>
              <w:t>4.</w:t>
            </w:r>
            <w:r>
              <w:rPr>
                <w:spacing w:val="-1"/>
                <w:position w:val="1"/>
                <w:sz w:val="20"/>
              </w:rPr>
              <w:t>边坡整修、路床顶面</w:t>
            </w:r>
          </w:p>
          <w:p>
            <w:pPr>
              <w:spacing w:line="274" w:lineRule="exact"/>
              <w:ind w:left="108"/>
            </w:pPr>
            <w:r>
              <w:rPr>
                <w:spacing w:val="-1"/>
                <w:position w:val="1"/>
                <w:sz w:val="20"/>
              </w:rPr>
              <w:t>以下挖松深</w:t>
            </w:r>
            <w:r>
              <w:rPr>
                <w:rFonts w:ascii="Calibri" w:hAnsi="Calibri" w:cs="Calibri"/>
                <w:sz w:val="20"/>
              </w:rPr>
              <w:t> </w:t>
            </w:r>
            <w:r>
              <w:rPr>
                <w:rFonts w:ascii="Times New Roman" w:hAnsi="Times New Roman" w:cs="Times New Roman"/>
                <w:spacing w:val="-1"/>
                <w:sz w:val="20"/>
              </w:rPr>
              <w:t>300mm</w:t>
            </w:r>
            <w:r>
              <w:rPr>
                <w:rFonts w:ascii="Calibri" w:hAnsi="Calibri" w:cs="Calibri"/>
                <w:sz w:val="20"/>
              </w:rPr>
              <w:t> </w:t>
            </w:r>
            <w:r>
              <w:rPr>
                <w:spacing w:val="-1"/>
                <w:position w:val="1"/>
                <w:sz w:val="20"/>
              </w:rPr>
              <w:t>再压</w:t>
            </w:r>
          </w:p>
          <w:p>
            <w:pPr>
              <w:spacing w:line="236" w:lineRule="exact"/>
              <w:ind w:left="108"/>
            </w:pPr>
            <w:r>
              <w:rPr>
                <w:spacing w:val="-1"/>
                <w:sz w:val="20"/>
              </w:rPr>
              <w:t>实、路床清理</w:t>
            </w:r>
          </w:p>
        </w:tc>
      </w:tr>
    </w:tbl>
    <w:p>
      <w:pPr>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blPrEx>
          <w:tblCellMar>
            <w:top w:w="0" w:type="dxa"/>
            <w:left w:w="108" w:type="dxa"/>
            <w:bottom w:w="0" w:type="dxa"/>
            <w:right w:w="108" w:type="dxa"/>
          </w:tblCellMar>
        </w:tblPrEx>
        <w:trPr>
          <w:trHeight w:val="3006"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36" w:lineRule="exact"/>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36" w:lineRule="exact"/>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36" w:lineRule="exact"/>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109"/>
            </w:pPr>
            <w:r>
              <w:rPr>
                <w:spacing w:val="-1"/>
                <w:sz w:val="20"/>
              </w:rPr>
              <w:t>要求所采取的翻松、压实，作</w:t>
            </w:r>
          </w:p>
          <w:p>
            <w:pPr>
              <w:spacing w:line="274" w:lineRule="exact"/>
              <w:ind w:left="109"/>
            </w:pPr>
            <w:r>
              <w:rPr>
                <w:spacing w:val="-1"/>
                <w:sz w:val="20"/>
              </w:rPr>
              <w:t>为挖土方的附属工作，不另行</w:t>
            </w:r>
          </w:p>
          <w:p>
            <w:pPr>
              <w:spacing w:line="271" w:lineRule="exact"/>
              <w:ind w:left="109"/>
            </w:pPr>
            <w:r>
              <w:rPr>
                <w:spacing w:val="-1"/>
                <w:sz w:val="20"/>
              </w:rPr>
              <w:t>计量；</w:t>
            </w:r>
          </w:p>
          <w:p>
            <w:pPr>
              <w:spacing w:line="308" w:lineRule="exact"/>
              <w:ind w:left="282"/>
            </w:pPr>
            <w:r>
              <w:rPr>
                <w:rFonts w:ascii="Times New Roman" w:hAnsi="Times New Roman" w:cs="Times New Roman"/>
                <w:sz w:val="20"/>
              </w:rPr>
              <w:t>3.</w:t>
            </w:r>
            <w:r>
              <w:rPr>
                <w:spacing w:val="-1"/>
                <w:position w:val="1"/>
                <w:sz w:val="20"/>
              </w:rPr>
              <w:t>凡超过图纸或监理人规定</w:t>
            </w:r>
          </w:p>
          <w:p>
            <w:pPr>
              <w:spacing w:line="237" w:lineRule="exact"/>
              <w:ind w:left="109"/>
            </w:pPr>
            <w:r>
              <w:rPr>
                <w:spacing w:val="-1"/>
                <w:sz w:val="20"/>
              </w:rPr>
              <w:t>尺寸的开挖，均不予计量；</w:t>
            </w:r>
          </w:p>
          <w:p>
            <w:pPr>
              <w:spacing w:line="306" w:lineRule="exact"/>
              <w:ind w:left="282"/>
            </w:pPr>
            <w:r>
              <w:rPr>
                <w:rFonts w:ascii="Times New Roman" w:hAnsi="Times New Roman" w:cs="Times New Roman"/>
                <w:sz w:val="20"/>
              </w:rPr>
              <w:t>4.</w:t>
            </w:r>
            <w:r>
              <w:rPr>
                <w:spacing w:val="-1"/>
                <w:position w:val="1"/>
                <w:sz w:val="20"/>
              </w:rPr>
              <w:t>结构物台背回填的挖运土</w:t>
            </w:r>
          </w:p>
          <w:p>
            <w:pPr>
              <w:spacing w:line="239" w:lineRule="exact"/>
              <w:ind w:left="109"/>
            </w:pPr>
            <w:r>
              <w:rPr>
                <w:spacing w:val="-1"/>
                <w:sz w:val="20"/>
              </w:rPr>
              <w:t>方不另行计量，桥梁及明涵的</w:t>
            </w:r>
          </w:p>
          <w:p>
            <w:pPr>
              <w:spacing w:line="271" w:lineRule="exact"/>
              <w:ind w:left="109"/>
            </w:pPr>
            <w:r>
              <w:rPr>
                <w:spacing w:val="-1"/>
                <w:sz w:val="20"/>
              </w:rPr>
              <w:t>搭板、埋板下的路面结构层在</w:t>
            </w:r>
          </w:p>
          <w:p>
            <w:pPr>
              <w:spacing w:line="274" w:lineRule="exact"/>
              <w:ind w:left="109"/>
            </w:pPr>
            <w:r>
              <w:rPr>
                <w:spacing w:val="-1"/>
                <w:sz w:val="20"/>
              </w:rPr>
              <w:t>相应章节内计量；</w:t>
            </w:r>
          </w:p>
          <w:p>
            <w:pPr>
              <w:spacing w:line="308" w:lineRule="exact"/>
              <w:ind w:left="282"/>
            </w:pPr>
            <w:r>
              <w:rPr>
                <w:rFonts w:ascii="Times New Roman" w:hAnsi="Times New Roman" w:cs="Times New Roman"/>
                <w:sz w:val="20"/>
              </w:rPr>
              <w:t>5.</w:t>
            </w:r>
            <w:r>
              <w:rPr>
                <w:spacing w:val="-1"/>
                <w:position w:val="1"/>
                <w:sz w:val="20"/>
              </w:rPr>
              <w:t>挖台阶的土方作为附属工</w:t>
            </w:r>
          </w:p>
          <w:p>
            <w:pPr>
              <w:spacing w:line="236" w:lineRule="exact"/>
              <w:ind w:left="109"/>
            </w:pPr>
            <w:r>
              <w:rPr>
                <w:spacing w:val="-1"/>
                <w:sz w:val="20"/>
              </w:rPr>
              <w:t>作，不另行计量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36" w:lineRule="exact"/>
            </w:pPr>
          </w:p>
        </w:tc>
      </w:tr>
      <w:tr>
        <w:tblPrEx>
          <w:tblCellMar>
            <w:top w:w="0" w:type="dxa"/>
            <w:left w:w="108" w:type="dxa"/>
            <w:bottom w:w="0" w:type="dxa"/>
            <w:right w:w="108" w:type="dxa"/>
          </w:tblCellMar>
        </w:tblPrEx>
        <w:trPr>
          <w:trHeight w:val="4095"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186" w:lineRule="exact"/>
              <w:ind w:left="416"/>
            </w:pPr>
            <w:r>
              <w:rPr>
                <w:rFonts w:ascii="Times New Roman" w:hAnsi="Times New Roman" w:cs="Times New Roman"/>
                <w:spacing w:val="-1"/>
                <w:sz w:val="20"/>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195" w:lineRule="exact"/>
              <w:ind w:left="281"/>
            </w:pPr>
            <w:r>
              <w:rPr>
                <w:spacing w:val="-1"/>
                <w:sz w:val="20"/>
              </w:rPr>
              <w:t>挖石方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152"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8" w:lineRule="exact"/>
              <w:ind w:left="282"/>
            </w:pPr>
            <w:r>
              <w:rPr>
                <w:rFonts w:ascii="Times New Roman" w:hAnsi="Times New Roman" w:cs="Times New Roman"/>
                <w:sz w:val="20"/>
              </w:rPr>
              <w:t>1.</w:t>
            </w:r>
            <w:r>
              <w:rPr>
                <w:spacing w:val="-1"/>
                <w:position w:val="1"/>
                <w:sz w:val="20"/>
              </w:rPr>
              <w:t>依据图纸所示地面线、路</w:t>
            </w:r>
          </w:p>
          <w:p>
            <w:pPr>
              <w:spacing w:line="239" w:lineRule="exact"/>
              <w:ind w:left="109"/>
            </w:pPr>
            <w:r>
              <w:rPr>
                <w:spacing w:val="-1"/>
                <w:sz w:val="20"/>
              </w:rPr>
              <w:t>基设计横断面图、路基土石比</w:t>
            </w:r>
          </w:p>
          <w:p>
            <w:pPr>
              <w:spacing w:line="271" w:lineRule="exact"/>
              <w:ind w:left="109"/>
            </w:pPr>
            <w:r>
              <w:rPr>
                <w:spacing w:val="-1"/>
                <w:sz w:val="20"/>
              </w:rPr>
              <w:t>例，按平均断面积法计算，包</w:t>
            </w:r>
          </w:p>
          <w:p>
            <w:pPr>
              <w:spacing w:line="274" w:lineRule="exact"/>
              <w:ind w:left="109"/>
            </w:pPr>
            <w:r>
              <w:rPr>
                <w:spacing w:val="-1"/>
                <w:sz w:val="20"/>
              </w:rPr>
              <w:t>括边沟、排水沟、截水沟的石</w:t>
            </w:r>
          </w:p>
          <w:p>
            <w:pPr>
              <w:spacing w:line="271" w:lineRule="exact"/>
              <w:ind w:left="109"/>
            </w:pPr>
            <w:r>
              <w:rPr>
                <w:spacing w:val="-1"/>
                <w:sz w:val="20"/>
              </w:rPr>
              <w:t>方，按照天然体积以立方米为</w:t>
            </w:r>
          </w:p>
          <w:p>
            <w:pPr>
              <w:spacing w:line="271" w:lineRule="exact"/>
              <w:ind w:left="109"/>
            </w:pPr>
            <w:r>
              <w:rPr>
                <w:spacing w:val="-1"/>
                <w:sz w:val="20"/>
              </w:rPr>
              <w:t>单位计量；</w:t>
            </w:r>
          </w:p>
          <w:p>
            <w:pPr>
              <w:spacing w:line="308" w:lineRule="exact"/>
              <w:ind w:left="282"/>
            </w:pPr>
            <w:r>
              <w:rPr>
                <w:rFonts w:ascii="Times New Roman" w:hAnsi="Times New Roman" w:cs="Times New Roman"/>
                <w:sz w:val="20"/>
              </w:rPr>
              <w:t>2.</w:t>
            </w:r>
            <w:r>
              <w:rPr>
                <w:spacing w:val="-1"/>
                <w:position w:val="1"/>
                <w:sz w:val="20"/>
              </w:rPr>
              <w:t>凡超过图纸或监理人规定</w:t>
            </w:r>
          </w:p>
          <w:p>
            <w:pPr>
              <w:spacing w:line="239" w:lineRule="exact"/>
              <w:ind w:left="109"/>
            </w:pPr>
            <w:r>
              <w:rPr>
                <w:spacing w:val="-1"/>
                <w:sz w:val="20"/>
              </w:rPr>
              <w:t>尺寸的开挖，均不予计量；</w:t>
            </w:r>
          </w:p>
          <w:p>
            <w:pPr>
              <w:spacing w:line="306" w:lineRule="exact"/>
              <w:ind w:left="282"/>
            </w:pPr>
            <w:r>
              <w:rPr>
                <w:rFonts w:ascii="Times New Roman" w:hAnsi="Times New Roman" w:cs="Times New Roman"/>
                <w:sz w:val="20"/>
              </w:rPr>
              <w:t>3.</w:t>
            </w:r>
            <w:r>
              <w:rPr>
                <w:spacing w:val="-1"/>
                <w:position w:val="1"/>
                <w:sz w:val="20"/>
              </w:rPr>
              <w:t>爆破安全措施、运输</w:t>
            </w:r>
            <w:r>
              <w:rPr>
                <w:rFonts w:ascii="Times New Roman" w:hAnsi="Times New Roman" w:cs="Times New Roman"/>
                <w:spacing w:val="-1"/>
                <w:sz w:val="20"/>
              </w:rPr>
              <w:t>(</w:t>
            </w:r>
            <w:r>
              <w:rPr>
                <w:spacing w:val="-1"/>
                <w:position w:val="1"/>
                <w:sz w:val="20"/>
              </w:rPr>
              <w:t>不论</w:t>
            </w:r>
          </w:p>
          <w:p>
            <w:pPr>
              <w:spacing w:line="274" w:lineRule="exact"/>
              <w:ind w:left="109"/>
            </w:pPr>
            <w:r>
              <w:rPr>
                <w:spacing w:val="-1"/>
                <w:position w:val="1"/>
                <w:sz w:val="20"/>
              </w:rPr>
              <w:t>运距远近</w:t>
            </w:r>
            <w:r>
              <w:rPr>
                <w:rFonts w:ascii="Times New Roman" w:hAnsi="Times New Roman" w:cs="Times New Roman"/>
                <w:spacing w:val="-1"/>
                <w:sz w:val="20"/>
              </w:rPr>
              <w:t>)</w:t>
            </w:r>
            <w:r>
              <w:rPr>
                <w:spacing w:val="-1"/>
                <w:position w:val="1"/>
                <w:sz w:val="20"/>
              </w:rPr>
              <w:t>和堆放、质量检验、</w:t>
            </w:r>
          </w:p>
          <w:p>
            <w:pPr>
              <w:spacing w:line="237" w:lineRule="exact"/>
              <w:ind w:left="109"/>
            </w:pPr>
            <w:r>
              <w:rPr>
                <w:spacing w:val="-1"/>
                <w:sz w:val="20"/>
              </w:rPr>
              <w:t>临时道路和临时排水均属于</w:t>
            </w:r>
          </w:p>
          <w:p>
            <w:pPr>
              <w:spacing w:line="271" w:lineRule="exact"/>
              <w:ind w:left="109"/>
            </w:pPr>
            <w:r>
              <w:rPr>
                <w:spacing w:val="-1"/>
                <w:sz w:val="20"/>
              </w:rPr>
              <w:t>附属工作，不另行计量与支</w:t>
            </w:r>
          </w:p>
          <w:p>
            <w:pPr>
              <w:spacing w:line="274" w:lineRule="exact"/>
              <w:ind w:left="109"/>
            </w:pPr>
            <w:r>
              <w:rPr>
                <w:spacing w:val="-1"/>
                <w:sz w:val="20"/>
              </w:rPr>
              <w:t>付；</w:t>
            </w:r>
          </w:p>
          <w:p>
            <w:pPr>
              <w:spacing w:line="306" w:lineRule="exact"/>
              <w:ind w:left="282"/>
            </w:pPr>
            <w:r>
              <w:rPr>
                <w:rFonts w:ascii="Times New Roman" w:hAnsi="Times New Roman" w:cs="Times New Roman"/>
                <w:sz w:val="20"/>
              </w:rPr>
              <w:t>4.</w:t>
            </w:r>
            <w:r>
              <w:rPr>
                <w:spacing w:val="-1"/>
                <w:position w:val="1"/>
                <w:sz w:val="20"/>
              </w:rPr>
              <w:t>挖台阶的土方作为附属工</w:t>
            </w:r>
          </w:p>
          <w:p>
            <w:pPr>
              <w:spacing w:line="239" w:lineRule="exact"/>
              <w:ind w:left="109"/>
            </w:pPr>
            <w:r>
              <w:rPr>
                <w:spacing w:val="-1"/>
                <w:sz w:val="20"/>
              </w:rPr>
              <w:t>作，不另行计量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31" w:lineRule="exact"/>
              <w:ind w:left="281"/>
            </w:pPr>
            <w:r>
              <w:rPr>
                <w:rFonts w:ascii="Times New Roman" w:hAnsi="Times New Roman" w:cs="Times New Roman"/>
                <w:sz w:val="20"/>
              </w:rPr>
              <w:t>1.</w:t>
            </w:r>
            <w:r>
              <w:rPr>
                <w:spacing w:val="-1"/>
                <w:position w:val="1"/>
                <w:sz w:val="20"/>
              </w:rPr>
              <w:t>石方爆破；</w:t>
            </w:r>
          </w:p>
          <w:p>
            <w:pPr>
              <w:spacing w:line="274" w:lineRule="exact"/>
              <w:ind w:left="281"/>
            </w:pPr>
            <w:r>
              <w:rPr>
                <w:rFonts w:ascii="Times New Roman" w:hAnsi="Times New Roman" w:cs="Times New Roman"/>
                <w:sz w:val="20"/>
              </w:rPr>
              <w:t>2.</w:t>
            </w:r>
            <w:r>
              <w:rPr>
                <w:spacing w:val="-1"/>
                <w:position w:val="1"/>
                <w:sz w:val="20"/>
              </w:rPr>
              <w:t>挖、装、运输、卸车；</w:t>
            </w:r>
          </w:p>
          <w:p>
            <w:pPr>
              <w:spacing w:line="271" w:lineRule="exact"/>
              <w:ind w:left="281"/>
            </w:pPr>
            <w:r>
              <w:rPr>
                <w:rFonts w:ascii="Times New Roman" w:hAnsi="Times New Roman" w:cs="Times New Roman"/>
                <w:sz w:val="20"/>
              </w:rPr>
              <w:t>3.</w:t>
            </w:r>
            <w:r>
              <w:rPr>
                <w:spacing w:val="-1"/>
                <w:position w:val="1"/>
                <w:sz w:val="20"/>
              </w:rPr>
              <w:t>填料分理、弃土整形、</w:t>
            </w:r>
          </w:p>
          <w:p>
            <w:pPr>
              <w:spacing w:line="239" w:lineRule="exact"/>
              <w:ind w:left="108"/>
            </w:pPr>
            <w:r>
              <w:rPr>
                <w:spacing w:val="-1"/>
                <w:sz w:val="20"/>
              </w:rPr>
              <w:t>压实；</w:t>
            </w:r>
          </w:p>
          <w:p>
            <w:pPr>
              <w:spacing w:line="306" w:lineRule="exact"/>
              <w:ind w:left="281"/>
            </w:pPr>
            <w:r>
              <w:rPr>
                <w:rFonts w:ascii="Times New Roman" w:hAnsi="Times New Roman" w:cs="Times New Roman"/>
                <w:sz w:val="20"/>
              </w:rPr>
              <w:t>4.</w:t>
            </w:r>
            <w:r>
              <w:rPr>
                <w:spacing w:val="-1"/>
                <w:position w:val="1"/>
                <w:sz w:val="20"/>
              </w:rPr>
              <w:t>施工排水处理；</w:t>
            </w:r>
          </w:p>
          <w:p>
            <w:pPr>
              <w:spacing w:line="274" w:lineRule="exact"/>
              <w:ind w:left="281"/>
            </w:pPr>
            <w:r>
              <w:rPr>
                <w:rFonts w:ascii="Times New Roman" w:hAnsi="Times New Roman" w:cs="Times New Roman"/>
                <w:sz w:val="20"/>
              </w:rPr>
              <w:t>5.</w:t>
            </w:r>
            <w:r>
              <w:rPr>
                <w:spacing w:val="-1"/>
                <w:position w:val="1"/>
                <w:sz w:val="20"/>
              </w:rPr>
              <w:t>边坡整修、路床顶面</w:t>
            </w:r>
          </w:p>
          <w:p>
            <w:pPr>
              <w:spacing w:line="236" w:lineRule="exact"/>
              <w:ind w:left="108"/>
            </w:pPr>
            <w:r>
              <w:rPr>
                <w:spacing w:val="-1"/>
                <w:sz w:val="20"/>
              </w:rPr>
              <w:t>凿平或填平压实、路床清</w:t>
            </w:r>
          </w:p>
          <w:p>
            <w:pPr>
              <w:spacing w:line="274" w:lineRule="exact"/>
              <w:ind w:left="108"/>
            </w:pPr>
            <w:r>
              <w:rPr>
                <w:spacing w:val="-1"/>
                <w:sz w:val="20"/>
              </w:rPr>
              <w:t>理</w:t>
            </w:r>
          </w:p>
        </w:tc>
      </w:tr>
      <w:tr>
        <w:tblPrEx>
          <w:tblCellMar>
            <w:top w:w="0" w:type="dxa"/>
            <w:left w:w="108" w:type="dxa"/>
            <w:bottom w:w="0" w:type="dxa"/>
            <w:right w:w="108" w:type="dxa"/>
          </w:tblCellMar>
        </w:tblPrEx>
        <w:trPr>
          <w:trHeight w:val="1099"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88" w:lineRule="exact"/>
              <w:ind w:left="423"/>
            </w:pPr>
            <w:r>
              <w:rPr>
                <w:rFonts w:ascii="Times New Roman" w:hAnsi="Times New Roman" w:cs="Times New Roman"/>
                <w:spacing w:val="-1"/>
                <w:sz w:val="20"/>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6" w:lineRule="exact"/>
              <w:ind w:left="281"/>
            </w:pPr>
            <w:r>
              <w:rPr>
                <w:spacing w:val="-1"/>
                <w:sz w:val="20"/>
              </w:rPr>
              <w:t>挖除非适用材</w:t>
            </w:r>
          </w:p>
          <w:p>
            <w:pPr>
              <w:spacing w:line="360" w:lineRule="exact"/>
              <w:ind w:left="109"/>
            </w:pPr>
            <w:r>
              <w:rPr>
                <w:spacing w:val="-1"/>
                <w:sz w:val="20"/>
              </w:rPr>
              <w:t>料（不含淤泥）</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54"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0" w:lineRule="exact"/>
              <w:ind w:left="282"/>
            </w:pPr>
            <w:r>
              <w:rPr>
                <w:spacing w:val="-1"/>
                <w:sz w:val="20"/>
              </w:rPr>
              <w:t>依据图纸所示位置，挖除路</w:t>
            </w:r>
          </w:p>
          <w:p>
            <w:pPr>
              <w:spacing w:line="271" w:lineRule="exact"/>
              <w:ind w:left="109"/>
            </w:pPr>
            <w:r>
              <w:rPr>
                <w:spacing w:val="-1"/>
                <w:sz w:val="20"/>
              </w:rPr>
              <w:t>基范围内非适用材料（不含淤</w:t>
            </w:r>
          </w:p>
          <w:p>
            <w:pPr>
              <w:spacing w:line="274" w:lineRule="exact"/>
              <w:ind w:left="109"/>
            </w:pPr>
            <w:r>
              <w:rPr>
                <w:spacing w:val="-1"/>
                <w:sz w:val="20"/>
              </w:rPr>
              <w:t>泥）以立方米为单位计量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施工排水处理；</w:t>
            </w:r>
          </w:p>
          <w:p>
            <w:pPr>
              <w:spacing w:line="271" w:lineRule="exact"/>
              <w:ind w:left="281"/>
            </w:pPr>
            <w:r>
              <w:rPr>
                <w:rFonts w:ascii="Times New Roman" w:hAnsi="Times New Roman" w:cs="Times New Roman"/>
                <w:sz w:val="20"/>
              </w:rPr>
              <w:t>2.</w:t>
            </w:r>
            <w:r>
              <w:rPr>
                <w:spacing w:val="-1"/>
                <w:position w:val="1"/>
                <w:sz w:val="20"/>
              </w:rPr>
              <w:t>挖除、装载、运输、</w:t>
            </w:r>
          </w:p>
          <w:p>
            <w:pPr>
              <w:spacing w:line="236" w:lineRule="exact"/>
              <w:ind w:left="108"/>
            </w:pPr>
            <w:r>
              <w:rPr>
                <w:spacing w:val="-1"/>
                <w:sz w:val="20"/>
              </w:rPr>
              <w:t>卸车、堆放、弃土整形；</w:t>
            </w:r>
          </w:p>
          <w:p>
            <w:pPr>
              <w:spacing w:line="308" w:lineRule="exact"/>
              <w:ind w:left="281"/>
            </w:pPr>
            <w:r>
              <w:rPr>
                <w:rFonts w:ascii="Times New Roman" w:hAnsi="Times New Roman" w:cs="Times New Roman"/>
                <w:sz w:val="20"/>
              </w:rPr>
              <w:t>3.</w:t>
            </w:r>
            <w:r>
              <w:rPr>
                <w:spacing w:val="-1"/>
                <w:position w:val="1"/>
                <w:sz w:val="20"/>
              </w:rPr>
              <w:t>现场清理</w:t>
            </w:r>
          </w:p>
        </w:tc>
      </w:tr>
      <w:tr>
        <w:tblPrEx>
          <w:tblCellMar>
            <w:top w:w="0" w:type="dxa"/>
            <w:left w:w="108" w:type="dxa"/>
            <w:bottom w:w="0" w:type="dxa"/>
            <w:right w:w="108" w:type="dxa"/>
          </w:tblCellMar>
        </w:tblPrEx>
        <w:trPr>
          <w:trHeight w:val="110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88" w:lineRule="exact"/>
              <w:ind w:left="416"/>
            </w:pPr>
            <w:r>
              <w:rPr>
                <w:rFonts w:ascii="Times New Roman" w:hAnsi="Times New Roman" w:cs="Times New Roman"/>
                <w:spacing w:val="-1"/>
                <w:sz w:val="20"/>
              </w:rPr>
              <w:t>-d</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97" w:lineRule="exact"/>
              <w:ind w:left="281"/>
            </w:pPr>
            <w:r>
              <w:rPr>
                <w:spacing w:val="-1"/>
                <w:sz w:val="20"/>
              </w:rPr>
              <w:t>挖淤泥</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57"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0" w:lineRule="exact"/>
              <w:ind w:left="282"/>
            </w:pPr>
            <w:r>
              <w:rPr>
                <w:spacing w:val="-1"/>
                <w:sz w:val="20"/>
              </w:rPr>
              <w:t>依据图纸所示位置，挖除路</w:t>
            </w:r>
          </w:p>
          <w:p>
            <w:pPr>
              <w:spacing w:line="274" w:lineRule="exact"/>
              <w:ind w:left="109"/>
            </w:pPr>
            <w:r>
              <w:rPr>
                <w:spacing w:val="-1"/>
                <w:sz w:val="20"/>
              </w:rPr>
              <w:t>基范围内淤泥以立方米为单</w:t>
            </w:r>
          </w:p>
          <w:p>
            <w:pPr>
              <w:spacing w:line="271" w:lineRule="exact"/>
              <w:ind w:left="109"/>
            </w:pPr>
            <w:r>
              <w:rPr>
                <w:spacing w:val="-1"/>
                <w:sz w:val="20"/>
              </w:rPr>
              <w:t>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施工排水处理；</w:t>
            </w:r>
          </w:p>
          <w:p>
            <w:pPr>
              <w:spacing w:line="271" w:lineRule="exact"/>
              <w:ind w:left="281"/>
            </w:pPr>
            <w:r>
              <w:rPr>
                <w:rFonts w:ascii="Times New Roman" w:hAnsi="Times New Roman" w:cs="Times New Roman"/>
                <w:sz w:val="20"/>
              </w:rPr>
              <w:t>2.</w:t>
            </w:r>
            <w:r>
              <w:rPr>
                <w:spacing w:val="-1"/>
                <w:position w:val="1"/>
                <w:sz w:val="20"/>
              </w:rPr>
              <w:t>挖除、装载、运输、</w:t>
            </w:r>
          </w:p>
          <w:p>
            <w:pPr>
              <w:spacing w:line="239" w:lineRule="exact"/>
              <w:ind w:left="108"/>
            </w:pPr>
            <w:r>
              <w:rPr>
                <w:spacing w:val="-1"/>
                <w:sz w:val="20"/>
              </w:rPr>
              <w:t>卸车、堆放、弃土整形；</w:t>
            </w:r>
          </w:p>
          <w:p>
            <w:pPr>
              <w:spacing w:line="306" w:lineRule="exact"/>
              <w:ind w:left="281"/>
            </w:pPr>
            <w:r>
              <w:rPr>
                <w:rFonts w:ascii="Times New Roman" w:hAnsi="Times New Roman" w:cs="Times New Roman"/>
                <w:sz w:val="20"/>
              </w:rPr>
              <w:t>3.</w:t>
            </w:r>
            <w:r>
              <w:rPr>
                <w:spacing w:val="-1"/>
                <w:position w:val="1"/>
                <w:sz w:val="20"/>
              </w:rPr>
              <w:t>现场清理</w:t>
            </w:r>
          </w:p>
        </w:tc>
      </w:tr>
      <w:tr>
        <w:tblPrEx>
          <w:tblCellMar>
            <w:top w:w="0" w:type="dxa"/>
            <w:left w:w="108" w:type="dxa"/>
            <w:bottom w:w="0" w:type="dxa"/>
            <w:right w:w="108" w:type="dxa"/>
          </w:tblCellMar>
        </w:tblPrEx>
        <w:trPr>
          <w:trHeight w:val="55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6" w:lineRule="exact"/>
              <w:ind w:left="260"/>
            </w:pPr>
            <w:r>
              <w:rPr>
                <w:rFonts w:ascii="Times New Roman" w:hAnsi="Times New Roman" w:cs="Times New Roman"/>
                <w:spacing w:val="-1"/>
                <w:sz w:val="20"/>
              </w:rPr>
              <w:t>204-1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281"/>
            </w:pPr>
            <w:r>
              <w:rPr>
                <w:spacing w:val="-1"/>
                <w:sz w:val="20"/>
              </w:rPr>
              <w:t>路基填筑（包</w:t>
            </w:r>
          </w:p>
          <w:p>
            <w:pPr>
              <w:spacing w:line="271" w:lineRule="exact"/>
              <w:ind w:left="109"/>
            </w:pPr>
            <w:r>
              <w:rPr>
                <w:spacing w:val="-1"/>
                <w:sz w:val="20"/>
              </w:rPr>
              <w:t>括填前压实）</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pPr>
          </w:p>
        </w:tc>
      </w:tr>
      <w:tr>
        <w:tblPrEx>
          <w:tblCellMar>
            <w:top w:w="0" w:type="dxa"/>
            <w:left w:w="108" w:type="dxa"/>
            <w:bottom w:w="0" w:type="dxa"/>
            <w:right w:w="108" w:type="dxa"/>
          </w:tblCellMar>
        </w:tblPrEx>
        <w:trPr>
          <w:trHeight w:val="382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051" w:lineRule="exact"/>
              <w:ind w:left="423"/>
            </w:pPr>
            <w:r>
              <w:rPr>
                <w:rFonts w:ascii="Times New Roman" w:hAnsi="Times New Roman" w:cs="Times New Roman"/>
                <w:spacing w:val="-1"/>
                <w:sz w:val="20"/>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014" w:lineRule="exact"/>
              <w:ind w:left="281"/>
            </w:pPr>
            <w:r>
              <w:rPr>
                <w:spacing w:val="-1"/>
                <w:sz w:val="20"/>
              </w:rPr>
              <w:t>利用土方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959"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2"/>
            </w:pPr>
            <w:r>
              <w:rPr>
                <w:rFonts w:ascii="Times New Roman" w:hAnsi="Times New Roman" w:cs="Times New Roman"/>
                <w:sz w:val="20"/>
              </w:rPr>
              <w:t>1.</w:t>
            </w:r>
            <w:r>
              <w:rPr>
                <w:spacing w:val="-1"/>
                <w:position w:val="1"/>
                <w:sz w:val="20"/>
              </w:rPr>
              <w:t>依据图纸所示地面线、路</w:t>
            </w:r>
          </w:p>
          <w:p>
            <w:pPr>
              <w:spacing w:line="237" w:lineRule="exact"/>
              <w:ind w:left="109"/>
            </w:pPr>
            <w:r>
              <w:rPr>
                <w:spacing w:val="-1"/>
                <w:sz w:val="20"/>
              </w:rPr>
              <w:t>基设计横断面图，按平均断面</w:t>
            </w:r>
          </w:p>
          <w:p>
            <w:pPr>
              <w:spacing w:line="274" w:lineRule="exact"/>
              <w:ind w:left="109"/>
            </w:pPr>
            <w:r>
              <w:rPr>
                <w:spacing w:val="-1"/>
                <w:sz w:val="20"/>
              </w:rPr>
              <w:t>面积法计算压实的体积，以立</w:t>
            </w:r>
          </w:p>
          <w:p>
            <w:pPr>
              <w:spacing w:line="274" w:lineRule="exact"/>
              <w:ind w:left="109"/>
            </w:pPr>
            <w:r>
              <w:rPr>
                <w:spacing w:val="-1"/>
                <w:sz w:val="20"/>
              </w:rPr>
              <w:t>方米为单位计量；</w:t>
            </w:r>
          </w:p>
          <w:p>
            <w:pPr>
              <w:spacing w:line="306" w:lineRule="exact"/>
              <w:ind w:left="282"/>
            </w:pPr>
            <w:r>
              <w:rPr>
                <w:rFonts w:ascii="Times New Roman" w:hAnsi="Times New Roman" w:cs="Times New Roman"/>
                <w:sz w:val="20"/>
              </w:rPr>
              <w:t>2.</w:t>
            </w:r>
            <w:r>
              <w:rPr>
                <w:spacing w:val="-1"/>
                <w:position w:val="1"/>
                <w:sz w:val="20"/>
              </w:rPr>
              <w:t>当填料中石料含量小于</w:t>
            </w:r>
          </w:p>
          <w:p>
            <w:pPr>
              <w:spacing w:line="271" w:lineRule="exact"/>
              <w:ind w:left="109"/>
            </w:pPr>
            <w:r>
              <w:rPr>
                <w:rFonts w:ascii="Times New Roman" w:hAnsi="Times New Roman" w:cs="Times New Roman"/>
                <w:spacing w:val="-1"/>
                <w:sz w:val="20"/>
              </w:rPr>
              <w:t>30%</w:t>
            </w:r>
            <w:r>
              <w:rPr>
                <w:spacing w:val="-1"/>
                <w:position w:val="1"/>
                <w:sz w:val="20"/>
              </w:rPr>
              <w:t>时，适用于本条；</w:t>
            </w:r>
          </w:p>
          <w:p>
            <w:pPr>
              <w:spacing w:line="274" w:lineRule="exact"/>
              <w:ind w:left="282"/>
            </w:pPr>
            <w:r>
              <w:rPr>
                <w:rFonts w:ascii="Times New Roman" w:hAnsi="Times New Roman" w:cs="Times New Roman"/>
                <w:sz w:val="20"/>
              </w:rPr>
              <w:t>3.</w:t>
            </w:r>
            <w:r>
              <w:rPr>
                <w:spacing w:val="-1"/>
                <w:position w:val="1"/>
                <w:sz w:val="20"/>
              </w:rPr>
              <w:t>满足施工需要，预留路基</w:t>
            </w:r>
          </w:p>
          <w:p>
            <w:pPr>
              <w:spacing w:line="236" w:lineRule="exact"/>
              <w:ind w:left="109"/>
            </w:pPr>
            <w:r>
              <w:rPr>
                <w:spacing w:val="-1"/>
                <w:sz w:val="20"/>
              </w:rPr>
              <w:t>宽度宽填的填方量作为路基</w:t>
            </w:r>
          </w:p>
          <w:p>
            <w:pPr>
              <w:spacing w:line="274" w:lineRule="exact"/>
              <w:ind w:left="109"/>
            </w:pPr>
            <w:r>
              <w:rPr>
                <w:spacing w:val="-1"/>
                <w:sz w:val="20"/>
              </w:rPr>
              <w:t>填筑的附属工作，不另行计</w:t>
            </w:r>
          </w:p>
          <w:p>
            <w:pPr>
              <w:spacing w:line="271" w:lineRule="exact"/>
              <w:ind w:left="109"/>
            </w:pPr>
            <w:r>
              <w:rPr>
                <w:spacing w:val="-1"/>
                <w:sz w:val="20"/>
              </w:rPr>
              <w:t>量；</w:t>
            </w:r>
          </w:p>
          <w:p>
            <w:pPr>
              <w:spacing w:line="308" w:lineRule="exact"/>
              <w:ind w:left="282"/>
            </w:pPr>
            <w:r>
              <w:rPr>
                <w:rFonts w:ascii="Times New Roman" w:hAnsi="Times New Roman" w:cs="Times New Roman"/>
                <w:sz w:val="20"/>
              </w:rPr>
              <w:t>4.</w:t>
            </w:r>
            <w:r>
              <w:rPr>
                <w:spacing w:val="-1"/>
                <w:position w:val="1"/>
                <w:sz w:val="20"/>
              </w:rPr>
              <w:t>填前压实、地面下沉增加</w:t>
            </w:r>
          </w:p>
          <w:p>
            <w:pPr>
              <w:spacing w:line="237" w:lineRule="exact"/>
              <w:ind w:left="109"/>
            </w:pPr>
            <w:r>
              <w:rPr>
                <w:spacing w:val="-1"/>
                <w:sz w:val="20"/>
              </w:rPr>
              <w:t>的填方量，不另行计量；</w:t>
            </w:r>
          </w:p>
          <w:p>
            <w:pPr>
              <w:spacing w:line="308" w:lineRule="exact"/>
              <w:ind w:left="282"/>
            </w:pPr>
            <w:r>
              <w:rPr>
                <w:rFonts w:ascii="Times New Roman" w:hAnsi="Times New Roman" w:cs="Times New Roman"/>
                <w:sz w:val="20"/>
              </w:rPr>
              <w:t>5.</w:t>
            </w:r>
            <w:r>
              <w:rPr>
                <w:spacing w:val="-1"/>
                <w:position w:val="1"/>
                <w:sz w:val="20"/>
              </w:rPr>
              <w:t>结构物台背回填的回填材</w:t>
            </w:r>
          </w:p>
          <w:p>
            <w:pPr>
              <w:spacing w:line="237" w:lineRule="exact"/>
              <w:ind w:left="109"/>
            </w:pPr>
            <w:r>
              <w:rPr>
                <w:spacing w:val="-1"/>
                <w:sz w:val="20"/>
              </w:rPr>
              <w:t>料、摊平、压实、整形以及台</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33" w:lineRule="exact"/>
              <w:ind w:left="281"/>
            </w:pPr>
            <w:r>
              <w:rPr>
                <w:rFonts w:ascii="Times New Roman" w:hAnsi="Times New Roman" w:cs="Times New Roman"/>
                <w:sz w:val="20"/>
              </w:rPr>
              <w:t>1.</w:t>
            </w:r>
            <w:r>
              <w:rPr>
                <w:spacing w:val="-1"/>
                <w:position w:val="1"/>
                <w:sz w:val="20"/>
              </w:rPr>
              <w:t>基底翻松、压实、挖</w:t>
            </w:r>
          </w:p>
          <w:p>
            <w:pPr>
              <w:spacing w:line="237" w:lineRule="exact"/>
              <w:ind w:left="108"/>
            </w:pPr>
            <w:r>
              <w:rPr>
                <w:spacing w:val="-1"/>
                <w:sz w:val="20"/>
              </w:rPr>
              <w:t>台阶；</w:t>
            </w:r>
          </w:p>
          <w:p>
            <w:pPr>
              <w:spacing w:line="306" w:lineRule="exact"/>
              <w:ind w:left="281"/>
            </w:pPr>
            <w:r>
              <w:rPr>
                <w:rFonts w:ascii="Times New Roman" w:hAnsi="Times New Roman" w:cs="Times New Roman"/>
                <w:sz w:val="20"/>
              </w:rPr>
              <w:t>2.</w:t>
            </w:r>
            <w:r>
              <w:rPr>
                <w:spacing w:val="-1"/>
                <w:position w:val="1"/>
                <w:sz w:val="20"/>
              </w:rPr>
              <w:t>临时排水、翻晒；</w:t>
            </w:r>
          </w:p>
          <w:p>
            <w:pPr>
              <w:spacing w:line="274" w:lineRule="exact"/>
              <w:ind w:left="281"/>
            </w:pPr>
            <w:r>
              <w:rPr>
                <w:rFonts w:ascii="Times New Roman" w:hAnsi="Times New Roman" w:cs="Times New Roman"/>
                <w:sz w:val="20"/>
              </w:rPr>
              <w:t>3.</w:t>
            </w:r>
            <w:r>
              <w:rPr>
                <w:spacing w:val="-1"/>
                <w:position w:val="1"/>
                <w:sz w:val="20"/>
              </w:rPr>
              <w:t>装、卸、运输、分层</w:t>
            </w:r>
          </w:p>
          <w:p>
            <w:pPr>
              <w:spacing w:line="239" w:lineRule="exact"/>
              <w:ind w:left="108"/>
            </w:pPr>
            <w:r>
              <w:rPr>
                <w:spacing w:val="-1"/>
                <w:sz w:val="20"/>
              </w:rPr>
              <w:t>摊铺；</w:t>
            </w:r>
          </w:p>
          <w:p>
            <w:pPr>
              <w:spacing w:line="306" w:lineRule="exact"/>
              <w:ind w:left="281"/>
            </w:pPr>
            <w:r>
              <w:rPr>
                <w:rFonts w:ascii="Times New Roman" w:hAnsi="Times New Roman" w:cs="Times New Roman"/>
                <w:sz w:val="20"/>
              </w:rPr>
              <w:t>4.</w:t>
            </w:r>
            <w:r>
              <w:rPr>
                <w:spacing w:val="-1"/>
                <w:position w:val="1"/>
                <w:sz w:val="20"/>
              </w:rPr>
              <w:t>洒水、压实、刷坡；</w:t>
            </w:r>
          </w:p>
          <w:p>
            <w:pPr>
              <w:spacing w:line="274" w:lineRule="exact"/>
              <w:ind w:left="281"/>
            </w:pPr>
            <w:r>
              <w:rPr>
                <w:rFonts w:ascii="Times New Roman" w:hAnsi="Times New Roman" w:cs="Times New Roman"/>
                <w:sz w:val="20"/>
              </w:rPr>
              <w:t>5.</w:t>
            </w:r>
            <w:r>
              <w:rPr>
                <w:spacing w:val="-1"/>
                <w:position w:val="1"/>
                <w:sz w:val="20"/>
              </w:rPr>
              <w:t>整形</w:t>
            </w:r>
          </w:p>
        </w:tc>
      </w:tr>
    </w:tbl>
    <w:p>
      <w:pPr>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blPrEx>
          <w:tblCellMar>
            <w:top w:w="0" w:type="dxa"/>
            <w:left w:w="108" w:type="dxa"/>
            <w:bottom w:w="0" w:type="dxa"/>
            <w:right w:w="108" w:type="dxa"/>
          </w:tblCellMar>
        </w:tblPrEx>
        <w:trPr>
          <w:trHeight w:val="137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109"/>
            </w:pPr>
            <w:r>
              <w:rPr>
                <w:spacing w:val="-1"/>
                <w:sz w:val="20"/>
              </w:rPr>
              <w:t>后排水等一切与此有关作业</w:t>
            </w:r>
          </w:p>
          <w:p>
            <w:pPr>
              <w:spacing w:line="274" w:lineRule="exact"/>
              <w:ind w:left="109"/>
            </w:pPr>
            <w:r>
              <w:rPr>
                <w:spacing w:val="-1"/>
                <w:sz w:val="20"/>
              </w:rPr>
              <w:t>已包含在相关子目中，均不另</w:t>
            </w:r>
          </w:p>
          <w:p>
            <w:pPr>
              <w:spacing w:line="271" w:lineRule="exact"/>
              <w:ind w:left="109"/>
            </w:pPr>
            <w:r>
              <w:rPr>
                <w:spacing w:val="-1"/>
                <w:sz w:val="20"/>
              </w:rPr>
              <w:t>行计量，但桥梁及明涵的搭</w:t>
            </w:r>
          </w:p>
          <w:p>
            <w:pPr>
              <w:spacing w:line="274" w:lineRule="exact"/>
              <w:ind w:left="109"/>
            </w:pPr>
            <w:r>
              <w:rPr>
                <w:spacing w:val="-1"/>
                <w:sz w:val="20"/>
              </w:rPr>
              <w:t>板、埋板下的路面结构层在相</w:t>
            </w:r>
          </w:p>
          <w:p>
            <w:pPr>
              <w:spacing w:line="271" w:lineRule="exact"/>
              <w:ind w:left="109"/>
            </w:pPr>
            <w:r>
              <w:rPr>
                <w:spacing w:val="-1"/>
                <w:sz w:val="20"/>
              </w:rPr>
              <w:t>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pPr>
          </w:p>
        </w:tc>
      </w:tr>
      <w:tr>
        <w:tblPrEx>
          <w:tblCellMar>
            <w:top w:w="0" w:type="dxa"/>
            <w:left w:w="108" w:type="dxa"/>
            <w:bottom w:w="0" w:type="dxa"/>
            <w:right w:w="108" w:type="dxa"/>
          </w:tblCellMar>
        </w:tblPrEx>
        <w:trPr>
          <w:trHeight w:val="3823"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049" w:lineRule="exact"/>
              <w:ind w:left="416"/>
            </w:pPr>
            <w:r>
              <w:rPr>
                <w:rFonts w:ascii="Times New Roman" w:hAnsi="Times New Roman" w:cs="Times New Roman"/>
                <w:spacing w:val="-1"/>
                <w:sz w:val="20"/>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014" w:lineRule="exact"/>
              <w:ind w:left="281"/>
            </w:pPr>
            <w:r>
              <w:rPr>
                <w:spacing w:val="-1"/>
                <w:sz w:val="20"/>
              </w:rPr>
              <w:t>利用石方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957"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2"/>
            </w:pPr>
            <w:r>
              <w:rPr>
                <w:rFonts w:ascii="Times New Roman" w:hAnsi="Times New Roman" w:cs="Times New Roman"/>
                <w:sz w:val="20"/>
              </w:rPr>
              <w:t>1.</w:t>
            </w:r>
            <w:r>
              <w:rPr>
                <w:spacing w:val="-1"/>
                <w:position w:val="1"/>
                <w:sz w:val="20"/>
              </w:rPr>
              <w:t>依据图纸所示地面线、路</w:t>
            </w:r>
          </w:p>
          <w:p>
            <w:pPr>
              <w:spacing w:line="236" w:lineRule="exact"/>
              <w:ind w:left="109"/>
            </w:pPr>
            <w:r>
              <w:rPr>
                <w:spacing w:val="-1"/>
                <w:sz w:val="20"/>
              </w:rPr>
              <w:t>基设计横断面图，按平均断面</w:t>
            </w:r>
          </w:p>
          <w:p>
            <w:pPr>
              <w:spacing w:line="271" w:lineRule="exact"/>
              <w:ind w:left="109"/>
            </w:pPr>
            <w:r>
              <w:rPr>
                <w:spacing w:val="-1"/>
                <w:sz w:val="20"/>
              </w:rPr>
              <w:t>面积法计算压实的体积，以立</w:t>
            </w:r>
          </w:p>
          <w:p>
            <w:pPr>
              <w:spacing w:line="274" w:lineRule="exact"/>
              <w:ind w:left="109"/>
            </w:pPr>
            <w:r>
              <w:rPr>
                <w:spacing w:val="-1"/>
                <w:sz w:val="20"/>
              </w:rPr>
              <w:t>方米为单位计量；</w:t>
            </w:r>
          </w:p>
          <w:p>
            <w:pPr>
              <w:spacing w:line="306" w:lineRule="exact"/>
              <w:ind w:left="282"/>
            </w:pPr>
            <w:r>
              <w:rPr>
                <w:rFonts w:ascii="Times New Roman" w:hAnsi="Times New Roman" w:cs="Times New Roman"/>
                <w:sz w:val="20"/>
              </w:rPr>
              <w:t>2.</w:t>
            </w:r>
            <w:r>
              <w:rPr>
                <w:spacing w:val="-1"/>
                <w:position w:val="1"/>
                <w:sz w:val="20"/>
              </w:rPr>
              <w:t>当填料中石料含量大于</w:t>
            </w:r>
          </w:p>
          <w:p>
            <w:pPr>
              <w:spacing w:line="274" w:lineRule="exact"/>
              <w:ind w:left="109"/>
            </w:pPr>
            <w:r>
              <w:rPr>
                <w:rFonts w:ascii="Times New Roman" w:hAnsi="Times New Roman" w:cs="Times New Roman"/>
                <w:spacing w:val="-1"/>
                <w:sz w:val="20"/>
              </w:rPr>
              <w:t>70%</w:t>
            </w:r>
            <w:r>
              <w:rPr>
                <w:spacing w:val="-1"/>
                <w:position w:val="1"/>
                <w:sz w:val="20"/>
              </w:rPr>
              <w:t>时，适用于本条；</w:t>
            </w:r>
          </w:p>
          <w:p>
            <w:pPr>
              <w:spacing w:line="271" w:lineRule="exact"/>
              <w:ind w:left="282"/>
            </w:pPr>
            <w:r>
              <w:rPr>
                <w:rFonts w:ascii="Times New Roman" w:hAnsi="Times New Roman" w:cs="Times New Roman"/>
                <w:sz w:val="20"/>
              </w:rPr>
              <w:t>3.</w:t>
            </w:r>
            <w:r>
              <w:rPr>
                <w:spacing w:val="-1"/>
                <w:position w:val="1"/>
                <w:sz w:val="20"/>
              </w:rPr>
              <w:t>填前压实、地面下沉增加</w:t>
            </w:r>
          </w:p>
          <w:p>
            <w:pPr>
              <w:spacing w:line="239" w:lineRule="exact"/>
              <w:ind w:left="109"/>
            </w:pPr>
            <w:r>
              <w:rPr>
                <w:spacing w:val="-1"/>
                <w:sz w:val="20"/>
              </w:rPr>
              <w:t>的填方量，不另行计量；</w:t>
            </w:r>
          </w:p>
          <w:p>
            <w:pPr>
              <w:spacing w:line="306" w:lineRule="exact"/>
              <w:ind w:left="282"/>
            </w:pPr>
            <w:r>
              <w:rPr>
                <w:rFonts w:ascii="Times New Roman" w:hAnsi="Times New Roman" w:cs="Times New Roman"/>
                <w:sz w:val="20"/>
              </w:rPr>
              <w:t>4.</w:t>
            </w:r>
            <w:r>
              <w:rPr>
                <w:spacing w:val="-1"/>
                <w:position w:val="1"/>
                <w:sz w:val="20"/>
              </w:rPr>
              <w:t>结构物台背回填的回填材</w:t>
            </w:r>
          </w:p>
          <w:p>
            <w:pPr>
              <w:spacing w:line="239" w:lineRule="exact"/>
              <w:ind w:left="109"/>
            </w:pPr>
            <w:r>
              <w:rPr>
                <w:spacing w:val="-1"/>
                <w:sz w:val="20"/>
              </w:rPr>
              <w:t>料、摊平、压实、整形以及台</w:t>
            </w:r>
          </w:p>
          <w:p>
            <w:pPr>
              <w:spacing w:line="271" w:lineRule="exact"/>
              <w:ind w:left="109"/>
            </w:pPr>
            <w:r>
              <w:rPr>
                <w:spacing w:val="-1"/>
                <w:sz w:val="20"/>
              </w:rPr>
              <w:t>后排水等一切与此有关作业</w:t>
            </w:r>
          </w:p>
          <w:p>
            <w:pPr>
              <w:spacing w:line="271" w:lineRule="exact"/>
              <w:ind w:left="109"/>
            </w:pPr>
            <w:r>
              <w:rPr>
                <w:spacing w:val="-1"/>
                <w:sz w:val="20"/>
              </w:rPr>
              <w:t>均不另行计量，但桥梁及明涵</w:t>
            </w:r>
          </w:p>
          <w:p>
            <w:pPr>
              <w:spacing w:line="274" w:lineRule="exact"/>
              <w:ind w:left="109"/>
            </w:pPr>
            <w:r>
              <w:rPr>
                <w:spacing w:val="-1"/>
                <w:sz w:val="20"/>
              </w:rPr>
              <w:t>的搭板、埋板下的路面结构层</w:t>
            </w:r>
          </w:p>
          <w:p>
            <w:pPr>
              <w:spacing w:line="274" w:lineRule="exact"/>
              <w:ind w:left="109"/>
            </w:pPr>
            <w:r>
              <w:rPr>
                <w:spacing w:val="-1"/>
                <w:sz w:val="20"/>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23" w:lineRule="exact"/>
              <w:ind w:left="281"/>
            </w:pPr>
            <w:r>
              <w:rPr>
                <w:rFonts w:ascii="Times New Roman" w:hAnsi="Times New Roman" w:cs="Times New Roman"/>
                <w:sz w:val="20"/>
              </w:rPr>
              <w:t>1.</w:t>
            </w:r>
            <w:r>
              <w:rPr>
                <w:spacing w:val="-1"/>
                <w:position w:val="1"/>
                <w:sz w:val="20"/>
              </w:rPr>
              <w:t>基底翻松、压实，挖</w:t>
            </w:r>
          </w:p>
          <w:p>
            <w:pPr>
              <w:spacing w:line="239" w:lineRule="exact"/>
              <w:ind w:left="108"/>
            </w:pPr>
            <w:r>
              <w:rPr>
                <w:spacing w:val="-1"/>
                <w:sz w:val="20"/>
              </w:rPr>
              <w:t>台阶；</w:t>
            </w:r>
          </w:p>
          <w:p>
            <w:pPr>
              <w:spacing w:line="306" w:lineRule="exact"/>
              <w:ind w:left="281"/>
            </w:pPr>
            <w:r>
              <w:rPr>
                <w:rFonts w:ascii="Times New Roman" w:hAnsi="Times New Roman" w:cs="Times New Roman"/>
                <w:sz w:val="20"/>
              </w:rPr>
              <w:t>2.</w:t>
            </w:r>
            <w:r>
              <w:rPr>
                <w:spacing w:val="-1"/>
                <w:position w:val="1"/>
                <w:sz w:val="20"/>
              </w:rPr>
              <w:t>临时排水、翻晒；</w:t>
            </w:r>
          </w:p>
          <w:p>
            <w:pPr>
              <w:spacing w:line="274" w:lineRule="exact"/>
              <w:ind w:left="281"/>
            </w:pPr>
            <w:r>
              <w:rPr>
                <w:rFonts w:ascii="Times New Roman" w:hAnsi="Times New Roman" w:cs="Times New Roman"/>
                <w:sz w:val="20"/>
              </w:rPr>
              <w:t>3.</w:t>
            </w:r>
            <w:r>
              <w:rPr>
                <w:spacing w:val="-1"/>
                <w:position w:val="1"/>
                <w:sz w:val="20"/>
              </w:rPr>
              <w:t>装、卸、运输、边坡</w:t>
            </w:r>
          </w:p>
          <w:p>
            <w:pPr>
              <w:spacing w:line="237" w:lineRule="exact"/>
              <w:ind w:left="108"/>
            </w:pPr>
            <w:r>
              <w:rPr>
                <w:spacing w:val="-1"/>
                <w:sz w:val="20"/>
              </w:rPr>
              <w:t>码砌；</w:t>
            </w:r>
          </w:p>
          <w:p>
            <w:pPr>
              <w:spacing w:line="306" w:lineRule="exact"/>
              <w:ind w:left="281"/>
            </w:pPr>
            <w:r>
              <w:rPr>
                <w:rFonts w:ascii="Times New Roman" w:hAnsi="Times New Roman" w:cs="Times New Roman"/>
                <w:sz w:val="20"/>
              </w:rPr>
              <w:t>4.</w:t>
            </w:r>
            <w:r>
              <w:rPr>
                <w:spacing w:val="-1"/>
                <w:position w:val="1"/>
                <w:sz w:val="20"/>
              </w:rPr>
              <w:t>分层摊铺；</w:t>
            </w:r>
          </w:p>
          <w:p>
            <w:pPr>
              <w:spacing w:line="274" w:lineRule="exact"/>
              <w:ind w:left="281"/>
            </w:pPr>
            <w:r>
              <w:rPr>
                <w:rFonts w:ascii="Times New Roman" w:hAnsi="Times New Roman" w:cs="Times New Roman"/>
                <w:sz w:val="20"/>
              </w:rPr>
              <w:t>5.</w:t>
            </w:r>
            <w:r>
              <w:rPr>
                <w:spacing w:val="-1"/>
                <w:position w:val="1"/>
                <w:sz w:val="20"/>
              </w:rPr>
              <w:t>小石块（或石屑）填</w:t>
            </w:r>
          </w:p>
          <w:p>
            <w:pPr>
              <w:spacing w:line="237" w:lineRule="exact"/>
              <w:ind w:left="108"/>
            </w:pPr>
            <w:r>
              <w:rPr>
                <w:spacing w:val="-1"/>
                <w:sz w:val="20"/>
              </w:rPr>
              <w:t>缝、找补。</w:t>
            </w:r>
          </w:p>
          <w:p>
            <w:pPr>
              <w:spacing w:line="308" w:lineRule="exact"/>
              <w:ind w:left="281"/>
            </w:pPr>
            <w:r>
              <w:rPr>
                <w:rFonts w:ascii="Times New Roman" w:hAnsi="Times New Roman" w:cs="Times New Roman"/>
                <w:sz w:val="20"/>
              </w:rPr>
              <w:t>6.</w:t>
            </w:r>
            <w:r>
              <w:rPr>
                <w:spacing w:val="-1"/>
                <w:position w:val="1"/>
                <w:sz w:val="20"/>
              </w:rPr>
              <w:t>洒水、压实、；</w:t>
            </w:r>
          </w:p>
          <w:p>
            <w:pPr>
              <w:spacing w:line="271" w:lineRule="exact"/>
              <w:ind w:left="281"/>
            </w:pPr>
            <w:r>
              <w:rPr>
                <w:rFonts w:ascii="Times New Roman" w:hAnsi="Times New Roman" w:cs="Times New Roman"/>
                <w:sz w:val="20"/>
              </w:rPr>
              <w:t>7.</w:t>
            </w:r>
            <w:r>
              <w:rPr>
                <w:spacing w:val="-1"/>
                <w:position w:val="1"/>
                <w:sz w:val="20"/>
              </w:rPr>
              <w:t>整型</w:t>
            </w:r>
          </w:p>
        </w:tc>
      </w:tr>
      <w:tr>
        <w:tblPrEx>
          <w:tblCellMar>
            <w:top w:w="0" w:type="dxa"/>
            <w:left w:w="108" w:type="dxa"/>
            <w:bottom w:w="0" w:type="dxa"/>
            <w:right w:w="108" w:type="dxa"/>
          </w:tblCellMar>
        </w:tblPrEx>
        <w:trPr>
          <w:trHeight w:val="5456"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65" w:lineRule="exact"/>
              <w:ind w:left="423"/>
            </w:pPr>
            <w:r>
              <w:rPr>
                <w:rFonts w:ascii="Times New Roman" w:hAnsi="Times New Roman" w:cs="Times New Roman"/>
                <w:spacing w:val="-1"/>
                <w:sz w:val="20"/>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30" w:lineRule="exact"/>
              <w:ind w:left="281"/>
            </w:pPr>
            <w:r>
              <w:rPr>
                <w:spacing w:val="-1"/>
                <w:sz w:val="20"/>
              </w:rPr>
              <w:t>借土填方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76"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8" w:lineRule="exact"/>
              <w:ind w:left="282"/>
            </w:pPr>
            <w:r>
              <w:rPr>
                <w:rFonts w:ascii="Times New Roman" w:hAnsi="Times New Roman" w:cs="Times New Roman"/>
                <w:sz w:val="20"/>
              </w:rPr>
              <w:t>1.</w:t>
            </w:r>
            <w:r>
              <w:rPr>
                <w:spacing w:val="-1"/>
                <w:position w:val="1"/>
                <w:sz w:val="20"/>
              </w:rPr>
              <w:t>依据图纸所示地面线、路</w:t>
            </w:r>
          </w:p>
          <w:p>
            <w:pPr>
              <w:spacing w:line="239" w:lineRule="exact"/>
              <w:ind w:left="109"/>
            </w:pPr>
            <w:r>
              <w:rPr>
                <w:spacing w:val="-1"/>
                <w:sz w:val="20"/>
              </w:rPr>
              <w:t>基设计横断面图，按平均断面</w:t>
            </w:r>
          </w:p>
          <w:p>
            <w:pPr>
              <w:spacing w:line="271" w:lineRule="exact"/>
              <w:ind w:left="109"/>
            </w:pPr>
            <w:r>
              <w:rPr>
                <w:spacing w:val="-1"/>
                <w:sz w:val="20"/>
              </w:rPr>
              <w:t>面积法计算压实的体积，以立</w:t>
            </w:r>
          </w:p>
          <w:p>
            <w:pPr>
              <w:spacing w:line="274" w:lineRule="exact"/>
              <w:ind w:left="109"/>
            </w:pPr>
            <w:r>
              <w:rPr>
                <w:spacing w:val="-1"/>
                <w:sz w:val="20"/>
              </w:rPr>
              <w:t>方米为单位计量；</w:t>
            </w:r>
          </w:p>
          <w:p>
            <w:pPr>
              <w:spacing w:line="306" w:lineRule="exact"/>
              <w:ind w:left="282"/>
            </w:pPr>
            <w:r>
              <w:rPr>
                <w:rFonts w:ascii="Times New Roman" w:hAnsi="Times New Roman" w:cs="Times New Roman"/>
                <w:sz w:val="20"/>
              </w:rPr>
              <w:t>2.</w:t>
            </w:r>
            <w:r>
              <w:rPr>
                <w:spacing w:val="-1"/>
                <w:position w:val="1"/>
                <w:sz w:val="20"/>
              </w:rPr>
              <w:t>借土场的绿化、原地表土</w:t>
            </w:r>
          </w:p>
          <w:p>
            <w:pPr>
              <w:spacing w:line="239" w:lineRule="exact"/>
              <w:ind w:left="109"/>
            </w:pPr>
            <w:r>
              <w:rPr>
                <w:spacing w:val="-1"/>
                <w:sz w:val="20"/>
              </w:rPr>
              <w:t>的回填、防护工程、排水设施</w:t>
            </w:r>
          </w:p>
          <w:p>
            <w:pPr>
              <w:spacing w:line="271" w:lineRule="exact"/>
              <w:ind w:left="109"/>
            </w:pPr>
            <w:r>
              <w:rPr>
                <w:spacing w:val="-1"/>
                <w:sz w:val="20"/>
              </w:rPr>
              <w:t>等均作为附属工作，不另行计</w:t>
            </w:r>
          </w:p>
          <w:p>
            <w:pPr>
              <w:spacing w:line="274" w:lineRule="exact"/>
              <w:ind w:left="109"/>
            </w:pPr>
            <w:r>
              <w:rPr>
                <w:spacing w:val="-1"/>
                <w:sz w:val="20"/>
              </w:rPr>
              <w:t>量；</w:t>
            </w:r>
          </w:p>
          <w:p>
            <w:pPr>
              <w:spacing w:line="306" w:lineRule="exact"/>
              <w:ind w:left="282"/>
            </w:pPr>
            <w:r>
              <w:rPr>
                <w:rFonts w:ascii="Times New Roman" w:hAnsi="Times New Roman" w:cs="Times New Roman"/>
                <w:sz w:val="20"/>
              </w:rPr>
              <w:t>3.</w:t>
            </w:r>
            <w:r>
              <w:rPr>
                <w:spacing w:val="-1"/>
                <w:position w:val="1"/>
                <w:sz w:val="20"/>
              </w:rPr>
              <w:t>满足施工需要，预留路基</w:t>
            </w:r>
          </w:p>
          <w:p>
            <w:pPr>
              <w:spacing w:line="239" w:lineRule="exact"/>
              <w:ind w:left="109"/>
            </w:pPr>
            <w:r>
              <w:rPr>
                <w:spacing w:val="-1"/>
                <w:sz w:val="20"/>
              </w:rPr>
              <w:t>宽度宽填的填方量作为路基</w:t>
            </w:r>
          </w:p>
          <w:p>
            <w:pPr>
              <w:spacing w:line="271" w:lineRule="exact"/>
              <w:ind w:left="109"/>
            </w:pPr>
            <w:r>
              <w:rPr>
                <w:spacing w:val="-1"/>
                <w:sz w:val="20"/>
              </w:rPr>
              <w:t>填筑的附属工作，不另行计</w:t>
            </w:r>
          </w:p>
          <w:p>
            <w:pPr>
              <w:spacing w:line="271" w:lineRule="exact"/>
              <w:ind w:left="109"/>
            </w:pPr>
            <w:r>
              <w:rPr>
                <w:spacing w:val="-1"/>
                <w:sz w:val="20"/>
              </w:rPr>
              <w:t>量；</w:t>
            </w:r>
          </w:p>
          <w:p>
            <w:pPr>
              <w:spacing w:line="308" w:lineRule="exact"/>
              <w:ind w:left="282"/>
            </w:pPr>
            <w:r>
              <w:rPr>
                <w:rFonts w:ascii="Times New Roman" w:hAnsi="Times New Roman" w:cs="Times New Roman"/>
                <w:sz w:val="20"/>
              </w:rPr>
              <w:t>4.</w:t>
            </w:r>
            <w:r>
              <w:rPr>
                <w:spacing w:val="-1"/>
                <w:position w:val="1"/>
                <w:sz w:val="20"/>
              </w:rPr>
              <w:t>填前压实、地面下沉增加</w:t>
            </w:r>
          </w:p>
          <w:p>
            <w:pPr>
              <w:spacing w:line="237" w:lineRule="exact"/>
              <w:ind w:left="109"/>
            </w:pPr>
            <w:r>
              <w:rPr>
                <w:spacing w:val="-1"/>
                <w:sz w:val="20"/>
              </w:rPr>
              <w:t>的填方量，不另行计量；</w:t>
            </w:r>
          </w:p>
          <w:p>
            <w:pPr>
              <w:spacing w:line="308" w:lineRule="exact"/>
              <w:ind w:left="282"/>
            </w:pPr>
            <w:r>
              <w:rPr>
                <w:rFonts w:ascii="Times New Roman" w:hAnsi="Times New Roman" w:cs="Times New Roman"/>
                <w:sz w:val="20"/>
              </w:rPr>
              <w:t>5.</w:t>
            </w:r>
            <w:r>
              <w:rPr>
                <w:spacing w:val="-1"/>
                <w:position w:val="1"/>
                <w:sz w:val="20"/>
              </w:rPr>
              <w:t>结构物台背回填的回填材</w:t>
            </w:r>
          </w:p>
          <w:p>
            <w:pPr>
              <w:spacing w:line="239" w:lineRule="exact"/>
              <w:ind w:left="109"/>
            </w:pPr>
            <w:r>
              <w:rPr>
                <w:spacing w:val="-1"/>
                <w:sz w:val="20"/>
              </w:rPr>
              <w:t>料、摊平、压实、整形以及台</w:t>
            </w:r>
          </w:p>
          <w:p>
            <w:pPr>
              <w:spacing w:line="271" w:lineRule="exact"/>
              <w:ind w:left="109"/>
            </w:pPr>
            <w:r>
              <w:rPr>
                <w:spacing w:val="-1"/>
                <w:sz w:val="20"/>
              </w:rPr>
              <w:t>后排水等一切与此有关作业</w:t>
            </w:r>
          </w:p>
          <w:p>
            <w:pPr>
              <w:spacing w:line="271" w:lineRule="exact"/>
              <w:ind w:left="109"/>
            </w:pPr>
            <w:r>
              <w:rPr>
                <w:spacing w:val="-1"/>
                <w:sz w:val="20"/>
              </w:rPr>
              <w:t>均不另行计量，但桥梁及明涵</w:t>
            </w:r>
          </w:p>
          <w:p>
            <w:pPr>
              <w:spacing w:line="274" w:lineRule="exact"/>
              <w:ind w:left="109"/>
            </w:pPr>
            <w:r>
              <w:rPr>
                <w:spacing w:val="-1"/>
                <w:sz w:val="20"/>
              </w:rPr>
              <w:t>的搭板、埋板下的路面结构层</w:t>
            </w:r>
          </w:p>
          <w:p>
            <w:pPr>
              <w:spacing w:line="271" w:lineRule="exact"/>
              <w:ind w:left="109"/>
            </w:pPr>
            <w:r>
              <w:rPr>
                <w:spacing w:val="-1"/>
                <w:sz w:val="20"/>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776" w:lineRule="exact"/>
              <w:ind w:left="281"/>
            </w:pPr>
            <w:r>
              <w:rPr>
                <w:rFonts w:ascii="Times New Roman" w:hAnsi="Times New Roman" w:cs="Times New Roman"/>
                <w:sz w:val="20"/>
              </w:rPr>
              <w:t>1.</w:t>
            </w:r>
            <w:r>
              <w:rPr>
                <w:spacing w:val="-1"/>
                <w:position w:val="1"/>
                <w:sz w:val="20"/>
              </w:rPr>
              <w:t>借土场场地清理、清</w:t>
            </w:r>
          </w:p>
          <w:p>
            <w:pPr>
              <w:spacing w:line="239" w:lineRule="exact"/>
              <w:ind w:left="108"/>
            </w:pPr>
            <w:r>
              <w:rPr>
                <w:spacing w:val="-1"/>
                <w:sz w:val="20"/>
              </w:rPr>
              <w:t>除不适用材料；</w:t>
            </w:r>
          </w:p>
          <w:p>
            <w:pPr>
              <w:spacing w:line="306" w:lineRule="exact"/>
              <w:ind w:left="281"/>
            </w:pPr>
            <w:r>
              <w:rPr>
                <w:rFonts w:ascii="Times New Roman" w:hAnsi="Times New Roman" w:cs="Times New Roman"/>
                <w:sz w:val="20"/>
              </w:rPr>
              <w:t>2.</w:t>
            </w:r>
            <w:r>
              <w:rPr>
                <w:spacing w:val="-1"/>
                <w:position w:val="1"/>
                <w:sz w:val="20"/>
              </w:rPr>
              <w:t>简易便道、基底翻松、</w:t>
            </w:r>
          </w:p>
          <w:p>
            <w:pPr>
              <w:spacing w:line="239" w:lineRule="exact"/>
              <w:ind w:left="108"/>
            </w:pPr>
            <w:r>
              <w:rPr>
                <w:spacing w:val="-1"/>
                <w:sz w:val="20"/>
              </w:rPr>
              <w:t>压实、挖台阶；</w:t>
            </w:r>
          </w:p>
          <w:p>
            <w:pPr>
              <w:spacing w:line="306" w:lineRule="exact"/>
              <w:ind w:left="281"/>
            </w:pPr>
            <w:r>
              <w:rPr>
                <w:rFonts w:ascii="Times New Roman" w:hAnsi="Times New Roman" w:cs="Times New Roman"/>
                <w:sz w:val="20"/>
              </w:rPr>
              <w:t>3.</w:t>
            </w:r>
            <w:r>
              <w:rPr>
                <w:spacing w:val="-1"/>
                <w:position w:val="1"/>
                <w:sz w:val="20"/>
              </w:rPr>
              <w:t>挖、装、运输、卸车；</w:t>
            </w:r>
          </w:p>
          <w:p>
            <w:pPr>
              <w:spacing w:line="271" w:lineRule="exact"/>
              <w:ind w:left="281"/>
            </w:pPr>
            <w:r>
              <w:rPr>
                <w:rFonts w:ascii="Times New Roman" w:hAnsi="Times New Roman" w:cs="Times New Roman"/>
                <w:sz w:val="20"/>
              </w:rPr>
              <w:t>4.</w:t>
            </w:r>
            <w:r>
              <w:rPr>
                <w:spacing w:val="-1"/>
                <w:position w:val="1"/>
                <w:sz w:val="20"/>
              </w:rPr>
              <w:t>分层摊铺；</w:t>
            </w:r>
          </w:p>
          <w:p>
            <w:pPr>
              <w:spacing w:line="274" w:lineRule="exact"/>
              <w:ind w:left="281"/>
            </w:pPr>
            <w:r>
              <w:rPr>
                <w:rFonts w:ascii="Times New Roman" w:hAnsi="Times New Roman" w:cs="Times New Roman"/>
                <w:sz w:val="20"/>
              </w:rPr>
              <w:t>5.</w:t>
            </w:r>
            <w:r>
              <w:rPr>
                <w:spacing w:val="-1"/>
                <w:position w:val="1"/>
                <w:sz w:val="20"/>
              </w:rPr>
              <w:t>洒水、压实、刷坡；</w:t>
            </w:r>
          </w:p>
          <w:p>
            <w:pPr>
              <w:spacing w:line="271" w:lineRule="exact"/>
              <w:ind w:left="281"/>
            </w:pPr>
            <w:r>
              <w:rPr>
                <w:rFonts w:ascii="Times New Roman" w:hAnsi="Times New Roman" w:cs="Times New Roman"/>
                <w:sz w:val="20"/>
              </w:rPr>
              <w:t>6.</w:t>
            </w:r>
            <w:r>
              <w:rPr>
                <w:spacing w:val="-1"/>
                <w:position w:val="1"/>
                <w:sz w:val="20"/>
              </w:rPr>
              <w:t>施工排水处理；</w:t>
            </w:r>
          </w:p>
          <w:p>
            <w:pPr>
              <w:spacing w:line="274" w:lineRule="exact"/>
              <w:ind w:left="281"/>
            </w:pPr>
            <w:r>
              <w:rPr>
                <w:rFonts w:ascii="Times New Roman" w:hAnsi="Times New Roman" w:cs="Times New Roman"/>
                <w:sz w:val="20"/>
              </w:rPr>
              <w:t>7.</w:t>
            </w:r>
            <w:r>
              <w:rPr>
                <w:spacing w:val="-1"/>
                <w:position w:val="1"/>
                <w:sz w:val="20"/>
              </w:rPr>
              <w:t>整形</w:t>
            </w:r>
          </w:p>
        </w:tc>
      </w:tr>
      <w:tr>
        <w:tblPrEx>
          <w:tblCellMar>
            <w:top w:w="0" w:type="dxa"/>
            <w:left w:w="108" w:type="dxa"/>
            <w:bottom w:w="0" w:type="dxa"/>
            <w:right w:w="108" w:type="dxa"/>
          </w:tblCellMar>
        </w:tblPrEx>
        <w:trPr>
          <w:trHeight w:val="316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640" w:lineRule="exact"/>
              <w:ind w:left="416"/>
            </w:pPr>
            <w:r>
              <w:rPr>
                <w:rFonts w:ascii="Times New Roman" w:hAnsi="Times New Roman" w:cs="Times New Roman"/>
                <w:spacing w:val="-1"/>
                <w:sz w:val="20"/>
              </w:rPr>
              <w:t>-d</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606" w:lineRule="exact"/>
              <w:ind w:left="281"/>
            </w:pPr>
            <w:r>
              <w:rPr>
                <w:spacing w:val="-1"/>
                <w:sz w:val="20"/>
              </w:rPr>
              <w:t>借石填方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551"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2"/>
            </w:pPr>
            <w:r>
              <w:rPr>
                <w:rFonts w:ascii="Times New Roman" w:hAnsi="Times New Roman" w:cs="Times New Roman"/>
                <w:sz w:val="20"/>
              </w:rPr>
              <w:t>1.</w:t>
            </w:r>
            <w:r>
              <w:rPr>
                <w:rFonts w:ascii="Calibri" w:hAnsi="Calibri" w:cs="Calibri"/>
                <w:sz w:val="20"/>
              </w:rPr>
              <w:t>  </w:t>
            </w:r>
            <w:r>
              <w:rPr>
                <w:spacing w:val="-1"/>
                <w:position w:val="1"/>
                <w:sz w:val="20"/>
              </w:rPr>
              <w:t>依据图纸所示地面线、路</w:t>
            </w:r>
          </w:p>
          <w:p>
            <w:pPr>
              <w:spacing w:line="239" w:lineRule="exact"/>
              <w:ind w:left="109"/>
            </w:pPr>
            <w:r>
              <w:rPr>
                <w:spacing w:val="-1"/>
                <w:sz w:val="20"/>
              </w:rPr>
              <w:t>基设计横断面图，按平均断面</w:t>
            </w:r>
          </w:p>
          <w:p>
            <w:pPr>
              <w:spacing w:line="271" w:lineRule="exact"/>
              <w:ind w:left="109"/>
            </w:pPr>
            <w:r>
              <w:rPr>
                <w:spacing w:val="-1"/>
                <w:sz w:val="20"/>
              </w:rPr>
              <w:t>面积法计算压实的体积，以立</w:t>
            </w:r>
          </w:p>
          <w:p>
            <w:pPr>
              <w:spacing w:line="274" w:lineRule="exact"/>
              <w:ind w:left="109"/>
            </w:pPr>
            <w:r>
              <w:rPr>
                <w:spacing w:val="-1"/>
                <w:sz w:val="20"/>
              </w:rPr>
              <w:t>方米为单位计量；</w:t>
            </w:r>
          </w:p>
          <w:p>
            <w:pPr>
              <w:spacing w:line="306" w:lineRule="exact"/>
              <w:ind w:left="282"/>
            </w:pPr>
            <w:r>
              <w:rPr>
                <w:rFonts w:ascii="Times New Roman" w:hAnsi="Times New Roman" w:cs="Times New Roman"/>
                <w:sz w:val="20"/>
              </w:rPr>
              <w:t>2.</w:t>
            </w:r>
            <w:r>
              <w:rPr>
                <w:spacing w:val="-1"/>
                <w:position w:val="1"/>
                <w:sz w:val="20"/>
              </w:rPr>
              <w:t>借土场的绿化、原地表土</w:t>
            </w:r>
          </w:p>
          <w:p>
            <w:pPr>
              <w:spacing w:line="236" w:lineRule="exact"/>
              <w:ind w:left="109"/>
            </w:pPr>
            <w:r>
              <w:rPr>
                <w:spacing w:val="-1"/>
                <w:sz w:val="20"/>
              </w:rPr>
              <w:t>的回填、防护工程、排水设施</w:t>
            </w:r>
          </w:p>
          <w:p>
            <w:pPr>
              <w:spacing w:line="274" w:lineRule="exact"/>
              <w:ind w:left="109"/>
            </w:pPr>
            <w:r>
              <w:rPr>
                <w:spacing w:val="-1"/>
                <w:sz w:val="20"/>
              </w:rPr>
              <w:t>等均作为附属工作，不另行计</w:t>
            </w:r>
          </w:p>
          <w:p>
            <w:pPr>
              <w:spacing w:line="271" w:lineRule="exact"/>
              <w:ind w:left="109"/>
            </w:pPr>
            <w:r>
              <w:rPr>
                <w:spacing w:val="-1"/>
                <w:sz w:val="20"/>
              </w:rPr>
              <w:t>量；</w:t>
            </w:r>
          </w:p>
          <w:p>
            <w:pPr>
              <w:spacing w:line="308" w:lineRule="exact"/>
              <w:ind w:left="282"/>
            </w:pPr>
            <w:r>
              <w:rPr>
                <w:rFonts w:ascii="Times New Roman" w:hAnsi="Times New Roman" w:cs="Times New Roman"/>
                <w:sz w:val="20"/>
              </w:rPr>
              <w:t>3.</w:t>
            </w:r>
            <w:r>
              <w:rPr>
                <w:spacing w:val="-1"/>
                <w:position w:val="1"/>
                <w:sz w:val="20"/>
              </w:rPr>
              <w:t>满足施工需要，预留路基</w:t>
            </w:r>
          </w:p>
          <w:p>
            <w:pPr>
              <w:spacing w:line="237" w:lineRule="exact"/>
              <w:ind w:left="109"/>
            </w:pPr>
            <w:r>
              <w:rPr>
                <w:spacing w:val="-1"/>
                <w:sz w:val="20"/>
              </w:rPr>
              <w:t>宽度宽填的填方量作为路基</w:t>
            </w:r>
          </w:p>
          <w:p>
            <w:pPr>
              <w:spacing w:line="274" w:lineRule="exact"/>
              <w:ind w:left="109"/>
            </w:pPr>
            <w:r>
              <w:rPr>
                <w:spacing w:val="-1"/>
                <w:sz w:val="20"/>
              </w:rPr>
              <w:t>填筑的附属工作，不另行计</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4" w:lineRule="exact"/>
              <w:ind w:left="281"/>
            </w:pPr>
            <w:r>
              <w:rPr>
                <w:rFonts w:ascii="Times New Roman" w:hAnsi="Times New Roman" w:cs="Times New Roman"/>
                <w:sz w:val="20"/>
              </w:rPr>
              <w:t>1.</w:t>
            </w:r>
            <w:r>
              <w:rPr>
                <w:spacing w:val="-1"/>
                <w:position w:val="1"/>
                <w:sz w:val="20"/>
              </w:rPr>
              <w:t>借土场场地清理、清</w:t>
            </w:r>
          </w:p>
          <w:p>
            <w:pPr>
              <w:spacing w:line="239" w:lineRule="exact"/>
              <w:ind w:left="108"/>
            </w:pPr>
            <w:r>
              <w:rPr>
                <w:spacing w:val="-1"/>
                <w:sz w:val="20"/>
              </w:rPr>
              <w:t>除不适用材料；</w:t>
            </w:r>
          </w:p>
          <w:p>
            <w:pPr>
              <w:spacing w:line="306" w:lineRule="exact"/>
              <w:ind w:left="281"/>
            </w:pPr>
            <w:r>
              <w:rPr>
                <w:rFonts w:ascii="Times New Roman" w:hAnsi="Times New Roman" w:cs="Times New Roman"/>
                <w:sz w:val="20"/>
              </w:rPr>
              <w:t>2.</w:t>
            </w:r>
            <w:r>
              <w:rPr>
                <w:spacing w:val="-1"/>
                <w:position w:val="1"/>
                <w:sz w:val="20"/>
              </w:rPr>
              <w:t>简易便道、基底翻松、</w:t>
            </w:r>
          </w:p>
          <w:p>
            <w:pPr>
              <w:spacing w:line="239" w:lineRule="exact"/>
              <w:ind w:left="108"/>
            </w:pPr>
            <w:r>
              <w:rPr>
                <w:spacing w:val="-1"/>
                <w:sz w:val="20"/>
              </w:rPr>
              <w:t>压实、挖台阶；</w:t>
            </w:r>
          </w:p>
          <w:p>
            <w:pPr>
              <w:spacing w:line="306" w:lineRule="exact"/>
              <w:ind w:left="281"/>
            </w:pPr>
            <w:r>
              <w:rPr>
                <w:rFonts w:ascii="Times New Roman" w:hAnsi="Times New Roman" w:cs="Times New Roman"/>
                <w:sz w:val="20"/>
              </w:rPr>
              <w:t>3.</w:t>
            </w:r>
            <w:r>
              <w:rPr>
                <w:rFonts w:ascii="Calibri" w:hAnsi="Calibri" w:cs="Calibri"/>
                <w:sz w:val="20"/>
              </w:rPr>
              <w:t>  </w:t>
            </w:r>
            <w:r>
              <w:rPr>
                <w:position w:val="1"/>
                <w:sz w:val="20"/>
              </w:rPr>
              <w:t>挖、装、运输、卸车；</w:t>
            </w:r>
          </w:p>
          <w:p>
            <w:pPr>
              <w:spacing w:line="274" w:lineRule="exact"/>
              <w:ind w:left="281"/>
            </w:pPr>
            <w:r>
              <w:rPr>
                <w:rFonts w:ascii="Times New Roman" w:hAnsi="Times New Roman" w:cs="Times New Roman"/>
                <w:sz w:val="20"/>
              </w:rPr>
              <w:t>4.</w:t>
            </w:r>
            <w:r>
              <w:rPr>
                <w:spacing w:val="-1"/>
                <w:position w:val="1"/>
                <w:sz w:val="20"/>
              </w:rPr>
              <w:t>分层摊铺；</w:t>
            </w:r>
          </w:p>
          <w:p>
            <w:pPr>
              <w:spacing w:line="271" w:lineRule="exact"/>
              <w:ind w:left="281"/>
            </w:pPr>
            <w:r>
              <w:rPr>
                <w:rFonts w:ascii="Times New Roman" w:hAnsi="Times New Roman" w:cs="Times New Roman"/>
                <w:sz w:val="20"/>
              </w:rPr>
              <w:t>5.</w:t>
            </w:r>
            <w:r>
              <w:rPr>
                <w:spacing w:val="-1"/>
                <w:position w:val="1"/>
                <w:sz w:val="20"/>
              </w:rPr>
              <w:t>洒水、压实、土质护</w:t>
            </w:r>
          </w:p>
          <w:p>
            <w:pPr>
              <w:spacing w:line="239" w:lineRule="exact"/>
              <w:ind w:left="108"/>
            </w:pPr>
            <w:r>
              <w:rPr>
                <w:spacing w:val="-1"/>
                <w:sz w:val="20"/>
              </w:rPr>
              <w:t>坡；</w:t>
            </w:r>
          </w:p>
          <w:p>
            <w:pPr>
              <w:spacing w:line="306" w:lineRule="exact"/>
              <w:ind w:left="281"/>
            </w:pPr>
            <w:r>
              <w:rPr>
                <w:rFonts w:ascii="Times New Roman" w:hAnsi="Times New Roman" w:cs="Times New Roman"/>
                <w:sz w:val="20"/>
              </w:rPr>
              <w:t>6.</w:t>
            </w:r>
            <w:r>
              <w:rPr>
                <w:spacing w:val="-1"/>
                <w:position w:val="1"/>
                <w:sz w:val="20"/>
              </w:rPr>
              <w:t>施工排水处理；</w:t>
            </w:r>
          </w:p>
          <w:p>
            <w:pPr>
              <w:spacing w:line="274" w:lineRule="exact"/>
              <w:ind w:left="281"/>
            </w:pPr>
            <w:r>
              <w:rPr>
                <w:rFonts w:ascii="Times New Roman" w:hAnsi="Times New Roman" w:cs="Times New Roman"/>
                <w:sz w:val="20"/>
              </w:rPr>
              <w:t>7.</w:t>
            </w:r>
            <w:r>
              <w:rPr>
                <w:spacing w:val="-1"/>
                <w:position w:val="1"/>
                <w:sz w:val="20"/>
              </w:rPr>
              <w:t>整型</w:t>
            </w:r>
          </w:p>
        </w:tc>
      </w:tr>
    </w:tbl>
    <w:p>
      <w:pPr>
        <w:spacing w:line="250" w:lineRule="exact"/>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blPrEx>
          <w:tblCellMar>
            <w:top w:w="0" w:type="dxa"/>
            <w:left w:w="108" w:type="dxa"/>
            <w:bottom w:w="0" w:type="dxa"/>
            <w:right w:w="108" w:type="dxa"/>
          </w:tblCellMar>
        </w:tblPrEx>
        <w:trPr>
          <w:trHeight w:val="246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109"/>
            </w:pPr>
            <w:r>
              <w:rPr>
                <w:spacing w:val="-1"/>
                <w:sz w:val="20"/>
              </w:rPr>
              <w:t>量；</w:t>
            </w:r>
          </w:p>
          <w:p>
            <w:pPr>
              <w:spacing w:line="308" w:lineRule="exact"/>
              <w:ind w:left="282"/>
            </w:pPr>
            <w:r>
              <w:rPr>
                <w:rFonts w:ascii="Times New Roman" w:hAnsi="Times New Roman" w:cs="Times New Roman"/>
                <w:sz w:val="20"/>
              </w:rPr>
              <w:t>4.</w:t>
            </w:r>
            <w:r>
              <w:rPr>
                <w:spacing w:val="-1"/>
                <w:position w:val="1"/>
                <w:sz w:val="20"/>
              </w:rPr>
              <w:t>填前压实、地面下沉增加</w:t>
            </w:r>
          </w:p>
          <w:p>
            <w:pPr>
              <w:spacing w:line="237" w:lineRule="exact"/>
              <w:ind w:left="109"/>
            </w:pPr>
            <w:r>
              <w:rPr>
                <w:spacing w:val="-1"/>
                <w:sz w:val="20"/>
              </w:rPr>
              <w:t>的填方量，不另行计量；</w:t>
            </w:r>
          </w:p>
          <w:p>
            <w:pPr>
              <w:spacing w:line="308" w:lineRule="exact"/>
              <w:ind w:left="282"/>
            </w:pPr>
            <w:r>
              <w:rPr>
                <w:rFonts w:ascii="Times New Roman" w:hAnsi="Times New Roman" w:cs="Times New Roman"/>
                <w:sz w:val="20"/>
              </w:rPr>
              <w:t>5.</w:t>
            </w:r>
            <w:r>
              <w:rPr>
                <w:spacing w:val="-1"/>
                <w:position w:val="1"/>
                <w:sz w:val="20"/>
              </w:rPr>
              <w:t>结构物台背回填的回填材</w:t>
            </w:r>
          </w:p>
          <w:p>
            <w:pPr>
              <w:spacing w:line="237" w:lineRule="exact"/>
              <w:ind w:left="109"/>
            </w:pPr>
            <w:r>
              <w:rPr>
                <w:spacing w:val="-1"/>
                <w:sz w:val="20"/>
              </w:rPr>
              <w:t>料、摊平、压实、整形以及台</w:t>
            </w:r>
          </w:p>
          <w:p>
            <w:pPr>
              <w:spacing w:line="271" w:lineRule="exact"/>
              <w:ind w:left="109"/>
            </w:pPr>
            <w:r>
              <w:rPr>
                <w:spacing w:val="-1"/>
                <w:sz w:val="20"/>
              </w:rPr>
              <w:t>后排水等一切与此有关作业</w:t>
            </w:r>
          </w:p>
          <w:p>
            <w:pPr>
              <w:spacing w:line="274" w:lineRule="exact"/>
              <w:ind w:left="109"/>
            </w:pPr>
            <w:r>
              <w:rPr>
                <w:spacing w:val="-1"/>
                <w:sz w:val="20"/>
              </w:rPr>
              <w:t>均不另行计量，但桥梁及明涵</w:t>
            </w:r>
          </w:p>
          <w:p>
            <w:pPr>
              <w:spacing w:line="271" w:lineRule="exact"/>
              <w:ind w:left="109"/>
            </w:pPr>
            <w:r>
              <w:rPr>
                <w:spacing w:val="-1"/>
                <w:sz w:val="20"/>
              </w:rPr>
              <w:t>的搭板、埋板下的路面结构层</w:t>
            </w:r>
          </w:p>
          <w:p>
            <w:pPr>
              <w:spacing w:line="274" w:lineRule="exact"/>
              <w:ind w:left="109"/>
            </w:pPr>
            <w:r>
              <w:rPr>
                <w:spacing w:val="-1"/>
                <w:sz w:val="20"/>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r>
      <w:tr>
        <w:tblPrEx>
          <w:tblCellMar>
            <w:top w:w="0" w:type="dxa"/>
            <w:left w:w="108" w:type="dxa"/>
            <w:bottom w:w="0" w:type="dxa"/>
            <w:right w:w="108" w:type="dxa"/>
          </w:tblCellMar>
        </w:tblPrEx>
        <w:trPr>
          <w:trHeight w:val="273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505" w:lineRule="exact"/>
              <w:ind w:left="423"/>
            </w:pPr>
            <w:r>
              <w:rPr>
                <w:rFonts w:ascii="Times New Roman" w:hAnsi="Times New Roman" w:cs="Times New Roman"/>
                <w:spacing w:val="-1"/>
                <w:sz w:val="20"/>
              </w:rPr>
              <w:t>-e</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70" w:lineRule="exact"/>
              <w:ind w:left="281"/>
            </w:pPr>
            <w:r>
              <w:rPr>
                <w:spacing w:val="-1"/>
                <w:sz w:val="20"/>
              </w:rPr>
              <w:t>反压护坡道</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13"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2"/>
            </w:pPr>
            <w:r>
              <w:rPr>
                <w:rFonts w:ascii="Times New Roman" w:hAnsi="Times New Roman" w:cs="Times New Roman"/>
                <w:sz w:val="20"/>
              </w:rPr>
              <w:t>1.</w:t>
            </w:r>
            <w:r>
              <w:rPr>
                <w:spacing w:val="-1"/>
                <w:position w:val="1"/>
                <w:sz w:val="20"/>
              </w:rPr>
              <w:t>依据图纸所示路基设计横</w:t>
            </w:r>
          </w:p>
          <w:p>
            <w:pPr>
              <w:spacing w:line="237" w:lineRule="exact"/>
              <w:ind w:left="109"/>
            </w:pPr>
            <w:r>
              <w:rPr>
                <w:spacing w:val="-1"/>
                <w:sz w:val="20"/>
              </w:rPr>
              <w:t>断面图，按平均断面面积法计</w:t>
            </w:r>
          </w:p>
          <w:p>
            <w:pPr>
              <w:spacing w:line="271" w:lineRule="exact"/>
              <w:ind w:left="109"/>
            </w:pPr>
            <w:r>
              <w:rPr>
                <w:spacing w:val="-1"/>
                <w:sz w:val="20"/>
              </w:rPr>
              <w:t>算压实的体积，以立方米为单</w:t>
            </w:r>
          </w:p>
          <w:p>
            <w:pPr>
              <w:spacing w:line="274" w:lineRule="exact"/>
              <w:ind w:left="109"/>
            </w:pPr>
            <w:r>
              <w:rPr>
                <w:spacing w:val="-1"/>
                <w:sz w:val="20"/>
              </w:rPr>
              <w:t>位计量；</w:t>
            </w:r>
          </w:p>
          <w:p>
            <w:pPr>
              <w:spacing w:line="306" w:lineRule="exact"/>
              <w:ind w:left="282"/>
            </w:pPr>
            <w:r>
              <w:rPr>
                <w:rFonts w:ascii="Times New Roman" w:hAnsi="Times New Roman" w:cs="Times New Roman"/>
                <w:sz w:val="20"/>
              </w:rPr>
              <w:t>2.</w:t>
            </w:r>
            <w:r>
              <w:rPr>
                <w:spacing w:val="-1"/>
                <w:position w:val="1"/>
                <w:sz w:val="20"/>
              </w:rPr>
              <w:t>满足施工需要，预留路基</w:t>
            </w:r>
          </w:p>
          <w:p>
            <w:pPr>
              <w:spacing w:line="239" w:lineRule="exact"/>
              <w:ind w:left="109"/>
            </w:pPr>
            <w:r>
              <w:rPr>
                <w:spacing w:val="-1"/>
                <w:sz w:val="20"/>
              </w:rPr>
              <w:t>宽度宽填的填方量作为路基</w:t>
            </w:r>
          </w:p>
          <w:p>
            <w:pPr>
              <w:spacing w:line="274" w:lineRule="exact"/>
              <w:ind w:left="109"/>
            </w:pPr>
            <w:r>
              <w:rPr>
                <w:spacing w:val="-1"/>
                <w:sz w:val="20"/>
              </w:rPr>
              <w:t>填筑的附属工作，不另行计</w:t>
            </w:r>
          </w:p>
          <w:p>
            <w:pPr>
              <w:spacing w:line="271" w:lineRule="exact"/>
              <w:ind w:left="109"/>
            </w:pPr>
            <w:r>
              <w:rPr>
                <w:spacing w:val="-1"/>
                <w:sz w:val="20"/>
              </w:rPr>
              <w:t>量；</w:t>
            </w:r>
          </w:p>
          <w:p>
            <w:pPr>
              <w:spacing w:line="306" w:lineRule="exact"/>
              <w:ind w:left="282"/>
            </w:pPr>
            <w:r>
              <w:rPr>
                <w:rFonts w:ascii="Times New Roman" w:hAnsi="Times New Roman" w:cs="Times New Roman"/>
                <w:sz w:val="20"/>
              </w:rPr>
              <w:t>3.</w:t>
            </w:r>
            <w:r>
              <w:rPr>
                <w:spacing w:val="-1"/>
                <w:position w:val="1"/>
                <w:sz w:val="20"/>
              </w:rPr>
              <w:t>填前压实、地面下沉增加</w:t>
            </w:r>
          </w:p>
          <w:p>
            <w:pPr>
              <w:spacing w:line="239" w:lineRule="exact"/>
              <w:ind w:left="109"/>
            </w:pPr>
            <w:r>
              <w:rPr>
                <w:spacing w:val="-1"/>
                <w:sz w:val="20"/>
              </w:rPr>
              <w:t>的填方量，不另行计量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89" w:lineRule="exact"/>
              <w:ind w:left="281"/>
            </w:pPr>
            <w:r>
              <w:rPr>
                <w:rFonts w:ascii="Times New Roman" w:hAnsi="Times New Roman" w:cs="Times New Roman"/>
                <w:sz w:val="20"/>
              </w:rPr>
              <w:t>1.</w:t>
            </w:r>
            <w:r>
              <w:rPr>
                <w:spacing w:val="-1"/>
                <w:position w:val="1"/>
                <w:sz w:val="20"/>
              </w:rPr>
              <w:t>基底翻松、压实、挖</w:t>
            </w:r>
          </w:p>
          <w:p>
            <w:pPr>
              <w:spacing w:line="237" w:lineRule="exact"/>
              <w:ind w:left="108"/>
            </w:pPr>
            <w:r>
              <w:rPr>
                <w:spacing w:val="-1"/>
                <w:sz w:val="20"/>
              </w:rPr>
              <w:t>台阶；</w:t>
            </w:r>
          </w:p>
          <w:p>
            <w:pPr>
              <w:spacing w:line="306" w:lineRule="exact"/>
              <w:ind w:left="281"/>
            </w:pPr>
            <w:r>
              <w:rPr>
                <w:rFonts w:ascii="Times New Roman" w:hAnsi="Times New Roman" w:cs="Times New Roman"/>
                <w:sz w:val="20"/>
              </w:rPr>
              <w:t>2.</w:t>
            </w:r>
            <w:r>
              <w:rPr>
                <w:spacing w:val="-1"/>
                <w:position w:val="1"/>
                <w:sz w:val="20"/>
              </w:rPr>
              <w:t>临时排水、翻晒；</w:t>
            </w:r>
          </w:p>
          <w:p>
            <w:pPr>
              <w:spacing w:line="274" w:lineRule="exact"/>
              <w:ind w:left="281"/>
            </w:pPr>
            <w:r>
              <w:rPr>
                <w:rFonts w:ascii="Times New Roman" w:hAnsi="Times New Roman" w:cs="Times New Roman"/>
                <w:sz w:val="20"/>
              </w:rPr>
              <w:t>3.</w:t>
            </w:r>
            <w:r>
              <w:rPr>
                <w:spacing w:val="-1"/>
                <w:position w:val="1"/>
                <w:sz w:val="20"/>
              </w:rPr>
              <w:t>装、卸、运输、分层</w:t>
            </w:r>
          </w:p>
          <w:p>
            <w:pPr>
              <w:spacing w:line="237" w:lineRule="exact"/>
              <w:ind w:left="108"/>
            </w:pPr>
            <w:r>
              <w:rPr>
                <w:spacing w:val="-1"/>
                <w:sz w:val="20"/>
              </w:rPr>
              <w:t>摊铺；</w:t>
            </w:r>
          </w:p>
          <w:p>
            <w:pPr>
              <w:spacing w:line="308" w:lineRule="exact"/>
              <w:ind w:left="281"/>
            </w:pPr>
            <w:r>
              <w:rPr>
                <w:rFonts w:ascii="Times New Roman" w:hAnsi="Times New Roman" w:cs="Times New Roman"/>
                <w:sz w:val="20"/>
              </w:rPr>
              <w:t>4.</w:t>
            </w:r>
            <w:r>
              <w:rPr>
                <w:spacing w:val="-1"/>
                <w:position w:val="1"/>
                <w:sz w:val="20"/>
              </w:rPr>
              <w:t>洒水、压实；</w:t>
            </w:r>
          </w:p>
          <w:p>
            <w:pPr>
              <w:spacing w:line="274" w:lineRule="exact"/>
              <w:ind w:left="281"/>
            </w:pPr>
            <w:r>
              <w:rPr>
                <w:rFonts w:ascii="Times New Roman" w:hAnsi="Times New Roman" w:cs="Times New Roman"/>
                <w:sz w:val="20"/>
              </w:rPr>
              <w:t>5.</w:t>
            </w:r>
            <w:r>
              <w:rPr>
                <w:spacing w:val="-1"/>
                <w:position w:val="1"/>
                <w:sz w:val="20"/>
              </w:rPr>
              <w:t>整形</w:t>
            </w:r>
          </w:p>
        </w:tc>
      </w:tr>
      <w:tr>
        <w:tblPrEx>
          <w:tblCellMar>
            <w:top w:w="0" w:type="dxa"/>
            <w:left w:w="108" w:type="dxa"/>
            <w:bottom w:w="0" w:type="dxa"/>
            <w:right w:w="108" w:type="dxa"/>
          </w:tblCellMar>
        </w:tblPrEx>
        <w:trPr>
          <w:trHeight w:val="55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5" w:lineRule="exact"/>
              <w:ind w:left="260"/>
            </w:pPr>
            <w:r>
              <w:rPr>
                <w:rFonts w:ascii="Times New Roman" w:hAnsi="Times New Roman" w:cs="Times New Roman"/>
                <w:spacing w:val="-1"/>
                <w:sz w:val="20"/>
              </w:rPr>
              <w:t>204-2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3" w:lineRule="exact"/>
              <w:ind w:left="281"/>
            </w:pPr>
            <w:r>
              <w:rPr>
                <w:spacing w:val="-1"/>
                <w:sz w:val="20"/>
              </w:rPr>
              <w:t>改河、改渠、</w:t>
            </w:r>
          </w:p>
          <w:p>
            <w:pPr>
              <w:spacing w:line="274" w:lineRule="exact"/>
              <w:ind w:left="109"/>
            </w:pPr>
            <w:r>
              <w:rPr>
                <w:spacing w:val="-1"/>
                <w:sz w:val="20"/>
              </w:rPr>
              <w:t>改路填筑</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r>
      <w:tr>
        <w:tblPrEx>
          <w:tblCellMar>
            <w:top w:w="0" w:type="dxa"/>
            <w:left w:w="108" w:type="dxa"/>
            <w:bottom w:w="0" w:type="dxa"/>
            <w:right w:w="108" w:type="dxa"/>
          </w:tblCellMar>
        </w:tblPrEx>
        <w:trPr>
          <w:trHeight w:val="5185"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31" w:lineRule="exact"/>
              <w:ind w:left="423"/>
            </w:pPr>
            <w:r>
              <w:rPr>
                <w:rFonts w:ascii="Times New Roman" w:hAnsi="Times New Roman" w:cs="Times New Roman"/>
                <w:spacing w:val="-1"/>
                <w:sz w:val="20"/>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696" w:lineRule="exact"/>
              <w:ind w:left="281"/>
            </w:pPr>
            <w:r>
              <w:rPr>
                <w:spacing w:val="-1"/>
                <w:sz w:val="20"/>
              </w:rPr>
              <w:t>利用土方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640"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2"/>
            </w:pPr>
            <w:r>
              <w:rPr>
                <w:rFonts w:ascii="Times New Roman" w:hAnsi="Times New Roman" w:cs="Times New Roman"/>
                <w:sz w:val="20"/>
              </w:rPr>
              <w:t>1.</w:t>
            </w:r>
            <w:r>
              <w:rPr>
                <w:spacing w:val="-1"/>
                <w:position w:val="1"/>
                <w:sz w:val="20"/>
              </w:rPr>
              <w:t>依据图纸所示地面线、路</w:t>
            </w:r>
          </w:p>
          <w:p>
            <w:pPr>
              <w:spacing w:line="237" w:lineRule="exact"/>
              <w:ind w:left="109"/>
            </w:pPr>
            <w:r>
              <w:rPr>
                <w:spacing w:val="-1"/>
                <w:sz w:val="20"/>
              </w:rPr>
              <w:t>基设计横断面图，按平均断面</w:t>
            </w:r>
          </w:p>
          <w:p>
            <w:pPr>
              <w:spacing w:line="271" w:lineRule="exact"/>
              <w:ind w:left="109"/>
            </w:pPr>
            <w:r>
              <w:rPr>
                <w:spacing w:val="-1"/>
                <w:sz w:val="20"/>
              </w:rPr>
              <w:t>面积法计算压实的体积，以立</w:t>
            </w:r>
          </w:p>
          <w:p>
            <w:pPr>
              <w:spacing w:line="274" w:lineRule="exact"/>
              <w:ind w:left="109"/>
            </w:pPr>
            <w:r>
              <w:rPr>
                <w:spacing w:val="-1"/>
                <w:sz w:val="20"/>
              </w:rPr>
              <w:t>方米为单位计量；</w:t>
            </w:r>
          </w:p>
          <w:p>
            <w:pPr>
              <w:spacing w:line="306" w:lineRule="exact"/>
              <w:ind w:left="282"/>
            </w:pPr>
            <w:r>
              <w:rPr>
                <w:rFonts w:ascii="Times New Roman" w:hAnsi="Times New Roman" w:cs="Times New Roman"/>
                <w:sz w:val="20"/>
              </w:rPr>
              <w:t>2.</w:t>
            </w:r>
            <w:r>
              <w:rPr>
                <w:spacing w:val="-1"/>
                <w:position w:val="1"/>
                <w:sz w:val="20"/>
              </w:rPr>
              <w:t>当填料中石料含量小于</w:t>
            </w:r>
          </w:p>
          <w:p>
            <w:pPr>
              <w:spacing w:line="274" w:lineRule="exact"/>
              <w:ind w:left="109"/>
            </w:pPr>
            <w:r>
              <w:rPr>
                <w:rFonts w:ascii="Times New Roman" w:hAnsi="Times New Roman" w:cs="Times New Roman"/>
                <w:spacing w:val="-1"/>
                <w:sz w:val="20"/>
              </w:rPr>
              <w:t>30%</w:t>
            </w:r>
            <w:r>
              <w:rPr>
                <w:spacing w:val="-1"/>
                <w:position w:val="1"/>
                <w:sz w:val="20"/>
              </w:rPr>
              <w:t>时，适用于本条；</w:t>
            </w:r>
          </w:p>
          <w:p>
            <w:pPr>
              <w:spacing w:line="274" w:lineRule="exact"/>
              <w:ind w:left="282"/>
            </w:pPr>
            <w:r>
              <w:rPr>
                <w:rFonts w:ascii="Times New Roman" w:hAnsi="Times New Roman" w:cs="Times New Roman"/>
                <w:sz w:val="20"/>
              </w:rPr>
              <w:t>3.</w:t>
            </w:r>
            <w:r>
              <w:rPr>
                <w:spacing w:val="-1"/>
                <w:position w:val="1"/>
                <w:sz w:val="20"/>
              </w:rPr>
              <w:t>满足施工需要，预留路基</w:t>
            </w:r>
          </w:p>
          <w:p>
            <w:pPr>
              <w:spacing w:line="236" w:lineRule="exact"/>
              <w:ind w:left="109"/>
            </w:pPr>
            <w:r>
              <w:rPr>
                <w:spacing w:val="-1"/>
                <w:sz w:val="20"/>
              </w:rPr>
              <w:t>宽度宽填的填方量作为路基</w:t>
            </w:r>
          </w:p>
          <w:p>
            <w:pPr>
              <w:spacing w:line="271" w:lineRule="exact"/>
              <w:ind w:left="109"/>
            </w:pPr>
            <w:r>
              <w:rPr>
                <w:spacing w:val="-1"/>
                <w:sz w:val="20"/>
              </w:rPr>
              <w:t>填筑的附属工作，不另行计</w:t>
            </w:r>
          </w:p>
          <w:p>
            <w:pPr>
              <w:spacing w:line="274" w:lineRule="exact"/>
              <w:ind w:left="109"/>
            </w:pPr>
            <w:r>
              <w:rPr>
                <w:spacing w:val="-1"/>
                <w:sz w:val="20"/>
              </w:rPr>
              <w:t>量；</w:t>
            </w:r>
          </w:p>
          <w:p>
            <w:pPr>
              <w:spacing w:line="306" w:lineRule="exact"/>
              <w:ind w:left="282"/>
            </w:pPr>
            <w:r>
              <w:rPr>
                <w:rFonts w:ascii="Times New Roman" w:hAnsi="Times New Roman" w:cs="Times New Roman"/>
                <w:sz w:val="20"/>
              </w:rPr>
              <w:t>4.</w:t>
            </w:r>
            <w:r>
              <w:rPr>
                <w:spacing w:val="-1"/>
                <w:position w:val="1"/>
                <w:sz w:val="20"/>
              </w:rPr>
              <w:t>填前压实、地面下沉增加</w:t>
            </w:r>
          </w:p>
          <w:p>
            <w:pPr>
              <w:spacing w:line="239" w:lineRule="exact"/>
              <w:ind w:left="109"/>
            </w:pPr>
            <w:r>
              <w:rPr>
                <w:spacing w:val="-1"/>
                <w:sz w:val="20"/>
              </w:rPr>
              <w:t>的填方量，不另行计量；</w:t>
            </w:r>
          </w:p>
          <w:p>
            <w:pPr>
              <w:spacing w:line="306" w:lineRule="exact"/>
              <w:ind w:left="282"/>
            </w:pPr>
            <w:r>
              <w:rPr>
                <w:rFonts w:ascii="Times New Roman" w:hAnsi="Times New Roman" w:cs="Times New Roman"/>
                <w:sz w:val="20"/>
              </w:rPr>
              <w:t>5.</w:t>
            </w:r>
            <w:r>
              <w:rPr>
                <w:spacing w:val="-1"/>
                <w:position w:val="1"/>
                <w:sz w:val="20"/>
              </w:rPr>
              <w:t>结构物台背回填的回填材</w:t>
            </w:r>
          </w:p>
          <w:p>
            <w:pPr>
              <w:spacing w:line="239" w:lineRule="exact"/>
              <w:ind w:left="109"/>
            </w:pPr>
            <w:r>
              <w:rPr>
                <w:spacing w:val="-1"/>
                <w:sz w:val="20"/>
              </w:rPr>
              <w:t>料、摊平、压实、整形以及台</w:t>
            </w:r>
          </w:p>
          <w:p>
            <w:pPr>
              <w:spacing w:line="271" w:lineRule="exact"/>
              <w:ind w:left="109"/>
            </w:pPr>
            <w:r>
              <w:rPr>
                <w:spacing w:val="-1"/>
                <w:sz w:val="20"/>
              </w:rPr>
              <w:t>后排水等一切与此有关作业</w:t>
            </w:r>
          </w:p>
          <w:p>
            <w:pPr>
              <w:spacing w:line="274" w:lineRule="exact"/>
              <w:ind w:left="109"/>
            </w:pPr>
            <w:r>
              <w:rPr>
                <w:spacing w:val="-1"/>
                <w:sz w:val="20"/>
              </w:rPr>
              <w:t>已包含在相关子目中，均不另</w:t>
            </w:r>
          </w:p>
          <w:p>
            <w:pPr>
              <w:spacing w:line="271" w:lineRule="exact"/>
              <w:ind w:left="109"/>
            </w:pPr>
            <w:r>
              <w:rPr>
                <w:spacing w:val="-1"/>
                <w:sz w:val="20"/>
              </w:rPr>
              <w:t>行计量，但桥梁及明涵的搭</w:t>
            </w:r>
          </w:p>
          <w:p>
            <w:pPr>
              <w:spacing w:line="271" w:lineRule="exact"/>
              <w:ind w:left="109"/>
            </w:pPr>
            <w:r>
              <w:rPr>
                <w:spacing w:val="-1"/>
                <w:sz w:val="20"/>
              </w:rPr>
              <w:t>板、埋板下的路面结构层在相</w:t>
            </w:r>
          </w:p>
          <w:p>
            <w:pPr>
              <w:spacing w:line="274" w:lineRule="exact"/>
              <w:ind w:left="109"/>
            </w:pPr>
            <w:r>
              <w:rPr>
                <w:spacing w:val="-1"/>
                <w:sz w:val="20"/>
              </w:rPr>
              <w:t>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913" w:lineRule="exact"/>
              <w:ind w:left="281"/>
            </w:pPr>
            <w:r>
              <w:rPr>
                <w:rFonts w:ascii="Times New Roman" w:hAnsi="Times New Roman" w:cs="Times New Roman"/>
                <w:sz w:val="20"/>
              </w:rPr>
              <w:t>1.</w:t>
            </w:r>
            <w:r>
              <w:rPr>
                <w:spacing w:val="-1"/>
                <w:position w:val="1"/>
                <w:sz w:val="20"/>
              </w:rPr>
              <w:t>基底翻松、压实、挖</w:t>
            </w:r>
          </w:p>
          <w:p>
            <w:pPr>
              <w:spacing w:line="237" w:lineRule="exact"/>
              <w:ind w:left="108"/>
            </w:pPr>
            <w:r>
              <w:rPr>
                <w:spacing w:val="-1"/>
                <w:sz w:val="20"/>
              </w:rPr>
              <w:t>台阶；</w:t>
            </w:r>
          </w:p>
          <w:p>
            <w:pPr>
              <w:spacing w:line="308" w:lineRule="exact"/>
              <w:ind w:left="281"/>
            </w:pPr>
            <w:r>
              <w:rPr>
                <w:rFonts w:ascii="Times New Roman" w:hAnsi="Times New Roman" w:cs="Times New Roman"/>
                <w:sz w:val="20"/>
              </w:rPr>
              <w:t>2.</w:t>
            </w:r>
            <w:r>
              <w:rPr>
                <w:spacing w:val="-1"/>
                <w:position w:val="1"/>
                <w:sz w:val="20"/>
              </w:rPr>
              <w:t>临时排水、翻晒；</w:t>
            </w:r>
          </w:p>
          <w:p>
            <w:pPr>
              <w:spacing w:line="274" w:lineRule="exact"/>
              <w:ind w:left="281"/>
            </w:pPr>
            <w:r>
              <w:rPr>
                <w:rFonts w:ascii="Times New Roman" w:hAnsi="Times New Roman" w:cs="Times New Roman"/>
                <w:sz w:val="20"/>
              </w:rPr>
              <w:t>3.</w:t>
            </w:r>
            <w:r>
              <w:rPr>
                <w:spacing w:val="-1"/>
                <w:position w:val="1"/>
                <w:sz w:val="20"/>
              </w:rPr>
              <w:t>装、卸、运输、分层</w:t>
            </w:r>
          </w:p>
          <w:p>
            <w:pPr>
              <w:spacing w:line="236" w:lineRule="exact"/>
              <w:ind w:left="108"/>
            </w:pPr>
            <w:r>
              <w:rPr>
                <w:spacing w:val="-1"/>
                <w:sz w:val="20"/>
              </w:rPr>
              <w:t>摊铺；</w:t>
            </w:r>
          </w:p>
          <w:p>
            <w:pPr>
              <w:spacing w:line="306" w:lineRule="exact"/>
              <w:ind w:left="281"/>
            </w:pPr>
            <w:r>
              <w:rPr>
                <w:rFonts w:ascii="Times New Roman" w:hAnsi="Times New Roman" w:cs="Times New Roman"/>
                <w:sz w:val="20"/>
              </w:rPr>
              <w:t>4.</w:t>
            </w:r>
            <w:r>
              <w:rPr>
                <w:spacing w:val="-1"/>
                <w:position w:val="1"/>
                <w:sz w:val="20"/>
              </w:rPr>
              <w:t>洒水、压实、刷坡；</w:t>
            </w:r>
          </w:p>
          <w:p>
            <w:pPr>
              <w:spacing w:line="274" w:lineRule="exact"/>
              <w:ind w:left="281"/>
            </w:pPr>
            <w:r>
              <w:rPr>
                <w:rFonts w:ascii="Times New Roman" w:hAnsi="Times New Roman" w:cs="Times New Roman"/>
                <w:sz w:val="20"/>
              </w:rPr>
              <w:t>5.</w:t>
            </w:r>
            <w:r>
              <w:rPr>
                <w:spacing w:val="-1"/>
                <w:position w:val="1"/>
                <w:sz w:val="20"/>
              </w:rPr>
              <w:t>整形</w:t>
            </w:r>
          </w:p>
        </w:tc>
      </w:tr>
      <w:tr>
        <w:tblPrEx>
          <w:tblCellMar>
            <w:top w:w="0" w:type="dxa"/>
            <w:left w:w="108" w:type="dxa"/>
            <w:bottom w:w="0" w:type="dxa"/>
            <w:right w:w="108" w:type="dxa"/>
          </w:tblCellMar>
        </w:tblPrEx>
        <w:trPr>
          <w:trHeight w:val="273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504" w:lineRule="exact"/>
              <w:ind w:left="416"/>
            </w:pPr>
            <w:r>
              <w:rPr>
                <w:rFonts w:ascii="Times New Roman" w:hAnsi="Times New Roman" w:cs="Times New Roman"/>
                <w:spacing w:val="-1"/>
                <w:sz w:val="20"/>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69" w:lineRule="exact"/>
              <w:ind w:left="281"/>
            </w:pPr>
            <w:r>
              <w:rPr>
                <w:spacing w:val="-1"/>
                <w:sz w:val="20"/>
              </w:rPr>
              <w:t>利用石方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12"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2"/>
            </w:pPr>
            <w:r>
              <w:rPr>
                <w:rFonts w:ascii="Times New Roman" w:hAnsi="Times New Roman" w:cs="Times New Roman"/>
                <w:sz w:val="20"/>
              </w:rPr>
              <w:t>1.</w:t>
            </w:r>
            <w:r>
              <w:rPr>
                <w:spacing w:val="-1"/>
                <w:position w:val="1"/>
                <w:sz w:val="20"/>
              </w:rPr>
              <w:t>依据图纸所示地面线、路</w:t>
            </w:r>
          </w:p>
          <w:p>
            <w:pPr>
              <w:spacing w:line="237" w:lineRule="exact"/>
              <w:ind w:left="109"/>
            </w:pPr>
            <w:r>
              <w:rPr>
                <w:spacing w:val="-1"/>
                <w:sz w:val="20"/>
              </w:rPr>
              <w:t>基设计横断面图，按平均断面</w:t>
            </w:r>
          </w:p>
          <w:p>
            <w:pPr>
              <w:spacing w:line="271" w:lineRule="exact"/>
              <w:ind w:left="109"/>
            </w:pPr>
            <w:r>
              <w:rPr>
                <w:spacing w:val="-1"/>
                <w:sz w:val="20"/>
              </w:rPr>
              <w:t>面积法计算压实的体积，以立</w:t>
            </w:r>
          </w:p>
          <w:p>
            <w:pPr>
              <w:spacing w:line="274" w:lineRule="exact"/>
              <w:ind w:left="109"/>
            </w:pPr>
            <w:r>
              <w:rPr>
                <w:spacing w:val="-1"/>
                <w:sz w:val="20"/>
              </w:rPr>
              <w:t>方米为单位计量；</w:t>
            </w:r>
          </w:p>
          <w:p>
            <w:pPr>
              <w:spacing w:line="306" w:lineRule="exact"/>
              <w:ind w:left="282"/>
            </w:pPr>
            <w:r>
              <w:rPr>
                <w:rFonts w:ascii="Times New Roman" w:hAnsi="Times New Roman" w:cs="Times New Roman"/>
                <w:sz w:val="20"/>
              </w:rPr>
              <w:t>2.</w:t>
            </w:r>
            <w:r>
              <w:rPr>
                <w:spacing w:val="-1"/>
                <w:position w:val="1"/>
                <w:sz w:val="20"/>
              </w:rPr>
              <w:t>当填料中石料含量大于</w:t>
            </w:r>
          </w:p>
          <w:p>
            <w:pPr>
              <w:spacing w:line="274" w:lineRule="exact"/>
              <w:ind w:left="109"/>
            </w:pPr>
            <w:r>
              <w:rPr>
                <w:rFonts w:ascii="Times New Roman" w:hAnsi="Times New Roman" w:cs="Times New Roman"/>
                <w:spacing w:val="-1"/>
                <w:sz w:val="20"/>
              </w:rPr>
              <w:t>70%</w:t>
            </w:r>
            <w:r>
              <w:rPr>
                <w:spacing w:val="-1"/>
                <w:position w:val="1"/>
                <w:sz w:val="20"/>
              </w:rPr>
              <w:t>时，适用于本条；</w:t>
            </w:r>
          </w:p>
          <w:p>
            <w:pPr>
              <w:spacing w:line="274" w:lineRule="exact"/>
              <w:ind w:left="282"/>
            </w:pPr>
            <w:r>
              <w:rPr>
                <w:rFonts w:ascii="Times New Roman" w:hAnsi="Times New Roman" w:cs="Times New Roman"/>
                <w:sz w:val="20"/>
              </w:rPr>
              <w:t>3.</w:t>
            </w:r>
            <w:r>
              <w:rPr>
                <w:spacing w:val="-1"/>
                <w:position w:val="1"/>
                <w:sz w:val="20"/>
              </w:rPr>
              <w:t>满足施工需要，预留路基</w:t>
            </w:r>
          </w:p>
          <w:p>
            <w:pPr>
              <w:spacing w:line="236" w:lineRule="exact"/>
              <w:ind w:left="109"/>
            </w:pPr>
            <w:r>
              <w:rPr>
                <w:spacing w:val="-1"/>
                <w:sz w:val="20"/>
              </w:rPr>
              <w:t>宽度宽填的填方量作为路基</w:t>
            </w:r>
          </w:p>
          <w:p>
            <w:pPr>
              <w:spacing w:line="271" w:lineRule="exact"/>
              <w:ind w:left="109"/>
            </w:pPr>
            <w:r>
              <w:rPr>
                <w:spacing w:val="-1"/>
                <w:sz w:val="20"/>
              </w:rPr>
              <w:t>填筑的附属工作，不另行计</w:t>
            </w:r>
          </w:p>
          <w:p>
            <w:pPr>
              <w:spacing w:line="274" w:lineRule="exact"/>
              <w:ind w:left="109"/>
            </w:pPr>
            <w:r>
              <w:rPr>
                <w:spacing w:val="-1"/>
                <w:sz w:val="20"/>
              </w:rPr>
              <w:t>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基底翻松、压实，挖</w:t>
            </w:r>
          </w:p>
          <w:p>
            <w:pPr>
              <w:spacing w:line="237" w:lineRule="exact"/>
              <w:ind w:left="108"/>
            </w:pPr>
            <w:r>
              <w:rPr>
                <w:spacing w:val="-1"/>
                <w:sz w:val="20"/>
              </w:rPr>
              <w:t>台阶；</w:t>
            </w:r>
          </w:p>
          <w:p>
            <w:pPr>
              <w:spacing w:line="306" w:lineRule="exact"/>
              <w:ind w:left="281"/>
            </w:pPr>
            <w:r>
              <w:rPr>
                <w:rFonts w:ascii="Times New Roman" w:hAnsi="Times New Roman" w:cs="Times New Roman"/>
                <w:sz w:val="20"/>
              </w:rPr>
              <w:t>2.</w:t>
            </w:r>
            <w:r>
              <w:rPr>
                <w:spacing w:val="-1"/>
                <w:position w:val="1"/>
                <w:sz w:val="20"/>
              </w:rPr>
              <w:t>临时排水、翻晒；</w:t>
            </w:r>
          </w:p>
          <w:p>
            <w:pPr>
              <w:spacing w:line="274" w:lineRule="exact"/>
              <w:ind w:left="281"/>
            </w:pPr>
            <w:r>
              <w:rPr>
                <w:rFonts w:ascii="Times New Roman" w:hAnsi="Times New Roman" w:cs="Times New Roman"/>
                <w:sz w:val="20"/>
              </w:rPr>
              <w:t>3.</w:t>
            </w:r>
            <w:r>
              <w:rPr>
                <w:spacing w:val="-1"/>
                <w:position w:val="1"/>
                <w:sz w:val="20"/>
              </w:rPr>
              <w:t>装、卸、运输、边坡</w:t>
            </w:r>
          </w:p>
          <w:p>
            <w:pPr>
              <w:spacing w:line="237" w:lineRule="exact"/>
              <w:ind w:left="108"/>
            </w:pPr>
            <w:r>
              <w:rPr>
                <w:spacing w:val="-1"/>
                <w:sz w:val="20"/>
              </w:rPr>
              <w:t>码砌；</w:t>
            </w:r>
          </w:p>
          <w:p>
            <w:pPr>
              <w:spacing w:line="308" w:lineRule="exact"/>
              <w:ind w:left="281"/>
            </w:pPr>
            <w:r>
              <w:rPr>
                <w:rFonts w:ascii="Times New Roman" w:hAnsi="Times New Roman" w:cs="Times New Roman"/>
                <w:sz w:val="20"/>
              </w:rPr>
              <w:t>4.</w:t>
            </w:r>
            <w:r>
              <w:rPr>
                <w:spacing w:val="-1"/>
                <w:position w:val="1"/>
                <w:sz w:val="20"/>
              </w:rPr>
              <w:t>分层摊铺；</w:t>
            </w:r>
          </w:p>
          <w:p>
            <w:pPr>
              <w:spacing w:line="274" w:lineRule="exact"/>
              <w:ind w:left="281"/>
            </w:pPr>
            <w:r>
              <w:rPr>
                <w:rFonts w:ascii="Times New Roman" w:hAnsi="Times New Roman" w:cs="Times New Roman"/>
                <w:sz w:val="20"/>
              </w:rPr>
              <w:t>5.</w:t>
            </w:r>
            <w:r>
              <w:rPr>
                <w:spacing w:val="-1"/>
                <w:position w:val="1"/>
                <w:sz w:val="20"/>
              </w:rPr>
              <w:t>小石块（或石屑）填</w:t>
            </w:r>
          </w:p>
          <w:p>
            <w:pPr>
              <w:spacing w:line="236" w:lineRule="exact"/>
              <w:ind w:left="108"/>
            </w:pPr>
            <w:r>
              <w:rPr>
                <w:spacing w:val="-1"/>
                <w:sz w:val="20"/>
              </w:rPr>
              <w:t>缝、找补。</w:t>
            </w:r>
          </w:p>
          <w:p>
            <w:pPr>
              <w:spacing w:line="306" w:lineRule="exact"/>
              <w:ind w:left="281"/>
            </w:pPr>
            <w:r>
              <w:rPr>
                <w:rFonts w:ascii="Times New Roman" w:hAnsi="Times New Roman" w:cs="Times New Roman"/>
                <w:sz w:val="20"/>
              </w:rPr>
              <w:t>6.</w:t>
            </w:r>
            <w:r>
              <w:rPr>
                <w:spacing w:val="-1"/>
                <w:position w:val="1"/>
                <w:sz w:val="20"/>
              </w:rPr>
              <w:t>洒水、压实、；</w:t>
            </w:r>
          </w:p>
          <w:p>
            <w:pPr>
              <w:spacing w:line="274" w:lineRule="exact"/>
              <w:ind w:left="281"/>
            </w:pPr>
            <w:r>
              <w:rPr>
                <w:rFonts w:ascii="Times New Roman" w:hAnsi="Times New Roman" w:cs="Times New Roman"/>
                <w:sz w:val="20"/>
              </w:rPr>
              <w:t>7.</w:t>
            </w:r>
            <w:r>
              <w:rPr>
                <w:spacing w:val="-1"/>
                <w:position w:val="1"/>
                <w:sz w:val="20"/>
              </w:rPr>
              <w:t>整型</w:t>
            </w:r>
          </w:p>
        </w:tc>
      </w:tr>
    </w:tbl>
    <w:p>
      <w:pPr>
        <w:rPr>
          <w:sz w:val="20"/>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blPrEx>
          <w:tblCellMar>
            <w:top w:w="0" w:type="dxa"/>
            <w:left w:w="108" w:type="dxa"/>
            <w:bottom w:w="0" w:type="dxa"/>
            <w:right w:w="108" w:type="dxa"/>
          </w:tblCellMar>
        </w:tblPrEx>
        <w:trPr>
          <w:trHeight w:val="2189"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2"/>
            </w:pPr>
            <w:r>
              <w:rPr>
                <w:rFonts w:ascii="Times New Roman" w:hAnsi="Times New Roman" w:cs="Times New Roman"/>
                <w:sz w:val="20"/>
              </w:rPr>
              <w:t>4.</w:t>
            </w:r>
            <w:r>
              <w:rPr>
                <w:spacing w:val="-1"/>
                <w:position w:val="1"/>
                <w:sz w:val="20"/>
              </w:rPr>
              <w:t>填前压实、地面下沉增加</w:t>
            </w:r>
          </w:p>
          <w:p>
            <w:pPr>
              <w:spacing w:line="239" w:lineRule="exact"/>
              <w:ind w:left="109"/>
            </w:pPr>
            <w:r>
              <w:rPr>
                <w:spacing w:val="-1"/>
                <w:sz w:val="20"/>
              </w:rPr>
              <w:t>的填方量，不另行计量；</w:t>
            </w:r>
          </w:p>
          <w:p>
            <w:pPr>
              <w:spacing w:line="306" w:lineRule="exact"/>
              <w:ind w:left="282"/>
            </w:pPr>
            <w:r>
              <w:rPr>
                <w:rFonts w:ascii="Times New Roman" w:hAnsi="Times New Roman" w:cs="Times New Roman"/>
                <w:sz w:val="20"/>
              </w:rPr>
              <w:t>5.</w:t>
            </w:r>
            <w:r>
              <w:rPr>
                <w:spacing w:val="-1"/>
                <w:position w:val="1"/>
                <w:sz w:val="20"/>
              </w:rPr>
              <w:t>结构物台背回填的回填材</w:t>
            </w:r>
          </w:p>
          <w:p>
            <w:pPr>
              <w:spacing w:line="239" w:lineRule="exact"/>
              <w:ind w:left="109"/>
            </w:pPr>
            <w:r>
              <w:rPr>
                <w:spacing w:val="-1"/>
                <w:sz w:val="20"/>
              </w:rPr>
              <w:t>料、摊平、压实、整形以及台</w:t>
            </w:r>
          </w:p>
          <w:p>
            <w:pPr>
              <w:spacing w:line="271" w:lineRule="exact"/>
              <w:ind w:left="109"/>
            </w:pPr>
            <w:r>
              <w:rPr>
                <w:spacing w:val="-1"/>
                <w:sz w:val="20"/>
              </w:rPr>
              <w:t>后排水等一切与此有关作业</w:t>
            </w:r>
          </w:p>
          <w:p>
            <w:pPr>
              <w:spacing w:line="271" w:lineRule="exact"/>
              <w:ind w:left="109"/>
            </w:pPr>
            <w:r>
              <w:rPr>
                <w:spacing w:val="-1"/>
                <w:sz w:val="20"/>
              </w:rPr>
              <w:t>均不另行计量，但桥梁及明涵</w:t>
            </w:r>
          </w:p>
          <w:p>
            <w:pPr>
              <w:spacing w:line="274" w:lineRule="exact"/>
              <w:ind w:left="109"/>
            </w:pPr>
            <w:r>
              <w:rPr>
                <w:spacing w:val="-1"/>
                <w:sz w:val="20"/>
              </w:rPr>
              <w:t>的搭板、埋板下的路面结构层</w:t>
            </w:r>
          </w:p>
          <w:p>
            <w:pPr>
              <w:spacing w:line="271" w:lineRule="exact"/>
              <w:ind w:left="109"/>
            </w:pPr>
            <w:r>
              <w:rPr>
                <w:spacing w:val="-1"/>
                <w:sz w:val="20"/>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pPr>
          </w:p>
        </w:tc>
      </w:tr>
      <w:tr>
        <w:tblPrEx>
          <w:tblCellMar>
            <w:top w:w="0" w:type="dxa"/>
            <w:left w:w="108" w:type="dxa"/>
            <w:bottom w:w="0" w:type="dxa"/>
            <w:right w:w="108" w:type="dxa"/>
          </w:tblCellMar>
        </w:tblPrEx>
        <w:trPr>
          <w:trHeight w:val="5457"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66" w:lineRule="exact"/>
              <w:ind w:left="423"/>
            </w:pPr>
            <w:r>
              <w:rPr>
                <w:rFonts w:ascii="Times New Roman" w:hAnsi="Times New Roman" w:cs="Times New Roman"/>
                <w:spacing w:val="-1"/>
                <w:sz w:val="20"/>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29" w:lineRule="exact"/>
              <w:ind w:left="281"/>
            </w:pPr>
            <w:r>
              <w:rPr>
                <w:spacing w:val="-1"/>
                <w:sz w:val="20"/>
              </w:rPr>
              <w:t>借土填方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75"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2"/>
            </w:pPr>
            <w:r>
              <w:rPr>
                <w:rFonts w:ascii="Times New Roman" w:hAnsi="Times New Roman" w:cs="Times New Roman"/>
                <w:sz w:val="20"/>
              </w:rPr>
              <w:t>1.</w:t>
            </w:r>
            <w:r>
              <w:rPr>
                <w:spacing w:val="-1"/>
                <w:position w:val="1"/>
                <w:sz w:val="20"/>
              </w:rPr>
              <w:t>依据图纸所示地面线、路</w:t>
            </w:r>
          </w:p>
          <w:p>
            <w:pPr>
              <w:spacing w:line="236" w:lineRule="exact"/>
              <w:ind w:left="109"/>
            </w:pPr>
            <w:r>
              <w:rPr>
                <w:spacing w:val="-1"/>
                <w:sz w:val="20"/>
              </w:rPr>
              <w:t>基设计横断面图，按平均断面</w:t>
            </w:r>
          </w:p>
          <w:p>
            <w:pPr>
              <w:spacing w:line="274" w:lineRule="exact"/>
              <w:ind w:left="109"/>
            </w:pPr>
            <w:r>
              <w:rPr>
                <w:spacing w:val="-1"/>
                <w:sz w:val="20"/>
              </w:rPr>
              <w:t>面积法计算压实的体积，以立</w:t>
            </w:r>
          </w:p>
          <w:p>
            <w:pPr>
              <w:spacing w:line="271" w:lineRule="exact"/>
              <w:ind w:left="109"/>
            </w:pPr>
            <w:r>
              <w:rPr>
                <w:spacing w:val="-1"/>
                <w:sz w:val="20"/>
              </w:rPr>
              <w:t>方米为单位计量；</w:t>
            </w:r>
          </w:p>
          <w:p>
            <w:pPr>
              <w:spacing w:line="308" w:lineRule="exact"/>
              <w:ind w:left="282"/>
            </w:pPr>
            <w:r>
              <w:rPr>
                <w:rFonts w:ascii="Times New Roman" w:hAnsi="Times New Roman" w:cs="Times New Roman"/>
                <w:sz w:val="20"/>
              </w:rPr>
              <w:t>2.</w:t>
            </w:r>
            <w:r>
              <w:rPr>
                <w:spacing w:val="-1"/>
                <w:position w:val="1"/>
                <w:sz w:val="20"/>
              </w:rPr>
              <w:t>借土场的绿化、原地表土</w:t>
            </w:r>
          </w:p>
          <w:p>
            <w:pPr>
              <w:spacing w:line="237" w:lineRule="exact"/>
              <w:ind w:left="109"/>
            </w:pPr>
            <w:r>
              <w:rPr>
                <w:spacing w:val="-1"/>
                <w:sz w:val="20"/>
              </w:rPr>
              <w:t>的回填、防护工程、排水设施</w:t>
            </w:r>
          </w:p>
          <w:p>
            <w:pPr>
              <w:spacing w:line="274" w:lineRule="exact"/>
              <w:ind w:left="109"/>
            </w:pPr>
            <w:r>
              <w:rPr>
                <w:spacing w:val="-1"/>
                <w:sz w:val="20"/>
              </w:rPr>
              <w:t>等均作为附属工作，不另行计</w:t>
            </w:r>
          </w:p>
          <w:p>
            <w:pPr>
              <w:spacing w:line="271" w:lineRule="exact"/>
              <w:ind w:left="109"/>
            </w:pPr>
            <w:r>
              <w:rPr>
                <w:spacing w:val="-1"/>
                <w:sz w:val="20"/>
              </w:rPr>
              <w:t>量；</w:t>
            </w:r>
          </w:p>
          <w:p>
            <w:pPr>
              <w:spacing w:line="306" w:lineRule="exact"/>
              <w:ind w:left="282"/>
            </w:pPr>
            <w:r>
              <w:rPr>
                <w:rFonts w:ascii="Times New Roman" w:hAnsi="Times New Roman" w:cs="Times New Roman"/>
                <w:sz w:val="20"/>
              </w:rPr>
              <w:t>3.</w:t>
            </w:r>
            <w:r>
              <w:rPr>
                <w:spacing w:val="-1"/>
                <w:position w:val="1"/>
                <w:sz w:val="20"/>
              </w:rPr>
              <w:t>满足施工需要，预留路基</w:t>
            </w:r>
          </w:p>
          <w:p>
            <w:pPr>
              <w:spacing w:line="239" w:lineRule="exact"/>
              <w:ind w:left="109"/>
            </w:pPr>
            <w:r>
              <w:rPr>
                <w:spacing w:val="-1"/>
                <w:sz w:val="20"/>
              </w:rPr>
              <w:t>宽度宽填的填方量作为路基</w:t>
            </w:r>
          </w:p>
          <w:p>
            <w:pPr>
              <w:spacing w:line="274" w:lineRule="exact"/>
              <w:ind w:left="109"/>
            </w:pPr>
            <w:r>
              <w:rPr>
                <w:spacing w:val="-1"/>
                <w:sz w:val="20"/>
              </w:rPr>
              <w:t>填筑的附属工作，不另行计</w:t>
            </w:r>
          </w:p>
          <w:p>
            <w:pPr>
              <w:spacing w:line="271" w:lineRule="exact"/>
              <w:ind w:left="109"/>
            </w:pPr>
            <w:r>
              <w:rPr>
                <w:spacing w:val="-1"/>
                <w:sz w:val="20"/>
              </w:rPr>
              <w:t>量；</w:t>
            </w:r>
          </w:p>
          <w:p>
            <w:pPr>
              <w:spacing w:line="308" w:lineRule="exact"/>
              <w:ind w:left="282"/>
            </w:pPr>
            <w:r>
              <w:rPr>
                <w:rFonts w:ascii="Times New Roman" w:hAnsi="Times New Roman" w:cs="Times New Roman"/>
                <w:sz w:val="20"/>
              </w:rPr>
              <w:t>4.</w:t>
            </w:r>
            <w:r>
              <w:rPr>
                <w:spacing w:val="-1"/>
                <w:position w:val="1"/>
                <w:sz w:val="20"/>
              </w:rPr>
              <w:t>填前压实、地面下沉增加</w:t>
            </w:r>
          </w:p>
          <w:p>
            <w:pPr>
              <w:spacing w:line="237" w:lineRule="exact"/>
              <w:ind w:left="109"/>
            </w:pPr>
            <w:r>
              <w:rPr>
                <w:spacing w:val="-1"/>
                <w:sz w:val="20"/>
              </w:rPr>
              <w:t>的填方量，不另行计量；</w:t>
            </w:r>
          </w:p>
          <w:p>
            <w:pPr>
              <w:spacing w:line="306" w:lineRule="exact"/>
              <w:ind w:left="282"/>
            </w:pPr>
            <w:r>
              <w:rPr>
                <w:rFonts w:ascii="Times New Roman" w:hAnsi="Times New Roman" w:cs="Times New Roman"/>
                <w:sz w:val="20"/>
              </w:rPr>
              <w:t>5.</w:t>
            </w:r>
            <w:r>
              <w:rPr>
                <w:spacing w:val="-1"/>
                <w:position w:val="1"/>
                <w:sz w:val="20"/>
              </w:rPr>
              <w:t>结构物台背回填的回填材</w:t>
            </w:r>
          </w:p>
          <w:p>
            <w:pPr>
              <w:spacing w:line="239" w:lineRule="exact"/>
              <w:ind w:left="109"/>
            </w:pPr>
            <w:r>
              <w:rPr>
                <w:spacing w:val="-1"/>
                <w:sz w:val="20"/>
              </w:rPr>
              <w:t>料、摊平、压实、整形以及台</w:t>
            </w:r>
          </w:p>
          <w:p>
            <w:pPr>
              <w:spacing w:line="271" w:lineRule="exact"/>
              <w:ind w:left="109"/>
            </w:pPr>
            <w:r>
              <w:rPr>
                <w:spacing w:val="-1"/>
                <w:sz w:val="20"/>
              </w:rPr>
              <w:t>后排水等一切与此有关作业</w:t>
            </w:r>
          </w:p>
          <w:p>
            <w:pPr>
              <w:spacing w:line="274" w:lineRule="exact"/>
              <w:ind w:left="109"/>
            </w:pPr>
            <w:r>
              <w:rPr>
                <w:spacing w:val="-1"/>
                <w:sz w:val="20"/>
              </w:rPr>
              <w:t>均不另行计量，但桥梁及明涵</w:t>
            </w:r>
          </w:p>
          <w:p>
            <w:pPr>
              <w:spacing w:line="271" w:lineRule="exact"/>
              <w:ind w:left="109"/>
            </w:pPr>
            <w:r>
              <w:rPr>
                <w:spacing w:val="-1"/>
                <w:sz w:val="20"/>
              </w:rPr>
              <w:t>的搭板、埋板下的路面结构层</w:t>
            </w:r>
          </w:p>
          <w:p>
            <w:pPr>
              <w:spacing w:line="274" w:lineRule="exact"/>
              <w:ind w:left="109"/>
            </w:pPr>
            <w:r>
              <w:rPr>
                <w:spacing w:val="-1"/>
                <w:sz w:val="20"/>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777" w:lineRule="exact"/>
              <w:ind w:left="281"/>
            </w:pPr>
            <w:r>
              <w:rPr>
                <w:rFonts w:ascii="Times New Roman" w:hAnsi="Times New Roman" w:cs="Times New Roman"/>
                <w:sz w:val="20"/>
              </w:rPr>
              <w:t>1.</w:t>
            </w:r>
            <w:r>
              <w:rPr>
                <w:spacing w:val="-1"/>
                <w:position w:val="1"/>
                <w:sz w:val="20"/>
              </w:rPr>
              <w:t>借土场场地清理、清</w:t>
            </w:r>
          </w:p>
          <w:p>
            <w:pPr>
              <w:spacing w:line="237" w:lineRule="exact"/>
              <w:ind w:left="108"/>
            </w:pPr>
            <w:r>
              <w:rPr>
                <w:spacing w:val="-1"/>
                <w:sz w:val="20"/>
              </w:rPr>
              <w:t>除不适用材料；</w:t>
            </w:r>
          </w:p>
          <w:p>
            <w:pPr>
              <w:spacing w:line="306" w:lineRule="exact"/>
              <w:ind w:left="281"/>
            </w:pPr>
            <w:r>
              <w:rPr>
                <w:rFonts w:ascii="Times New Roman" w:hAnsi="Times New Roman" w:cs="Times New Roman"/>
                <w:sz w:val="20"/>
              </w:rPr>
              <w:t>2.</w:t>
            </w:r>
            <w:r>
              <w:rPr>
                <w:spacing w:val="-1"/>
                <w:position w:val="1"/>
                <w:sz w:val="20"/>
              </w:rPr>
              <w:t>简易便道、基底翻松、</w:t>
            </w:r>
          </w:p>
          <w:p>
            <w:pPr>
              <w:spacing w:line="239" w:lineRule="exact"/>
              <w:ind w:left="108"/>
            </w:pPr>
            <w:r>
              <w:rPr>
                <w:spacing w:val="-1"/>
                <w:sz w:val="20"/>
              </w:rPr>
              <w:t>压实、挖台阶；</w:t>
            </w:r>
          </w:p>
          <w:p>
            <w:pPr>
              <w:spacing w:line="306" w:lineRule="exact"/>
              <w:ind w:left="281"/>
            </w:pPr>
            <w:r>
              <w:rPr>
                <w:rFonts w:ascii="Times New Roman" w:hAnsi="Times New Roman" w:cs="Times New Roman"/>
                <w:sz w:val="20"/>
              </w:rPr>
              <w:t>3.</w:t>
            </w:r>
            <w:r>
              <w:rPr>
                <w:spacing w:val="-1"/>
                <w:position w:val="1"/>
                <w:sz w:val="20"/>
              </w:rPr>
              <w:t>挖、装、运输、卸车；</w:t>
            </w:r>
          </w:p>
          <w:p>
            <w:pPr>
              <w:spacing w:line="274" w:lineRule="exact"/>
              <w:ind w:left="281"/>
            </w:pPr>
            <w:r>
              <w:rPr>
                <w:rFonts w:ascii="Times New Roman" w:hAnsi="Times New Roman" w:cs="Times New Roman"/>
                <w:sz w:val="20"/>
              </w:rPr>
              <w:t>4.</w:t>
            </w:r>
            <w:r>
              <w:rPr>
                <w:spacing w:val="-1"/>
                <w:position w:val="1"/>
                <w:sz w:val="20"/>
              </w:rPr>
              <w:t>分层摊铺；</w:t>
            </w:r>
          </w:p>
          <w:p>
            <w:pPr>
              <w:spacing w:line="274" w:lineRule="exact"/>
              <w:ind w:left="281"/>
            </w:pPr>
            <w:r>
              <w:rPr>
                <w:rFonts w:ascii="Times New Roman" w:hAnsi="Times New Roman" w:cs="Times New Roman"/>
                <w:sz w:val="20"/>
              </w:rPr>
              <w:t>5.</w:t>
            </w:r>
            <w:r>
              <w:rPr>
                <w:spacing w:val="-1"/>
                <w:position w:val="1"/>
                <w:sz w:val="20"/>
              </w:rPr>
              <w:t>洒水、压实、刷坡；</w:t>
            </w:r>
          </w:p>
          <w:p>
            <w:pPr>
              <w:spacing w:line="271" w:lineRule="exact"/>
              <w:ind w:left="281"/>
            </w:pPr>
            <w:r>
              <w:rPr>
                <w:rFonts w:ascii="Times New Roman" w:hAnsi="Times New Roman" w:cs="Times New Roman"/>
                <w:sz w:val="20"/>
              </w:rPr>
              <w:t>6.</w:t>
            </w:r>
            <w:r>
              <w:rPr>
                <w:spacing w:val="-1"/>
                <w:position w:val="1"/>
                <w:sz w:val="20"/>
              </w:rPr>
              <w:t>施工排水处理；</w:t>
            </w:r>
          </w:p>
          <w:p>
            <w:pPr>
              <w:spacing w:line="271" w:lineRule="exact"/>
              <w:ind w:left="281"/>
            </w:pPr>
            <w:r>
              <w:rPr>
                <w:rFonts w:ascii="Times New Roman" w:hAnsi="Times New Roman" w:cs="Times New Roman"/>
                <w:sz w:val="20"/>
              </w:rPr>
              <w:t>7.</w:t>
            </w:r>
            <w:r>
              <w:rPr>
                <w:spacing w:val="-1"/>
                <w:position w:val="1"/>
                <w:sz w:val="20"/>
              </w:rPr>
              <w:t>整形</w:t>
            </w:r>
          </w:p>
        </w:tc>
      </w:tr>
      <w:tr>
        <w:tblPrEx>
          <w:tblCellMar>
            <w:top w:w="0" w:type="dxa"/>
            <w:left w:w="108" w:type="dxa"/>
            <w:bottom w:w="0" w:type="dxa"/>
            <w:right w:w="108" w:type="dxa"/>
          </w:tblCellMar>
        </w:tblPrEx>
        <w:trPr>
          <w:trHeight w:val="5457"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67" w:lineRule="exact"/>
              <w:ind w:left="416"/>
            </w:pPr>
            <w:r>
              <w:rPr>
                <w:rFonts w:ascii="Times New Roman" w:hAnsi="Times New Roman" w:cs="Times New Roman"/>
                <w:spacing w:val="-1"/>
                <w:sz w:val="20"/>
              </w:rPr>
              <w:t>-d</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30" w:lineRule="exact"/>
              <w:ind w:left="281"/>
            </w:pPr>
            <w:r>
              <w:rPr>
                <w:spacing w:val="-1"/>
                <w:sz w:val="20"/>
              </w:rPr>
              <w:t>借石填方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75"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2"/>
            </w:pPr>
            <w:r>
              <w:rPr>
                <w:rFonts w:ascii="Times New Roman" w:hAnsi="Times New Roman" w:cs="Times New Roman"/>
                <w:sz w:val="20"/>
              </w:rPr>
              <w:t>1.</w:t>
            </w:r>
            <w:r>
              <w:rPr>
                <w:rFonts w:ascii="Calibri" w:hAnsi="Calibri" w:cs="Calibri"/>
                <w:sz w:val="20"/>
              </w:rPr>
              <w:t>  </w:t>
            </w:r>
            <w:r>
              <w:rPr>
                <w:spacing w:val="-1"/>
                <w:position w:val="1"/>
                <w:sz w:val="20"/>
              </w:rPr>
              <w:t>依据图纸所示地面线、路</w:t>
            </w:r>
          </w:p>
          <w:p>
            <w:pPr>
              <w:spacing w:line="237" w:lineRule="exact"/>
              <w:ind w:left="109"/>
            </w:pPr>
            <w:r>
              <w:rPr>
                <w:spacing w:val="-1"/>
                <w:sz w:val="20"/>
              </w:rPr>
              <w:t>基设计横断面图，按平均断面</w:t>
            </w:r>
          </w:p>
          <w:p>
            <w:pPr>
              <w:spacing w:line="271" w:lineRule="exact"/>
              <w:ind w:left="109"/>
            </w:pPr>
            <w:r>
              <w:rPr>
                <w:spacing w:val="-1"/>
                <w:sz w:val="20"/>
              </w:rPr>
              <w:t>面积法计算压实的体积，以立</w:t>
            </w:r>
          </w:p>
          <w:p>
            <w:pPr>
              <w:spacing w:line="274" w:lineRule="exact"/>
              <w:ind w:left="109"/>
            </w:pPr>
            <w:r>
              <w:rPr>
                <w:spacing w:val="-1"/>
                <w:sz w:val="20"/>
              </w:rPr>
              <w:t>方米为单位计量；</w:t>
            </w:r>
          </w:p>
          <w:p>
            <w:pPr>
              <w:spacing w:line="306" w:lineRule="exact"/>
              <w:ind w:left="282"/>
            </w:pPr>
            <w:r>
              <w:rPr>
                <w:rFonts w:ascii="Times New Roman" w:hAnsi="Times New Roman" w:cs="Times New Roman"/>
                <w:sz w:val="20"/>
              </w:rPr>
              <w:t>2.</w:t>
            </w:r>
            <w:r>
              <w:rPr>
                <w:spacing w:val="-1"/>
                <w:position w:val="1"/>
                <w:sz w:val="20"/>
              </w:rPr>
              <w:t>借土场的绿化、原地表土</w:t>
            </w:r>
          </w:p>
          <w:p>
            <w:pPr>
              <w:spacing w:line="239" w:lineRule="exact"/>
              <w:ind w:left="109"/>
            </w:pPr>
            <w:r>
              <w:rPr>
                <w:spacing w:val="-1"/>
                <w:sz w:val="20"/>
              </w:rPr>
              <w:t>的回填、防护工程、排水设施</w:t>
            </w:r>
          </w:p>
          <w:p>
            <w:pPr>
              <w:spacing w:line="274" w:lineRule="exact"/>
              <w:ind w:left="109"/>
            </w:pPr>
            <w:r>
              <w:rPr>
                <w:spacing w:val="-1"/>
                <w:sz w:val="20"/>
              </w:rPr>
              <w:t>等均作为附属工作，不另行计</w:t>
            </w:r>
          </w:p>
          <w:p>
            <w:pPr>
              <w:spacing w:line="271" w:lineRule="exact"/>
              <w:ind w:left="109"/>
            </w:pPr>
            <w:r>
              <w:rPr>
                <w:spacing w:val="-1"/>
                <w:sz w:val="20"/>
              </w:rPr>
              <w:t>量；</w:t>
            </w:r>
          </w:p>
          <w:p>
            <w:pPr>
              <w:spacing w:line="306" w:lineRule="exact"/>
              <w:ind w:left="282"/>
            </w:pPr>
            <w:r>
              <w:rPr>
                <w:rFonts w:ascii="Times New Roman" w:hAnsi="Times New Roman" w:cs="Times New Roman"/>
                <w:sz w:val="20"/>
              </w:rPr>
              <w:t>3.</w:t>
            </w:r>
            <w:r>
              <w:rPr>
                <w:spacing w:val="-1"/>
                <w:position w:val="1"/>
                <w:sz w:val="20"/>
              </w:rPr>
              <w:t>满足施工需要，预留路基</w:t>
            </w:r>
          </w:p>
          <w:p>
            <w:pPr>
              <w:spacing w:line="239" w:lineRule="exact"/>
              <w:ind w:left="109"/>
            </w:pPr>
            <w:r>
              <w:rPr>
                <w:spacing w:val="-1"/>
                <w:sz w:val="20"/>
              </w:rPr>
              <w:t>宽度宽填的填方量作为路基</w:t>
            </w:r>
          </w:p>
          <w:p>
            <w:pPr>
              <w:spacing w:line="271" w:lineRule="exact"/>
              <w:ind w:left="109"/>
            </w:pPr>
            <w:r>
              <w:rPr>
                <w:spacing w:val="-1"/>
                <w:sz w:val="20"/>
              </w:rPr>
              <w:t>填筑的附属工作，不另行计</w:t>
            </w:r>
          </w:p>
          <w:p>
            <w:pPr>
              <w:spacing w:line="274" w:lineRule="exact"/>
              <w:ind w:left="109"/>
            </w:pPr>
            <w:r>
              <w:rPr>
                <w:spacing w:val="-1"/>
                <w:sz w:val="20"/>
              </w:rPr>
              <w:t>量；</w:t>
            </w:r>
          </w:p>
          <w:p>
            <w:pPr>
              <w:spacing w:line="306" w:lineRule="exact"/>
              <w:ind w:left="282"/>
            </w:pPr>
            <w:r>
              <w:rPr>
                <w:rFonts w:ascii="Times New Roman" w:hAnsi="Times New Roman" w:cs="Times New Roman"/>
                <w:sz w:val="20"/>
              </w:rPr>
              <w:t>4.</w:t>
            </w:r>
            <w:r>
              <w:rPr>
                <w:spacing w:val="-1"/>
                <w:position w:val="1"/>
                <w:sz w:val="20"/>
              </w:rPr>
              <w:t>填前压实、地面下沉增加</w:t>
            </w:r>
          </w:p>
          <w:p>
            <w:pPr>
              <w:spacing w:line="239" w:lineRule="exact"/>
              <w:ind w:left="109"/>
            </w:pPr>
            <w:r>
              <w:rPr>
                <w:spacing w:val="-1"/>
                <w:sz w:val="20"/>
              </w:rPr>
              <w:t>的填方量，不另行计量；</w:t>
            </w:r>
          </w:p>
          <w:p>
            <w:pPr>
              <w:spacing w:line="306" w:lineRule="exact"/>
              <w:ind w:left="282"/>
            </w:pPr>
            <w:r>
              <w:rPr>
                <w:rFonts w:ascii="Times New Roman" w:hAnsi="Times New Roman" w:cs="Times New Roman"/>
                <w:sz w:val="20"/>
              </w:rPr>
              <w:t>5.</w:t>
            </w:r>
            <w:r>
              <w:rPr>
                <w:spacing w:val="-1"/>
                <w:position w:val="1"/>
                <w:sz w:val="20"/>
              </w:rPr>
              <w:t>结构物台背回填的回填材</w:t>
            </w:r>
          </w:p>
          <w:p>
            <w:pPr>
              <w:spacing w:line="239" w:lineRule="exact"/>
              <w:ind w:left="109"/>
            </w:pPr>
            <w:r>
              <w:rPr>
                <w:spacing w:val="-1"/>
                <w:sz w:val="20"/>
              </w:rPr>
              <w:t>料、摊平、压实、整形以及台</w:t>
            </w:r>
          </w:p>
          <w:p>
            <w:pPr>
              <w:spacing w:line="271" w:lineRule="exact"/>
              <w:ind w:left="109"/>
            </w:pPr>
            <w:r>
              <w:rPr>
                <w:spacing w:val="-1"/>
                <w:sz w:val="20"/>
              </w:rPr>
              <w:t>后排水等一切与此有关作业</w:t>
            </w:r>
          </w:p>
          <w:p>
            <w:pPr>
              <w:spacing w:line="271" w:lineRule="exact"/>
              <w:ind w:left="109"/>
            </w:pPr>
            <w:r>
              <w:rPr>
                <w:spacing w:val="-1"/>
                <w:sz w:val="20"/>
              </w:rPr>
              <w:t>均不另行计量，但桥梁及明涵</w:t>
            </w:r>
          </w:p>
          <w:p>
            <w:pPr>
              <w:spacing w:line="274" w:lineRule="exact"/>
              <w:ind w:left="109"/>
            </w:pPr>
            <w:r>
              <w:rPr>
                <w:spacing w:val="-1"/>
                <w:sz w:val="20"/>
              </w:rPr>
              <w:t>的搭板、埋板下的路面结构层</w:t>
            </w:r>
          </w:p>
          <w:p>
            <w:pPr>
              <w:spacing w:line="274" w:lineRule="exact"/>
              <w:ind w:left="109"/>
            </w:pPr>
            <w:r>
              <w:rPr>
                <w:spacing w:val="-1"/>
                <w:sz w:val="20"/>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641" w:lineRule="exact"/>
              <w:ind w:left="281"/>
            </w:pPr>
            <w:r>
              <w:rPr>
                <w:rFonts w:ascii="Times New Roman" w:hAnsi="Times New Roman" w:cs="Times New Roman"/>
                <w:sz w:val="20"/>
              </w:rPr>
              <w:t>1.</w:t>
            </w:r>
            <w:r>
              <w:rPr>
                <w:spacing w:val="-1"/>
                <w:position w:val="1"/>
                <w:sz w:val="20"/>
              </w:rPr>
              <w:t>借土场场地清理、清</w:t>
            </w:r>
          </w:p>
          <w:p>
            <w:pPr>
              <w:spacing w:line="237" w:lineRule="exact"/>
              <w:ind w:left="108"/>
            </w:pPr>
            <w:r>
              <w:rPr>
                <w:spacing w:val="-1"/>
                <w:sz w:val="20"/>
              </w:rPr>
              <w:t>除不适用材料；</w:t>
            </w:r>
          </w:p>
          <w:p>
            <w:pPr>
              <w:spacing w:line="306" w:lineRule="exact"/>
              <w:ind w:left="281"/>
            </w:pPr>
            <w:r>
              <w:rPr>
                <w:rFonts w:ascii="Times New Roman" w:hAnsi="Times New Roman" w:cs="Times New Roman"/>
                <w:sz w:val="20"/>
              </w:rPr>
              <w:t>2.</w:t>
            </w:r>
            <w:r>
              <w:rPr>
                <w:spacing w:val="-1"/>
                <w:position w:val="1"/>
                <w:sz w:val="20"/>
              </w:rPr>
              <w:t>简易便道、基底翻松、</w:t>
            </w:r>
          </w:p>
          <w:p>
            <w:pPr>
              <w:spacing w:line="239" w:lineRule="exact"/>
              <w:ind w:left="108"/>
            </w:pPr>
            <w:r>
              <w:rPr>
                <w:spacing w:val="-1"/>
                <w:sz w:val="20"/>
              </w:rPr>
              <w:t>压实、挖台阶；</w:t>
            </w:r>
          </w:p>
          <w:p>
            <w:pPr>
              <w:spacing w:line="308" w:lineRule="exact"/>
              <w:ind w:left="281"/>
            </w:pPr>
            <w:r>
              <w:rPr>
                <w:rFonts w:ascii="Times New Roman" w:hAnsi="Times New Roman" w:cs="Times New Roman"/>
                <w:sz w:val="20"/>
              </w:rPr>
              <w:t>3.</w:t>
            </w:r>
            <w:r>
              <w:rPr>
                <w:rFonts w:ascii="Calibri" w:hAnsi="Calibri" w:cs="Calibri"/>
                <w:sz w:val="20"/>
              </w:rPr>
              <w:t>  </w:t>
            </w:r>
            <w:r>
              <w:rPr>
                <w:position w:val="1"/>
                <w:sz w:val="20"/>
              </w:rPr>
              <w:t>挖、装、运输、卸车；</w:t>
            </w:r>
          </w:p>
          <w:p>
            <w:pPr>
              <w:spacing w:line="271" w:lineRule="exact"/>
              <w:ind w:left="281"/>
            </w:pPr>
            <w:r>
              <w:rPr>
                <w:rFonts w:ascii="Times New Roman" w:hAnsi="Times New Roman" w:cs="Times New Roman"/>
                <w:sz w:val="20"/>
              </w:rPr>
              <w:t>4.</w:t>
            </w:r>
            <w:r>
              <w:rPr>
                <w:spacing w:val="-1"/>
                <w:position w:val="1"/>
                <w:sz w:val="20"/>
              </w:rPr>
              <w:t>分层摊铺；</w:t>
            </w:r>
          </w:p>
          <w:p>
            <w:pPr>
              <w:spacing w:line="274" w:lineRule="exact"/>
              <w:ind w:left="281"/>
            </w:pPr>
            <w:r>
              <w:rPr>
                <w:rFonts w:ascii="Times New Roman" w:hAnsi="Times New Roman" w:cs="Times New Roman"/>
                <w:sz w:val="20"/>
              </w:rPr>
              <w:t>5.</w:t>
            </w:r>
            <w:r>
              <w:rPr>
                <w:spacing w:val="-1"/>
                <w:position w:val="1"/>
                <w:sz w:val="20"/>
              </w:rPr>
              <w:t>洒水、压实、土质护</w:t>
            </w:r>
          </w:p>
          <w:p>
            <w:pPr>
              <w:spacing w:line="237" w:lineRule="exact"/>
              <w:ind w:left="108"/>
            </w:pPr>
            <w:r>
              <w:rPr>
                <w:spacing w:val="-1"/>
                <w:sz w:val="20"/>
              </w:rPr>
              <w:t>坡；</w:t>
            </w:r>
          </w:p>
          <w:p>
            <w:pPr>
              <w:spacing w:line="306" w:lineRule="exact"/>
              <w:ind w:left="281"/>
            </w:pPr>
            <w:r>
              <w:rPr>
                <w:rFonts w:ascii="Times New Roman" w:hAnsi="Times New Roman" w:cs="Times New Roman"/>
                <w:sz w:val="20"/>
              </w:rPr>
              <w:t>6.</w:t>
            </w:r>
            <w:r>
              <w:rPr>
                <w:spacing w:val="-1"/>
                <w:position w:val="1"/>
                <w:sz w:val="20"/>
              </w:rPr>
              <w:t>施工排水处理；</w:t>
            </w:r>
          </w:p>
          <w:p>
            <w:pPr>
              <w:spacing w:line="274" w:lineRule="exact"/>
              <w:ind w:left="281"/>
            </w:pPr>
            <w:r>
              <w:rPr>
                <w:rFonts w:ascii="Times New Roman" w:hAnsi="Times New Roman" w:cs="Times New Roman"/>
                <w:sz w:val="20"/>
              </w:rPr>
              <w:t>7.</w:t>
            </w:r>
            <w:r>
              <w:rPr>
                <w:spacing w:val="-1"/>
                <w:position w:val="1"/>
                <w:sz w:val="20"/>
              </w:rPr>
              <w:t>整型</w:t>
            </w:r>
          </w:p>
        </w:tc>
      </w:tr>
      <w:tr>
        <w:tblPrEx>
          <w:tblCellMar>
            <w:top w:w="0" w:type="dxa"/>
            <w:left w:w="108" w:type="dxa"/>
            <w:bottom w:w="0" w:type="dxa"/>
            <w:right w:w="108" w:type="dxa"/>
          </w:tblCellMar>
        </w:tblPrEx>
        <w:trPr>
          <w:trHeight w:val="51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3" w:lineRule="exact"/>
              <w:ind w:left="260"/>
            </w:pPr>
            <w:r>
              <w:rPr>
                <w:rFonts w:ascii="Times New Roman" w:hAnsi="Times New Roman" w:cs="Times New Roman"/>
                <w:spacing w:val="-1"/>
                <w:sz w:val="20"/>
              </w:rPr>
              <w:t>205-1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58" w:lineRule="exact"/>
              <w:ind w:left="281"/>
            </w:pPr>
            <w:r>
              <w:rPr>
                <w:spacing w:val="-1"/>
                <w:sz w:val="20"/>
              </w:rPr>
              <w:t>软土路基处理</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58" w:lineRule="exact"/>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58"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58" w:lineRule="exact"/>
            </w:pPr>
          </w:p>
        </w:tc>
      </w:tr>
    </w:tbl>
    <w:p>
      <w:pPr>
        <w:rPr>
          <w:sz w:val="20"/>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blPrEx>
          <w:tblCellMar>
            <w:top w:w="0" w:type="dxa"/>
            <w:left w:w="108" w:type="dxa"/>
            <w:bottom w:w="0" w:type="dxa"/>
            <w:right w:w="108" w:type="dxa"/>
          </w:tblCellMar>
        </w:tblPrEx>
        <w:trPr>
          <w:trHeight w:val="137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24" w:lineRule="exact"/>
              <w:ind w:left="423"/>
            </w:pPr>
            <w:r>
              <w:rPr>
                <w:rFonts w:ascii="Times New Roman" w:hAnsi="Times New Roman" w:cs="Times New Roman"/>
                <w:spacing w:val="-1"/>
                <w:sz w:val="20"/>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89" w:lineRule="exact"/>
              <w:ind w:left="281"/>
            </w:pPr>
            <w:r>
              <w:rPr>
                <w:spacing w:val="-1"/>
                <w:sz w:val="20"/>
              </w:rPr>
              <w:t>抛石挤淤</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33"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6" w:lineRule="exact"/>
              <w:ind w:left="282"/>
            </w:pPr>
            <w:r>
              <w:rPr>
                <w:spacing w:val="-1"/>
                <w:sz w:val="20"/>
              </w:rPr>
              <w:t>依据图纸所示位置和范围，</w:t>
            </w:r>
          </w:p>
          <w:p>
            <w:pPr>
              <w:spacing w:line="274" w:lineRule="exact"/>
              <w:ind w:left="109"/>
            </w:pPr>
            <w:r>
              <w:rPr>
                <w:spacing w:val="-1"/>
                <w:sz w:val="20"/>
              </w:rPr>
              <w:t>按照抛石体积的片石数量，以</w:t>
            </w:r>
          </w:p>
          <w:p>
            <w:pPr>
              <w:spacing w:line="271" w:lineRule="exact"/>
              <w:ind w:left="109"/>
            </w:pPr>
            <w:r>
              <w:rPr>
                <w:spacing w:val="-1"/>
                <w:sz w:val="20"/>
              </w:rPr>
              <w:t>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临时排水；</w:t>
            </w:r>
          </w:p>
          <w:p>
            <w:pPr>
              <w:spacing w:line="274" w:lineRule="exact"/>
              <w:ind w:left="281"/>
            </w:pPr>
            <w:r>
              <w:rPr>
                <w:rFonts w:ascii="Times New Roman" w:hAnsi="Times New Roman" w:cs="Times New Roman"/>
                <w:sz w:val="20"/>
              </w:rPr>
              <w:t>2.</w:t>
            </w:r>
            <w:r>
              <w:rPr>
                <w:spacing w:val="-1"/>
                <w:position w:val="1"/>
                <w:sz w:val="20"/>
              </w:rPr>
              <w:t>抛填片石；</w:t>
            </w:r>
          </w:p>
          <w:p>
            <w:pPr>
              <w:spacing w:line="271" w:lineRule="exact"/>
              <w:ind w:left="281"/>
            </w:pPr>
            <w:r>
              <w:rPr>
                <w:rFonts w:ascii="Times New Roman" w:hAnsi="Times New Roman" w:cs="Times New Roman"/>
                <w:sz w:val="20"/>
              </w:rPr>
              <w:t>3.</w:t>
            </w:r>
            <w:r>
              <w:rPr>
                <w:spacing w:val="-1"/>
                <w:position w:val="1"/>
                <w:sz w:val="20"/>
              </w:rPr>
              <w:t>小石块、石屑填塞垫</w:t>
            </w:r>
          </w:p>
          <w:p>
            <w:pPr>
              <w:spacing w:line="239" w:lineRule="exact"/>
              <w:ind w:left="108"/>
            </w:pPr>
            <w:r>
              <w:rPr>
                <w:spacing w:val="-1"/>
                <w:sz w:val="20"/>
              </w:rPr>
              <w:t>平；</w:t>
            </w:r>
          </w:p>
          <w:p>
            <w:pPr>
              <w:spacing w:line="306" w:lineRule="exact"/>
              <w:ind w:left="281"/>
            </w:pPr>
            <w:r>
              <w:rPr>
                <w:rFonts w:ascii="Times New Roman" w:hAnsi="Times New Roman" w:cs="Times New Roman"/>
                <w:sz w:val="20"/>
              </w:rPr>
              <w:t>4.</w:t>
            </w:r>
            <w:r>
              <w:rPr>
                <w:spacing w:val="-1"/>
                <w:position w:val="1"/>
                <w:sz w:val="20"/>
              </w:rPr>
              <w:t>重型压路机压实</w:t>
            </w:r>
          </w:p>
        </w:tc>
      </w:tr>
      <w:tr>
        <w:tblPrEx>
          <w:tblCellMar>
            <w:top w:w="0" w:type="dxa"/>
            <w:left w:w="108" w:type="dxa"/>
            <w:bottom w:w="0" w:type="dxa"/>
            <w:right w:w="108" w:type="dxa"/>
          </w:tblCellMar>
        </w:tblPrEx>
        <w:trPr>
          <w:trHeight w:val="469"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71" w:lineRule="exact"/>
              <w:ind w:left="416"/>
            </w:pPr>
            <w:r>
              <w:rPr>
                <w:rFonts w:ascii="Times New Roman" w:hAnsi="Times New Roman" w:cs="Times New Roman"/>
                <w:spacing w:val="-1"/>
                <w:sz w:val="20"/>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ind w:left="281"/>
            </w:pPr>
            <w:r>
              <w:rPr>
                <w:spacing w:val="-1"/>
                <w:sz w:val="20"/>
              </w:rPr>
              <w:t>垫层</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7" w:lineRule="exact"/>
            </w:pPr>
          </w:p>
        </w:tc>
      </w:tr>
      <w:tr>
        <w:tblPrEx>
          <w:tblCellMar>
            <w:top w:w="0" w:type="dxa"/>
            <w:left w:w="108" w:type="dxa"/>
            <w:bottom w:w="0" w:type="dxa"/>
            <w:right w:w="108" w:type="dxa"/>
          </w:tblCellMar>
        </w:tblPrEx>
        <w:trPr>
          <w:trHeight w:val="137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24" w:lineRule="exact"/>
              <w:ind w:left="329"/>
            </w:pPr>
            <w:r>
              <w:rPr>
                <w:rFonts w:ascii="Times New Roman" w:hAnsi="Times New Roman" w:cs="Times New Roman"/>
                <w:spacing w:val="-1"/>
                <w:sz w:val="20"/>
              </w:rPr>
              <w:t>-b-1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89" w:lineRule="exact"/>
              <w:ind w:left="281"/>
            </w:pPr>
            <w:r>
              <w:rPr>
                <w:spacing w:val="-1"/>
                <w:sz w:val="20"/>
              </w:rPr>
              <w:t>砂垫层</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32"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2"/>
            </w:pPr>
            <w:r>
              <w:rPr>
                <w:rFonts w:ascii="Times New Roman" w:hAnsi="Times New Roman" w:cs="Times New Roman"/>
                <w:sz w:val="20"/>
              </w:rPr>
              <w:t>1.</w:t>
            </w:r>
            <w:r>
              <w:rPr>
                <w:spacing w:val="-1"/>
                <w:position w:val="1"/>
                <w:sz w:val="20"/>
              </w:rPr>
              <w:t>依据图纸所示位置和断面</w:t>
            </w:r>
          </w:p>
          <w:p>
            <w:pPr>
              <w:spacing w:line="236" w:lineRule="exact"/>
              <w:ind w:left="109"/>
            </w:pPr>
            <w:r>
              <w:rPr>
                <w:spacing w:val="-1"/>
                <w:sz w:val="20"/>
              </w:rPr>
              <w:t>尺寸，按图示砂垫层密实体积</w:t>
            </w:r>
          </w:p>
          <w:p>
            <w:pPr>
              <w:spacing w:line="274" w:lineRule="exact"/>
              <w:ind w:left="109"/>
            </w:pPr>
            <w:r>
              <w:rPr>
                <w:spacing w:val="-1"/>
                <w:sz w:val="20"/>
              </w:rPr>
              <w:t>以立方米为单位计量；</w:t>
            </w:r>
          </w:p>
          <w:p>
            <w:pPr>
              <w:spacing w:line="306" w:lineRule="exact"/>
              <w:ind w:left="282"/>
            </w:pPr>
            <w:r>
              <w:rPr>
                <w:rFonts w:ascii="Times New Roman" w:hAnsi="Times New Roman" w:cs="Times New Roman"/>
                <w:sz w:val="20"/>
              </w:rPr>
              <w:t>2.</w:t>
            </w:r>
            <w:r>
              <w:rPr>
                <w:spacing w:val="-1"/>
                <w:position w:val="1"/>
                <w:sz w:val="20"/>
              </w:rPr>
              <w:t>因换填而挖除的非适用材</w:t>
            </w:r>
          </w:p>
          <w:p>
            <w:pPr>
              <w:spacing w:line="274" w:lineRule="exact"/>
              <w:ind w:left="109"/>
            </w:pPr>
            <w:r>
              <w:rPr>
                <w:spacing w:val="-1"/>
                <w:position w:val="1"/>
                <w:sz w:val="20"/>
              </w:rPr>
              <w:t>料列入</w:t>
            </w:r>
            <w:r>
              <w:rPr>
                <w:rFonts w:ascii="Calibri" w:hAnsi="Calibri" w:cs="Calibri"/>
                <w:sz w:val="20"/>
              </w:rPr>
              <w:t> </w:t>
            </w:r>
            <w:r>
              <w:rPr>
                <w:rFonts w:ascii="Times New Roman" w:hAnsi="Times New Roman" w:cs="Times New Roman"/>
                <w:spacing w:val="-1"/>
                <w:sz w:val="20"/>
              </w:rPr>
              <w:t>203-1</w:t>
            </w:r>
            <w:r>
              <w:rPr>
                <w:rFonts w:ascii="Calibri" w:hAnsi="Calibri" w:cs="Calibri"/>
                <w:sz w:val="20"/>
              </w:rPr>
              <w:t> </w:t>
            </w:r>
            <w:r>
              <w:rPr>
                <w:spacing w:val="-1"/>
                <w:position w:val="1"/>
                <w:sz w:val="20"/>
              </w:rPr>
              <w:t>相关子目计量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4" w:lineRule="exact"/>
              <w:ind w:left="281"/>
            </w:pPr>
            <w:r>
              <w:rPr>
                <w:rFonts w:ascii="Times New Roman" w:hAnsi="Times New Roman" w:cs="Times New Roman"/>
                <w:sz w:val="20"/>
              </w:rPr>
              <w:t>1.</w:t>
            </w:r>
            <w:r>
              <w:rPr>
                <w:spacing w:val="-1"/>
                <w:position w:val="1"/>
                <w:sz w:val="20"/>
              </w:rPr>
              <w:t>基底清理；</w:t>
            </w:r>
          </w:p>
          <w:p>
            <w:pPr>
              <w:spacing w:line="274" w:lineRule="exact"/>
              <w:ind w:left="281"/>
            </w:pPr>
            <w:r>
              <w:rPr>
                <w:rFonts w:ascii="Times New Roman" w:hAnsi="Times New Roman" w:cs="Times New Roman"/>
                <w:sz w:val="20"/>
              </w:rPr>
              <w:t>2.</w:t>
            </w:r>
            <w:r>
              <w:rPr>
                <w:spacing w:val="-1"/>
                <w:position w:val="1"/>
                <w:sz w:val="20"/>
              </w:rPr>
              <w:t>临时排水；</w:t>
            </w:r>
          </w:p>
          <w:p>
            <w:pPr>
              <w:spacing w:line="271" w:lineRule="exact"/>
              <w:ind w:left="281"/>
            </w:pPr>
            <w:r>
              <w:rPr>
                <w:rFonts w:ascii="Times New Roman" w:hAnsi="Times New Roman" w:cs="Times New Roman"/>
                <w:sz w:val="20"/>
              </w:rPr>
              <w:t>3.</w:t>
            </w:r>
            <w:r>
              <w:rPr>
                <w:spacing w:val="-1"/>
                <w:position w:val="1"/>
                <w:sz w:val="20"/>
              </w:rPr>
              <w:t>分层铺筑；</w:t>
            </w:r>
          </w:p>
          <w:p>
            <w:pPr>
              <w:spacing w:line="274" w:lineRule="exact"/>
              <w:ind w:left="281"/>
            </w:pPr>
            <w:r>
              <w:rPr>
                <w:rFonts w:ascii="Times New Roman" w:hAnsi="Times New Roman" w:cs="Times New Roman"/>
                <w:sz w:val="20"/>
              </w:rPr>
              <w:t>4.</w:t>
            </w:r>
            <w:r>
              <w:rPr>
                <w:spacing w:val="-1"/>
                <w:position w:val="1"/>
                <w:sz w:val="20"/>
              </w:rPr>
              <w:t>分层碾压</w:t>
            </w:r>
          </w:p>
        </w:tc>
      </w:tr>
      <w:tr>
        <w:tblPrEx>
          <w:tblCellMar>
            <w:top w:w="0" w:type="dxa"/>
            <w:left w:w="108" w:type="dxa"/>
            <w:bottom w:w="0" w:type="dxa"/>
            <w:right w:w="108" w:type="dxa"/>
          </w:tblCellMar>
        </w:tblPrEx>
        <w:trPr>
          <w:trHeight w:val="137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23" w:lineRule="exact"/>
              <w:ind w:left="329"/>
            </w:pPr>
            <w:r>
              <w:rPr>
                <w:rFonts w:ascii="Times New Roman" w:hAnsi="Times New Roman" w:cs="Times New Roman"/>
                <w:spacing w:val="-1"/>
                <w:sz w:val="20"/>
              </w:rPr>
              <w:t>-b-2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89" w:lineRule="exact"/>
              <w:ind w:left="281"/>
            </w:pPr>
            <w:r>
              <w:rPr>
                <w:spacing w:val="-1"/>
                <w:sz w:val="20"/>
              </w:rPr>
              <w:t>砂砾垫层</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34"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2"/>
            </w:pPr>
            <w:r>
              <w:rPr>
                <w:rFonts w:ascii="Times New Roman" w:hAnsi="Times New Roman" w:cs="Times New Roman"/>
                <w:sz w:val="20"/>
              </w:rPr>
              <w:t>1.</w:t>
            </w:r>
            <w:r>
              <w:rPr>
                <w:spacing w:val="-1"/>
                <w:position w:val="1"/>
                <w:sz w:val="20"/>
              </w:rPr>
              <w:t>依据图纸所示位置和断面</w:t>
            </w:r>
          </w:p>
          <w:p>
            <w:pPr>
              <w:spacing w:line="237" w:lineRule="exact"/>
              <w:ind w:left="109"/>
            </w:pPr>
            <w:r>
              <w:rPr>
                <w:spacing w:val="-1"/>
                <w:sz w:val="20"/>
              </w:rPr>
              <w:t>尺寸，按图示砂砾垫层密实体</w:t>
            </w:r>
          </w:p>
          <w:p>
            <w:pPr>
              <w:spacing w:line="271" w:lineRule="exact"/>
              <w:ind w:left="109"/>
            </w:pPr>
            <w:r>
              <w:rPr>
                <w:spacing w:val="-1"/>
                <w:sz w:val="20"/>
              </w:rPr>
              <w:t>积以立方米为单位计量；</w:t>
            </w:r>
          </w:p>
          <w:p>
            <w:pPr>
              <w:spacing w:line="308" w:lineRule="exact"/>
              <w:ind w:left="282"/>
            </w:pPr>
            <w:r>
              <w:rPr>
                <w:rFonts w:ascii="Times New Roman" w:hAnsi="Times New Roman" w:cs="Times New Roman"/>
                <w:sz w:val="20"/>
              </w:rPr>
              <w:t>2.</w:t>
            </w:r>
            <w:r>
              <w:rPr>
                <w:spacing w:val="-1"/>
                <w:position w:val="1"/>
                <w:sz w:val="20"/>
              </w:rPr>
              <w:t>因换填而挖除的非适用材</w:t>
            </w:r>
          </w:p>
          <w:p>
            <w:pPr>
              <w:spacing w:line="271" w:lineRule="exact"/>
              <w:ind w:left="109"/>
            </w:pPr>
            <w:r>
              <w:rPr>
                <w:spacing w:val="-1"/>
                <w:position w:val="1"/>
                <w:sz w:val="20"/>
              </w:rPr>
              <w:t>料列入</w:t>
            </w:r>
            <w:r>
              <w:rPr>
                <w:rFonts w:ascii="Calibri" w:hAnsi="Calibri" w:cs="Calibri"/>
                <w:sz w:val="20"/>
              </w:rPr>
              <w:t> </w:t>
            </w:r>
            <w:r>
              <w:rPr>
                <w:rFonts w:ascii="Times New Roman" w:hAnsi="Times New Roman" w:cs="Times New Roman"/>
                <w:spacing w:val="-1"/>
                <w:sz w:val="20"/>
              </w:rPr>
              <w:t>203-1</w:t>
            </w:r>
            <w:r>
              <w:rPr>
                <w:rFonts w:ascii="Calibri" w:hAnsi="Calibri" w:cs="Calibri"/>
                <w:sz w:val="20"/>
              </w:rPr>
              <w:t> </w:t>
            </w:r>
            <w:r>
              <w:rPr>
                <w:spacing w:val="-1"/>
                <w:position w:val="1"/>
                <w:sz w:val="20"/>
              </w:rPr>
              <w:t>相关子目计量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5" w:lineRule="exact"/>
              <w:ind w:left="281"/>
            </w:pPr>
            <w:r>
              <w:rPr>
                <w:rFonts w:ascii="Times New Roman" w:hAnsi="Times New Roman" w:cs="Times New Roman"/>
                <w:sz w:val="20"/>
              </w:rPr>
              <w:t>1.</w:t>
            </w:r>
            <w:r>
              <w:rPr>
                <w:spacing w:val="-1"/>
                <w:position w:val="1"/>
                <w:sz w:val="20"/>
              </w:rPr>
              <w:t>基底清理；</w:t>
            </w:r>
          </w:p>
          <w:p>
            <w:pPr>
              <w:spacing w:line="271" w:lineRule="exact"/>
              <w:ind w:left="281"/>
            </w:pPr>
            <w:r>
              <w:rPr>
                <w:rFonts w:ascii="Times New Roman" w:hAnsi="Times New Roman" w:cs="Times New Roman"/>
                <w:sz w:val="20"/>
              </w:rPr>
              <w:t>2.</w:t>
            </w:r>
            <w:r>
              <w:rPr>
                <w:spacing w:val="-1"/>
                <w:position w:val="1"/>
                <w:sz w:val="20"/>
              </w:rPr>
              <w:t>临时排水；</w:t>
            </w:r>
          </w:p>
          <w:p>
            <w:pPr>
              <w:spacing w:line="274" w:lineRule="exact"/>
              <w:ind w:left="281"/>
            </w:pPr>
            <w:r>
              <w:rPr>
                <w:rFonts w:ascii="Times New Roman" w:hAnsi="Times New Roman" w:cs="Times New Roman"/>
                <w:sz w:val="20"/>
              </w:rPr>
              <w:t>3.</w:t>
            </w:r>
            <w:r>
              <w:rPr>
                <w:spacing w:val="-1"/>
                <w:position w:val="1"/>
                <w:sz w:val="20"/>
              </w:rPr>
              <w:t>分层铺筑；</w:t>
            </w:r>
          </w:p>
          <w:p>
            <w:pPr>
              <w:spacing w:line="271" w:lineRule="exact"/>
              <w:ind w:left="281"/>
            </w:pPr>
            <w:r>
              <w:rPr>
                <w:rFonts w:ascii="Times New Roman" w:hAnsi="Times New Roman" w:cs="Times New Roman"/>
                <w:sz w:val="20"/>
              </w:rPr>
              <w:t>4.</w:t>
            </w:r>
            <w:r>
              <w:rPr>
                <w:spacing w:val="-1"/>
                <w:position w:val="1"/>
                <w:sz w:val="20"/>
              </w:rPr>
              <w:t>分层碾压</w:t>
            </w:r>
          </w:p>
        </w:tc>
      </w:tr>
      <w:tr>
        <w:tblPrEx>
          <w:tblCellMar>
            <w:top w:w="0" w:type="dxa"/>
            <w:left w:w="108" w:type="dxa"/>
            <w:bottom w:w="0" w:type="dxa"/>
            <w:right w:w="108" w:type="dxa"/>
          </w:tblCellMar>
        </w:tblPrEx>
        <w:trPr>
          <w:trHeight w:val="1516"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1" w:lineRule="exact"/>
              <w:ind w:left="423"/>
            </w:pPr>
            <w:r>
              <w:rPr>
                <w:rFonts w:ascii="Times New Roman" w:hAnsi="Times New Roman" w:cs="Times New Roman"/>
                <w:spacing w:val="-1"/>
                <w:sz w:val="20"/>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89" w:lineRule="exact"/>
              <w:ind w:left="281"/>
            </w:pPr>
            <w:r>
              <w:rPr>
                <w:spacing w:val="-1"/>
                <w:sz w:val="20"/>
              </w:rPr>
              <w:t>碎石（砂砾）</w:t>
            </w:r>
          </w:p>
          <w:p>
            <w:pPr>
              <w:spacing w:line="271" w:lineRule="exact"/>
              <w:ind w:left="109"/>
            </w:pPr>
            <w:r>
              <w:rPr>
                <w:spacing w:val="-1"/>
                <w:sz w:val="20"/>
              </w:rPr>
              <w:t>桩</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21" w:lineRule="exact"/>
              <w:ind w:left="342"/>
            </w:pPr>
            <w:r>
              <w:rPr>
                <w:rFonts w:ascii="Times New Roman" w:hAnsi="Times New Roman" w:cs="Times New Roman"/>
                <w:sz w:val="20"/>
              </w:rPr>
              <w:t>m</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8" w:lineRule="exact"/>
              <w:ind w:left="282"/>
            </w:pPr>
            <w:r>
              <w:rPr>
                <w:spacing w:val="-1"/>
                <w:sz w:val="20"/>
              </w:rPr>
              <w:t>依据图纸所示位置和断面尺</w:t>
            </w:r>
          </w:p>
          <w:p>
            <w:pPr>
              <w:spacing w:line="271" w:lineRule="exact"/>
              <w:ind w:left="109"/>
            </w:pPr>
            <w:r>
              <w:rPr>
                <w:spacing w:val="-1"/>
                <w:sz w:val="20"/>
              </w:rPr>
              <w:t>寸，按图示不同桩径的碎石</w:t>
            </w:r>
          </w:p>
          <w:p>
            <w:pPr>
              <w:spacing w:line="271" w:lineRule="exact"/>
              <w:ind w:left="109"/>
            </w:pPr>
            <w:r>
              <w:rPr>
                <w:spacing w:val="-1"/>
                <w:sz w:val="20"/>
              </w:rPr>
              <w:t>（砂砾）桩长度以米为单位计</w:t>
            </w:r>
          </w:p>
          <w:p>
            <w:pPr>
              <w:spacing w:line="274" w:lineRule="exact"/>
              <w:ind w:left="109"/>
            </w:pPr>
            <w:r>
              <w:rPr>
                <w:spacing w:val="-1"/>
                <w:sz w:val="20"/>
              </w:rPr>
              <w:t>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场地清理；</w:t>
            </w:r>
          </w:p>
          <w:p>
            <w:pPr>
              <w:spacing w:line="274" w:lineRule="exact"/>
              <w:ind w:left="281"/>
            </w:pPr>
            <w:r>
              <w:rPr>
                <w:rFonts w:ascii="Times New Roman" w:hAnsi="Times New Roman" w:cs="Times New Roman"/>
                <w:sz w:val="20"/>
              </w:rPr>
              <w:t>2.</w:t>
            </w:r>
            <w:r>
              <w:rPr>
                <w:spacing w:val="-1"/>
                <w:position w:val="1"/>
                <w:sz w:val="20"/>
              </w:rPr>
              <w:t>成桩设备安装与就</w:t>
            </w:r>
            <w:r>
              <w:rPr>
                <w:spacing w:val="-1"/>
                <w:sz w:val="20"/>
              </w:rPr>
              <w:t>位；</w:t>
            </w:r>
          </w:p>
          <w:p>
            <w:pPr>
              <w:spacing w:line="308" w:lineRule="exact"/>
              <w:ind w:left="281"/>
            </w:pPr>
            <w:r>
              <w:rPr>
                <w:rFonts w:ascii="Times New Roman" w:hAnsi="Times New Roman" w:cs="Times New Roman"/>
                <w:sz w:val="20"/>
              </w:rPr>
              <w:t>3.</w:t>
            </w:r>
            <w:r>
              <w:rPr>
                <w:spacing w:val="-1"/>
                <w:position w:val="1"/>
                <w:sz w:val="20"/>
              </w:rPr>
              <w:t>成孔；</w:t>
            </w:r>
          </w:p>
          <w:p>
            <w:pPr>
              <w:spacing w:line="271" w:lineRule="exact"/>
              <w:ind w:left="281"/>
            </w:pPr>
            <w:r>
              <w:rPr>
                <w:rFonts w:ascii="Times New Roman" w:hAnsi="Times New Roman" w:cs="Times New Roman"/>
                <w:sz w:val="20"/>
              </w:rPr>
              <w:t>4.</w:t>
            </w:r>
            <w:r>
              <w:rPr>
                <w:spacing w:val="-1"/>
                <w:position w:val="1"/>
                <w:sz w:val="20"/>
              </w:rPr>
              <w:t>灌碎石（砂砾）；</w:t>
            </w:r>
          </w:p>
          <w:p>
            <w:pPr>
              <w:spacing w:line="271" w:lineRule="exact"/>
              <w:ind w:left="281"/>
            </w:pPr>
            <w:r>
              <w:rPr>
                <w:rFonts w:ascii="Times New Roman" w:hAnsi="Times New Roman" w:cs="Times New Roman"/>
                <w:sz w:val="20"/>
              </w:rPr>
              <w:t>5.</w:t>
            </w:r>
            <w:r>
              <w:rPr>
                <w:spacing w:val="-1"/>
                <w:position w:val="1"/>
                <w:sz w:val="20"/>
              </w:rPr>
              <w:t>桩机移位</w:t>
            </w:r>
          </w:p>
        </w:tc>
      </w:tr>
      <w:tr>
        <w:tblPrEx>
          <w:tblCellMar>
            <w:top w:w="0" w:type="dxa"/>
            <w:left w:w="108" w:type="dxa"/>
            <w:bottom w:w="0" w:type="dxa"/>
            <w:right w:w="108" w:type="dxa"/>
          </w:tblCellMar>
        </w:tblPrEx>
        <w:trPr>
          <w:trHeight w:val="1426"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1" w:lineRule="exact"/>
              <w:ind w:left="416"/>
            </w:pPr>
            <w:r>
              <w:rPr>
                <w:rFonts w:ascii="Times New Roman" w:hAnsi="Times New Roman" w:cs="Times New Roman"/>
                <w:spacing w:val="-1"/>
                <w:sz w:val="20"/>
              </w:rPr>
              <w:t>-d</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6" w:lineRule="exact"/>
              <w:ind w:left="281"/>
            </w:pPr>
            <w:r>
              <w:rPr>
                <w:spacing w:val="-1"/>
                <w:sz w:val="20"/>
              </w:rPr>
              <w:t>砂桩</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21" w:lineRule="exact"/>
              <w:ind w:left="342"/>
            </w:pPr>
            <w:r>
              <w:rPr>
                <w:rFonts w:ascii="Times New Roman" w:hAnsi="Times New Roman" w:cs="Times New Roman"/>
                <w:sz w:val="20"/>
              </w:rPr>
              <w:t>m</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53" w:lineRule="exact"/>
              <w:ind w:left="282"/>
            </w:pPr>
            <w:r>
              <w:rPr>
                <w:spacing w:val="-1"/>
                <w:sz w:val="20"/>
              </w:rPr>
              <w:t>依据图纸所示位置和断面尺</w:t>
            </w:r>
          </w:p>
          <w:p>
            <w:pPr>
              <w:spacing w:line="274" w:lineRule="exact"/>
              <w:ind w:left="109"/>
            </w:pPr>
            <w:r>
              <w:rPr>
                <w:spacing w:val="-1"/>
                <w:sz w:val="20"/>
              </w:rPr>
              <w:t>寸，按图示不同桩径的砂桩长</w:t>
            </w:r>
          </w:p>
          <w:p>
            <w:pPr>
              <w:spacing w:line="271" w:lineRule="exact"/>
              <w:ind w:left="109"/>
            </w:pPr>
            <w:r>
              <w:rPr>
                <w:spacing w:val="-1"/>
                <w:sz w:val="20"/>
              </w:rPr>
              <w:t>度以米为单位计量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场地清理；</w:t>
            </w:r>
          </w:p>
          <w:p>
            <w:pPr>
              <w:spacing w:line="274" w:lineRule="exact"/>
              <w:ind w:left="281"/>
            </w:pPr>
            <w:r>
              <w:rPr>
                <w:rFonts w:ascii="Times New Roman" w:hAnsi="Times New Roman" w:cs="Times New Roman"/>
                <w:sz w:val="20"/>
              </w:rPr>
              <w:t>2.</w:t>
            </w:r>
            <w:r>
              <w:rPr>
                <w:spacing w:val="-1"/>
                <w:position w:val="1"/>
                <w:sz w:val="20"/>
              </w:rPr>
              <w:t>成桩设备安装与就</w:t>
            </w:r>
            <w:r>
              <w:rPr>
                <w:spacing w:val="-1"/>
                <w:sz w:val="20"/>
              </w:rPr>
              <w:t>位；</w:t>
            </w:r>
          </w:p>
          <w:p>
            <w:pPr>
              <w:spacing w:line="308" w:lineRule="exact"/>
              <w:ind w:left="281"/>
            </w:pPr>
            <w:r>
              <w:rPr>
                <w:rFonts w:ascii="Times New Roman" w:hAnsi="Times New Roman" w:cs="Times New Roman"/>
                <w:sz w:val="20"/>
              </w:rPr>
              <w:t>3.</w:t>
            </w:r>
            <w:r>
              <w:rPr>
                <w:spacing w:val="-1"/>
                <w:position w:val="1"/>
                <w:sz w:val="20"/>
              </w:rPr>
              <w:t>成孔；</w:t>
            </w:r>
          </w:p>
          <w:p>
            <w:pPr>
              <w:spacing w:line="271" w:lineRule="exact"/>
              <w:ind w:left="281"/>
            </w:pPr>
            <w:r>
              <w:rPr>
                <w:rFonts w:ascii="Times New Roman" w:hAnsi="Times New Roman" w:cs="Times New Roman"/>
                <w:sz w:val="20"/>
              </w:rPr>
              <w:t>4.</w:t>
            </w:r>
            <w:r>
              <w:rPr>
                <w:spacing w:val="-1"/>
                <w:position w:val="1"/>
                <w:sz w:val="20"/>
              </w:rPr>
              <w:t>灌砂；</w:t>
            </w:r>
          </w:p>
          <w:p>
            <w:pPr>
              <w:spacing w:line="271" w:lineRule="exact"/>
              <w:ind w:left="281"/>
            </w:pPr>
            <w:r>
              <w:rPr>
                <w:rFonts w:ascii="Times New Roman" w:hAnsi="Times New Roman" w:cs="Times New Roman"/>
                <w:sz w:val="20"/>
              </w:rPr>
              <w:t>5.</w:t>
            </w:r>
            <w:r>
              <w:rPr>
                <w:spacing w:val="-1"/>
                <w:position w:val="1"/>
                <w:sz w:val="20"/>
              </w:rPr>
              <w:t>桩机移位</w:t>
            </w:r>
          </w:p>
        </w:tc>
      </w:tr>
      <w:tr>
        <w:tblPrEx>
          <w:tblCellMar>
            <w:top w:w="0" w:type="dxa"/>
            <w:left w:w="108" w:type="dxa"/>
            <w:bottom w:w="0" w:type="dxa"/>
            <w:right w:w="108" w:type="dxa"/>
          </w:tblCellMar>
        </w:tblPrEx>
        <w:trPr>
          <w:trHeight w:val="55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6" w:lineRule="exact"/>
              <w:ind w:left="423"/>
            </w:pPr>
            <w:r>
              <w:rPr>
                <w:rFonts w:ascii="Times New Roman" w:hAnsi="Times New Roman" w:cs="Times New Roman"/>
                <w:spacing w:val="-1"/>
                <w:sz w:val="20"/>
              </w:rPr>
              <w:t>-e</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1" w:lineRule="exact"/>
              <w:ind w:left="281"/>
            </w:pPr>
            <w:r>
              <w:rPr>
                <w:spacing w:val="-1"/>
                <w:sz w:val="20"/>
              </w:rPr>
              <w:t>土工合成材料</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1" w:lineRule="exact"/>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1"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1" w:lineRule="exact"/>
            </w:pPr>
          </w:p>
        </w:tc>
      </w:tr>
      <w:tr>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1" w:lineRule="exact"/>
              <w:ind w:left="337"/>
            </w:pPr>
            <w:r>
              <w:rPr>
                <w:rFonts w:ascii="Times New Roman" w:hAnsi="Times New Roman" w:cs="Times New Roman"/>
                <w:spacing w:val="-1"/>
                <w:sz w:val="20"/>
              </w:rPr>
              <w:t>-e-1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4" w:lineRule="exact"/>
              <w:ind w:left="281"/>
            </w:pPr>
            <w:r>
              <w:rPr>
                <w:spacing w:val="-1"/>
                <w:sz w:val="20"/>
              </w:rPr>
              <w:t>反滤土工布</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70" w:lineRule="exact"/>
              <w:ind w:left="308"/>
            </w:pPr>
            <w:r>
              <w:rPr>
                <w:rFonts w:ascii="Times New Roman" w:hAnsi="Times New Roman" w:cs="Times New Roman"/>
                <w:position w:val="-4"/>
                <w:sz w:val="20"/>
              </w:rPr>
              <w:t>m</w:t>
            </w:r>
            <w:r>
              <w:rPr>
                <w:rFonts w:ascii="Times New Roman" w:hAnsi="Times New Roman" w:cs="Times New Roman"/>
                <w:spacing w:val="-4"/>
                <w:sz w:val="13"/>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2"/>
            </w:pPr>
            <w:r>
              <w:rPr>
                <w:rFonts w:ascii="Times New Roman" w:hAnsi="Times New Roman" w:cs="Times New Roman"/>
                <w:sz w:val="20"/>
              </w:rPr>
              <w:t>1.</w:t>
            </w:r>
            <w:r>
              <w:rPr>
                <w:spacing w:val="-1"/>
                <w:position w:val="1"/>
                <w:sz w:val="20"/>
              </w:rPr>
              <w:t>依据图纸所示位置和规</w:t>
            </w:r>
          </w:p>
          <w:p>
            <w:pPr>
              <w:spacing w:line="237" w:lineRule="exact"/>
              <w:ind w:left="109"/>
            </w:pPr>
            <w:r>
              <w:rPr>
                <w:spacing w:val="-1"/>
                <w:sz w:val="20"/>
              </w:rPr>
              <w:t>格，按土层中分层铺设反滤土</w:t>
            </w:r>
          </w:p>
          <w:p>
            <w:pPr>
              <w:spacing w:line="274" w:lineRule="exact"/>
              <w:ind w:left="109"/>
            </w:pPr>
            <w:r>
              <w:rPr>
                <w:spacing w:val="-1"/>
                <w:sz w:val="20"/>
              </w:rPr>
              <w:t>工布的累计净面积以平方米</w:t>
            </w:r>
          </w:p>
          <w:p>
            <w:pPr>
              <w:spacing w:line="274" w:lineRule="exact"/>
              <w:ind w:left="109"/>
            </w:pPr>
            <w:r>
              <w:rPr>
                <w:spacing w:val="-1"/>
                <w:sz w:val="20"/>
              </w:rPr>
              <w:t>为单位计量；</w:t>
            </w:r>
          </w:p>
          <w:p>
            <w:pPr>
              <w:spacing w:line="306" w:lineRule="exact"/>
              <w:ind w:left="282"/>
            </w:pPr>
            <w:r>
              <w:rPr>
                <w:rFonts w:ascii="Times New Roman" w:hAnsi="Times New Roman" w:cs="Times New Roman"/>
                <w:sz w:val="20"/>
              </w:rPr>
              <w:t>2.</w:t>
            </w:r>
            <w:r>
              <w:rPr>
                <w:spacing w:val="-1"/>
                <w:position w:val="1"/>
                <w:sz w:val="20"/>
              </w:rPr>
              <w:t>接缝的重叠面积和边缘的</w:t>
            </w:r>
          </w:p>
          <w:p>
            <w:pPr>
              <w:spacing w:line="237" w:lineRule="exact"/>
              <w:ind w:left="109"/>
            </w:pPr>
            <w:r>
              <w:rPr>
                <w:spacing w:val="-1"/>
                <w:sz w:val="20"/>
              </w:rPr>
              <w:t>包裹面积不予计量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7" w:lineRule="exact"/>
              <w:ind w:left="281"/>
            </w:pPr>
            <w:r>
              <w:rPr>
                <w:rFonts w:ascii="Times New Roman" w:hAnsi="Times New Roman" w:cs="Times New Roman"/>
                <w:sz w:val="20"/>
              </w:rPr>
              <w:t>1.</w:t>
            </w:r>
            <w:r>
              <w:rPr>
                <w:spacing w:val="-1"/>
                <w:position w:val="1"/>
                <w:sz w:val="20"/>
              </w:rPr>
              <w:t>清理下承层；</w:t>
            </w:r>
          </w:p>
          <w:p>
            <w:pPr>
              <w:spacing w:line="271" w:lineRule="exact"/>
              <w:ind w:left="281"/>
            </w:pPr>
            <w:r>
              <w:rPr>
                <w:rFonts w:ascii="Times New Roman" w:hAnsi="Times New Roman" w:cs="Times New Roman"/>
                <w:sz w:val="20"/>
              </w:rPr>
              <w:t>2.</w:t>
            </w:r>
            <w:r>
              <w:rPr>
                <w:spacing w:val="-1"/>
                <w:position w:val="1"/>
                <w:sz w:val="20"/>
              </w:rPr>
              <w:t>铺设及固定；</w:t>
            </w:r>
          </w:p>
          <w:p>
            <w:pPr>
              <w:spacing w:line="271" w:lineRule="exact"/>
              <w:ind w:left="281"/>
            </w:pPr>
            <w:r>
              <w:rPr>
                <w:rFonts w:ascii="Times New Roman" w:hAnsi="Times New Roman" w:cs="Times New Roman"/>
                <w:sz w:val="20"/>
              </w:rPr>
              <w:t>3.</w:t>
            </w:r>
            <w:r>
              <w:rPr>
                <w:spacing w:val="-1"/>
                <w:position w:val="1"/>
                <w:sz w:val="20"/>
              </w:rPr>
              <w:t>接缝处理（搭接、缝</w:t>
            </w:r>
          </w:p>
          <w:p>
            <w:pPr>
              <w:spacing w:line="239" w:lineRule="exact"/>
              <w:ind w:left="108"/>
            </w:pPr>
            <w:r>
              <w:rPr>
                <w:spacing w:val="-1"/>
                <w:sz w:val="20"/>
              </w:rPr>
              <w:t>接、粘接）；</w:t>
            </w:r>
          </w:p>
          <w:p>
            <w:pPr>
              <w:spacing w:line="308" w:lineRule="exact"/>
              <w:ind w:left="281"/>
            </w:pPr>
            <w:r>
              <w:rPr>
                <w:rFonts w:ascii="Times New Roman" w:hAnsi="Times New Roman" w:cs="Times New Roman"/>
                <w:sz w:val="20"/>
              </w:rPr>
              <w:t>4.</w:t>
            </w:r>
            <w:r>
              <w:rPr>
                <w:spacing w:val="-1"/>
                <w:position w:val="1"/>
                <w:sz w:val="20"/>
              </w:rPr>
              <w:t>边缘处理</w:t>
            </w:r>
          </w:p>
        </w:tc>
      </w:tr>
      <w:tr>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1" w:lineRule="exact"/>
              <w:ind w:left="337"/>
            </w:pPr>
            <w:r>
              <w:rPr>
                <w:rFonts w:ascii="Times New Roman" w:hAnsi="Times New Roman" w:cs="Times New Roman"/>
                <w:spacing w:val="-1"/>
                <w:sz w:val="20"/>
              </w:rPr>
              <w:t>-e-2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4" w:lineRule="exact"/>
              <w:ind w:left="281"/>
            </w:pPr>
            <w:r>
              <w:rPr>
                <w:spacing w:val="-1"/>
                <w:sz w:val="20"/>
              </w:rPr>
              <w:t>防渗土工膜</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70" w:lineRule="exact"/>
              <w:ind w:left="308"/>
            </w:pPr>
            <w:r>
              <w:rPr>
                <w:rFonts w:ascii="Times New Roman" w:hAnsi="Times New Roman" w:cs="Times New Roman"/>
                <w:position w:val="-4"/>
                <w:sz w:val="20"/>
              </w:rPr>
              <w:t>m</w:t>
            </w:r>
            <w:r>
              <w:rPr>
                <w:rFonts w:ascii="Times New Roman" w:hAnsi="Times New Roman" w:cs="Times New Roman"/>
                <w:spacing w:val="-4"/>
                <w:sz w:val="13"/>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2"/>
            </w:pPr>
            <w:r>
              <w:rPr>
                <w:rFonts w:ascii="Times New Roman" w:hAnsi="Times New Roman" w:cs="Times New Roman"/>
                <w:sz w:val="20"/>
              </w:rPr>
              <w:t>1.</w:t>
            </w:r>
            <w:r>
              <w:rPr>
                <w:spacing w:val="-1"/>
                <w:position w:val="1"/>
                <w:sz w:val="20"/>
              </w:rPr>
              <w:t>依据图纸所示位置和规</w:t>
            </w:r>
          </w:p>
          <w:p>
            <w:pPr>
              <w:spacing w:line="237" w:lineRule="exact"/>
              <w:ind w:left="109"/>
            </w:pPr>
            <w:r>
              <w:rPr>
                <w:spacing w:val="-1"/>
                <w:sz w:val="20"/>
              </w:rPr>
              <w:t>格，按土层中分层铺设防渗土</w:t>
            </w:r>
          </w:p>
          <w:p>
            <w:pPr>
              <w:spacing w:line="274" w:lineRule="exact"/>
              <w:ind w:left="109"/>
            </w:pPr>
            <w:r>
              <w:rPr>
                <w:spacing w:val="-1"/>
                <w:sz w:val="20"/>
              </w:rPr>
              <w:t>工膜的累计净面积以平方米</w:t>
            </w:r>
          </w:p>
          <w:p>
            <w:pPr>
              <w:spacing w:line="274" w:lineRule="exact"/>
              <w:ind w:left="109"/>
            </w:pPr>
            <w:r>
              <w:rPr>
                <w:spacing w:val="-1"/>
                <w:sz w:val="20"/>
              </w:rPr>
              <w:t>为单位计量；</w:t>
            </w:r>
          </w:p>
          <w:p>
            <w:pPr>
              <w:spacing w:line="306" w:lineRule="exact"/>
              <w:ind w:left="282"/>
            </w:pPr>
            <w:r>
              <w:rPr>
                <w:rFonts w:ascii="Times New Roman" w:hAnsi="Times New Roman" w:cs="Times New Roman"/>
                <w:sz w:val="20"/>
              </w:rPr>
              <w:t>2.</w:t>
            </w:r>
            <w:r>
              <w:rPr>
                <w:spacing w:val="-1"/>
                <w:position w:val="1"/>
                <w:sz w:val="20"/>
              </w:rPr>
              <w:t>接缝的重叠面积和边缘的</w:t>
            </w:r>
          </w:p>
          <w:p>
            <w:pPr>
              <w:spacing w:line="237" w:lineRule="exact"/>
              <w:ind w:left="109"/>
            </w:pPr>
            <w:r>
              <w:rPr>
                <w:spacing w:val="-1"/>
                <w:sz w:val="20"/>
              </w:rPr>
              <w:t>包裹面积不予计量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7" w:lineRule="exact"/>
              <w:ind w:left="281"/>
            </w:pPr>
            <w:r>
              <w:rPr>
                <w:rFonts w:ascii="Times New Roman" w:hAnsi="Times New Roman" w:cs="Times New Roman"/>
                <w:sz w:val="20"/>
              </w:rPr>
              <w:t>1.</w:t>
            </w:r>
            <w:r>
              <w:rPr>
                <w:spacing w:val="-1"/>
                <w:position w:val="1"/>
                <w:sz w:val="20"/>
              </w:rPr>
              <w:t>清理下承层；</w:t>
            </w:r>
          </w:p>
          <w:p>
            <w:pPr>
              <w:spacing w:line="271" w:lineRule="exact"/>
              <w:ind w:left="281"/>
            </w:pPr>
            <w:r>
              <w:rPr>
                <w:rFonts w:ascii="Times New Roman" w:hAnsi="Times New Roman" w:cs="Times New Roman"/>
                <w:sz w:val="20"/>
              </w:rPr>
              <w:t>2.</w:t>
            </w:r>
            <w:r>
              <w:rPr>
                <w:spacing w:val="-1"/>
                <w:position w:val="1"/>
                <w:sz w:val="20"/>
              </w:rPr>
              <w:t>铺设及固定；</w:t>
            </w:r>
          </w:p>
          <w:p>
            <w:pPr>
              <w:spacing w:line="271" w:lineRule="exact"/>
              <w:ind w:left="281"/>
            </w:pPr>
            <w:r>
              <w:rPr>
                <w:rFonts w:ascii="Times New Roman" w:hAnsi="Times New Roman" w:cs="Times New Roman"/>
                <w:sz w:val="20"/>
              </w:rPr>
              <w:t>3.</w:t>
            </w:r>
            <w:r>
              <w:rPr>
                <w:spacing w:val="-1"/>
                <w:position w:val="1"/>
                <w:sz w:val="20"/>
              </w:rPr>
              <w:t>接缝处理（搭接、缝</w:t>
            </w:r>
          </w:p>
          <w:p>
            <w:pPr>
              <w:spacing w:line="239" w:lineRule="exact"/>
              <w:ind w:left="108"/>
            </w:pPr>
            <w:r>
              <w:rPr>
                <w:spacing w:val="-1"/>
                <w:sz w:val="20"/>
              </w:rPr>
              <w:t>接、粘接）；</w:t>
            </w:r>
          </w:p>
          <w:p>
            <w:pPr>
              <w:spacing w:line="308" w:lineRule="exact"/>
              <w:ind w:left="281"/>
            </w:pPr>
            <w:r>
              <w:rPr>
                <w:rFonts w:ascii="Times New Roman" w:hAnsi="Times New Roman" w:cs="Times New Roman"/>
                <w:sz w:val="20"/>
              </w:rPr>
              <w:t>4.</w:t>
            </w:r>
            <w:r>
              <w:rPr>
                <w:spacing w:val="-1"/>
                <w:position w:val="1"/>
                <w:sz w:val="20"/>
              </w:rPr>
              <w:t>边缘处理</w:t>
            </w:r>
          </w:p>
        </w:tc>
      </w:tr>
      <w:tr>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1" w:lineRule="exact"/>
              <w:ind w:left="337"/>
            </w:pPr>
            <w:r>
              <w:rPr>
                <w:rFonts w:ascii="Times New Roman" w:hAnsi="Times New Roman" w:cs="Times New Roman"/>
                <w:spacing w:val="-1"/>
                <w:sz w:val="20"/>
              </w:rPr>
              <w:t>-e-3</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4" w:lineRule="exact"/>
              <w:ind w:left="281"/>
            </w:pPr>
            <w:r>
              <w:rPr>
                <w:spacing w:val="-1"/>
                <w:sz w:val="20"/>
              </w:rPr>
              <w:t>土工格栅</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70" w:lineRule="exact"/>
              <w:ind w:left="308"/>
            </w:pPr>
            <w:r>
              <w:rPr>
                <w:rFonts w:ascii="Times New Roman" w:hAnsi="Times New Roman" w:cs="Times New Roman"/>
                <w:position w:val="-4"/>
                <w:sz w:val="20"/>
              </w:rPr>
              <w:t>m</w:t>
            </w:r>
            <w:r>
              <w:rPr>
                <w:rFonts w:ascii="Times New Roman" w:hAnsi="Times New Roman" w:cs="Times New Roman"/>
                <w:spacing w:val="-4"/>
                <w:sz w:val="13"/>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2"/>
            </w:pPr>
            <w:r>
              <w:rPr>
                <w:rFonts w:ascii="Times New Roman" w:hAnsi="Times New Roman" w:cs="Times New Roman"/>
                <w:sz w:val="20"/>
              </w:rPr>
              <w:t>1.</w:t>
            </w:r>
            <w:r>
              <w:rPr>
                <w:spacing w:val="-1"/>
                <w:position w:val="1"/>
                <w:sz w:val="20"/>
              </w:rPr>
              <w:t>依据图纸所示位置和规</w:t>
            </w:r>
          </w:p>
          <w:p>
            <w:pPr>
              <w:spacing w:line="237" w:lineRule="exact"/>
              <w:ind w:left="109"/>
            </w:pPr>
            <w:r>
              <w:rPr>
                <w:spacing w:val="-1"/>
                <w:sz w:val="20"/>
              </w:rPr>
              <w:t>格、型号，按土层中分层铺设</w:t>
            </w:r>
          </w:p>
          <w:p>
            <w:pPr>
              <w:spacing w:line="274" w:lineRule="exact"/>
              <w:ind w:left="109"/>
            </w:pPr>
            <w:r>
              <w:rPr>
                <w:spacing w:val="-1"/>
                <w:sz w:val="20"/>
              </w:rPr>
              <w:t>土工格栅的累计净面积以平</w:t>
            </w:r>
          </w:p>
          <w:p>
            <w:pPr>
              <w:spacing w:line="274" w:lineRule="exact"/>
              <w:ind w:left="109"/>
            </w:pPr>
            <w:r>
              <w:rPr>
                <w:spacing w:val="-1"/>
                <w:sz w:val="20"/>
              </w:rPr>
              <w:t>方米为单位计量；</w:t>
            </w:r>
          </w:p>
          <w:p>
            <w:pPr>
              <w:spacing w:line="306" w:lineRule="exact"/>
              <w:ind w:left="282"/>
            </w:pPr>
            <w:r>
              <w:rPr>
                <w:rFonts w:ascii="Times New Roman" w:hAnsi="Times New Roman" w:cs="Times New Roman"/>
                <w:sz w:val="20"/>
              </w:rPr>
              <w:t>2.</w:t>
            </w:r>
            <w:r>
              <w:rPr>
                <w:spacing w:val="-1"/>
                <w:position w:val="1"/>
                <w:sz w:val="20"/>
              </w:rPr>
              <w:t>接缝的重叠面积和边缘的</w:t>
            </w:r>
          </w:p>
          <w:p>
            <w:pPr>
              <w:spacing w:line="237" w:lineRule="exact"/>
              <w:ind w:left="109"/>
            </w:pPr>
            <w:r>
              <w:rPr>
                <w:spacing w:val="-1"/>
                <w:sz w:val="20"/>
              </w:rPr>
              <w:t>包裹面积不予计量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7" w:lineRule="exact"/>
              <w:ind w:left="281"/>
            </w:pPr>
            <w:r>
              <w:rPr>
                <w:rFonts w:ascii="Times New Roman" w:hAnsi="Times New Roman" w:cs="Times New Roman"/>
                <w:sz w:val="20"/>
              </w:rPr>
              <w:t>1.</w:t>
            </w:r>
            <w:r>
              <w:rPr>
                <w:spacing w:val="-1"/>
                <w:position w:val="1"/>
                <w:sz w:val="20"/>
              </w:rPr>
              <w:t>清理下承层；</w:t>
            </w:r>
          </w:p>
          <w:p>
            <w:pPr>
              <w:spacing w:line="271" w:lineRule="exact"/>
              <w:ind w:left="281"/>
            </w:pPr>
            <w:r>
              <w:rPr>
                <w:rFonts w:ascii="Times New Roman" w:hAnsi="Times New Roman" w:cs="Times New Roman"/>
                <w:sz w:val="20"/>
              </w:rPr>
              <w:t>2.</w:t>
            </w:r>
            <w:r>
              <w:rPr>
                <w:spacing w:val="-1"/>
                <w:position w:val="1"/>
                <w:sz w:val="20"/>
              </w:rPr>
              <w:t>铺设及固定；</w:t>
            </w:r>
          </w:p>
          <w:p>
            <w:pPr>
              <w:spacing w:line="271" w:lineRule="exact"/>
              <w:ind w:left="281"/>
            </w:pPr>
            <w:r>
              <w:rPr>
                <w:rFonts w:ascii="Times New Roman" w:hAnsi="Times New Roman" w:cs="Times New Roman"/>
                <w:sz w:val="20"/>
              </w:rPr>
              <w:t>3.</w:t>
            </w:r>
            <w:r>
              <w:rPr>
                <w:spacing w:val="-1"/>
                <w:position w:val="1"/>
                <w:sz w:val="20"/>
              </w:rPr>
              <w:t>接缝处理（搭接、缝</w:t>
            </w:r>
          </w:p>
          <w:p>
            <w:pPr>
              <w:spacing w:line="239" w:lineRule="exact"/>
              <w:ind w:left="108"/>
            </w:pPr>
            <w:r>
              <w:rPr>
                <w:spacing w:val="-1"/>
                <w:sz w:val="20"/>
              </w:rPr>
              <w:t>接、粘接）；</w:t>
            </w:r>
          </w:p>
          <w:p>
            <w:pPr>
              <w:spacing w:line="308" w:lineRule="exact"/>
              <w:ind w:left="281"/>
            </w:pPr>
            <w:r>
              <w:rPr>
                <w:rFonts w:ascii="Times New Roman" w:hAnsi="Times New Roman" w:cs="Times New Roman"/>
                <w:sz w:val="20"/>
              </w:rPr>
              <w:t>4.</w:t>
            </w:r>
            <w:r>
              <w:rPr>
                <w:spacing w:val="-1"/>
                <w:position w:val="1"/>
                <w:sz w:val="20"/>
              </w:rPr>
              <w:t>边缘处理</w:t>
            </w:r>
          </w:p>
        </w:tc>
      </w:tr>
      <w:tr>
        <w:tblPrEx>
          <w:tblCellMar>
            <w:top w:w="0" w:type="dxa"/>
            <w:left w:w="108" w:type="dxa"/>
            <w:bottom w:w="0" w:type="dxa"/>
            <w:right w:w="108" w:type="dxa"/>
          </w:tblCellMar>
        </w:tblPrEx>
        <w:trPr>
          <w:trHeight w:val="28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435"/>
            </w:pPr>
            <w:r>
              <w:rPr>
                <w:rFonts w:ascii="Times New Roman" w:hAnsi="Times New Roman" w:cs="Times New Roman"/>
                <w:spacing w:val="-1"/>
                <w:sz w:val="20"/>
              </w:rPr>
              <w:t>-f</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pPr>
            <w:r>
              <w:rPr>
                <w:spacing w:val="-1"/>
                <w:sz w:val="20"/>
              </w:rPr>
              <w:t>强夯及强夯置换</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pPr>
          </w:p>
        </w:tc>
      </w:tr>
    </w:tbl>
    <w:p>
      <w:pPr>
        <w:spacing w:line="249" w:lineRule="exact"/>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blPrEx>
          <w:tblCellMar>
            <w:top w:w="0" w:type="dxa"/>
            <w:left w:w="108" w:type="dxa"/>
            <w:bottom w:w="0" w:type="dxa"/>
            <w:right w:w="108" w:type="dxa"/>
          </w:tblCellMar>
        </w:tblPrEx>
        <w:trPr>
          <w:trHeight w:val="3006"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641" w:lineRule="exact"/>
              <w:ind w:left="349"/>
            </w:pPr>
            <w:r>
              <w:rPr>
                <w:rFonts w:ascii="Times New Roman" w:hAnsi="Times New Roman" w:cs="Times New Roman"/>
                <w:spacing w:val="-1"/>
                <w:sz w:val="20"/>
              </w:rPr>
              <w:t>-f-1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607" w:lineRule="exact"/>
              <w:ind w:left="281"/>
            </w:pPr>
            <w:r>
              <w:rPr>
                <w:spacing w:val="-1"/>
                <w:sz w:val="20"/>
              </w:rPr>
              <w:t>强夯</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550" w:lineRule="exact"/>
              <w:ind w:left="308"/>
            </w:pPr>
            <w:r>
              <w:rPr>
                <w:rFonts w:ascii="Times New Roman" w:hAnsi="Times New Roman" w:cs="Times New Roman"/>
                <w:position w:val="-4"/>
                <w:sz w:val="20"/>
              </w:rPr>
              <w:t>m</w:t>
            </w:r>
            <w:r>
              <w:rPr>
                <w:rFonts w:ascii="Times New Roman" w:hAnsi="Times New Roman" w:cs="Times New Roman"/>
                <w:spacing w:val="-4"/>
                <w:sz w:val="13"/>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2"/>
            </w:pPr>
            <w:r>
              <w:rPr>
                <w:rFonts w:ascii="Times New Roman" w:hAnsi="Times New Roman" w:cs="Times New Roman"/>
                <w:sz w:val="20"/>
              </w:rPr>
              <w:t>1.</w:t>
            </w:r>
            <w:r>
              <w:rPr>
                <w:spacing w:val="-1"/>
                <w:position w:val="1"/>
                <w:sz w:val="20"/>
              </w:rPr>
              <w:t>依据图纸所示位置和处理</w:t>
            </w:r>
          </w:p>
          <w:p>
            <w:pPr>
              <w:spacing w:line="237" w:lineRule="exact"/>
              <w:ind w:left="109"/>
            </w:pPr>
            <w:r>
              <w:rPr>
                <w:spacing w:val="-1"/>
                <w:sz w:val="20"/>
              </w:rPr>
              <w:t>面积，按图示路堤底面积以平</w:t>
            </w:r>
          </w:p>
          <w:p>
            <w:pPr>
              <w:spacing w:line="271" w:lineRule="exact"/>
              <w:ind w:left="109"/>
            </w:pPr>
            <w:r>
              <w:rPr>
                <w:spacing w:val="-1"/>
                <w:sz w:val="20"/>
              </w:rPr>
              <w:t>方米为单位计量；</w:t>
            </w:r>
          </w:p>
          <w:p>
            <w:pPr>
              <w:spacing w:line="308" w:lineRule="exact"/>
              <w:ind w:left="282"/>
            </w:pPr>
            <w:r>
              <w:rPr>
                <w:rFonts w:ascii="Times New Roman" w:hAnsi="Times New Roman" w:cs="Times New Roman"/>
                <w:sz w:val="20"/>
              </w:rPr>
              <w:t>2.</w:t>
            </w:r>
            <w:r>
              <w:rPr>
                <w:spacing w:val="-1"/>
                <w:position w:val="1"/>
                <w:sz w:val="20"/>
              </w:rPr>
              <w:t>施工前的地表处理、拦截</w:t>
            </w:r>
          </w:p>
          <w:p>
            <w:pPr>
              <w:spacing w:line="239" w:lineRule="exact"/>
              <w:ind w:left="109"/>
            </w:pPr>
            <w:r>
              <w:rPr>
                <w:spacing w:val="-1"/>
                <w:sz w:val="20"/>
              </w:rPr>
              <w:t>地表和地下水、强夯和强夯后</w:t>
            </w:r>
          </w:p>
          <w:p>
            <w:pPr>
              <w:spacing w:line="271" w:lineRule="exact"/>
              <w:ind w:left="109"/>
            </w:pPr>
            <w:r>
              <w:rPr>
                <w:spacing w:val="-1"/>
                <w:sz w:val="20"/>
              </w:rPr>
              <w:t>的标准贯入、静力触探测试等</w:t>
            </w:r>
          </w:p>
          <w:p>
            <w:pPr>
              <w:spacing w:line="274" w:lineRule="exact"/>
              <w:ind w:left="109"/>
            </w:pPr>
            <w:r>
              <w:rPr>
                <w:spacing w:val="-1"/>
                <w:sz w:val="20"/>
              </w:rPr>
              <w:t>为附属工作，不另行计量；</w:t>
            </w:r>
          </w:p>
          <w:p>
            <w:pPr>
              <w:spacing w:line="306" w:lineRule="exact"/>
              <w:ind w:left="282"/>
            </w:pPr>
            <w:r>
              <w:rPr>
                <w:rFonts w:ascii="Times New Roman" w:hAnsi="Times New Roman" w:cs="Times New Roman"/>
                <w:sz w:val="20"/>
              </w:rPr>
              <w:t>3.</w:t>
            </w:r>
            <w:r>
              <w:rPr>
                <w:spacing w:val="-1"/>
                <w:position w:val="1"/>
                <w:sz w:val="20"/>
              </w:rPr>
              <w:t>强夯后沉降部分回填至原</w:t>
            </w:r>
          </w:p>
          <w:p>
            <w:pPr>
              <w:spacing w:line="236" w:lineRule="exact"/>
              <w:ind w:left="109"/>
            </w:pPr>
            <w:r>
              <w:rPr>
                <w:spacing w:val="-1"/>
                <w:sz w:val="20"/>
              </w:rPr>
              <w:t>标高的借方或利用方挖运、整</w:t>
            </w:r>
          </w:p>
          <w:p>
            <w:pPr>
              <w:spacing w:line="274" w:lineRule="exact"/>
              <w:ind w:left="109"/>
            </w:pPr>
            <w:r>
              <w:rPr>
                <w:spacing w:val="-1"/>
                <w:sz w:val="20"/>
              </w:rPr>
              <w:t>平、压实等相关作业为附属工</w:t>
            </w:r>
          </w:p>
          <w:p>
            <w:pPr>
              <w:spacing w:line="271" w:lineRule="exact"/>
              <w:ind w:left="109"/>
            </w:pPr>
            <w:r>
              <w:rPr>
                <w:spacing w:val="-1"/>
                <w:sz w:val="20"/>
              </w:rPr>
              <w:t>作，不另行计量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89" w:lineRule="exact"/>
              <w:ind w:left="281"/>
            </w:pPr>
            <w:r>
              <w:rPr>
                <w:rFonts w:ascii="Times New Roman" w:hAnsi="Times New Roman" w:cs="Times New Roman"/>
                <w:sz w:val="20"/>
              </w:rPr>
              <w:t>1.</w:t>
            </w:r>
            <w:r>
              <w:rPr>
                <w:spacing w:val="-1"/>
                <w:position w:val="1"/>
                <w:sz w:val="20"/>
              </w:rPr>
              <w:t>场地清理；</w:t>
            </w:r>
          </w:p>
          <w:p>
            <w:pPr>
              <w:spacing w:line="271" w:lineRule="exact"/>
              <w:ind w:left="281"/>
            </w:pPr>
            <w:r>
              <w:rPr>
                <w:rFonts w:ascii="Times New Roman" w:hAnsi="Times New Roman" w:cs="Times New Roman"/>
                <w:sz w:val="20"/>
              </w:rPr>
              <w:t>2.</w:t>
            </w:r>
            <w:r>
              <w:rPr>
                <w:spacing w:val="-1"/>
                <w:position w:val="1"/>
                <w:sz w:val="20"/>
              </w:rPr>
              <w:t>拦截、排除地表水；</w:t>
            </w:r>
          </w:p>
          <w:p>
            <w:pPr>
              <w:spacing w:line="271" w:lineRule="exact"/>
              <w:ind w:left="281"/>
            </w:pPr>
            <w:r>
              <w:rPr>
                <w:rFonts w:ascii="Times New Roman" w:hAnsi="Times New Roman" w:cs="Times New Roman"/>
                <w:sz w:val="20"/>
              </w:rPr>
              <w:t>3.</w:t>
            </w:r>
            <w:r>
              <w:rPr>
                <w:spacing w:val="-1"/>
                <w:position w:val="1"/>
                <w:sz w:val="20"/>
              </w:rPr>
              <w:t>防止地表水下渗等防</w:t>
            </w:r>
          </w:p>
          <w:p>
            <w:pPr>
              <w:spacing w:line="239" w:lineRule="exact"/>
              <w:ind w:left="108"/>
            </w:pPr>
            <w:r>
              <w:rPr>
                <w:spacing w:val="-1"/>
                <w:sz w:val="20"/>
              </w:rPr>
              <w:t>渗措施；</w:t>
            </w:r>
          </w:p>
          <w:p>
            <w:pPr>
              <w:spacing w:line="308" w:lineRule="exact"/>
              <w:ind w:left="281"/>
            </w:pPr>
            <w:r>
              <w:rPr>
                <w:rFonts w:ascii="Times New Roman" w:hAnsi="Times New Roman" w:cs="Times New Roman"/>
                <w:sz w:val="20"/>
              </w:rPr>
              <w:t>4.</w:t>
            </w:r>
            <w:r>
              <w:rPr>
                <w:spacing w:val="-1"/>
                <w:position w:val="1"/>
                <w:sz w:val="20"/>
              </w:rPr>
              <w:t>强夯处理；</w:t>
            </w:r>
          </w:p>
          <w:p>
            <w:pPr>
              <w:spacing w:line="271" w:lineRule="exact"/>
              <w:ind w:left="281"/>
            </w:pPr>
            <w:r>
              <w:rPr>
                <w:rFonts w:ascii="Times New Roman" w:hAnsi="Times New Roman" w:cs="Times New Roman"/>
                <w:sz w:val="20"/>
              </w:rPr>
              <w:t>5.</w:t>
            </w:r>
            <w:r>
              <w:rPr>
                <w:spacing w:val="-1"/>
                <w:position w:val="1"/>
                <w:sz w:val="20"/>
              </w:rPr>
              <w:t>路基整型；</w:t>
            </w:r>
          </w:p>
          <w:p>
            <w:pPr>
              <w:spacing w:line="274" w:lineRule="exact"/>
              <w:ind w:left="281"/>
            </w:pPr>
            <w:r>
              <w:rPr>
                <w:rFonts w:ascii="Times New Roman" w:hAnsi="Times New Roman" w:cs="Times New Roman"/>
                <w:sz w:val="20"/>
              </w:rPr>
              <w:t>6.</w:t>
            </w:r>
            <w:r>
              <w:rPr>
                <w:spacing w:val="-1"/>
                <w:position w:val="1"/>
                <w:sz w:val="20"/>
              </w:rPr>
              <w:t>压实；</w:t>
            </w:r>
          </w:p>
          <w:p>
            <w:pPr>
              <w:spacing w:line="271" w:lineRule="exact"/>
              <w:ind w:left="281"/>
            </w:pPr>
            <w:r>
              <w:rPr>
                <w:rFonts w:ascii="Times New Roman" w:hAnsi="Times New Roman" w:cs="Times New Roman"/>
                <w:sz w:val="20"/>
              </w:rPr>
              <w:t>7.</w:t>
            </w:r>
            <w:r>
              <w:rPr>
                <w:spacing w:val="-1"/>
                <w:position w:val="1"/>
                <w:sz w:val="20"/>
              </w:rPr>
              <w:t>沉降观测</w:t>
            </w:r>
          </w:p>
        </w:tc>
      </w:tr>
      <w:tr>
        <w:tblPrEx>
          <w:tblCellMar>
            <w:top w:w="0" w:type="dxa"/>
            <w:left w:w="108" w:type="dxa"/>
            <w:bottom w:w="0" w:type="dxa"/>
            <w:right w:w="108" w:type="dxa"/>
          </w:tblCellMar>
        </w:tblPrEx>
        <w:trPr>
          <w:trHeight w:val="3823"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051" w:lineRule="exact"/>
              <w:ind w:left="349"/>
            </w:pPr>
            <w:r>
              <w:rPr>
                <w:rFonts w:ascii="Times New Roman" w:hAnsi="Times New Roman" w:cs="Times New Roman"/>
                <w:spacing w:val="-1"/>
                <w:sz w:val="20"/>
              </w:rPr>
              <w:t>-f-2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013" w:lineRule="exact"/>
              <w:ind w:left="281"/>
            </w:pPr>
            <w:r>
              <w:rPr>
                <w:spacing w:val="-1"/>
                <w:sz w:val="20"/>
              </w:rPr>
              <w:t>强夯置换</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959"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2"/>
            </w:pPr>
            <w:r>
              <w:rPr>
                <w:rFonts w:ascii="Times New Roman" w:hAnsi="Times New Roman" w:cs="Times New Roman"/>
                <w:sz w:val="20"/>
              </w:rPr>
              <w:t>1.</w:t>
            </w:r>
            <w:r>
              <w:rPr>
                <w:spacing w:val="-1"/>
                <w:position w:val="1"/>
                <w:sz w:val="20"/>
              </w:rPr>
              <w:t>依据图纸所示位置，按图</w:t>
            </w:r>
          </w:p>
          <w:p>
            <w:pPr>
              <w:spacing w:line="239" w:lineRule="exact"/>
              <w:ind w:left="109"/>
            </w:pPr>
            <w:r>
              <w:rPr>
                <w:spacing w:val="-1"/>
                <w:sz w:val="20"/>
              </w:rPr>
              <w:t>示置换的体积以立方米为单</w:t>
            </w:r>
          </w:p>
          <w:p>
            <w:pPr>
              <w:spacing w:line="271" w:lineRule="exact"/>
              <w:ind w:left="109"/>
            </w:pPr>
            <w:r>
              <w:rPr>
                <w:spacing w:val="-1"/>
                <w:sz w:val="20"/>
              </w:rPr>
              <w:t>位计量</w:t>
            </w:r>
          </w:p>
          <w:p>
            <w:pPr>
              <w:spacing w:line="308" w:lineRule="exact"/>
              <w:ind w:left="282"/>
            </w:pPr>
            <w:r>
              <w:rPr>
                <w:rFonts w:ascii="Times New Roman" w:hAnsi="Times New Roman" w:cs="Times New Roman"/>
                <w:sz w:val="20"/>
              </w:rPr>
              <w:t>2.</w:t>
            </w:r>
            <w:r>
              <w:rPr>
                <w:spacing w:val="-1"/>
                <w:position w:val="1"/>
                <w:sz w:val="20"/>
              </w:rPr>
              <w:t>与强夯置换有关的试夯、</w:t>
            </w:r>
          </w:p>
          <w:p>
            <w:pPr>
              <w:spacing w:line="237" w:lineRule="exact"/>
              <w:ind w:left="109"/>
            </w:pPr>
            <w:r>
              <w:rPr>
                <w:spacing w:val="-1"/>
                <w:sz w:val="20"/>
              </w:rPr>
              <w:t>试验、观测、检测等为附属工</w:t>
            </w:r>
          </w:p>
          <w:p>
            <w:pPr>
              <w:spacing w:line="271" w:lineRule="exact"/>
              <w:ind w:left="109"/>
            </w:pPr>
            <w:r>
              <w:rPr>
                <w:spacing w:val="-1"/>
                <w:sz w:val="20"/>
              </w:rPr>
              <w:t>作，不另行计量；</w:t>
            </w:r>
          </w:p>
          <w:p>
            <w:pPr>
              <w:spacing w:line="308" w:lineRule="exact"/>
              <w:ind w:left="282"/>
            </w:pPr>
            <w:r>
              <w:rPr>
                <w:rFonts w:ascii="Times New Roman" w:hAnsi="Times New Roman" w:cs="Times New Roman"/>
                <w:sz w:val="20"/>
              </w:rPr>
              <w:t>3.</w:t>
            </w:r>
            <w:r>
              <w:rPr>
                <w:position w:val="1"/>
                <w:sz w:val="20"/>
              </w:rPr>
              <w:t>场地整平、开挖隔震沟（包</w:t>
            </w:r>
          </w:p>
          <w:p>
            <w:pPr>
              <w:spacing w:line="237" w:lineRule="exact"/>
              <w:ind w:left="109"/>
            </w:pPr>
            <w:r>
              <w:rPr>
                <w:spacing w:val="-1"/>
                <w:sz w:val="20"/>
              </w:rPr>
              <w:t>括竣工后回填）和因强夯置换</w:t>
            </w:r>
          </w:p>
          <w:p>
            <w:pPr>
              <w:spacing w:line="274" w:lineRule="exact"/>
              <w:ind w:left="109"/>
            </w:pPr>
            <w:r>
              <w:rPr>
                <w:spacing w:val="-1"/>
                <w:sz w:val="20"/>
              </w:rPr>
              <w:t>对周围构造物的影响（包括恢</w:t>
            </w:r>
          </w:p>
          <w:p>
            <w:pPr>
              <w:spacing w:line="274" w:lineRule="exact"/>
              <w:ind w:left="109"/>
            </w:pPr>
            <w:r>
              <w:rPr>
                <w:spacing w:val="-1"/>
                <w:sz w:val="20"/>
              </w:rPr>
              <w:t>复或赔付）及因强夯置换而引</w:t>
            </w:r>
          </w:p>
          <w:p>
            <w:pPr>
              <w:spacing w:line="271" w:lineRule="exact"/>
              <w:ind w:left="109"/>
            </w:pPr>
            <w:r>
              <w:rPr>
                <w:spacing w:val="-1"/>
                <w:sz w:val="20"/>
              </w:rPr>
              <w:t>起的原地表的下沉和隆起发</w:t>
            </w:r>
          </w:p>
          <w:p>
            <w:pPr>
              <w:spacing w:line="271" w:lineRule="exact"/>
              <w:ind w:left="109"/>
            </w:pPr>
            <w:r>
              <w:rPr>
                <w:spacing w:val="-1"/>
                <w:sz w:val="20"/>
              </w:rPr>
              <w:t>生的土方等所涉及费用已包</w:t>
            </w:r>
          </w:p>
          <w:p>
            <w:pPr>
              <w:spacing w:line="274" w:lineRule="exact"/>
              <w:ind w:left="109"/>
            </w:pPr>
            <w:r>
              <w:rPr>
                <w:spacing w:val="-1"/>
                <w:sz w:val="20"/>
              </w:rPr>
              <w:t>含在相关工程子目的单价中，</w:t>
            </w:r>
          </w:p>
          <w:p>
            <w:pPr>
              <w:spacing w:line="271" w:lineRule="exact"/>
              <w:ind w:left="109"/>
            </w:pPr>
            <w:r>
              <w:rPr>
                <w:spacing w:val="-1"/>
                <w:sz w:val="20"/>
              </w:rPr>
              <w:t>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1" w:lineRule="exact"/>
              <w:ind w:left="281"/>
            </w:pPr>
            <w:r>
              <w:rPr>
                <w:rFonts w:ascii="Times New Roman" w:hAnsi="Times New Roman" w:cs="Times New Roman"/>
                <w:sz w:val="20"/>
              </w:rPr>
              <w:t>1.</w:t>
            </w:r>
            <w:r>
              <w:rPr>
                <w:spacing w:val="-1"/>
                <w:position w:val="1"/>
                <w:sz w:val="20"/>
              </w:rPr>
              <w:t>场地清理；</w:t>
            </w:r>
          </w:p>
          <w:p>
            <w:pPr>
              <w:spacing w:line="271" w:lineRule="exact"/>
              <w:ind w:left="281"/>
            </w:pPr>
            <w:r>
              <w:rPr>
                <w:rFonts w:ascii="Times New Roman" w:hAnsi="Times New Roman" w:cs="Times New Roman"/>
                <w:sz w:val="20"/>
              </w:rPr>
              <w:t>2.</w:t>
            </w:r>
            <w:r>
              <w:rPr>
                <w:spacing w:val="-1"/>
                <w:position w:val="1"/>
                <w:sz w:val="20"/>
              </w:rPr>
              <w:t>拦截、排除地表水；</w:t>
            </w:r>
          </w:p>
          <w:p>
            <w:pPr>
              <w:spacing w:line="271" w:lineRule="exact"/>
              <w:ind w:left="281"/>
            </w:pPr>
            <w:r>
              <w:rPr>
                <w:rFonts w:ascii="Times New Roman" w:hAnsi="Times New Roman" w:cs="Times New Roman"/>
                <w:sz w:val="20"/>
              </w:rPr>
              <w:t>3.</w:t>
            </w:r>
            <w:r>
              <w:rPr>
                <w:spacing w:val="-1"/>
                <w:position w:val="1"/>
                <w:sz w:val="20"/>
              </w:rPr>
              <w:t>防止地表水下渗等防</w:t>
            </w:r>
          </w:p>
          <w:p>
            <w:pPr>
              <w:spacing w:line="239" w:lineRule="exact"/>
              <w:ind w:left="108"/>
            </w:pPr>
            <w:r>
              <w:rPr>
                <w:spacing w:val="-1"/>
                <w:sz w:val="20"/>
              </w:rPr>
              <w:t>渗措施；</w:t>
            </w:r>
          </w:p>
          <w:p>
            <w:pPr>
              <w:spacing w:line="306" w:lineRule="exact"/>
              <w:ind w:left="281"/>
            </w:pPr>
            <w:r>
              <w:rPr>
                <w:rFonts w:ascii="Times New Roman" w:hAnsi="Times New Roman" w:cs="Times New Roman"/>
                <w:sz w:val="20"/>
              </w:rPr>
              <w:t>4.</w:t>
            </w:r>
            <w:r>
              <w:rPr>
                <w:spacing w:val="-1"/>
                <w:position w:val="1"/>
                <w:sz w:val="20"/>
              </w:rPr>
              <w:t>挖除材料；</w:t>
            </w:r>
          </w:p>
          <w:p>
            <w:pPr>
              <w:spacing w:line="274" w:lineRule="exact"/>
              <w:ind w:left="281"/>
            </w:pPr>
            <w:r>
              <w:rPr>
                <w:rFonts w:ascii="Times New Roman" w:hAnsi="Times New Roman" w:cs="Times New Roman"/>
                <w:sz w:val="20"/>
              </w:rPr>
              <w:t>5.</w:t>
            </w:r>
            <w:r>
              <w:rPr>
                <w:spacing w:val="-1"/>
                <w:position w:val="1"/>
                <w:sz w:val="20"/>
              </w:rPr>
              <w:t>铺设置换材料；</w:t>
            </w:r>
          </w:p>
          <w:p>
            <w:pPr>
              <w:spacing w:line="271" w:lineRule="exact"/>
              <w:ind w:left="281"/>
            </w:pPr>
            <w:r>
              <w:rPr>
                <w:rFonts w:ascii="Times New Roman" w:hAnsi="Times New Roman" w:cs="Times New Roman"/>
                <w:sz w:val="20"/>
              </w:rPr>
              <w:t>6.</w:t>
            </w:r>
            <w:r>
              <w:rPr>
                <w:spacing w:val="-1"/>
                <w:position w:val="1"/>
                <w:sz w:val="20"/>
              </w:rPr>
              <w:t>强夯；</w:t>
            </w:r>
          </w:p>
          <w:p>
            <w:pPr>
              <w:spacing w:line="274" w:lineRule="exact"/>
              <w:ind w:left="281"/>
            </w:pPr>
            <w:r>
              <w:rPr>
                <w:rFonts w:ascii="Times New Roman" w:hAnsi="Times New Roman" w:cs="Times New Roman"/>
                <w:sz w:val="20"/>
              </w:rPr>
              <w:t>7.</w:t>
            </w:r>
            <w:r>
              <w:rPr>
                <w:spacing w:val="-1"/>
                <w:position w:val="1"/>
                <w:sz w:val="20"/>
              </w:rPr>
              <w:t>路基整型；</w:t>
            </w:r>
          </w:p>
          <w:p>
            <w:pPr>
              <w:spacing w:line="271" w:lineRule="exact"/>
              <w:ind w:left="281"/>
            </w:pPr>
            <w:r>
              <w:rPr>
                <w:rFonts w:ascii="Times New Roman" w:hAnsi="Times New Roman" w:cs="Times New Roman"/>
                <w:sz w:val="20"/>
              </w:rPr>
              <w:t>8.</w:t>
            </w:r>
            <w:r>
              <w:rPr>
                <w:spacing w:val="-1"/>
                <w:position w:val="1"/>
                <w:sz w:val="20"/>
              </w:rPr>
              <w:t>承载力检测</w:t>
            </w:r>
          </w:p>
        </w:tc>
      </w:tr>
      <w:tr>
        <w:tblPrEx>
          <w:tblCellMar>
            <w:top w:w="0" w:type="dxa"/>
            <w:left w:w="108" w:type="dxa"/>
            <w:bottom w:w="0" w:type="dxa"/>
            <w:right w:w="108" w:type="dxa"/>
          </w:tblCellMar>
        </w:tblPrEx>
        <w:trPr>
          <w:trHeight w:val="1178"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59" w:lineRule="exact"/>
              <w:jc w:val="center"/>
              <w:rPr>
                <w:rFonts w:ascii="Times New Roman" w:hAnsi="Times New Roman" w:cs="Times New Roman" w:eastAsiaTheme="minorEastAsia"/>
                <w:spacing w:val="-1"/>
                <w:sz w:val="20"/>
                <w:lang w:val="en-US"/>
              </w:rPr>
            </w:pPr>
            <w:r>
              <w:rPr>
                <w:rFonts w:hint="eastAsia" w:ascii="Times New Roman" w:hAnsi="Times New Roman" w:cs="Times New Roman"/>
                <w:spacing w:val="-1"/>
                <w:sz w:val="20"/>
                <w:lang w:val="en-US"/>
              </w:rPr>
              <w:t>-g</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spacing w:line="377" w:lineRule="exact"/>
              <w:ind w:left="281"/>
              <w:jc w:val="both"/>
              <w:rPr>
                <w:spacing w:val="-1"/>
                <w:sz w:val="20"/>
              </w:rPr>
            </w:pPr>
            <w:r>
              <w:rPr>
                <w:rFonts w:hint="eastAsia"/>
                <w:spacing w:val="-1"/>
                <w:sz w:val="20"/>
              </w:rPr>
              <w:t>路基平整碾压</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spacing w:line="792" w:lineRule="exact"/>
              <w:jc w:val="center"/>
              <w:rPr>
                <w:rFonts w:ascii="Times New Roman" w:hAnsi="Times New Roman" w:cs="Times New Roman" w:eastAsiaTheme="minorEastAsia"/>
                <w:position w:val="-4"/>
                <w:sz w:val="20"/>
                <w:lang w:val="en-US"/>
              </w:rPr>
            </w:pPr>
            <w:r>
              <w:rPr>
                <w:rFonts w:ascii="Times New Roman" w:hAnsi="Times New Roman" w:cs="Times New Roman"/>
                <w:position w:val="-4"/>
                <w:sz w:val="20"/>
              </w:rPr>
              <w:t>m</w:t>
            </w:r>
            <w:r>
              <w:rPr>
                <w:rFonts w:hint="eastAsia" w:ascii="Times New Roman" w:hAnsi="Times New Roman" w:cs="Times New Roman"/>
                <w:spacing w:val="-4"/>
                <w:sz w:val="13"/>
                <w:lang w:val="en-US"/>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spacing w:line="381" w:lineRule="exact"/>
              <w:jc w:val="both"/>
              <w:rPr>
                <w:rFonts w:ascii="Times New Roman" w:hAnsi="Times New Roman" w:cs="Times New Roman"/>
                <w:sz w:val="20"/>
              </w:rPr>
            </w:pPr>
            <w:r>
              <w:rPr>
                <w:spacing w:val="-1"/>
                <w:sz w:val="20"/>
              </w:rPr>
              <w:t>依据图纸所示压实厚度，按照铺筑的顶面面积以平方米为单位计量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spacing w:line="279" w:lineRule="exact"/>
              <w:jc w:val="both"/>
            </w:pPr>
            <w:r>
              <w:rPr>
                <w:rFonts w:ascii="Times New Roman" w:hAnsi="Times New Roman" w:cs="Times New Roman"/>
                <w:sz w:val="20"/>
              </w:rPr>
              <w:t>1.</w:t>
            </w:r>
            <w:r>
              <w:rPr>
                <w:spacing w:val="-1"/>
                <w:position w:val="1"/>
                <w:sz w:val="20"/>
              </w:rPr>
              <w:t>检查、清除路基上的浮土、</w:t>
            </w:r>
          </w:p>
          <w:p>
            <w:pPr>
              <w:spacing w:line="239" w:lineRule="exact"/>
              <w:ind w:left="108"/>
              <w:jc w:val="center"/>
            </w:pPr>
            <w:r>
              <w:rPr>
                <w:spacing w:val="-1"/>
                <w:sz w:val="20"/>
              </w:rPr>
              <w:t>杂物，并洒水湿润；</w:t>
            </w:r>
          </w:p>
          <w:p>
            <w:pPr>
              <w:spacing w:line="306" w:lineRule="exact"/>
              <w:jc w:val="both"/>
              <w:rPr>
                <w:rFonts w:ascii="Times New Roman" w:hAnsi="Times New Roman" w:cs="Times New Roman"/>
                <w:sz w:val="20"/>
              </w:rPr>
            </w:pPr>
            <w:r>
              <w:rPr>
                <w:rFonts w:ascii="Times New Roman" w:hAnsi="Times New Roman" w:cs="Times New Roman"/>
                <w:sz w:val="20"/>
              </w:rPr>
              <w:t>2.</w:t>
            </w:r>
            <w:r>
              <w:rPr>
                <w:rFonts w:hint="eastAsia" w:ascii="Times New Roman" w:hAnsi="Times New Roman" w:cs="Times New Roman"/>
                <w:sz w:val="20"/>
                <w:lang w:val="en-US"/>
              </w:rPr>
              <w:t>对路基进行翻松、</w:t>
            </w:r>
            <w:r>
              <w:rPr>
                <w:spacing w:val="-1"/>
                <w:position w:val="1"/>
                <w:sz w:val="20"/>
              </w:rPr>
              <w:t>整平、整型</w:t>
            </w:r>
            <w:r>
              <w:rPr>
                <w:rFonts w:hint="eastAsia"/>
                <w:spacing w:val="-1"/>
                <w:position w:val="1"/>
                <w:sz w:val="20"/>
              </w:rPr>
              <w:t>、</w:t>
            </w:r>
            <w:r>
              <w:rPr>
                <w:spacing w:val="-1"/>
                <w:position w:val="1"/>
                <w:sz w:val="20"/>
              </w:rPr>
              <w:t>洒水、碾压、整修</w:t>
            </w:r>
          </w:p>
        </w:tc>
      </w:tr>
      <w:tr>
        <w:tblPrEx>
          <w:tblCellMar>
            <w:top w:w="0" w:type="dxa"/>
            <w:left w:w="108" w:type="dxa"/>
            <w:bottom w:w="0" w:type="dxa"/>
            <w:right w:w="108" w:type="dxa"/>
          </w:tblCellMar>
        </w:tblPrEx>
        <w:trPr>
          <w:trHeight w:val="547"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2" w:lineRule="exact"/>
              <w:ind w:left="260"/>
            </w:pPr>
            <w:r>
              <w:rPr>
                <w:rFonts w:ascii="Times New Roman" w:hAnsi="Times New Roman" w:cs="Times New Roman"/>
                <w:spacing w:val="-1"/>
                <w:sz w:val="20"/>
              </w:rPr>
              <w:t>205-2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77" w:lineRule="exact"/>
              <w:ind w:left="281"/>
            </w:pPr>
            <w:r>
              <w:rPr>
                <w:spacing w:val="-1"/>
                <w:sz w:val="20"/>
              </w:rPr>
              <w:t>滑坡处理</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77" w:lineRule="exact"/>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77"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77" w:lineRule="exact"/>
            </w:pPr>
          </w:p>
        </w:tc>
      </w:tr>
      <w:tr>
        <w:tblPrEx>
          <w:tblCellMar>
            <w:top w:w="0" w:type="dxa"/>
            <w:left w:w="108" w:type="dxa"/>
            <w:bottom w:w="0" w:type="dxa"/>
            <w:right w:w="108" w:type="dxa"/>
          </w:tblCellMar>
        </w:tblPrEx>
        <w:trPr>
          <w:trHeight w:val="144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59" w:lineRule="exact"/>
              <w:ind w:left="423"/>
            </w:pPr>
            <w:r>
              <w:rPr>
                <w:rFonts w:ascii="Times New Roman" w:hAnsi="Times New Roman" w:cs="Times New Roman"/>
                <w:spacing w:val="-1"/>
                <w:sz w:val="20"/>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70" w:lineRule="exact"/>
              <w:ind w:left="281"/>
            </w:pPr>
            <w:r>
              <w:rPr>
                <w:spacing w:val="-1"/>
                <w:sz w:val="20"/>
              </w:rPr>
              <w:t>清除滑坡体</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7"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6" w:lineRule="exact"/>
              <w:ind w:left="282"/>
            </w:pPr>
            <w:r>
              <w:rPr>
                <w:spacing w:val="-1"/>
                <w:sz w:val="20"/>
              </w:rPr>
              <w:t>依据图纸所示位置，按照清</w:t>
            </w:r>
          </w:p>
          <w:p>
            <w:pPr>
              <w:spacing w:line="271" w:lineRule="exact"/>
              <w:ind w:left="109"/>
            </w:pPr>
            <w:r>
              <w:rPr>
                <w:spacing w:val="-1"/>
                <w:sz w:val="20"/>
              </w:rPr>
              <w:t>除滑坡体土方与石方的天然</w:t>
            </w:r>
          </w:p>
          <w:p>
            <w:pPr>
              <w:spacing w:line="274" w:lineRule="exact"/>
              <w:ind w:left="109"/>
            </w:pPr>
            <w:r>
              <w:rPr>
                <w:spacing w:val="-1"/>
                <w:sz w:val="20"/>
              </w:rPr>
              <w:t>体积分别以立方米为单位计</w:t>
            </w:r>
          </w:p>
          <w:p>
            <w:pPr>
              <w:spacing w:line="271" w:lineRule="exact"/>
              <w:ind w:left="109"/>
            </w:pPr>
            <w:r>
              <w:rPr>
                <w:spacing w:val="-1"/>
                <w:sz w:val="20"/>
              </w:rPr>
              <w:t>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地表水引排、防渗、</w:t>
            </w:r>
          </w:p>
          <w:p>
            <w:pPr>
              <w:spacing w:line="237" w:lineRule="exact"/>
              <w:ind w:left="108"/>
            </w:pPr>
            <w:r>
              <w:rPr>
                <w:spacing w:val="-1"/>
                <w:sz w:val="20"/>
              </w:rPr>
              <w:t>地下水疏导引离；</w:t>
            </w:r>
          </w:p>
          <w:p>
            <w:pPr>
              <w:spacing w:line="306" w:lineRule="exact"/>
              <w:ind w:left="281"/>
            </w:pPr>
            <w:r>
              <w:rPr>
                <w:rFonts w:ascii="Times New Roman" w:hAnsi="Times New Roman" w:cs="Times New Roman"/>
                <w:sz w:val="20"/>
              </w:rPr>
              <w:t>2.</w:t>
            </w:r>
            <w:r>
              <w:rPr>
                <w:spacing w:val="-1"/>
                <w:position w:val="1"/>
                <w:sz w:val="20"/>
              </w:rPr>
              <w:t>挖除、装载；</w:t>
            </w:r>
          </w:p>
          <w:p>
            <w:pPr>
              <w:spacing w:line="274" w:lineRule="exact"/>
              <w:ind w:left="281"/>
            </w:pPr>
            <w:r>
              <w:rPr>
                <w:rFonts w:ascii="Times New Roman" w:hAnsi="Times New Roman" w:cs="Times New Roman"/>
                <w:sz w:val="20"/>
              </w:rPr>
              <w:t>3.</w:t>
            </w:r>
            <w:r>
              <w:rPr>
                <w:spacing w:val="-1"/>
                <w:position w:val="1"/>
                <w:sz w:val="20"/>
              </w:rPr>
              <w:t>运输到指定地点堆</w:t>
            </w:r>
            <w:r>
              <w:rPr>
                <w:spacing w:val="-1"/>
                <w:sz w:val="20"/>
              </w:rPr>
              <w:t>放；</w:t>
            </w:r>
          </w:p>
          <w:p>
            <w:pPr>
              <w:spacing w:line="308" w:lineRule="exact"/>
              <w:ind w:left="281"/>
            </w:pPr>
            <w:r>
              <w:rPr>
                <w:rFonts w:ascii="Times New Roman" w:hAnsi="Times New Roman" w:cs="Times New Roman"/>
                <w:sz w:val="20"/>
              </w:rPr>
              <w:t>4.</w:t>
            </w:r>
            <w:r>
              <w:rPr>
                <w:spacing w:val="-1"/>
                <w:position w:val="1"/>
                <w:sz w:val="20"/>
              </w:rPr>
              <w:t>现场清理</w:t>
            </w:r>
          </w:p>
        </w:tc>
      </w:tr>
      <w:tr>
        <w:tblPrEx>
          <w:tblCellMar>
            <w:top w:w="0" w:type="dxa"/>
            <w:left w:w="108" w:type="dxa"/>
            <w:bottom w:w="0" w:type="dxa"/>
            <w:right w:w="108" w:type="dxa"/>
          </w:tblCellMar>
        </w:tblPrEx>
        <w:trPr>
          <w:trHeight w:val="488"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bottom"/>
          </w:tcPr>
          <w:p>
            <w:pPr>
              <w:spacing w:line="503" w:lineRule="exact"/>
              <w:jc w:val="center"/>
            </w:pPr>
            <w:r>
              <w:rPr>
                <w:rFonts w:ascii="Times New Roman" w:hAnsi="Times New Roman" w:cs="Times New Roman"/>
                <w:spacing w:val="-1"/>
                <w:sz w:val="20"/>
              </w:rPr>
              <w:t>205-3</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4" w:lineRule="exact"/>
            </w:pPr>
            <w:r>
              <w:rPr>
                <w:spacing w:val="-1"/>
                <w:sz w:val="20"/>
              </w:rPr>
              <w:t>盐渍土路基处理</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r>
      <w:tr>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1" w:lineRule="exact"/>
              <w:ind w:left="423"/>
            </w:pPr>
            <w:r>
              <w:rPr>
                <w:rFonts w:ascii="Times New Roman" w:hAnsi="Times New Roman" w:cs="Times New Roman"/>
                <w:spacing w:val="-1"/>
                <w:sz w:val="20"/>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6" w:lineRule="exact"/>
              <w:ind w:left="281"/>
            </w:pPr>
            <w:r>
              <w:rPr>
                <w:spacing w:val="-1"/>
                <w:sz w:val="20"/>
              </w:rPr>
              <w:t>卵砾石隔断</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69"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2"/>
            </w:pPr>
            <w:r>
              <w:rPr>
                <w:rFonts w:ascii="Times New Roman" w:hAnsi="Times New Roman" w:cs="Times New Roman"/>
                <w:sz w:val="20"/>
              </w:rPr>
              <w:t>1.</w:t>
            </w:r>
            <w:r>
              <w:rPr>
                <w:spacing w:val="-1"/>
                <w:position w:val="1"/>
                <w:sz w:val="20"/>
              </w:rPr>
              <w:t>依据图纸所示位置和断面</w:t>
            </w:r>
          </w:p>
          <w:p>
            <w:pPr>
              <w:spacing w:line="239" w:lineRule="exact"/>
              <w:ind w:left="109"/>
            </w:pPr>
            <w:r>
              <w:rPr>
                <w:spacing w:val="-1"/>
                <w:sz w:val="20"/>
              </w:rPr>
              <w:t>尺寸，按图示设置卵砾石隔</w:t>
            </w:r>
          </w:p>
          <w:p>
            <w:pPr>
              <w:spacing w:line="271" w:lineRule="exact"/>
              <w:ind w:left="109"/>
            </w:pPr>
            <w:r>
              <w:rPr>
                <w:spacing w:val="-1"/>
                <w:sz w:val="20"/>
              </w:rPr>
              <w:t>断，密实体积以立方米为单位</w:t>
            </w:r>
          </w:p>
          <w:p>
            <w:pPr>
              <w:spacing w:line="274" w:lineRule="exact"/>
              <w:ind w:left="109"/>
            </w:pPr>
            <w:r>
              <w:rPr>
                <w:spacing w:val="-1"/>
                <w:sz w:val="20"/>
              </w:rPr>
              <w:t>计量；</w:t>
            </w:r>
          </w:p>
          <w:p>
            <w:pPr>
              <w:spacing w:line="306" w:lineRule="exact"/>
              <w:ind w:left="282"/>
            </w:pPr>
            <w:r>
              <w:rPr>
                <w:rFonts w:ascii="Times New Roman" w:hAnsi="Times New Roman" w:cs="Times New Roman"/>
                <w:sz w:val="20"/>
              </w:rPr>
              <w:t>2.</w:t>
            </w:r>
            <w:r>
              <w:rPr>
                <w:spacing w:val="-1"/>
                <w:position w:val="1"/>
                <w:sz w:val="20"/>
              </w:rPr>
              <w:t>因换填而挖除的非适用材</w:t>
            </w:r>
          </w:p>
          <w:p>
            <w:pPr>
              <w:spacing w:line="271" w:lineRule="exact"/>
              <w:ind w:left="109"/>
            </w:pPr>
            <w:r>
              <w:rPr>
                <w:spacing w:val="-1"/>
                <w:position w:val="1"/>
                <w:sz w:val="20"/>
              </w:rPr>
              <w:t>料列入</w:t>
            </w:r>
            <w:r>
              <w:rPr>
                <w:rFonts w:ascii="Calibri" w:hAnsi="Calibri" w:cs="Calibri"/>
                <w:sz w:val="20"/>
              </w:rPr>
              <w:t> </w:t>
            </w:r>
            <w:r>
              <w:rPr>
                <w:rFonts w:ascii="Times New Roman" w:hAnsi="Times New Roman" w:cs="Times New Roman"/>
                <w:spacing w:val="-1"/>
                <w:sz w:val="20"/>
              </w:rPr>
              <w:t>203-1</w:t>
            </w:r>
            <w:r>
              <w:rPr>
                <w:rFonts w:ascii="Calibri" w:hAnsi="Calibri" w:cs="Calibri"/>
                <w:sz w:val="20"/>
              </w:rPr>
              <w:t> </w:t>
            </w:r>
            <w:r>
              <w:rPr>
                <w:spacing w:val="-1"/>
                <w:position w:val="1"/>
                <w:sz w:val="20"/>
              </w:rPr>
              <w:t>相关子目计量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53" w:lineRule="exact"/>
              <w:ind w:left="281"/>
            </w:pPr>
            <w:r>
              <w:rPr>
                <w:rFonts w:ascii="Times New Roman" w:hAnsi="Times New Roman" w:cs="Times New Roman"/>
                <w:sz w:val="20"/>
              </w:rPr>
              <w:t>1.</w:t>
            </w:r>
            <w:r>
              <w:rPr>
                <w:spacing w:val="-1"/>
                <w:position w:val="1"/>
                <w:sz w:val="20"/>
              </w:rPr>
              <w:t>基底清理；</w:t>
            </w:r>
          </w:p>
          <w:p>
            <w:pPr>
              <w:spacing w:line="271" w:lineRule="exact"/>
              <w:ind w:left="281"/>
            </w:pPr>
            <w:r>
              <w:rPr>
                <w:rFonts w:ascii="Times New Roman" w:hAnsi="Times New Roman" w:cs="Times New Roman"/>
                <w:sz w:val="20"/>
              </w:rPr>
              <w:t>2.</w:t>
            </w:r>
            <w:r>
              <w:rPr>
                <w:spacing w:val="-1"/>
                <w:position w:val="1"/>
                <w:sz w:val="20"/>
              </w:rPr>
              <w:t>临时排水；</w:t>
            </w:r>
          </w:p>
          <w:p>
            <w:pPr>
              <w:spacing w:line="271" w:lineRule="exact"/>
              <w:ind w:left="281"/>
            </w:pPr>
            <w:r>
              <w:rPr>
                <w:rFonts w:ascii="Times New Roman" w:hAnsi="Times New Roman" w:cs="Times New Roman"/>
                <w:sz w:val="20"/>
              </w:rPr>
              <w:t>3.</w:t>
            </w:r>
            <w:r>
              <w:rPr>
                <w:spacing w:val="-1"/>
                <w:position w:val="1"/>
                <w:sz w:val="20"/>
              </w:rPr>
              <w:t>分层铺筑；</w:t>
            </w:r>
          </w:p>
          <w:p>
            <w:pPr>
              <w:spacing w:line="274" w:lineRule="exact"/>
              <w:ind w:left="281"/>
            </w:pPr>
            <w:r>
              <w:rPr>
                <w:rFonts w:ascii="Times New Roman" w:hAnsi="Times New Roman" w:cs="Times New Roman"/>
                <w:sz w:val="20"/>
              </w:rPr>
              <w:t>4.</w:t>
            </w:r>
            <w:r>
              <w:rPr>
                <w:spacing w:val="-1"/>
                <w:position w:val="1"/>
                <w:sz w:val="20"/>
              </w:rPr>
              <w:t>分层碾压</w:t>
            </w:r>
          </w:p>
        </w:tc>
      </w:tr>
      <w:tr>
        <w:tblPrEx>
          <w:tblCellMar>
            <w:top w:w="0" w:type="dxa"/>
            <w:left w:w="108" w:type="dxa"/>
            <w:bottom w:w="0" w:type="dxa"/>
            <w:right w:w="108" w:type="dxa"/>
          </w:tblCellMar>
        </w:tblPrEx>
        <w:trPr>
          <w:trHeight w:val="41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31" w:lineRule="exact"/>
              <w:ind w:left="416"/>
            </w:pPr>
            <w:r>
              <w:rPr>
                <w:rFonts w:ascii="Times New Roman" w:hAnsi="Times New Roman" w:cs="Times New Roman"/>
                <w:spacing w:val="-1"/>
                <w:sz w:val="20"/>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6" w:lineRule="exact"/>
              <w:ind w:left="281"/>
            </w:pPr>
            <w:r>
              <w:rPr>
                <w:spacing w:val="-1"/>
                <w:sz w:val="20"/>
              </w:rPr>
              <w:t>土工织物隔断</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6" w:lineRule="exact"/>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6"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6" w:lineRule="exact"/>
            </w:pPr>
          </w:p>
        </w:tc>
      </w:tr>
      <w:tr>
        <w:tblPrEx>
          <w:tblCellMar>
            <w:top w:w="0" w:type="dxa"/>
            <w:left w:w="108" w:type="dxa"/>
            <w:bottom w:w="0" w:type="dxa"/>
            <w:right w:w="108" w:type="dxa"/>
          </w:tblCellMar>
        </w:tblPrEx>
        <w:trPr>
          <w:trHeight w:val="137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25" w:lineRule="exact"/>
              <w:ind w:left="329"/>
            </w:pPr>
            <w:r>
              <w:rPr>
                <w:rFonts w:ascii="Times New Roman" w:hAnsi="Times New Roman" w:cs="Times New Roman"/>
                <w:spacing w:val="-1"/>
                <w:sz w:val="20"/>
              </w:rPr>
              <w:t>-b-1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90" w:lineRule="exact"/>
              <w:ind w:left="281"/>
            </w:pPr>
            <w:r>
              <w:rPr>
                <w:spacing w:val="-1"/>
                <w:sz w:val="20"/>
              </w:rPr>
              <w:t>防渗土工膜</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33" w:lineRule="exact"/>
              <w:ind w:left="308"/>
            </w:pPr>
            <w:r>
              <w:rPr>
                <w:rFonts w:ascii="Times New Roman" w:hAnsi="Times New Roman" w:cs="Times New Roman"/>
                <w:position w:val="-4"/>
                <w:sz w:val="20"/>
              </w:rPr>
              <w:t>m</w:t>
            </w:r>
            <w:r>
              <w:rPr>
                <w:rFonts w:ascii="Times New Roman" w:hAnsi="Times New Roman" w:cs="Times New Roman"/>
                <w:spacing w:val="-4"/>
                <w:sz w:val="13"/>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2"/>
            </w:pPr>
            <w:r>
              <w:rPr>
                <w:rFonts w:ascii="Times New Roman" w:hAnsi="Times New Roman" w:cs="Times New Roman"/>
                <w:sz w:val="20"/>
              </w:rPr>
              <w:t>1.</w:t>
            </w:r>
            <w:r>
              <w:rPr>
                <w:spacing w:val="-1"/>
                <w:position w:val="1"/>
                <w:sz w:val="20"/>
              </w:rPr>
              <w:t>依据图纸所示位置和规</w:t>
            </w:r>
          </w:p>
          <w:p>
            <w:pPr>
              <w:spacing w:line="237" w:lineRule="exact"/>
              <w:ind w:left="109"/>
            </w:pPr>
            <w:r>
              <w:rPr>
                <w:spacing w:val="-1"/>
                <w:sz w:val="20"/>
              </w:rPr>
              <w:t>格，按土层中分层铺设防渗土</w:t>
            </w:r>
          </w:p>
          <w:p>
            <w:pPr>
              <w:spacing w:line="274" w:lineRule="exact"/>
              <w:ind w:left="109"/>
            </w:pPr>
            <w:r>
              <w:rPr>
                <w:spacing w:val="-1"/>
                <w:sz w:val="20"/>
              </w:rPr>
              <w:t>工膜的累计净面积以平方米</w:t>
            </w:r>
          </w:p>
          <w:p>
            <w:pPr>
              <w:spacing w:line="271" w:lineRule="exact"/>
              <w:ind w:left="109"/>
            </w:pPr>
            <w:r>
              <w:rPr>
                <w:spacing w:val="-1"/>
                <w:sz w:val="20"/>
              </w:rPr>
              <w:t>为单位计量；</w:t>
            </w:r>
          </w:p>
          <w:p>
            <w:pPr>
              <w:spacing w:line="308" w:lineRule="exact"/>
              <w:ind w:left="282"/>
            </w:pPr>
            <w:r>
              <w:rPr>
                <w:rFonts w:ascii="Times New Roman" w:hAnsi="Times New Roman" w:cs="Times New Roman"/>
                <w:sz w:val="20"/>
              </w:rPr>
              <w:t>2.</w:t>
            </w:r>
            <w:r>
              <w:rPr>
                <w:spacing w:val="-1"/>
                <w:position w:val="1"/>
                <w:sz w:val="20"/>
              </w:rPr>
              <w:t>接缝的重叠面积和边缘的</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清理下承层；</w:t>
            </w:r>
          </w:p>
          <w:p>
            <w:pPr>
              <w:spacing w:line="271" w:lineRule="exact"/>
              <w:ind w:left="281"/>
            </w:pPr>
            <w:r>
              <w:rPr>
                <w:rFonts w:ascii="Times New Roman" w:hAnsi="Times New Roman" w:cs="Times New Roman"/>
                <w:sz w:val="20"/>
              </w:rPr>
              <w:t>2.</w:t>
            </w:r>
            <w:r>
              <w:rPr>
                <w:spacing w:val="-1"/>
                <w:position w:val="1"/>
                <w:sz w:val="20"/>
              </w:rPr>
              <w:t>铺设及固定；</w:t>
            </w:r>
          </w:p>
          <w:p>
            <w:pPr>
              <w:spacing w:line="274" w:lineRule="exact"/>
              <w:ind w:left="281"/>
            </w:pPr>
            <w:r>
              <w:rPr>
                <w:rFonts w:ascii="Times New Roman" w:hAnsi="Times New Roman" w:cs="Times New Roman"/>
                <w:sz w:val="20"/>
              </w:rPr>
              <w:t>3.</w:t>
            </w:r>
            <w:r>
              <w:rPr>
                <w:spacing w:val="-1"/>
                <w:position w:val="1"/>
                <w:sz w:val="20"/>
              </w:rPr>
              <w:t>接缝处理（搭接、缝</w:t>
            </w:r>
          </w:p>
          <w:p>
            <w:pPr>
              <w:spacing w:line="237" w:lineRule="exact"/>
              <w:ind w:left="108"/>
            </w:pPr>
            <w:r>
              <w:rPr>
                <w:spacing w:val="-1"/>
                <w:sz w:val="20"/>
              </w:rPr>
              <w:t>接、粘接）；</w:t>
            </w:r>
          </w:p>
          <w:p>
            <w:pPr>
              <w:spacing w:line="308" w:lineRule="exact"/>
              <w:ind w:left="281"/>
            </w:pPr>
            <w:r>
              <w:rPr>
                <w:rFonts w:ascii="Times New Roman" w:hAnsi="Times New Roman" w:cs="Times New Roman"/>
                <w:sz w:val="20"/>
              </w:rPr>
              <w:t>4.</w:t>
            </w:r>
            <w:r>
              <w:rPr>
                <w:spacing w:val="-1"/>
                <w:position w:val="1"/>
                <w:sz w:val="20"/>
              </w:rPr>
              <w:t>边缘处理</w:t>
            </w:r>
          </w:p>
        </w:tc>
      </w:tr>
    </w:tbl>
    <w:p>
      <w:pPr>
        <w:spacing w:line="250" w:lineRule="exact"/>
        <w:rPr>
          <w:sz w:val="21"/>
        </w:rPr>
        <w:sectPr>
          <w:pgSz w:w="11910" w:h="16840"/>
          <w:pgMar w:top="1440" w:right="1080" w:bottom="1040" w:left="1420" w:header="882" w:footer="847" w:gutter="0"/>
          <w:cols w:space="720" w:num="1"/>
        </w:sectPr>
      </w:pPr>
    </w:p>
    <w:tbl>
      <w:tblPr>
        <w:tblStyle w:val="18"/>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blPrEx>
          <w:tblCellMar>
            <w:top w:w="0" w:type="dxa"/>
            <w:left w:w="108" w:type="dxa"/>
            <w:bottom w:w="0" w:type="dxa"/>
            <w:right w:w="108" w:type="dxa"/>
          </w:tblCellMar>
        </w:tblPrEx>
        <w:trPr>
          <w:trHeight w:val="28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08" w:lineRule="exact"/>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08" w:lineRule="exact"/>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08" w:lineRule="exact"/>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109"/>
            </w:pPr>
            <w:r>
              <w:rPr>
                <w:spacing w:val="-1"/>
                <w:sz w:val="20"/>
              </w:rPr>
              <w:t>包裹面积不予计量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pPr>
          </w:p>
        </w:tc>
      </w:tr>
      <w:tr>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2" w:lineRule="exact"/>
              <w:ind w:left="329"/>
            </w:pPr>
            <w:r>
              <w:rPr>
                <w:rFonts w:ascii="Times New Roman" w:hAnsi="Times New Roman" w:cs="Times New Roman"/>
                <w:spacing w:val="-1"/>
                <w:sz w:val="20"/>
              </w:rPr>
              <w:t>-b-2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5" w:lineRule="exact"/>
              <w:ind w:left="281"/>
            </w:pPr>
            <w:r>
              <w:rPr>
                <w:spacing w:val="-1"/>
                <w:sz w:val="20"/>
              </w:rPr>
              <w:t>土工格栅</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71" w:lineRule="exact"/>
              <w:ind w:left="308"/>
            </w:pPr>
            <w:r>
              <w:rPr>
                <w:rFonts w:ascii="Times New Roman" w:hAnsi="Times New Roman" w:cs="Times New Roman"/>
                <w:position w:val="-4"/>
                <w:sz w:val="20"/>
              </w:rPr>
              <w:t>m</w:t>
            </w:r>
            <w:r>
              <w:rPr>
                <w:rFonts w:ascii="Times New Roman" w:hAnsi="Times New Roman" w:cs="Times New Roman"/>
                <w:spacing w:val="-4"/>
                <w:sz w:val="13"/>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2"/>
            </w:pPr>
            <w:r>
              <w:rPr>
                <w:rFonts w:ascii="Times New Roman" w:hAnsi="Times New Roman" w:cs="Times New Roman"/>
                <w:sz w:val="20"/>
              </w:rPr>
              <w:t>1.</w:t>
            </w:r>
            <w:r>
              <w:rPr>
                <w:spacing w:val="-1"/>
                <w:position w:val="1"/>
                <w:sz w:val="20"/>
              </w:rPr>
              <w:t>依据图纸所示位置和规</w:t>
            </w:r>
          </w:p>
          <w:p>
            <w:pPr>
              <w:spacing w:line="237" w:lineRule="exact"/>
              <w:ind w:left="109"/>
            </w:pPr>
            <w:r>
              <w:rPr>
                <w:spacing w:val="-1"/>
                <w:sz w:val="20"/>
              </w:rPr>
              <w:t>格、型号，按土层中分层铺设</w:t>
            </w:r>
          </w:p>
          <w:p>
            <w:pPr>
              <w:spacing w:line="271" w:lineRule="exact"/>
              <w:ind w:left="109"/>
            </w:pPr>
            <w:r>
              <w:rPr>
                <w:spacing w:val="-1"/>
                <w:sz w:val="20"/>
              </w:rPr>
              <w:t>土工格栅的累计净面积以平</w:t>
            </w:r>
          </w:p>
          <w:p>
            <w:pPr>
              <w:spacing w:line="274" w:lineRule="exact"/>
              <w:ind w:left="109"/>
            </w:pPr>
            <w:r>
              <w:rPr>
                <w:spacing w:val="-1"/>
                <w:sz w:val="20"/>
              </w:rPr>
              <w:t>方米为单位计量；</w:t>
            </w:r>
          </w:p>
          <w:p>
            <w:pPr>
              <w:spacing w:line="308" w:lineRule="exact"/>
              <w:ind w:left="282"/>
            </w:pPr>
            <w:r>
              <w:rPr>
                <w:rFonts w:ascii="Times New Roman" w:hAnsi="Times New Roman" w:cs="Times New Roman"/>
                <w:sz w:val="20"/>
              </w:rPr>
              <w:t>2.</w:t>
            </w:r>
            <w:r>
              <w:rPr>
                <w:spacing w:val="-1"/>
                <w:position w:val="1"/>
                <w:sz w:val="20"/>
              </w:rPr>
              <w:t>接缝的重叠面积和边缘的</w:t>
            </w:r>
          </w:p>
          <w:p>
            <w:pPr>
              <w:spacing w:line="236" w:lineRule="exact"/>
              <w:ind w:left="109"/>
            </w:pPr>
            <w:r>
              <w:rPr>
                <w:spacing w:val="-1"/>
                <w:sz w:val="20"/>
              </w:rPr>
              <w:t>包裹面积不予计量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5" w:lineRule="exact"/>
              <w:ind w:left="281"/>
            </w:pPr>
            <w:r>
              <w:rPr>
                <w:rFonts w:ascii="Times New Roman" w:hAnsi="Times New Roman" w:cs="Times New Roman"/>
                <w:sz w:val="20"/>
              </w:rPr>
              <w:t>1.</w:t>
            </w:r>
            <w:r>
              <w:rPr>
                <w:spacing w:val="-1"/>
                <w:position w:val="1"/>
                <w:sz w:val="20"/>
              </w:rPr>
              <w:t>清理下承层；</w:t>
            </w:r>
          </w:p>
          <w:p>
            <w:pPr>
              <w:spacing w:line="274" w:lineRule="exact"/>
              <w:ind w:left="281"/>
            </w:pPr>
            <w:r>
              <w:rPr>
                <w:rFonts w:ascii="Times New Roman" w:hAnsi="Times New Roman" w:cs="Times New Roman"/>
                <w:sz w:val="20"/>
              </w:rPr>
              <w:t>2.</w:t>
            </w:r>
            <w:r>
              <w:rPr>
                <w:spacing w:val="-1"/>
                <w:position w:val="1"/>
                <w:sz w:val="20"/>
              </w:rPr>
              <w:t>铺设及固定；</w:t>
            </w:r>
          </w:p>
          <w:p>
            <w:pPr>
              <w:spacing w:line="271" w:lineRule="exact"/>
              <w:ind w:left="281"/>
            </w:pPr>
            <w:r>
              <w:rPr>
                <w:rFonts w:ascii="Times New Roman" w:hAnsi="Times New Roman" w:cs="Times New Roman"/>
                <w:sz w:val="20"/>
              </w:rPr>
              <w:t>3.</w:t>
            </w:r>
            <w:r>
              <w:rPr>
                <w:spacing w:val="-1"/>
                <w:position w:val="1"/>
                <w:sz w:val="20"/>
              </w:rPr>
              <w:t>接缝处理（搭接、缝</w:t>
            </w:r>
          </w:p>
          <w:p>
            <w:pPr>
              <w:spacing w:line="239" w:lineRule="exact"/>
              <w:ind w:left="108"/>
            </w:pPr>
            <w:r>
              <w:rPr>
                <w:spacing w:val="-1"/>
                <w:sz w:val="20"/>
              </w:rPr>
              <w:t>接、粘接）；</w:t>
            </w:r>
          </w:p>
          <w:p>
            <w:pPr>
              <w:spacing w:line="306" w:lineRule="exact"/>
              <w:ind w:left="281"/>
            </w:pPr>
            <w:r>
              <w:rPr>
                <w:rFonts w:ascii="Times New Roman" w:hAnsi="Times New Roman" w:cs="Times New Roman"/>
                <w:sz w:val="20"/>
              </w:rPr>
              <w:t>4.</w:t>
            </w:r>
            <w:r>
              <w:rPr>
                <w:spacing w:val="-1"/>
                <w:position w:val="1"/>
                <w:sz w:val="20"/>
              </w:rPr>
              <w:t>边缘处理</w:t>
            </w:r>
          </w:p>
        </w:tc>
      </w:tr>
      <w:tr>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2" w:lineRule="exact"/>
              <w:ind w:left="260"/>
            </w:pPr>
            <w:r>
              <w:rPr>
                <w:rFonts w:ascii="Times New Roman" w:hAnsi="Times New Roman" w:cs="Times New Roman"/>
                <w:spacing w:val="-1"/>
                <w:sz w:val="20"/>
              </w:rPr>
              <w:t>205-4</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91" w:lineRule="exact"/>
              <w:ind w:left="281"/>
            </w:pPr>
            <w:r>
              <w:rPr>
                <w:spacing w:val="-1"/>
                <w:sz w:val="20"/>
              </w:rPr>
              <w:t>风积沙填筑路</w:t>
            </w:r>
          </w:p>
          <w:p>
            <w:pPr>
              <w:spacing w:line="360" w:lineRule="exact"/>
              <w:ind w:left="109"/>
            </w:pPr>
            <w:r>
              <w:rPr>
                <w:spacing w:val="-1"/>
                <w:sz w:val="20"/>
              </w:rPr>
              <w:t>基</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8"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7" w:lineRule="exact"/>
              <w:ind w:left="282"/>
            </w:pPr>
            <w:r>
              <w:rPr>
                <w:spacing w:val="-1"/>
                <w:sz w:val="20"/>
              </w:rPr>
              <w:t>依据图纸所示地面线、路基</w:t>
            </w:r>
          </w:p>
          <w:p>
            <w:pPr>
              <w:spacing w:line="271" w:lineRule="exact"/>
              <w:ind w:left="109"/>
            </w:pPr>
            <w:r>
              <w:rPr>
                <w:spacing w:val="-1"/>
                <w:sz w:val="20"/>
              </w:rPr>
              <w:t>设计横断面图，按平均断面面</w:t>
            </w:r>
          </w:p>
          <w:p>
            <w:pPr>
              <w:spacing w:line="274" w:lineRule="exact"/>
              <w:ind w:left="109"/>
            </w:pPr>
            <w:r>
              <w:rPr>
                <w:spacing w:val="-1"/>
                <w:sz w:val="20"/>
              </w:rPr>
              <w:t>积法计算压实体积，以立方米</w:t>
            </w:r>
          </w:p>
          <w:p>
            <w:pPr>
              <w:spacing w:line="274" w:lineRule="exact"/>
              <w:ind w:left="109"/>
            </w:pPr>
            <w:r>
              <w:rPr>
                <w:spacing w:val="-1"/>
                <w:sz w:val="20"/>
              </w:rPr>
              <w:t>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1"/>
            </w:pPr>
            <w:r>
              <w:rPr>
                <w:rFonts w:ascii="Times New Roman" w:hAnsi="Times New Roman" w:cs="Times New Roman"/>
                <w:sz w:val="20"/>
              </w:rPr>
              <w:t>1.</w:t>
            </w:r>
            <w:r>
              <w:rPr>
                <w:spacing w:val="-1"/>
                <w:position w:val="1"/>
                <w:sz w:val="20"/>
              </w:rPr>
              <w:t>基底翻松、压实、挖</w:t>
            </w:r>
          </w:p>
          <w:p>
            <w:pPr>
              <w:spacing w:line="237" w:lineRule="exact"/>
              <w:ind w:left="108"/>
            </w:pPr>
            <w:r>
              <w:rPr>
                <w:spacing w:val="-1"/>
                <w:sz w:val="20"/>
              </w:rPr>
              <w:t>台阶；</w:t>
            </w:r>
          </w:p>
          <w:p>
            <w:pPr>
              <w:spacing w:line="306" w:lineRule="exact"/>
              <w:ind w:left="281"/>
            </w:pPr>
            <w:r>
              <w:rPr>
                <w:rFonts w:ascii="Times New Roman" w:hAnsi="Times New Roman" w:cs="Times New Roman"/>
                <w:sz w:val="20"/>
              </w:rPr>
              <w:t>2.</w:t>
            </w:r>
            <w:r>
              <w:rPr>
                <w:spacing w:val="-1"/>
                <w:position w:val="1"/>
                <w:sz w:val="20"/>
              </w:rPr>
              <w:t>挖、装、运输、卸车；</w:t>
            </w:r>
          </w:p>
          <w:p>
            <w:pPr>
              <w:spacing w:line="274" w:lineRule="exact"/>
              <w:ind w:left="281"/>
            </w:pPr>
            <w:r>
              <w:rPr>
                <w:rFonts w:ascii="Times New Roman" w:hAnsi="Times New Roman" w:cs="Times New Roman"/>
                <w:sz w:val="20"/>
              </w:rPr>
              <w:t>3.</w:t>
            </w:r>
            <w:r>
              <w:rPr>
                <w:spacing w:val="-1"/>
                <w:position w:val="1"/>
                <w:sz w:val="20"/>
              </w:rPr>
              <w:t>分层摊铺；</w:t>
            </w:r>
          </w:p>
          <w:p>
            <w:pPr>
              <w:spacing w:line="274" w:lineRule="exact"/>
              <w:ind w:left="281"/>
            </w:pPr>
            <w:r>
              <w:rPr>
                <w:rFonts w:ascii="Times New Roman" w:hAnsi="Times New Roman" w:cs="Times New Roman"/>
                <w:sz w:val="20"/>
              </w:rPr>
              <w:t>4.</w:t>
            </w:r>
            <w:r>
              <w:rPr>
                <w:spacing w:val="-1"/>
                <w:position w:val="1"/>
                <w:sz w:val="20"/>
              </w:rPr>
              <w:t>洒水、压实；</w:t>
            </w:r>
          </w:p>
          <w:p>
            <w:pPr>
              <w:spacing w:line="271" w:lineRule="exact"/>
              <w:ind w:left="281"/>
            </w:pPr>
            <w:r>
              <w:rPr>
                <w:rFonts w:ascii="Times New Roman" w:hAnsi="Times New Roman" w:cs="Times New Roman"/>
                <w:sz w:val="20"/>
              </w:rPr>
              <w:t>5.</w:t>
            </w:r>
            <w:r>
              <w:rPr>
                <w:spacing w:val="-1"/>
                <w:position w:val="1"/>
                <w:sz w:val="20"/>
              </w:rPr>
              <w:t>整形</w:t>
            </w:r>
          </w:p>
        </w:tc>
      </w:tr>
      <w:tr>
        <w:tblPrEx>
          <w:tblCellMar>
            <w:top w:w="0" w:type="dxa"/>
            <w:left w:w="108" w:type="dxa"/>
            <w:bottom w:w="0" w:type="dxa"/>
            <w:right w:w="108" w:type="dxa"/>
          </w:tblCellMar>
        </w:tblPrEx>
        <w:trPr>
          <w:trHeight w:val="555"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5" w:lineRule="exact"/>
              <w:ind w:left="260"/>
            </w:pPr>
            <w:r>
              <w:rPr>
                <w:rFonts w:ascii="Times New Roman" w:hAnsi="Times New Roman" w:cs="Times New Roman"/>
                <w:spacing w:val="-1"/>
                <w:sz w:val="20"/>
              </w:rPr>
              <w:t>206-1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6" w:lineRule="exact"/>
              <w:ind w:left="281"/>
            </w:pPr>
            <w:r>
              <w:rPr>
                <w:spacing w:val="-1"/>
                <w:sz w:val="20"/>
              </w:rPr>
              <w:t>涵洞上下游改</w:t>
            </w:r>
          </w:p>
          <w:p>
            <w:pPr>
              <w:spacing w:line="271" w:lineRule="exact"/>
              <w:ind w:left="109"/>
            </w:pPr>
            <w:r>
              <w:rPr>
                <w:spacing w:val="-1"/>
                <w:sz w:val="20"/>
              </w:rPr>
              <w:t>沟、改渠铺砌</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pPr>
          </w:p>
        </w:tc>
      </w:tr>
      <w:tr>
        <w:tblPrEx>
          <w:tblCellMar>
            <w:top w:w="0" w:type="dxa"/>
            <w:left w:w="108" w:type="dxa"/>
            <w:bottom w:w="0" w:type="dxa"/>
            <w:right w:w="108" w:type="dxa"/>
          </w:tblCellMar>
        </w:tblPrEx>
        <w:trPr>
          <w:trHeight w:val="2189"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33" w:lineRule="exact"/>
              <w:ind w:left="423"/>
            </w:pPr>
            <w:r>
              <w:rPr>
                <w:rFonts w:ascii="Times New Roman" w:hAnsi="Times New Roman" w:cs="Times New Roman"/>
                <w:spacing w:val="-1"/>
                <w:sz w:val="20"/>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98" w:lineRule="exact"/>
              <w:ind w:left="281"/>
            </w:pPr>
            <w:r>
              <w:rPr>
                <w:spacing w:val="-1"/>
                <w:sz w:val="20"/>
              </w:rPr>
              <w:t>浆砌片石铺砌</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41"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90" w:lineRule="exact"/>
              <w:ind w:left="282"/>
            </w:pPr>
            <w:r>
              <w:rPr>
                <w:spacing w:val="-1"/>
                <w:sz w:val="20"/>
              </w:rPr>
              <w:t>依据图纸所示位置及断面尺</w:t>
            </w:r>
          </w:p>
          <w:p>
            <w:pPr>
              <w:spacing w:line="271" w:lineRule="exact"/>
              <w:ind w:left="109"/>
            </w:pPr>
            <w:r>
              <w:rPr>
                <w:spacing w:val="-1"/>
                <w:sz w:val="20"/>
              </w:rPr>
              <w:t>寸，按照不同强度等级水泥砂</w:t>
            </w:r>
          </w:p>
          <w:p>
            <w:pPr>
              <w:spacing w:line="271" w:lineRule="exact"/>
              <w:ind w:left="109"/>
            </w:pPr>
            <w:r>
              <w:rPr>
                <w:spacing w:val="-1"/>
                <w:sz w:val="20"/>
              </w:rPr>
              <w:t>浆铺砌的片石体积，以立方米</w:t>
            </w:r>
          </w:p>
          <w:p>
            <w:pPr>
              <w:spacing w:line="274" w:lineRule="exact"/>
              <w:ind w:left="109"/>
            </w:pPr>
            <w:r>
              <w:rPr>
                <w:spacing w:val="-1"/>
                <w:sz w:val="20"/>
              </w:rPr>
              <w:t>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场地清理；</w:t>
            </w:r>
          </w:p>
          <w:p>
            <w:pPr>
              <w:spacing w:line="271" w:lineRule="exact"/>
              <w:ind w:left="281"/>
            </w:pPr>
            <w:r>
              <w:rPr>
                <w:rFonts w:ascii="Times New Roman" w:hAnsi="Times New Roman" w:cs="Times New Roman"/>
                <w:sz w:val="20"/>
              </w:rPr>
              <w:t>2.</w:t>
            </w:r>
            <w:r>
              <w:rPr>
                <w:spacing w:val="-1"/>
                <w:position w:val="1"/>
                <w:sz w:val="20"/>
              </w:rPr>
              <w:t>地基平整夯实，沟、</w:t>
            </w:r>
          </w:p>
          <w:p>
            <w:pPr>
              <w:spacing w:line="239" w:lineRule="exact"/>
              <w:ind w:left="108"/>
            </w:pPr>
            <w:r>
              <w:rPr>
                <w:spacing w:val="-1"/>
                <w:sz w:val="20"/>
              </w:rPr>
              <w:t>渠断面补挖；</w:t>
            </w:r>
          </w:p>
          <w:p>
            <w:pPr>
              <w:spacing w:line="306" w:lineRule="exact"/>
              <w:ind w:left="281"/>
            </w:pPr>
            <w:r>
              <w:rPr>
                <w:rFonts w:ascii="Times New Roman" w:hAnsi="Times New Roman" w:cs="Times New Roman"/>
                <w:sz w:val="20"/>
              </w:rPr>
              <w:t>3.</w:t>
            </w:r>
            <w:r>
              <w:rPr>
                <w:spacing w:val="-1"/>
                <w:position w:val="1"/>
                <w:sz w:val="20"/>
              </w:rPr>
              <w:t>铺设垫层；</w:t>
            </w:r>
          </w:p>
          <w:p>
            <w:pPr>
              <w:spacing w:line="274" w:lineRule="exact"/>
              <w:ind w:left="281"/>
            </w:pPr>
            <w:r>
              <w:rPr>
                <w:rFonts w:ascii="Times New Roman" w:hAnsi="Times New Roman" w:cs="Times New Roman"/>
                <w:sz w:val="20"/>
              </w:rPr>
              <w:t>4.</w:t>
            </w:r>
            <w:r>
              <w:rPr>
                <w:spacing w:val="-1"/>
                <w:position w:val="1"/>
                <w:sz w:val="20"/>
              </w:rPr>
              <w:t>砂浆拌制；</w:t>
            </w:r>
          </w:p>
          <w:p>
            <w:pPr>
              <w:spacing w:line="271" w:lineRule="exact"/>
              <w:ind w:left="281"/>
            </w:pPr>
            <w:r>
              <w:rPr>
                <w:rFonts w:ascii="Times New Roman" w:hAnsi="Times New Roman" w:cs="Times New Roman"/>
                <w:sz w:val="20"/>
              </w:rPr>
              <w:t>5.</w:t>
            </w:r>
            <w:r>
              <w:rPr>
                <w:spacing w:val="-1"/>
                <w:position w:val="1"/>
                <w:sz w:val="20"/>
              </w:rPr>
              <w:t>浆砌片石、勾缝、抹</w:t>
            </w:r>
          </w:p>
          <w:p>
            <w:pPr>
              <w:spacing w:line="239" w:lineRule="exact"/>
              <w:ind w:left="108"/>
            </w:pPr>
            <w:r>
              <w:rPr>
                <w:spacing w:val="-1"/>
                <w:sz w:val="20"/>
              </w:rPr>
              <w:t>面、养护；</w:t>
            </w:r>
          </w:p>
          <w:p>
            <w:pPr>
              <w:spacing w:line="306" w:lineRule="exact"/>
              <w:ind w:left="281"/>
            </w:pPr>
            <w:r>
              <w:rPr>
                <w:rFonts w:ascii="Times New Roman" w:hAnsi="Times New Roman" w:cs="Times New Roman"/>
                <w:sz w:val="20"/>
              </w:rPr>
              <w:t>6.</w:t>
            </w:r>
            <w:r>
              <w:rPr>
                <w:spacing w:val="-1"/>
                <w:position w:val="1"/>
                <w:sz w:val="20"/>
              </w:rPr>
              <w:t>回填、压实</w:t>
            </w:r>
          </w:p>
        </w:tc>
      </w:tr>
      <w:tr>
        <w:tblPrEx>
          <w:tblCellMar>
            <w:top w:w="0" w:type="dxa"/>
            <w:left w:w="108" w:type="dxa"/>
            <w:bottom w:w="0" w:type="dxa"/>
            <w:right w:w="108" w:type="dxa"/>
          </w:tblCellMar>
        </w:tblPrEx>
        <w:trPr>
          <w:trHeight w:val="246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67" w:lineRule="exact"/>
              <w:ind w:left="416"/>
            </w:pPr>
            <w:r>
              <w:rPr>
                <w:rFonts w:ascii="Times New Roman" w:hAnsi="Times New Roman" w:cs="Times New Roman"/>
                <w:spacing w:val="-1"/>
                <w:sz w:val="20"/>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98" w:lineRule="exact"/>
              <w:ind w:left="281"/>
            </w:pPr>
            <w:r>
              <w:rPr>
                <w:spacing w:val="-1"/>
                <w:sz w:val="20"/>
              </w:rPr>
              <w:t>现浇混凝土铺</w:t>
            </w:r>
          </w:p>
          <w:p>
            <w:pPr>
              <w:spacing w:line="271" w:lineRule="exact"/>
              <w:ind w:left="109"/>
            </w:pPr>
            <w:r>
              <w:rPr>
                <w:spacing w:val="-1"/>
                <w:sz w:val="20"/>
              </w:rPr>
              <w:t>砌</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78"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4" w:lineRule="exact"/>
              <w:ind w:left="282"/>
            </w:pPr>
            <w:r>
              <w:rPr>
                <w:spacing w:val="-1"/>
                <w:sz w:val="20"/>
              </w:rPr>
              <w:t>依据图纸所示位置及断面尺</w:t>
            </w:r>
          </w:p>
          <w:p>
            <w:pPr>
              <w:spacing w:line="271" w:lineRule="exact"/>
              <w:ind w:left="109"/>
            </w:pPr>
            <w:r>
              <w:rPr>
                <w:spacing w:val="-1"/>
                <w:sz w:val="20"/>
              </w:rPr>
              <w:t>寸，按照不同强度等级混凝土</w:t>
            </w:r>
          </w:p>
          <w:p>
            <w:pPr>
              <w:spacing w:line="274" w:lineRule="exact"/>
              <w:ind w:left="109"/>
            </w:pPr>
            <w:r>
              <w:rPr>
                <w:spacing w:val="-1"/>
                <w:sz w:val="20"/>
              </w:rPr>
              <w:t>浇筑的沟、渠铺砌体积，以立</w:t>
            </w:r>
          </w:p>
          <w:p>
            <w:pPr>
              <w:spacing w:line="271" w:lineRule="exact"/>
              <w:ind w:left="109"/>
            </w:pPr>
            <w:r>
              <w:rPr>
                <w:spacing w:val="-1"/>
                <w:sz w:val="20"/>
              </w:rPr>
              <w:t>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场地清理；</w:t>
            </w:r>
          </w:p>
          <w:p>
            <w:pPr>
              <w:spacing w:line="271" w:lineRule="exact"/>
              <w:ind w:left="281"/>
            </w:pPr>
            <w:r>
              <w:rPr>
                <w:rFonts w:ascii="Times New Roman" w:hAnsi="Times New Roman" w:cs="Times New Roman"/>
                <w:sz w:val="20"/>
              </w:rPr>
              <w:t>2.</w:t>
            </w:r>
            <w:r>
              <w:rPr>
                <w:spacing w:val="-1"/>
                <w:position w:val="1"/>
                <w:sz w:val="20"/>
              </w:rPr>
              <w:t>地基平整夯实，沟、</w:t>
            </w:r>
          </w:p>
          <w:p>
            <w:pPr>
              <w:spacing w:line="237" w:lineRule="exact"/>
              <w:ind w:left="108"/>
            </w:pPr>
            <w:r>
              <w:rPr>
                <w:spacing w:val="-1"/>
                <w:sz w:val="20"/>
              </w:rPr>
              <w:t>渠断面补挖；</w:t>
            </w:r>
          </w:p>
          <w:p>
            <w:pPr>
              <w:spacing w:line="308" w:lineRule="exact"/>
              <w:ind w:left="281"/>
            </w:pPr>
            <w:r>
              <w:rPr>
                <w:rFonts w:ascii="Times New Roman" w:hAnsi="Times New Roman" w:cs="Times New Roman"/>
                <w:sz w:val="20"/>
              </w:rPr>
              <w:t>3.</w:t>
            </w:r>
            <w:r>
              <w:rPr>
                <w:spacing w:val="-1"/>
                <w:position w:val="1"/>
                <w:sz w:val="20"/>
              </w:rPr>
              <w:t>铺设垫层；</w:t>
            </w:r>
          </w:p>
          <w:p>
            <w:pPr>
              <w:spacing w:line="271" w:lineRule="exact"/>
              <w:ind w:left="281"/>
            </w:pPr>
            <w:r>
              <w:rPr>
                <w:rFonts w:ascii="Times New Roman" w:hAnsi="Times New Roman" w:cs="Times New Roman"/>
                <w:sz w:val="20"/>
              </w:rPr>
              <w:t>4.</w:t>
            </w:r>
            <w:r>
              <w:rPr>
                <w:spacing w:val="-1"/>
                <w:position w:val="1"/>
                <w:sz w:val="20"/>
              </w:rPr>
              <w:t>模板制作、安装、拆</w:t>
            </w:r>
          </w:p>
          <w:p>
            <w:pPr>
              <w:spacing w:line="239" w:lineRule="exact"/>
              <w:ind w:left="108"/>
            </w:pPr>
            <w:r>
              <w:rPr>
                <w:spacing w:val="-1"/>
                <w:sz w:val="20"/>
              </w:rPr>
              <w:t>除；</w:t>
            </w:r>
          </w:p>
          <w:p>
            <w:pPr>
              <w:spacing w:line="308" w:lineRule="exact"/>
              <w:ind w:left="281"/>
            </w:pPr>
            <w:r>
              <w:rPr>
                <w:rFonts w:ascii="Times New Roman" w:hAnsi="Times New Roman" w:cs="Times New Roman"/>
                <w:sz w:val="20"/>
              </w:rPr>
              <w:t>5.</w:t>
            </w:r>
            <w:r>
              <w:rPr>
                <w:spacing w:val="-1"/>
                <w:position w:val="1"/>
                <w:sz w:val="20"/>
              </w:rPr>
              <w:t>混凝土拌合、运输、</w:t>
            </w:r>
          </w:p>
          <w:p>
            <w:pPr>
              <w:spacing w:line="236" w:lineRule="exact"/>
              <w:ind w:left="108"/>
            </w:pPr>
            <w:r>
              <w:rPr>
                <w:spacing w:val="-1"/>
                <w:sz w:val="20"/>
              </w:rPr>
              <w:t>浇筑、养护；</w:t>
            </w:r>
          </w:p>
          <w:p>
            <w:pPr>
              <w:spacing w:line="306" w:lineRule="exact"/>
              <w:ind w:left="281"/>
            </w:pPr>
            <w:r>
              <w:rPr>
                <w:rFonts w:ascii="Times New Roman" w:hAnsi="Times New Roman" w:cs="Times New Roman"/>
                <w:sz w:val="20"/>
              </w:rPr>
              <w:t>6.</w:t>
            </w:r>
            <w:r>
              <w:rPr>
                <w:spacing w:val="-1"/>
                <w:position w:val="1"/>
                <w:sz w:val="20"/>
              </w:rPr>
              <w:t>回填、压实</w:t>
            </w:r>
          </w:p>
        </w:tc>
      </w:tr>
      <w:tr>
        <w:tblPrEx>
          <w:tblCellMar>
            <w:top w:w="0" w:type="dxa"/>
            <w:left w:w="108" w:type="dxa"/>
            <w:bottom w:w="0" w:type="dxa"/>
            <w:right w:w="108" w:type="dxa"/>
          </w:tblCellMar>
        </w:tblPrEx>
        <w:trPr>
          <w:trHeight w:val="2733"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505" w:lineRule="exact"/>
              <w:ind w:left="423"/>
            </w:pPr>
            <w:r>
              <w:rPr>
                <w:rFonts w:ascii="Times New Roman" w:hAnsi="Times New Roman" w:cs="Times New Roman"/>
                <w:spacing w:val="-1"/>
                <w:sz w:val="20"/>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34" w:lineRule="exact"/>
              <w:ind w:left="281"/>
            </w:pPr>
            <w:r>
              <w:rPr>
                <w:spacing w:val="-1"/>
                <w:sz w:val="20"/>
              </w:rPr>
              <w:t>预制混凝土铺</w:t>
            </w:r>
          </w:p>
          <w:p>
            <w:pPr>
              <w:spacing w:line="274" w:lineRule="exact"/>
              <w:ind w:left="109"/>
            </w:pPr>
            <w:r>
              <w:rPr>
                <w:spacing w:val="-1"/>
                <w:sz w:val="20"/>
              </w:rPr>
              <w:t>砌</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14" w:lineRule="exact"/>
              <w:ind w:left="308"/>
            </w:pPr>
            <w:r>
              <w:rPr>
                <w:rFonts w:ascii="Times New Roman" w:hAnsi="Times New Roman" w:cs="Times New Roman"/>
                <w:position w:val="-4"/>
                <w:sz w:val="20"/>
              </w:rPr>
              <w:t>m</w:t>
            </w:r>
            <w:r>
              <w:rPr>
                <w:rFonts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62" w:lineRule="exact"/>
              <w:ind w:left="282"/>
            </w:pPr>
            <w:r>
              <w:rPr>
                <w:spacing w:val="-1"/>
                <w:sz w:val="20"/>
              </w:rPr>
              <w:t>依据图纸所示位置及断面尺</w:t>
            </w:r>
          </w:p>
          <w:p>
            <w:pPr>
              <w:spacing w:line="271" w:lineRule="exact"/>
              <w:ind w:left="109"/>
            </w:pPr>
            <w:r>
              <w:rPr>
                <w:spacing w:val="-1"/>
                <w:sz w:val="20"/>
              </w:rPr>
              <w:t>寸，按照不同强度等级混凝土</w:t>
            </w:r>
          </w:p>
          <w:p>
            <w:pPr>
              <w:spacing w:line="271" w:lineRule="exact"/>
              <w:ind w:left="109"/>
            </w:pPr>
            <w:r>
              <w:rPr>
                <w:spacing w:val="-1"/>
                <w:sz w:val="20"/>
              </w:rPr>
              <w:t>预制的沟、渠铺砌体积，以立</w:t>
            </w:r>
          </w:p>
          <w:p>
            <w:pPr>
              <w:spacing w:line="274" w:lineRule="exact"/>
              <w:ind w:left="109"/>
            </w:pPr>
            <w:r>
              <w:rPr>
                <w:spacing w:val="-1"/>
                <w:sz w:val="20"/>
              </w:rPr>
              <w:t>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1"/>
            </w:pPr>
            <w:r>
              <w:rPr>
                <w:rFonts w:ascii="Times New Roman" w:hAnsi="Times New Roman" w:cs="Times New Roman"/>
                <w:sz w:val="20"/>
              </w:rPr>
              <w:t>1.</w:t>
            </w:r>
            <w:r>
              <w:rPr>
                <w:spacing w:val="-1"/>
                <w:position w:val="1"/>
                <w:sz w:val="20"/>
              </w:rPr>
              <w:t>场地清理；</w:t>
            </w:r>
          </w:p>
          <w:p>
            <w:pPr>
              <w:spacing w:line="271" w:lineRule="exact"/>
              <w:ind w:left="281"/>
            </w:pPr>
            <w:r>
              <w:rPr>
                <w:rFonts w:ascii="Times New Roman" w:hAnsi="Times New Roman" w:cs="Times New Roman"/>
                <w:sz w:val="20"/>
              </w:rPr>
              <w:t>2.</w:t>
            </w:r>
            <w:r>
              <w:rPr>
                <w:spacing w:val="-1"/>
                <w:position w:val="1"/>
                <w:sz w:val="20"/>
              </w:rPr>
              <w:t>地基平整夯实，沟、</w:t>
            </w:r>
          </w:p>
          <w:p>
            <w:pPr>
              <w:spacing w:line="237" w:lineRule="exact"/>
              <w:ind w:left="108"/>
            </w:pPr>
            <w:r>
              <w:rPr>
                <w:spacing w:val="-1"/>
                <w:sz w:val="20"/>
              </w:rPr>
              <w:t>渠断面补挖；</w:t>
            </w:r>
          </w:p>
          <w:p>
            <w:pPr>
              <w:spacing w:line="308" w:lineRule="exact"/>
              <w:ind w:left="281"/>
            </w:pPr>
            <w:r>
              <w:rPr>
                <w:rFonts w:ascii="Times New Roman" w:hAnsi="Times New Roman" w:cs="Times New Roman"/>
                <w:sz w:val="20"/>
              </w:rPr>
              <w:t>3.</w:t>
            </w:r>
            <w:r>
              <w:rPr>
                <w:spacing w:val="-1"/>
                <w:position w:val="1"/>
                <w:sz w:val="20"/>
              </w:rPr>
              <w:t>铺设垫层；</w:t>
            </w:r>
          </w:p>
          <w:p>
            <w:pPr>
              <w:spacing w:line="271" w:lineRule="exact"/>
              <w:ind w:left="281"/>
            </w:pPr>
            <w:r>
              <w:rPr>
                <w:rFonts w:ascii="Times New Roman" w:hAnsi="Times New Roman" w:cs="Times New Roman"/>
                <w:sz w:val="20"/>
              </w:rPr>
              <w:t>4.</w:t>
            </w:r>
            <w:r>
              <w:rPr>
                <w:spacing w:val="-1"/>
                <w:position w:val="1"/>
                <w:sz w:val="20"/>
              </w:rPr>
              <w:t>模板制作、安装、拆</w:t>
            </w:r>
          </w:p>
          <w:p>
            <w:pPr>
              <w:spacing w:line="239" w:lineRule="exact"/>
              <w:ind w:left="108"/>
            </w:pPr>
            <w:r>
              <w:rPr>
                <w:spacing w:val="-1"/>
                <w:sz w:val="20"/>
              </w:rPr>
              <w:t>除；</w:t>
            </w:r>
          </w:p>
          <w:p>
            <w:pPr>
              <w:spacing w:line="306" w:lineRule="exact"/>
              <w:ind w:left="281"/>
            </w:pPr>
            <w:r>
              <w:rPr>
                <w:rFonts w:ascii="Times New Roman" w:hAnsi="Times New Roman" w:cs="Times New Roman"/>
                <w:sz w:val="20"/>
              </w:rPr>
              <w:t>5.</w:t>
            </w:r>
            <w:r>
              <w:rPr>
                <w:spacing w:val="-1"/>
                <w:position w:val="1"/>
                <w:sz w:val="20"/>
              </w:rPr>
              <w:t>预制件预制、运输、</w:t>
            </w:r>
          </w:p>
          <w:p>
            <w:pPr>
              <w:spacing w:line="239" w:lineRule="exact"/>
              <w:ind w:left="108"/>
            </w:pPr>
            <w:r>
              <w:rPr>
                <w:spacing w:val="-1"/>
                <w:sz w:val="20"/>
              </w:rPr>
              <w:t>装拆；</w:t>
            </w:r>
          </w:p>
          <w:p>
            <w:pPr>
              <w:spacing w:line="306" w:lineRule="exact"/>
              <w:ind w:left="281"/>
            </w:pPr>
            <w:r>
              <w:rPr>
                <w:rFonts w:ascii="Times New Roman" w:hAnsi="Times New Roman" w:cs="Times New Roman"/>
                <w:sz w:val="20"/>
              </w:rPr>
              <w:t>6.</w:t>
            </w:r>
            <w:r>
              <w:rPr>
                <w:spacing w:val="-1"/>
                <w:position w:val="1"/>
                <w:sz w:val="20"/>
              </w:rPr>
              <w:t>预制件安装；</w:t>
            </w:r>
          </w:p>
          <w:p>
            <w:pPr>
              <w:spacing w:line="274" w:lineRule="exact"/>
              <w:ind w:left="281"/>
            </w:pPr>
            <w:r>
              <w:rPr>
                <w:rFonts w:ascii="Times New Roman" w:hAnsi="Times New Roman" w:cs="Times New Roman"/>
                <w:sz w:val="20"/>
              </w:rPr>
              <w:t>7.</w:t>
            </w:r>
            <w:r>
              <w:rPr>
                <w:spacing w:val="-1"/>
                <w:position w:val="1"/>
                <w:sz w:val="20"/>
              </w:rPr>
              <w:t>回填、压实</w:t>
            </w:r>
          </w:p>
        </w:tc>
      </w:tr>
    </w:tbl>
    <w:p>
      <w:pPr>
        <w:spacing w:before="139"/>
        <w:ind w:left="86" w:right="194"/>
        <w:jc w:val="center"/>
        <w:rPr>
          <w:sz w:val="28"/>
        </w:rPr>
      </w:pPr>
    </w:p>
    <w:p>
      <w:pPr>
        <w:spacing w:before="139"/>
        <w:ind w:left="86" w:right="194"/>
        <w:jc w:val="center"/>
        <w:rPr>
          <w:sz w:val="28"/>
        </w:rPr>
      </w:pPr>
    </w:p>
    <w:p>
      <w:pPr>
        <w:spacing w:before="139"/>
        <w:ind w:left="86" w:right="194"/>
        <w:jc w:val="center"/>
        <w:rPr>
          <w:sz w:val="28"/>
        </w:rPr>
      </w:pPr>
    </w:p>
    <w:p>
      <w:pPr>
        <w:spacing w:before="139"/>
        <w:ind w:left="86" w:right="194"/>
        <w:jc w:val="center"/>
        <w:rPr>
          <w:sz w:val="28"/>
        </w:rPr>
      </w:pPr>
    </w:p>
    <w:p>
      <w:pPr>
        <w:spacing w:before="139"/>
        <w:ind w:right="194"/>
        <w:jc w:val="both"/>
        <w:rPr>
          <w:sz w:val="28"/>
        </w:rPr>
      </w:pPr>
    </w:p>
    <w:p>
      <w:pPr>
        <w:spacing w:before="139"/>
        <w:ind w:left="86" w:right="194"/>
        <w:jc w:val="center"/>
        <w:rPr>
          <w:sz w:val="28"/>
        </w:rPr>
      </w:pPr>
      <w:r>
        <w:rPr>
          <w:rFonts w:hint="eastAsia"/>
          <w:sz w:val="28"/>
        </w:rPr>
        <w:t>第 300 章 路面</w:t>
      </w:r>
    </w:p>
    <w:p>
      <w:pPr>
        <w:pStyle w:val="10"/>
        <w:spacing w:before="1"/>
        <w:rPr>
          <w:sz w:val="18"/>
        </w:rPr>
      </w:pPr>
    </w:p>
    <w:tbl>
      <w:tblPr>
        <w:tblStyle w:val="18"/>
        <w:tblW w:w="9015" w:type="dxa"/>
        <w:tblInd w:w="0" w:type="dxa"/>
        <w:tblLayout w:type="fixed"/>
        <w:tblCellMar>
          <w:top w:w="0" w:type="dxa"/>
          <w:left w:w="108" w:type="dxa"/>
          <w:bottom w:w="0" w:type="dxa"/>
          <w:right w:w="108" w:type="dxa"/>
        </w:tblCellMar>
      </w:tblPr>
      <w:tblGrid>
        <w:gridCol w:w="1161"/>
        <w:gridCol w:w="1769"/>
        <w:gridCol w:w="1080"/>
        <w:gridCol w:w="2125"/>
        <w:gridCol w:w="2880"/>
      </w:tblGrid>
      <w:tr>
        <w:tblPrEx>
          <w:tblCellMar>
            <w:top w:w="0" w:type="dxa"/>
            <w:left w:w="108" w:type="dxa"/>
            <w:bottom w:w="0" w:type="dxa"/>
            <w:right w:w="108" w:type="dxa"/>
          </w:tblCellMar>
        </w:tblPrEx>
        <w:trPr>
          <w:trHeight w:val="62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60" w:lineRule="exact"/>
              <w:ind w:left="265"/>
            </w:pPr>
            <w:r>
              <w:rPr>
                <w:spacing w:val="-1"/>
                <w:sz w:val="20"/>
              </w:rPr>
              <w:t>子目号</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60" w:lineRule="exact"/>
              <w:ind w:left="464"/>
            </w:pPr>
            <w:r>
              <w:rPr>
                <w:spacing w:val="-1"/>
                <w:sz w:val="20"/>
              </w:rPr>
              <w:t>子目名称</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60" w:lineRule="exact"/>
              <w:ind w:left="330"/>
            </w:pPr>
            <w:r>
              <w:rPr>
                <w:spacing w:val="-1"/>
                <w:sz w:val="20"/>
              </w:rPr>
              <w:t>单位</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60" w:lineRule="exact"/>
              <w:ind w:left="536"/>
            </w:pPr>
            <w:r>
              <w:rPr>
                <w:spacing w:val="-1"/>
                <w:sz w:val="20"/>
              </w:rPr>
              <w:t>工程量计量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60" w:lineRule="exact"/>
              <w:ind w:left="1020"/>
            </w:pPr>
            <w:r>
              <w:rPr>
                <w:spacing w:val="-1"/>
                <w:sz w:val="20"/>
              </w:rPr>
              <w:t>工程内容</w:t>
            </w:r>
          </w:p>
        </w:tc>
      </w:tr>
      <w:tr>
        <w:tblPrEx>
          <w:tblCellMar>
            <w:top w:w="0" w:type="dxa"/>
            <w:left w:w="108" w:type="dxa"/>
            <w:bottom w:w="0" w:type="dxa"/>
            <w:right w:w="108" w:type="dxa"/>
          </w:tblCellMar>
        </w:tblPrEx>
        <w:trPr>
          <w:trHeight w:val="134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84" w:lineRule="exact"/>
              <w:ind w:left="337"/>
            </w:pPr>
            <w:r>
              <w:rPr>
                <w:rFonts w:ascii="Times New Roman" w:hAnsi="Times New Roman" w:cs="Times New Roman"/>
                <w:spacing w:val="-1"/>
                <w:sz w:val="20"/>
              </w:rPr>
              <w:t>302-1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52" w:lineRule="exact"/>
              <w:ind w:left="282"/>
            </w:pPr>
            <w:r>
              <w:rPr>
                <w:spacing w:val="-1"/>
                <w:sz w:val="20"/>
              </w:rPr>
              <w:t>砂砾垫层（底基</w:t>
            </w:r>
          </w:p>
          <w:p>
            <w:pPr>
              <w:spacing w:line="360" w:lineRule="exact"/>
              <w:ind w:left="107"/>
            </w:pPr>
            <w:r>
              <w:rPr>
                <w:spacing w:val="-1"/>
                <w:sz w:val="20"/>
              </w:rPr>
              <w:t>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92" w:lineRule="exact"/>
              <w:ind w:left="423"/>
            </w:pPr>
            <w:r>
              <w:rPr>
                <w:rFonts w:ascii="Times New Roman" w:hAnsi="Times New Roman" w:cs="Times New Roman"/>
                <w:position w:val="-4"/>
                <w:sz w:val="20"/>
              </w:rPr>
              <w:t>m</w:t>
            </w:r>
            <w:r>
              <w:rPr>
                <w:rFonts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1" w:lineRule="exact"/>
              <w:ind w:left="282"/>
            </w:pPr>
            <w:r>
              <w:rPr>
                <w:spacing w:val="-1"/>
                <w:sz w:val="20"/>
              </w:rPr>
              <w:t>依据图纸所示压实</w:t>
            </w:r>
          </w:p>
          <w:p>
            <w:pPr>
              <w:spacing w:line="271" w:lineRule="exact"/>
              <w:ind w:left="109"/>
            </w:pPr>
            <w:r>
              <w:rPr>
                <w:spacing w:val="-1"/>
                <w:sz w:val="20"/>
              </w:rPr>
              <w:t>厚度，按照铺筑的顶</w:t>
            </w:r>
          </w:p>
          <w:p>
            <w:pPr>
              <w:spacing w:line="271" w:lineRule="exact"/>
              <w:ind w:left="109"/>
            </w:pPr>
            <w:r>
              <w:rPr>
                <w:spacing w:val="-1"/>
                <w:sz w:val="20"/>
              </w:rPr>
              <w:t>面面积以平方米为单</w:t>
            </w:r>
          </w:p>
          <w:p>
            <w:pPr>
              <w:spacing w:line="274" w:lineRule="exact"/>
              <w:ind w:left="109"/>
            </w:pPr>
            <w:r>
              <w:rPr>
                <w:spacing w:val="-1"/>
                <w:sz w:val="20"/>
              </w:rPr>
              <w:t>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检查、清除路基上的浮土、</w:t>
            </w:r>
          </w:p>
          <w:p>
            <w:pPr>
              <w:spacing w:line="239" w:lineRule="exact"/>
              <w:ind w:left="108"/>
            </w:pPr>
            <w:r>
              <w:rPr>
                <w:spacing w:val="-1"/>
                <w:sz w:val="20"/>
              </w:rPr>
              <w:t>杂物，并洒水湿润；</w:t>
            </w:r>
          </w:p>
          <w:p>
            <w:pPr>
              <w:spacing w:line="306" w:lineRule="exact"/>
              <w:ind w:left="281"/>
            </w:pPr>
            <w:r>
              <w:rPr>
                <w:rFonts w:ascii="Times New Roman" w:hAnsi="Times New Roman" w:cs="Times New Roman"/>
                <w:sz w:val="20"/>
              </w:rPr>
              <w:t>2.</w:t>
            </w:r>
            <w:r>
              <w:rPr>
                <w:spacing w:val="-1"/>
                <w:position w:val="1"/>
                <w:sz w:val="20"/>
              </w:rPr>
              <w:t>摊铺；</w:t>
            </w:r>
          </w:p>
          <w:p>
            <w:pPr>
              <w:spacing w:line="274" w:lineRule="exact"/>
              <w:ind w:left="281"/>
            </w:pPr>
            <w:r>
              <w:rPr>
                <w:rFonts w:ascii="Times New Roman" w:hAnsi="Times New Roman" w:cs="Times New Roman"/>
                <w:sz w:val="20"/>
              </w:rPr>
              <w:t>3.</w:t>
            </w:r>
            <w:r>
              <w:rPr>
                <w:spacing w:val="-1"/>
                <w:position w:val="1"/>
                <w:sz w:val="20"/>
              </w:rPr>
              <w:t>整平、整型；</w:t>
            </w:r>
          </w:p>
          <w:p>
            <w:pPr>
              <w:spacing w:line="271" w:lineRule="exact"/>
              <w:ind w:left="281"/>
            </w:pPr>
            <w:r>
              <w:rPr>
                <w:rFonts w:ascii="Times New Roman" w:hAnsi="Times New Roman" w:cs="Times New Roman"/>
                <w:sz w:val="20"/>
              </w:rPr>
              <w:t>4.</w:t>
            </w:r>
            <w:r>
              <w:rPr>
                <w:spacing w:val="-1"/>
                <w:position w:val="1"/>
                <w:sz w:val="20"/>
              </w:rPr>
              <w:t>洒水、碾压、整修</w:t>
            </w:r>
          </w:p>
        </w:tc>
      </w:tr>
      <w:tr>
        <w:tblPrEx>
          <w:tblCellMar>
            <w:top w:w="0" w:type="dxa"/>
            <w:left w:w="108" w:type="dxa"/>
            <w:bottom w:w="0" w:type="dxa"/>
            <w:right w:w="108" w:type="dxa"/>
          </w:tblCellMar>
        </w:tblPrEx>
        <w:trPr>
          <w:trHeight w:val="13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82" w:lineRule="exact"/>
              <w:ind w:left="337"/>
            </w:pPr>
            <w:r>
              <w:rPr>
                <w:rFonts w:ascii="Times New Roman" w:hAnsi="Times New Roman" w:cs="Times New Roman"/>
                <w:spacing w:val="-1"/>
                <w:sz w:val="20"/>
              </w:rPr>
              <w:t>303-1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53" w:lineRule="exact"/>
              <w:ind w:left="282"/>
            </w:pPr>
            <w:r>
              <w:rPr>
                <w:spacing w:val="-1"/>
                <w:sz w:val="20"/>
              </w:rPr>
              <w:t>级配碎石（砂</w:t>
            </w:r>
          </w:p>
          <w:p>
            <w:pPr>
              <w:spacing w:line="360" w:lineRule="exact"/>
              <w:ind w:left="107"/>
            </w:pPr>
            <w:r>
              <w:rPr>
                <w:spacing w:val="-1"/>
                <w:sz w:val="20"/>
              </w:rPr>
              <w:t>砾）基层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91" w:lineRule="exact"/>
              <w:ind w:left="423"/>
            </w:pPr>
            <w:r>
              <w:rPr>
                <w:rFonts w:ascii="Times New Roman" w:hAnsi="Times New Roman" w:cs="Times New Roman"/>
                <w:position w:val="-4"/>
                <w:sz w:val="20"/>
              </w:rPr>
              <w:t>m</w:t>
            </w:r>
            <w:r>
              <w:rPr>
                <w:rFonts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0" w:lineRule="exact"/>
              <w:ind w:left="282"/>
            </w:pPr>
            <w:r>
              <w:rPr>
                <w:spacing w:val="-1"/>
                <w:sz w:val="20"/>
              </w:rPr>
              <w:t>依据图纸所示压实</w:t>
            </w:r>
          </w:p>
          <w:p>
            <w:pPr>
              <w:spacing w:line="271" w:lineRule="exact"/>
              <w:ind w:left="109"/>
            </w:pPr>
            <w:r>
              <w:rPr>
                <w:spacing w:val="-1"/>
                <w:sz w:val="20"/>
              </w:rPr>
              <w:t>厚度，按照铺筑的顶</w:t>
            </w:r>
          </w:p>
          <w:p>
            <w:pPr>
              <w:spacing w:line="274" w:lineRule="exact"/>
              <w:ind w:left="109"/>
            </w:pPr>
            <w:r>
              <w:rPr>
                <w:spacing w:val="-1"/>
                <w:sz w:val="20"/>
              </w:rPr>
              <w:t>面面积以平方米为单</w:t>
            </w:r>
          </w:p>
          <w:p>
            <w:pPr>
              <w:spacing w:line="271" w:lineRule="exact"/>
              <w:ind w:left="109"/>
            </w:pPr>
            <w:r>
              <w:rPr>
                <w:spacing w:val="-1"/>
                <w:sz w:val="20"/>
              </w:rPr>
              <w:t>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检查、清理下承层、洒水；</w:t>
            </w:r>
          </w:p>
          <w:p>
            <w:pPr>
              <w:spacing w:line="271" w:lineRule="exact"/>
              <w:ind w:left="281"/>
            </w:pPr>
            <w:r>
              <w:rPr>
                <w:rFonts w:ascii="Times New Roman" w:hAnsi="Times New Roman" w:cs="Times New Roman"/>
                <w:sz w:val="20"/>
              </w:rPr>
              <w:t>2.</w:t>
            </w:r>
            <w:r>
              <w:rPr>
                <w:spacing w:val="-1"/>
                <w:position w:val="1"/>
                <w:sz w:val="20"/>
              </w:rPr>
              <w:t>铺筑材料拌和、运输、摊</w:t>
            </w:r>
          </w:p>
          <w:p>
            <w:pPr>
              <w:spacing w:line="236" w:lineRule="exact"/>
              <w:ind w:left="108"/>
            </w:pPr>
            <w:r>
              <w:rPr>
                <w:spacing w:val="-1"/>
                <w:sz w:val="20"/>
              </w:rPr>
              <w:t>铺；</w:t>
            </w:r>
          </w:p>
          <w:p>
            <w:pPr>
              <w:spacing w:line="308" w:lineRule="exact"/>
              <w:ind w:left="281"/>
            </w:pPr>
            <w:r>
              <w:rPr>
                <w:rFonts w:ascii="Times New Roman" w:hAnsi="Times New Roman" w:cs="Times New Roman"/>
                <w:sz w:val="20"/>
              </w:rPr>
              <w:t>3.</w:t>
            </w:r>
            <w:r>
              <w:rPr>
                <w:spacing w:val="-1"/>
                <w:position w:val="1"/>
                <w:sz w:val="20"/>
              </w:rPr>
              <w:t>整平、整型；</w:t>
            </w:r>
          </w:p>
          <w:p>
            <w:pPr>
              <w:spacing w:line="271" w:lineRule="exact"/>
              <w:ind w:left="281"/>
            </w:pPr>
            <w:r>
              <w:rPr>
                <w:rFonts w:ascii="Times New Roman" w:hAnsi="Times New Roman" w:cs="Times New Roman"/>
                <w:sz w:val="20"/>
              </w:rPr>
              <w:t>4.</w:t>
            </w:r>
            <w:r>
              <w:rPr>
                <w:spacing w:val="-1"/>
                <w:position w:val="1"/>
                <w:sz w:val="20"/>
              </w:rPr>
              <w:t>洒水、碾压</w:t>
            </w:r>
          </w:p>
        </w:tc>
      </w:tr>
      <w:tr>
        <w:tblPrEx>
          <w:tblCellMar>
            <w:top w:w="0" w:type="dxa"/>
            <w:left w:w="108" w:type="dxa"/>
            <w:bottom w:w="0" w:type="dxa"/>
            <w:right w:w="108" w:type="dxa"/>
          </w:tblCellMar>
        </w:tblPrEx>
        <w:trPr>
          <w:trHeight w:val="105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46" w:lineRule="exact"/>
              <w:ind w:left="337"/>
            </w:pPr>
            <w:r>
              <w:rPr>
                <w:rFonts w:ascii="Times New Roman" w:hAnsi="Times New Roman" w:cs="Times New Roman"/>
                <w:spacing w:val="-1"/>
                <w:sz w:val="20"/>
              </w:rPr>
              <w:t>304-1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7" w:lineRule="exact"/>
              <w:ind w:left="282"/>
            </w:pPr>
            <w:r>
              <w:rPr>
                <w:spacing w:val="-1"/>
                <w:sz w:val="20"/>
              </w:rPr>
              <w:t>水泥稳定砂砾</w:t>
            </w:r>
          </w:p>
          <w:p>
            <w:pPr>
              <w:spacing w:line="360" w:lineRule="exact"/>
              <w:ind w:left="107"/>
            </w:pPr>
            <w:r>
              <w:rPr>
                <w:spacing w:val="-1"/>
                <w:sz w:val="20"/>
              </w:rPr>
              <w:t>基层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55" w:lineRule="exact"/>
              <w:ind w:left="423"/>
            </w:pPr>
            <w:r>
              <w:rPr>
                <w:rFonts w:ascii="Times New Roman" w:hAnsi="Times New Roman" w:cs="Times New Roman"/>
                <w:position w:val="-4"/>
                <w:sz w:val="20"/>
              </w:rPr>
              <w:t>m</w:t>
            </w:r>
            <w:r>
              <w:rPr>
                <w:rFonts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4" w:lineRule="exact"/>
              <w:ind w:left="282"/>
            </w:pPr>
            <w:r>
              <w:rPr>
                <w:spacing w:val="-1"/>
                <w:sz w:val="20"/>
              </w:rPr>
              <w:t>依据图纸所示压实</w:t>
            </w:r>
          </w:p>
          <w:p>
            <w:pPr>
              <w:spacing w:line="274" w:lineRule="exact"/>
              <w:ind w:left="109"/>
            </w:pPr>
            <w:r>
              <w:rPr>
                <w:spacing w:val="-1"/>
                <w:sz w:val="20"/>
              </w:rPr>
              <w:t>厚度，按照铺筑的顶</w:t>
            </w:r>
          </w:p>
          <w:p>
            <w:pPr>
              <w:spacing w:line="271" w:lineRule="exact"/>
              <w:ind w:left="109"/>
            </w:pPr>
            <w:r>
              <w:rPr>
                <w:spacing w:val="-1"/>
                <w:sz w:val="20"/>
              </w:rPr>
              <w:t>面面积以平方米为单</w:t>
            </w:r>
          </w:p>
          <w:p>
            <w:pPr>
              <w:spacing w:line="274" w:lineRule="exact"/>
              <w:ind w:left="109"/>
            </w:pPr>
            <w:r>
              <w:rPr>
                <w:spacing w:val="-1"/>
                <w:sz w:val="20"/>
              </w:rPr>
              <w:t>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8" w:lineRule="exact"/>
              <w:ind w:left="281"/>
            </w:pPr>
            <w:r>
              <w:rPr>
                <w:rFonts w:ascii="Times New Roman" w:hAnsi="Times New Roman" w:cs="Times New Roman"/>
                <w:sz w:val="20"/>
              </w:rPr>
              <w:t>1.</w:t>
            </w:r>
            <w:r>
              <w:rPr>
                <w:spacing w:val="-1"/>
                <w:position w:val="1"/>
                <w:sz w:val="20"/>
              </w:rPr>
              <w:t>检查、清理下承层、洒水；</w:t>
            </w:r>
          </w:p>
          <w:p>
            <w:pPr>
              <w:spacing w:line="274" w:lineRule="exact"/>
              <w:ind w:left="281"/>
            </w:pPr>
            <w:r>
              <w:rPr>
                <w:rFonts w:ascii="Times New Roman" w:hAnsi="Times New Roman" w:cs="Times New Roman"/>
                <w:sz w:val="20"/>
              </w:rPr>
              <w:t>2.</w:t>
            </w:r>
            <w:r>
              <w:rPr>
                <w:spacing w:val="-1"/>
                <w:position w:val="1"/>
                <w:sz w:val="20"/>
              </w:rPr>
              <w:t>拌和、运输、摊铺；</w:t>
            </w:r>
          </w:p>
          <w:p>
            <w:pPr>
              <w:spacing w:line="271" w:lineRule="exact"/>
              <w:ind w:left="281"/>
            </w:pPr>
            <w:r>
              <w:rPr>
                <w:rFonts w:ascii="Times New Roman" w:hAnsi="Times New Roman" w:cs="Times New Roman"/>
                <w:sz w:val="20"/>
              </w:rPr>
              <w:t>3.</w:t>
            </w:r>
            <w:r>
              <w:rPr>
                <w:spacing w:val="-1"/>
                <w:position w:val="1"/>
                <w:sz w:val="20"/>
              </w:rPr>
              <w:t>整平、整型；</w:t>
            </w:r>
          </w:p>
          <w:p>
            <w:pPr>
              <w:spacing w:line="274" w:lineRule="exact"/>
              <w:ind w:left="281"/>
            </w:pPr>
            <w:r>
              <w:rPr>
                <w:rFonts w:ascii="Times New Roman" w:hAnsi="Times New Roman" w:cs="Times New Roman"/>
                <w:sz w:val="20"/>
              </w:rPr>
              <w:t>4.</w:t>
            </w:r>
            <w:r>
              <w:rPr>
                <w:spacing w:val="-1"/>
                <w:position w:val="1"/>
                <w:sz w:val="20"/>
              </w:rPr>
              <w:t>洒水、碾压、初期养护</w:t>
            </w:r>
          </w:p>
        </w:tc>
      </w:tr>
      <w:tr>
        <w:tblPrEx>
          <w:tblCellMar>
            <w:top w:w="0" w:type="dxa"/>
            <w:left w:w="108" w:type="dxa"/>
            <w:bottom w:w="0" w:type="dxa"/>
            <w:right w:w="108" w:type="dxa"/>
          </w:tblCellMar>
        </w:tblPrEx>
        <w:trPr>
          <w:trHeight w:val="162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0" w:lineRule="exact"/>
              <w:ind w:left="337"/>
            </w:pPr>
            <w:r>
              <w:rPr>
                <w:rFonts w:ascii="Times New Roman" w:hAnsi="Times New Roman" w:cs="Times New Roman"/>
                <w:spacing w:val="-1"/>
                <w:sz w:val="20"/>
              </w:rPr>
              <w:t>305-1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5" w:lineRule="exact"/>
              <w:ind w:left="282"/>
            </w:pPr>
            <w:r>
              <w:rPr>
                <w:spacing w:val="-1"/>
                <w:sz w:val="20"/>
              </w:rPr>
              <w:t>透层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69" w:lineRule="exact"/>
              <w:ind w:left="423"/>
            </w:pPr>
            <w:r>
              <w:rPr>
                <w:rFonts w:ascii="Times New Roman" w:hAnsi="Times New Roman" w:cs="Times New Roman"/>
                <w:position w:val="-4"/>
                <w:sz w:val="20"/>
              </w:rPr>
              <w:t>m</w:t>
            </w:r>
            <w:r>
              <w:rPr>
                <w:rFonts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7" w:lineRule="exact"/>
              <w:ind w:left="282"/>
            </w:pPr>
            <w:r>
              <w:rPr>
                <w:spacing w:val="-1"/>
                <w:sz w:val="20"/>
              </w:rPr>
              <w:t>依据图纸所示沥青</w:t>
            </w:r>
          </w:p>
          <w:p>
            <w:pPr>
              <w:spacing w:line="271" w:lineRule="exact"/>
              <w:ind w:left="109"/>
            </w:pPr>
            <w:r>
              <w:rPr>
                <w:sz w:val="20"/>
              </w:rPr>
              <w:t>品种、规格、喷油量，</w:t>
            </w:r>
          </w:p>
          <w:p>
            <w:pPr>
              <w:spacing w:line="271" w:lineRule="exact"/>
              <w:ind w:left="109"/>
            </w:pPr>
            <w:r>
              <w:rPr>
                <w:spacing w:val="-1"/>
                <w:sz w:val="20"/>
              </w:rPr>
              <w:t>按照洒布面积以平方</w:t>
            </w:r>
          </w:p>
          <w:p>
            <w:pPr>
              <w:spacing w:line="274" w:lineRule="exact"/>
              <w:ind w:left="109"/>
            </w:pPr>
            <w:r>
              <w:rPr>
                <w:spacing w:val="-1"/>
                <w:sz w:val="20"/>
              </w:rPr>
              <w:t>米为单位计量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检查和清扫下承层；</w:t>
            </w:r>
          </w:p>
          <w:p>
            <w:pPr>
              <w:spacing w:line="274" w:lineRule="exact"/>
              <w:ind w:left="281"/>
            </w:pPr>
            <w:r>
              <w:rPr>
                <w:rFonts w:ascii="Times New Roman" w:hAnsi="Times New Roman" w:cs="Times New Roman"/>
                <w:sz w:val="20"/>
              </w:rPr>
              <w:t>2.</w:t>
            </w:r>
            <w:r>
              <w:rPr>
                <w:spacing w:val="-1"/>
                <w:position w:val="1"/>
                <w:sz w:val="20"/>
              </w:rPr>
              <w:t>材料制备、运输；</w:t>
            </w:r>
          </w:p>
          <w:p>
            <w:pPr>
              <w:spacing w:line="271" w:lineRule="exact"/>
              <w:ind w:left="281"/>
            </w:pPr>
            <w:r>
              <w:rPr>
                <w:rFonts w:ascii="Times New Roman" w:hAnsi="Times New Roman" w:cs="Times New Roman"/>
                <w:sz w:val="20"/>
              </w:rPr>
              <w:t>3.</w:t>
            </w:r>
            <w:r>
              <w:rPr>
                <w:spacing w:val="-1"/>
                <w:position w:val="1"/>
                <w:sz w:val="20"/>
              </w:rPr>
              <w:t>试洒；</w:t>
            </w:r>
          </w:p>
          <w:p>
            <w:pPr>
              <w:spacing w:line="274" w:lineRule="exact"/>
              <w:ind w:left="281"/>
            </w:pPr>
            <w:r>
              <w:rPr>
                <w:rFonts w:ascii="Times New Roman" w:hAnsi="Times New Roman" w:cs="Times New Roman"/>
                <w:sz w:val="20"/>
              </w:rPr>
              <w:t>4.</w:t>
            </w:r>
            <w:r>
              <w:rPr>
                <w:spacing w:val="-1"/>
                <w:position w:val="1"/>
                <w:sz w:val="20"/>
              </w:rPr>
              <w:t>沥青洒布车均匀喷洒并检</w:t>
            </w:r>
          </w:p>
          <w:p>
            <w:pPr>
              <w:spacing w:line="237" w:lineRule="exact"/>
              <w:ind w:left="108"/>
            </w:pPr>
            <w:r>
              <w:rPr>
                <w:spacing w:val="-1"/>
                <w:sz w:val="20"/>
              </w:rPr>
              <w:t>测洒布用量；</w:t>
            </w:r>
          </w:p>
          <w:p>
            <w:pPr>
              <w:spacing w:line="306" w:lineRule="exact"/>
              <w:ind w:left="281"/>
            </w:pPr>
            <w:r>
              <w:rPr>
                <w:rFonts w:ascii="Times New Roman" w:hAnsi="Times New Roman" w:cs="Times New Roman"/>
                <w:sz w:val="20"/>
              </w:rPr>
              <w:t>5.</w:t>
            </w:r>
            <w:r>
              <w:rPr>
                <w:spacing w:val="-1"/>
                <w:position w:val="1"/>
                <w:sz w:val="20"/>
              </w:rPr>
              <w:t>初期养护</w:t>
            </w:r>
          </w:p>
        </w:tc>
      </w:tr>
      <w:tr>
        <w:tblPrEx>
          <w:tblCellMar>
            <w:top w:w="0" w:type="dxa"/>
            <w:left w:w="108" w:type="dxa"/>
            <w:bottom w:w="0" w:type="dxa"/>
            <w:right w:w="108" w:type="dxa"/>
          </w:tblCellMar>
        </w:tblPrEx>
        <w:trPr>
          <w:trHeight w:val="160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0" w:lineRule="exact"/>
              <w:ind w:left="337"/>
            </w:pPr>
            <w:r>
              <w:rPr>
                <w:rFonts w:ascii="Times New Roman" w:hAnsi="Times New Roman" w:cs="Times New Roman"/>
                <w:spacing w:val="-1"/>
                <w:sz w:val="20"/>
              </w:rPr>
              <w:t>305-2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5" w:lineRule="exact"/>
              <w:ind w:left="282"/>
            </w:pPr>
            <w:r>
              <w:rPr>
                <w:spacing w:val="-1"/>
                <w:sz w:val="20"/>
              </w:rPr>
              <w:t>黏层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69" w:lineRule="exact"/>
              <w:ind w:left="423"/>
            </w:pPr>
            <w:r>
              <w:rPr>
                <w:rFonts w:ascii="Times New Roman" w:hAnsi="Times New Roman" w:cs="Times New Roman"/>
                <w:position w:val="-4"/>
                <w:sz w:val="20"/>
              </w:rPr>
              <w:t>m</w:t>
            </w:r>
            <w:r>
              <w:rPr>
                <w:rFonts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7" w:lineRule="exact"/>
              <w:ind w:left="282"/>
            </w:pPr>
            <w:r>
              <w:rPr>
                <w:spacing w:val="-1"/>
                <w:sz w:val="20"/>
              </w:rPr>
              <w:t>依据图纸所示沥青</w:t>
            </w:r>
          </w:p>
          <w:p>
            <w:pPr>
              <w:spacing w:line="271" w:lineRule="exact"/>
              <w:ind w:left="109"/>
            </w:pPr>
            <w:r>
              <w:rPr>
                <w:sz w:val="20"/>
              </w:rPr>
              <w:t>品种、规格、喷油量，</w:t>
            </w:r>
          </w:p>
          <w:p>
            <w:pPr>
              <w:spacing w:line="271" w:lineRule="exact"/>
              <w:ind w:left="109"/>
            </w:pPr>
            <w:r>
              <w:rPr>
                <w:spacing w:val="-1"/>
                <w:sz w:val="20"/>
              </w:rPr>
              <w:t>按照洒布面积以平方</w:t>
            </w:r>
          </w:p>
          <w:p>
            <w:pPr>
              <w:spacing w:line="274" w:lineRule="exact"/>
              <w:ind w:left="109"/>
            </w:pPr>
            <w:r>
              <w:rPr>
                <w:spacing w:val="-1"/>
                <w:sz w:val="20"/>
              </w:rPr>
              <w:t>米为单位计量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检查和清扫下承层；</w:t>
            </w:r>
          </w:p>
          <w:p>
            <w:pPr>
              <w:spacing w:line="274" w:lineRule="exact"/>
              <w:ind w:left="281"/>
            </w:pPr>
            <w:r>
              <w:rPr>
                <w:rFonts w:ascii="Times New Roman" w:hAnsi="Times New Roman" w:cs="Times New Roman"/>
                <w:sz w:val="20"/>
              </w:rPr>
              <w:t>2.</w:t>
            </w:r>
            <w:r>
              <w:rPr>
                <w:spacing w:val="-1"/>
                <w:position w:val="1"/>
                <w:sz w:val="20"/>
              </w:rPr>
              <w:t>材料制备、运输；</w:t>
            </w:r>
          </w:p>
          <w:p>
            <w:pPr>
              <w:spacing w:line="271" w:lineRule="exact"/>
              <w:ind w:left="281"/>
            </w:pPr>
            <w:r>
              <w:rPr>
                <w:rFonts w:ascii="Times New Roman" w:hAnsi="Times New Roman" w:cs="Times New Roman"/>
                <w:sz w:val="20"/>
              </w:rPr>
              <w:t>3.</w:t>
            </w:r>
            <w:r>
              <w:rPr>
                <w:spacing w:val="-1"/>
                <w:position w:val="1"/>
                <w:sz w:val="20"/>
              </w:rPr>
              <w:t>试洒；</w:t>
            </w:r>
          </w:p>
          <w:p>
            <w:pPr>
              <w:spacing w:line="274" w:lineRule="exact"/>
              <w:ind w:left="281"/>
            </w:pPr>
            <w:r>
              <w:rPr>
                <w:rFonts w:ascii="Times New Roman" w:hAnsi="Times New Roman" w:cs="Times New Roman"/>
                <w:sz w:val="20"/>
              </w:rPr>
              <w:t>4.</w:t>
            </w:r>
            <w:r>
              <w:rPr>
                <w:spacing w:val="-1"/>
                <w:position w:val="1"/>
                <w:sz w:val="20"/>
              </w:rPr>
              <w:t>沥青洒布车均匀喷洒并检</w:t>
            </w:r>
          </w:p>
          <w:p>
            <w:pPr>
              <w:spacing w:line="237" w:lineRule="exact"/>
              <w:ind w:left="108"/>
            </w:pPr>
            <w:r>
              <w:rPr>
                <w:spacing w:val="-1"/>
                <w:sz w:val="20"/>
              </w:rPr>
              <w:t>测洒布用量；</w:t>
            </w:r>
          </w:p>
          <w:p>
            <w:pPr>
              <w:spacing w:line="306" w:lineRule="exact"/>
              <w:ind w:left="281"/>
            </w:pPr>
            <w:r>
              <w:rPr>
                <w:rFonts w:ascii="Times New Roman" w:hAnsi="Times New Roman" w:cs="Times New Roman"/>
                <w:sz w:val="20"/>
              </w:rPr>
              <w:t>5.</w:t>
            </w:r>
            <w:r>
              <w:rPr>
                <w:spacing w:val="-1"/>
                <w:position w:val="1"/>
                <w:sz w:val="20"/>
              </w:rPr>
              <w:t>初期养护</w:t>
            </w:r>
          </w:p>
        </w:tc>
      </w:tr>
      <w:tr>
        <w:tblPrEx>
          <w:tblCellMar>
            <w:top w:w="0" w:type="dxa"/>
            <w:left w:w="108" w:type="dxa"/>
            <w:bottom w:w="0" w:type="dxa"/>
            <w:right w:w="108" w:type="dxa"/>
          </w:tblCellMar>
        </w:tblPrEx>
        <w:trPr>
          <w:trHeight w:val="165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0" w:lineRule="exact"/>
              <w:ind w:left="337"/>
            </w:pPr>
            <w:r>
              <w:rPr>
                <w:rFonts w:ascii="Times New Roman" w:hAnsi="Times New Roman" w:cs="Times New Roman"/>
                <w:spacing w:val="-1"/>
                <w:sz w:val="20"/>
              </w:rPr>
              <w:t>305-3</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5" w:lineRule="exact"/>
              <w:ind w:left="282"/>
            </w:pPr>
            <w:r>
              <w:rPr>
                <w:spacing w:val="-1"/>
                <w:sz w:val="20"/>
              </w:rPr>
              <w:t>封层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71" w:lineRule="exact"/>
              <w:ind w:left="423"/>
            </w:pPr>
            <w:r>
              <w:rPr>
                <w:rFonts w:ascii="Times New Roman" w:hAnsi="Times New Roman" w:cs="Times New Roman"/>
                <w:position w:val="-4"/>
                <w:sz w:val="20"/>
              </w:rPr>
              <w:t>m</w:t>
            </w:r>
            <w:r>
              <w:rPr>
                <w:rFonts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7" w:lineRule="exact"/>
              <w:ind w:left="282"/>
            </w:pPr>
            <w:r>
              <w:rPr>
                <w:spacing w:val="-1"/>
                <w:sz w:val="20"/>
              </w:rPr>
              <w:t>依据图纸所示沥青</w:t>
            </w:r>
          </w:p>
          <w:p>
            <w:pPr>
              <w:spacing w:line="271" w:lineRule="exact"/>
              <w:ind w:left="109"/>
            </w:pPr>
            <w:r>
              <w:rPr>
                <w:spacing w:val="-1"/>
                <w:sz w:val="20"/>
              </w:rPr>
              <w:t>种类、厚度，按照封</w:t>
            </w:r>
          </w:p>
          <w:p>
            <w:pPr>
              <w:spacing w:line="274" w:lineRule="exact"/>
              <w:ind w:left="109"/>
            </w:pPr>
            <w:r>
              <w:rPr>
                <w:spacing w:val="-1"/>
                <w:sz w:val="20"/>
              </w:rPr>
              <w:t>层面积以平方米为单</w:t>
            </w:r>
          </w:p>
          <w:p>
            <w:pPr>
              <w:spacing w:line="271" w:lineRule="exact"/>
              <w:ind w:left="109"/>
            </w:pPr>
            <w:r>
              <w:rPr>
                <w:spacing w:val="-1"/>
                <w:sz w:val="20"/>
              </w:rPr>
              <w:t>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1"/>
            </w:pPr>
            <w:r>
              <w:rPr>
                <w:rFonts w:ascii="Times New Roman" w:hAnsi="Times New Roman" w:cs="Times New Roman"/>
                <w:sz w:val="20"/>
              </w:rPr>
              <w:t>1.</w:t>
            </w:r>
            <w:r>
              <w:rPr>
                <w:spacing w:val="-1"/>
                <w:position w:val="1"/>
                <w:sz w:val="20"/>
              </w:rPr>
              <w:t>检查和清扫下承层；</w:t>
            </w:r>
          </w:p>
          <w:p>
            <w:pPr>
              <w:spacing w:line="271" w:lineRule="exact"/>
              <w:ind w:left="281"/>
            </w:pPr>
            <w:r>
              <w:rPr>
                <w:rFonts w:ascii="Times New Roman" w:hAnsi="Times New Roman" w:cs="Times New Roman"/>
                <w:sz w:val="20"/>
              </w:rPr>
              <w:t>2.</w:t>
            </w:r>
            <w:r>
              <w:rPr>
                <w:spacing w:val="-1"/>
                <w:position w:val="1"/>
                <w:sz w:val="20"/>
              </w:rPr>
              <w:t>试验段施工；</w:t>
            </w:r>
          </w:p>
          <w:p>
            <w:pPr>
              <w:spacing w:line="271" w:lineRule="exact"/>
              <w:ind w:left="281"/>
            </w:pPr>
            <w:r>
              <w:rPr>
                <w:rFonts w:ascii="Times New Roman" w:hAnsi="Times New Roman" w:cs="Times New Roman"/>
                <w:sz w:val="20"/>
              </w:rPr>
              <w:t>3.</w:t>
            </w:r>
            <w:r>
              <w:rPr>
                <w:spacing w:val="-1"/>
                <w:position w:val="1"/>
                <w:sz w:val="20"/>
              </w:rPr>
              <w:t>专用设备洒布或施工封</w:t>
            </w:r>
          </w:p>
          <w:p>
            <w:pPr>
              <w:spacing w:line="239" w:lineRule="exact"/>
              <w:ind w:left="108"/>
            </w:pPr>
            <w:r>
              <w:rPr>
                <w:spacing w:val="-1"/>
                <w:sz w:val="20"/>
              </w:rPr>
              <w:t>层；</w:t>
            </w:r>
          </w:p>
          <w:p>
            <w:pPr>
              <w:spacing w:line="306" w:lineRule="exact"/>
              <w:ind w:left="281"/>
            </w:pPr>
            <w:r>
              <w:rPr>
                <w:rFonts w:ascii="Times New Roman" w:hAnsi="Times New Roman" w:cs="Times New Roman"/>
                <w:sz w:val="20"/>
              </w:rPr>
              <w:t>4.</w:t>
            </w:r>
            <w:r>
              <w:rPr>
                <w:spacing w:val="-1"/>
                <w:position w:val="1"/>
                <w:sz w:val="20"/>
              </w:rPr>
              <w:t>整型、碾压、找补；</w:t>
            </w:r>
          </w:p>
          <w:p>
            <w:pPr>
              <w:spacing w:line="274" w:lineRule="exact"/>
              <w:ind w:left="281"/>
            </w:pPr>
            <w:r>
              <w:rPr>
                <w:rFonts w:ascii="Times New Roman" w:hAnsi="Times New Roman" w:cs="Times New Roman"/>
                <w:sz w:val="20"/>
              </w:rPr>
              <w:t>5.</w:t>
            </w:r>
            <w:r>
              <w:rPr>
                <w:spacing w:val="-1"/>
                <w:position w:val="1"/>
                <w:sz w:val="20"/>
              </w:rPr>
              <w:t>初期养护</w:t>
            </w:r>
          </w:p>
        </w:tc>
      </w:tr>
      <w:tr>
        <w:tblPrEx>
          <w:tblCellMar>
            <w:top w:w="0" w:type="dxa"/>
            <w:left w:w="108" w:type="dxa"/>
            <w:bottom w:w="0" w:type="dxa"/>
            <w:right w:w="108" w:type="dxa"/>
          </w:tblCellMar>
        </w:tblPrEx>
        <w:trPr>
          <w:trHeight w:val="167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20" w:lineRule="exact"/>
              <w:ind w:left="337"/>
            </w:pPr>
            <w:r>
              <w:rPr>
                <w:rFonts w:ascii="Times New Roman" w:hAnsi="Times New Roman" w:cs="Times New Roman"/>
                <w:spacing w:val="-1"/>
                <w:sz w:val="20"/>
              </w:rPr>
              <w:t>306-1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71" w:lineRule="exact"/>
              <w:ind w:left="282"/>
            </w:pPr>
            <w:r>
              <w:rPr>
                <w:spacing w:val="-1"/>
                <w:sz w:val="20"/>
              </w:rPr>
              <w:t>沥青表面处治</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9" w:lineRule="exact"/>
              <w:ind w:left="423"/>
            </w:pPr>
            <w:r>
              <w:rPr>
                <w:rFonts w:ascii="Times New Roman" w:hAnsi="Times New Roman" w:cs="Times New Roman"/>
                <w:position w:val="-4"/>
                <w:sz w:val="20"/>
              </w:rPr>
              <w:t>m</w:t>
            </w:r>
            <w:r>
              <w:rPr>
                <w:rFonts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1" w:lineRule="exact"/>
              <w:ind w:left="282"/>
            </w:pPr>
            <w:r>
              <w:rPr>
                <w:spacing w:val="-1"/>
                <w:sz w:val="20"/>
              </w:rPr>
              <w:t>依据图纸所示沥青</w:t>
            </w:r>
          </w:p>
          <w:p>
            <w:pPr>
              <w:spacing w:line="274" w:lineRule="exact"/>
              <w:ind w:left="109"/>
            </w:pPr>
            <w:r>
              <w:rPr>
                <w:sz w:val="20"/>
              </w:rPr>
              <w:t>种类、厚度、喷油量，</w:t>
            </w:r>
          </w:p>
          <w:p>
            <w:pPr>
              <w:spacing w:line="271" w:lineRule="exact"/>
              <w:ind w:left="109"/>
            </w:pPr>
            <w:r>
              <w:rPr>
                <w:spacing w:val="-1"/>
                <w:sz w:val="20"/>
              </w:rPr>
              <w:t>按照沥青表面处治面</w:t>
            </w:r>
          </w:p>
          <w:p>
            <w:pPr>
              <w:spacing w:line="274" w:lineRule="exact"/>
              <w:ind w:left="109"/>
            </w:pPr>
            <w:r>
              <w:rPr>
                <w:spacing w:val="-1"/>
                <w:sz w:val="20"/>
              </w:rPr>
              <w:t>积以平方米为单位计</w:t>
            </w:r>
          </w:p>
          <w:p>
            <w:pPr>
              <w:spacing w:line="271" w:lineRule="exact"/>
              <w:ind w:left="109"/>
            </w:pPr>
            <w:r>
              <w:rPr>
                <w:spacing w:val="-1"/>
                <w:sz w:val="20"/>
              </w:rPr>
              <w:t>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1"/>
            </w:pPr>
            <w:r>
              <w:rPr>
                <w:rFonts w:ascii="Times New Roman" w:hAnsi="Times New Roman" w:cs="Times New Roman"/>
                <w:sz w:val="20"/>
              </w:rPr>
              <w:t>1.</w:t>
            </w:r>
            <w:r>
              <w:rPr>
                <w:spacing w:val="-1"/>
                <w:position w:val="1"/>
                <w:sz w:val="20"/>
              </w:rPr>
              <w:t>检查和清理下承层；</w:t>
            </w:r>
          </w:p>
          <w:p>
            <w:pPr>
              <w:spacing w:line="271" w:lineRule="exact"/>
              <w:ind w:left="281"/>
            </w:pPr>
            <w:r>
              <w:rPr>
                <w:rFonts w:ascii="Times New Roman" w:hAnsi="Times New Roman" w:cs="Times New Roman"/>
                <w:sz w:val="20"/>
              </w:rPr>
              <w:t>2.</w:t>
            </w:r>
            <w:r>
              <w:rPr>
                <w:spacing w:val="-1"/>
                <w:position w:val="1"/>
                <w:sz w:val="20"/>
              </w:rPr>
              <w:t>安拆除熬油设备；</w:t>
            </w:r>
          </w:p>
          <w:p>
            <w:pPr>
              <w:spacing w:line="271" w:lineRule="exact"/>
              <w:ind w:left="281"/>
            </w:pPr>
            <w:r>
              <w:rPr>
                <w:rFonts w:ascii="Times New Roman" w:hAnsi="Times New Roman" w:cs="Times New Roman"/>
                <w:sz w:val="20"/>
              </w:rPr>
              <w:t>3.</w:t>
            </w:r>
            <w:r>
              <w:rPr>
                <w:spacing w:val="-1"/>
                <w:position w:val="1"/>
                <w:sz w:val="20"/>
              </w:rPr>
              <w:t>熬油、运油；</w:t>
            </w:r>
          </w:p>
          <w:p>
            <w:pPr>
              <w:spacing w:line="274" w:lineRule="exact"/>
              <w:ind w:left="281"/>
            </w:pPr>
            <w:r>
              <w:rPr>
                <w:rFonts w:ascii="Times New Roman" w:hAnsi="Times New Roman" w:cs="Times New Roman"/>
                <w:sz w:val="20"/>
              </w:rPr>
              <w:t>4.</w:t>
            </w:r>
            <w:r>
              <w:rPr>
                <w:spacing w:val="-1"/>
                <w:position w:val="1"/>
                <w:sz w:val="20"/>
              </w:rPr>
              <w:t>沥青洒布车洒油；</w:t>
            </w:r>
          </w:p>
          <w:p>
            <w:pPr>
              <w:spacing w:line="271" w:lineRule="exact"/>
              <w:ind w:left="281"/>
            </w:pPr>
            <w:r>
              <w:rPr>
                <w:rFonts w:ascii="Times New Roman" w:hAnsi="Times New Roman" w:cs="Times New Roman"/>
                <w:sz w:val="20"/>
              </w:rPr>
              <w:t>5.</w:t>
            </w:r>
            <w:r>
              <w:rPr>
                <w:spacing w:val="-1"/>
                <w:position w:val="1"/>
                <w:sz w:val="20"/>
              </w:rPr>
              <w:t>整型、碾压、找补；</w:t>
            </w:r>
          </w:p>
          <w:p>
            <w:pPr>
              <w:spacing w:line="274" w:lineRule="exact"/>
              <w:ind w:left="281"/>
            </w:pPr>
            <w:r>
              <w:rPr>
                <w:rFonts w:ascii="Times New Roman" w:hAnsi="Times New Roman" w:cs="Times New Roman"/>
                <w:sz w:val="20"/>
              </w:rPr>
              <w:t>6.</w:t>
            </w:r>
            <w:r>
              <w:rPr>
                <w:spacing w:val="-1"/>
                <w:position w:val="1"/>
                <w:sz w:val="20"/>
              </w:rPr>
              <w:t>初期养护</w:t>
            </w:r>
          </w:p>
        </w:tc>
      </w:tr>
      <w:tr>
        <w:tblPrEx>
          <w:tblCellMar>
            <w:top w:w="0" w:type="dxa"/>
            <w:left w:w="108" w:type="dxa"/>
            <w:bottom w:w="0" w:type="dxa"/>
            <w:right w:w="108" w:type="dxa"/>
          </w:tblCellMar>
        </w:tblPrEx>
        <w:trPr>
          <w:trHeight w:val="21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57" w:lineRule="exact"/>
              <w:ind w:left="337"/>
            </w:pPr>
            <w:r>
              <w:rPr>
                <w:rFonts w:ascii="Times New Roman" w:hAnsi="Times New Roman" w:cs="Times New Roman"/>
                <w:spacing w:val="-1"/>
                <w:sz w:val="20"/>
              </w:rPr>
              <w:t>307-1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5" w:lineRule="exact"/>
              <w:ind w:left="282"/>
            </w:pPr>
            <w:r>
              <w:rPr>
                <w:spacing w:val="-1"/>
                <w:sz w:val="20"/>
              </w:rPr>
              <w:t>细粒式沥青混</w:t>
            </w:r>
          </w:p>
          <w:p>
            <w:pPr>
              <w:spacing w:line="360" w:lineRule="exact"/>
              <w:ind w:left="107"/>
            </w:pPr>
            <w:r>
              <w:rPr>
                <w:spacing w:val="-1"/>
                <w:sz w:val="20"/>
              </w:rPr>
              <w:t>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65" w:lineRule="exact"/>
              <w:ind w:left="510"/>
            </w:pPr>
            <w:r>
              <w:rPr>
                <w:rFonts w:ascii="Times New Roman" w:hAnsi="Times New Roman" w:cs="Times New Roman"/>
                <w:position w:val="-4"/>
                <w:sz w:val="20"/>
              </w:rPr>
              <w:t>m</w:t>
            </w:r>
            <w:r>
              <w:rPr>
                <w:rFonts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7" w:lineRule="exact"/>
              <w:ind w:left="282"/>
            </w:pPr>
            <w:r>
              <w:rPr>
                <w:spacing w:val="-1"/>
                <w:sz w:val="20"/>
              </w:rPr>
              <w:t>依据图纸所示级配</w:t>
            </w:r>
          </w:p>
          <w:p>
            <w:pPr>
              <w:spacing w:line="271" w:lineRule="exact"/>
              <w:ind w:left="109"/>
            </w:pPr>
            <w:r>
              <w:rPr>
                <w:spacing w:val="-1"/>
                <w:sz w:val="20"/>
              </w:rPr>
              <w:t>类型及铺筑压实厚</w:t>
            </w:r>
          </w:p>
          <w:p>
            <w:pPr>
              <w:spacing w:line="274" w:lineRule="exact"/>
              <w:ind w:left="109"/>
            </w:pPr>
            <w:r>
              <w:rPr>
                <w:spacing w:val="-1"/>
                <w:sz w:val="20"/>
              </w:rPr>
              <w:t>度，按照铺筑的顶面</w:t>
            </w:r>
          </w:p>
          <w:p>
            <w:pPr>
              <w:spacing w:line="271" w:lineRule="exact"/>
              <w:ind w:left="109"/>
            </w:pPr>
            <w:r>
              <w:rPr>
                <w:spacing w:val="-1"/>
                <w:sz w:val="20"/>
              </w:rPr>
              <w:t>面积以平方米为单位</w:t>
            </w:r>
          </w:p>
          <w:p>
            <w:pPr>
              <w:spacing w:line="274" w:lineRule="exact"/>
              <w:ind w:left="109"/>
            </w:pPr>
            <w:r>
              <w:rPr>
                <w:spacing w:val="-1"/>
                <w:sz w:val="20"/>
              </w:rPr>
              <w:t>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rPr>
                <w:spacing w:val="-1"/>
                <w:position w:val="1"/>
                <w:sz w:val="20"/>
              </w:rPr>
            </w:pPr>
            <w:r>
              <w:rPr>
                <w:spacing w:val="-1"/>
                <w:position w:val="1"/>
                <w:sz w:val="20"/>
              </w:rPr>
              <w:t>1.检查和清理下承层；</w:t>
            </w:r>
          </w:p>
          <w:p>
            <w:pPr>
              <w:spacing w:line="271" w:lineRule="exact"/>
              <w:rPr>
                <w:spacing w:val="-1"/>
                <w:position w:val="1"/>
                <w:sz w:val="20"/>
              </w:rPr>
            </w:pPr>
            <w:r>
              <w:rPr>
                <w:spacing w:val="-1"/>
                <w:position w:val="1"/>
                <w:sz w:val="20"/>
              </w:rPr>
              <w:t>2.拌和设备安装、调试、拆除；</w:t>
            </w:r>
          </w:p>
          <w:p>
            <w:pPr>
              <w:spacing w:line="271" w:lineRule="exact"/>
              <w:rPr>
                <w:spacing w:val="-1"/>
                <w:position w:val="1"/>
                <w:sz w:val="20"/>
              </w:rPr>
            </w:pPr>
            <w:r>
              <w:rPr>
                <w:spacing w:val="-1"/>
                <w:position w:val="1"/>
                <w:sz w:val="20"/>
              </w:rPr>
              <w:t>3.沥青加热、保温、输送，配运料，矿料加热烘干，拌和、出料；</w:t>
            </w:r>
          </w:p>
          <w:p>
            <w:pPr>
              <w:spacing w:line="271" w:lineRule="exact"/>
              <w:rPr>
                <w:spacing w:val="-1"/>
                <w:position w:val="1"/>
                <w:sz w:val="20"/>
              </w:rPr>
            </w:pPr>
            <w:r>
              <w:rPr>
                <w:spacing w:val="-1"/>
                <w:position w:val="1"/>
                <w:sz w:val="20"/>
              </w:rPr>
              <w:t>4.运输、摊铺、碾压、成型；</w:t>
            </w:r>
          </w:p>
          <w:p>
            <w:pPr>
              <w:spacing w:line="271" w:lineRule="exact"/>
              <w:rPr>
                <w:spacing w:val="-1"/>
                <w:position w:val="1"/>
                <w:sz w:val="20"/>
              </w:rPr>
            </w:pPr>
            <w:r>
              <w:rPr>
                <w:spacing w:val="-1"/>
                <w:position w:val="1"/>
                <w:sz w:val="20"/>
              </w:rPr>
              <w:t>5.接缝处理；</w:t>
            </w:r>
          </w:p>
          <w:p>
            <w:pPr>
              <w:spacing w:line="271" w:lineRule="exact"/>
            </w:pPr>
            <w:r>
              <w:rPr>
                <w:spacing w:val="-1"/>
                <w:position w:val="1"/>
                <w:sz w:val="20"/>
              </w:rPr>
              <w:t>6.初期养护</w:t>
            </w:r>
          </w:p>
        </w:tc>
      </w:tr>
    </w:tbl>
    <w:p>
      <w:pPr>
        <w:spacing w:line="251" w:lineRule="exact"/>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26" w:type="dxa"/>
        <w:tblInd w:w="0" w:type="dxa"/>
        <w:tblLayout w:type="fixed"/>
        <w:tblCellMar>
          <w:top w:w="0" w:type="dxa"/>
          <w:left w:w="108" w:type="dxa"/>
          <w:bottom w:w="0" w:type="dxa"/>
          <w:right w:w="108" w:type="dxa"/>
        </w:tblCellMar>
      </w:tblPr>
      <w:tblGrid>
        <w:gridCol w:w="1166"/>
        <w:gridCol w:w="1769"/>
        <w:gridCol w:w="1071"/>
        <w:gridCol w:w="9"/>
        <w:gridCol w:w="2125"/>
        <w:gridCol w:w="2886"/>
      </w:tblGrid>
      <w:tr>
        <w:tblPrEx>
          <w:tblCellMar>
            <w:top w:w="0" w:type="dxa"/>
            <w:left w:w="108" w:type="dxa"/>
            <w:bottom w:w="0" w:type="dxa"/>
            <w:right w:w="108" w:type="dxa"/>
          </w:tblCellMar>
        </w:tblPrEx>
        <w:trPr>
          <w:trHeight w:val="2461" w:hRule="exact"/>
        </w:trPr>
        <w:tc>
          <w:tcPr>
            <w:tcW w:w="116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26" w:lineRule="exact"/>
              <w:ind w:left="337"/>
            </w:pPr>
            <w:r>
              <w:rPr>
                <w:rFonts w:ascii="Times New Roman" w:hAnsi="Times New Roman" w:cs="Times New Roman"/>
                <w:spacing w:val="-1"/>
                <w:sz w:val="20"/>
              </w:rPr>
              <w:t>307-2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97" w:lineRule="exact"/>
              <w:ind w:left="282"/>
            </w:pPr>
            <w:r>
              <w:rPr>
                <w:spacing w:val="-1"/>
                <w:sz w:val="20"/>
              </w:rPr>
              <w:t>中粒式沥青混</w:t>
            </w:r>
          </w:p>
          <w:p>
            <w:pPr>
              <w:spacing w:line="360" w:lineRule="exact"/>
              <w:ind w:left="107"/>
            </w:pPr>
            <w:r>
              <w:rPr>
                <w:spacing w:val="-1"/>
                <w:sz w:val="20"/>
              </w:rPr>
              <w:t>凝土</w:t>
            </w: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37" w:lineRule="exact"/>
              <w:ind w:left="423"/>
            </w:pPr>
            <w:r>
              <w:rPr>
                <w:rFonts w:ascii="Times New Roman" w:hAnsi="Times New Roman" w:cs="Times New Roman"/>
                <w:position w:val="-4"/>
                <w:sz w:val="20"/>
              </w:rPr>
              <w:t>m</w:t>
            </w:r>
            <w:r>
              <w:rPr>
                <w:rFonts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89" w:lineRule="exact"/>
              <w:ind w:left="282"/>
            </w:pPr>
            <w:r>
              <w:rPr>
                <w:spacing w:val="-1"/>
                <w:sz w:val="20"/>
              </w:rPr>
              <w:t>依据图纸所示级配</w:t>
            </w:r>
          </w:p>
          <w:p>
            <w:pPr>
              <w:spacing w:line="271" w:lineRule="exact"/>
              <w:ind w:left="109"/>
            </w:pPr>
            <w:r>
              <w:rPr>
                <w:spacing w:val="-1"/>
                <w:sz w:val="20"/>
              </w:rPr>
              <w:t>类型及铺筑压实厚</w:t>
            </w:r>
          </w:p>
          <w:p>
            <w:pPr>
              <w:spacing w:line="271" w:lineRule="exact"/>
              <w:ind w:left="109"/>
            </w:pPr>
            <w:r>
              <w:rPr>
                <w:spacing w:val="-1"/>
                <w:sz w:val="20"/>
              </w:rPr>
              <w:t>度，按照铺筑的顶面</w:t>
            </w:r>
          </w:p>
          <w:p>
            <w:pPr>
              <w:spacing w:line="274" w:lineRule="exact"/>
              <w:ind w:left="109"/>
            </w:pPr>
            <w:r>
              <w:rPr>
                <w:spacing w:val="-1"/>
                <w:sz w:val="20"/>
              </w:rPr>
              <w:t>面积以平方米为单位</w:t>
            </w:r>
          </w:p>
          <w:p>
            <w:pPr>
              <w:spacing w:line="274" w:lineRule="exact"/>
              <w:ind w:left="109"/>
            </w:pPr>
            <w:r>
              <w:rPr>
                <w:spacing w:val="-1"/>
                <w:sz w:val="20"/>
              </w:rPr>
              <w:t>计量</w:t>
            </w:r>
          </w:p>
        </w:tc>
        <w:tc>
          <w:tcPr>
            <w:tcW w:w="288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检查和清理下承层；</w:t>
            </w:r>
          </w:p>
          <w:p>
            <w:pPr>
              <w:spacing w:line="271" w:lineRule="exact"/>
              <w:ind w:left="281"/>
            </w:pPr>
            <w:r>
              <w:rPr>
                <w:rFonts w:ascii="Times New Roman" w:hAnsi="Times New Roman" w:cs="Times New Roman"/>
                <w:sz w:val="20"/>
              </w:rPr>
              <w:t>2.</w:t>
            </w:r>
            <w:r>
              <w:rPr>
                <w:spacing w:val="-1"/>
                <w:position w:val="1"/>
                <w:sz w:val="20"/>
              </w:rPr>
              <w:t>拌和设备安装、调试、拆</w:t>
            </w:r>
          </w:p>
          <w:p>
            <w:pPr>
              <w:spacing w:line="239" w:lineRule="exact"/>
              <w:ind w:left="108"/>
            </w:pPr>
            <w:r>
              <w:rPr>
                <w:spacing w:val="-1"/>
                <w:sz w:val="20"/>
              </w:rPr>
              <w:t>除；</w:t>
            </w:r>
          </w:p>
          <w:p>
            <w:pPr>
              <w:spacing w:line="308" w:lineRule="exact"/>
              <w:ind w:left="281"/>
            </w:pPr>
            <w:r>
              <w:rPr>
                <w:rFonts w:ascii="Times New Roman" w:hAnsi="Times New Roman" w:cs="Times New Roman"/>
                <w:sz w:val="20"/>
              </w:rPr>
              <w:t>3.</w:t>
            </w:r>
            <w:r>
              <w:rPr>
                <w:spacing w:val="-1"/>
                <w:position w:val="1"/>
                <w:sz w:val="20"/>
              </w:rPr>
              <w:t>沥青加热、保温、输送，</w:t>
            </w:r>
          </w:p>
          <w:p>
            <w:pPr>
              <w:spacing w:line="236" w:lineRule="exact"/>
              <w:ind w:left="108"/>
            </w:pPr>
            <w:r>
              <w:rPr>
                <w:sz w:val="20"/>
              </w:rPr>
              <w:t>配运料，矿料加热烘干，拌和、</w:t>
            </w:r>
          </w:p>
          <w:p>
            <w:pPr>
              <w:spacing w:line="271" w:lineRule="exact"/>
              <w:ind w:left="108"/>
            </w:pPr>
            <w:r>
              <w:rPr>
                <w:spacing w:val="-1"/>
                <w:sz w:val="20"/>
              </w:rPr>
              <w:t>出料；</w:t>
            </w:r>
          </w:p>
          <w:p>
            <w:pPr>
              <w:spacing w:line="308" w:lineRule="exact"/>
              <w:ind w:left="281"/>
            </w:pPr>
            <w:r>
              <w:rPr>
                <w:rFonts w:ascii="Times New Roman" w:hAnsi="Times New Roman" w:cs="Times New Roman"/>
                <w:sz w:val="20"/>
              </w:rPr>
              <w:t>4.</w:t>
            </w:r>
            <w:r>
              <w:rPr>
                <w:spacing w:val="-1"/>
                <w:position w:val="1"/>
                <w:sz w:val="20"/>
              </w:rPr>
              <w:t>运输、摊铺、碾压、成型；</w:t>
            </w:r>
          </w:p>
          <w:p>
            <w:pPr>
              <w:spacing w:line="271" w:lineRule="exact"/>
              <w:ind w:left="281"/>
            </w:pPr>
            <w:r>
              <w:rPr>
                <w:rFonts w:ascii="Times New Roman" w:hAnsi="Times New Roman" w:cs="Times New Roman"/>
                <w:sz w:val="20"/>
              </w:rPr>
              <w:t>5.</w:t>
            </w:r>
            <w:r>
              <w:rPr>
                <w:spacing w:val="-1"/>
                <w:position w:val="1"/>
                <w:sz w:val="20"/>
              </w:rPr>
              <w:t>接缝处理；</w:t>
            </w:r>
          </w:p>
          <w:p>
            <w:pPr>
              <w:spacing w:line="274" w:lineRule="exact"/>
              <w:ind w:left="281"/>
            </w:pPr>
            <w:r>
              <w:rPr>
                <w:rFonts w:ascii="Times New Roman" w:hAnsi="Times New Roman" w:cs="Times New Roman"/>
                <w:sz w:val="20"/>
              </w:rPr>
              <w:t>6.</w:t>
            </w:r>
            <w:r>
              <w:rPr>
                <w:spacing w:val="-1"/>
                <w:position w:val="1"/>
                <w:sz w:val="20"/>
              </w:rPr>
              <w:t>初期养护</w:t>
            </w:r>
          </w:p>
        </w:tc>
      </w:tr>
      <w:tr>
        <w:tblPrEx>
          <w:tblCellMar>
            <w:top w:w="0" w:type="dxa"/>
            <w:left w:w="108" w:type="dxa"/>
            <w:bottom w:w="0" w:type="dxa"/>
            <w:right w:w="108" w:type="dxa"/>
          </w:tblCellMar>
        </w:tblPrEx>
        <w:trPr>
          <w:trHeight w:val="2461" w:hRule="exact"/>
        </w:trPr>
        <w:tc>
          <w:tcPr>
            <w:tcW w:w="116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27" w:lineRule="exact"/>
              <w:ind w:left="337"/>
            </w:pPr>
            <w:r>
              <w:rPr>
                <w:rFonts w:ascii="Times New Roman" w:hAnsi="Times New Roman" w:cs="Times New Roman"/>
                <w:spacing w:val="-1"/>
                <w:sz w:val="20"/>
              </w:rPr>
              <w:t>307-3</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98" w:lineRule="exact"/>
              <w:ind w:left="282"/>
            </w:pPr>
            <w:r>
              <w:rPr>
                <w:spacing w:val="-1"/>
                <w:sz w:val="20"/>
              </w:rPr>
              <w:t>粗粒式沥青混</w:t>
            </w:r>
          </w:p>
          <w:p>
            <w:pPr>
              <w:spacing w:line="360" w:lineRule="exact"/>
              <w:ind w:left="107"/>
            </w:pPr>
            <w:r>
              <w:rPr>
                <w:spacing w:val="-1"/>
                <w:sz w:val="20"/>
              </w:rPr>
              <w:t>凝土</w:t>
            </w: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36" w:lineRule="exact"/>
              <w:ind w:left="423"/>
            </w:pPr>
            <w:r>
              <w:rPr>
                <w:rFonts w:ascii="Times New Roman" w:hAnsi="Times New Roman" w:cs="Times New Roman"/>
                <w:position w:val="-4"/>
                <w:sz w:val="20"/>
              </w:rPr>
              <w:t>m</w:t>
            </w:r>
            <w:r>
              <w:rPr>
                <w:rFonts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88" w:lineRule="exact"/>
              <w:ind w:left="282"/>
            </w:pPr>
            <w:r>
              <w:rPr>
                <w:spacing w:val="-1"/>
                <w:sz w:val="20"/>
              </w:rPr>
              <w:t>依据图纸所示级配</w:t>
            </w:r>
          </w:p>
          <w:p>
            <w:pPr>
              <w:spacing w:line="274" w:lineRule="exact"/>
              <w:ind w:left="109"/>
            </w:pPr>
            <w:r>
              <w:rPr>
                <w:spacing w:val="-1"/>
                <w:sz w:val="20"/>
              </w:rPr>
              <w:t>类型及铺筑压实厚</w:t>
            </w:r>
          </w:p>
          <w:p>
            <w:pPr>
              <w:spacing w:line="271" w:lineRule="exact"/>
              <w:ind w:left="109"/>
            </w:pPr>
            <w:r>
              <w:rPr>
                <w:spacing w:val="-1"/>
                <w:sz w:val="20"/>
              </w:rPr>
              <w:t>度，按照铺筑的顶面</w:t>
            </w:r>
          </w:p>
          <w:p>
            <w:pPr>
              <w:spacing w:line="274" w:lineRule="exact"/>
              <w:ind w:left="109"/>
            </w:pPr>
            <w:r>
              <w:rPr>
                <w:spacing w:val="-1"/>
                <w:sz w:val="20"/>
              </w:rPr>
              <w:t>面积以平方米为单位</w:t>
            </w:r>
          </w:p>
          <w:p>
            <w:pPr>
              <w:spacing w:line="271" w:lineRule="exact"/>
              <w:ind w:left="109"/>
            </w:pPr>
            <w:r>
              <w:rPr>
                <w:spacing w:val="-1"/>
                <w:sz w:val="20"/>
              </w:rPr>
              <w:t>计量</w:t>
            </w:r>
          </w:p>
        </w:tc>
        <w:tc>
          <w:tcPr>
            <w:tcW w:w="288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检查和清理下承层；</w:t>
            </w:r>
          </w:p>
          <w:p>
            <w:pPr>
              <w:spacing w:line="271" w:lineRule="exact"/>
              <w:ind w:left="281"/>
            </w:pPr>
            <w:r>
              <w:rPr>
                <w:rFonts w:ascii="Times New Roman" w:hAnsi="Times New Roman" w:cs="Times New Roman"/>
                <w:sz w:val="20"/>
              </w:rPr>
              <w:t>2.</w:t>
            </w:r>
            <w:r>
              <w:rPr>
                <w:spacing w:val="-1"/>
                <w:position w:val="1"/>
                <w:sz w:val="20"/>
              </w:rPr>
              <w:t>拌和设备安装、调试、拆</w:t>
            </w:r>
          </w:p>
          <w:p>
            <w:pPr>
              <w:spacing w:line="237" w:lineRule="exact"/>
              <w:ind w:left="108"/>
            </w:pPr>
            <w:r>
              <w:rPr>
                <w:spacing w:val="-1"/>
                <w:sz w:val="20"/>
              </w:rPr>
              <w:t>除；</w:t>
            </w:r>
          </w:p>
          <w:p>
            <w:pPr>
              <w:spacing w:line="308" w:lineRule="exact"/>
              <w:ind w:left="281"/>
            </w:pPr>
            <w:r>
              <w:rPr>
                <w:rFonts w:ascii="Times New Roman" w:hAnsi="Times New Roman" w:cs="Times New Roman"/>
                <w:sz w:val="20"/>
              </w:rPr>
              <w:t>3.</w:t>
            </w:r>
            <w:r>
              <w:rPr>
                <w:spacing w:val="-1"/>
                <w:position w:val="1"/>
                <w:sz w:val="20"/>
              </w:rPr>
              <w:t>沥青加热、保温、输送，</w:t>
            </w:r>
          </w:p>
          <w:p>
            <w:pPr>
              <w:spacing w:line="236" w:lineRule="exact"/>
              <w:ind w:left="108"/>
            </w:pPr>
            <w:r>
              <w:rPr>
                <w:sz w:val="20"/>
              </w:rPr>
              <w:t>配运料，矿料加热烘干，拌和、</w:t>
            </w:r>
          </w:p>
          <w:p>
            <w:pPr>
              <w:spacing w:line="274" w:lineRule="exact"/>
              <w:ind w:left="108"/>
            </w:pPr>
            <w:r>
              <w:rPr>
                <w:spacing w:val="-1"/>
                <w:sz w:val="20"/>
              </w:rPr>
              <w:t>出料；</w:t>
            </w:r>
          </w:p>
          <w:p>
            <w:pPr>
              <w:spacing w:line="306" w:lineRule="exact"/>
              <w:ind w:left="281"/>
            </w:pPr>
            <w:r>
              <w:rPr>
                <w:rFonts w:ascii="Times New Roman" w:hAnsi="Times New Roman" w:cs="Times New Roman"/>
                <w:sz w:val="20"/>
              </w:rPr>
              <w:t>4.</w:t>
            </w:r>
            <w:r>
              <w:rPr>
                <w:spacing w:val="-1"/>
                <w:position w:val="1"/>
                <w:sz w:val="20"/>
              </w:rPr>
              <w:t>运输、摊铺、碾压、成型；</w:t>
            </w:r>
          </w:p>
          <w:p>
            <w:pPr>
              <w:spacing w:line="274" w:lineRule="exact"/>
              <w:ind w:left="281"/>
            </w:pPr>
            <w:r>
              <w:rPr>
                <w:rFonts w:ascii="Times New Roman" w:hAnsi="Times New Roman" w:cs="Times New Roman"/>
                <w:sz w:val="20"/>
              </w:rPr>
              <w:t>5.</w:t>
            </w:r>
            <w:r>
              <w:rPr>
                <w:spacing w:val="-1"/>
                <w:position w:val="1"/>
                <w:sz w:val="20"/>
              </w:rPr>
              <w:t>接缝处理；</w:t>
            </w:r>
          </w:p>
          <w:p>
            <w:pPr>
              <w:spacing w:line="271" w:lineRule="exact"/>
              <w:ind w:left="281"/>
            </w:pPr>
            <w:r>
              <w:rPr>
                <w:rFonts w:ascii="Times New Roman" w:hAnsi="Times New Roman" w:cs="Times New Roman"/>
                <w:sz w:val="20"/>
              </w:rPr>
              <w:t>6.</w:t>
            </w:r>
            <w:r>
              <w:rPr>
                <w:spacing w:val="-1"/>
                <w:position w:val="1"/>
                <w:sz w:val="20"/>
              </w:rPr>
              <w:t>初期养护</w:t>
            </w:r>
          </w:p>
        </w:tc>
      </w:tr>
      <w:tr>
        <w:tblPrEx>
          <w:tblCellMar>
            <w:top w:w="0" w:type="dxa"/>
            <w:left w:w="108" w:type="dxa"/>
            <w:bottom w:w="0" w:type="dxa"/>
            <w:right w:w="108" w:type="dxa"/>
          </w:tblCellMar>
        </w:tblPrEx>
        <w:trPr>
          <w:trHeight w:val="2919" w:hRule="exact"/>
        </w:trPr>
        <w:tc>
          <w:tcPr>
            <w:tcW w:w="116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837" w:lineRule="exact"/>
              <w:ind w:left="337"/>
            </w:pPr>
            <w:r>
              <w:rPr>
                <w:rFonts w:ascii="Times New Roman" w:hAnsi="Times New Roman" w:cs="Times New Roman"/>
                <w:spacing w:val="-1"/>
                <w:sz w:val="20"/>
              </w:rPr>
              <w:t>308-1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605" w:lineRule="exact"/>
              <w:ind w:left="282"/>
            </w:pPr>
            <w:r>
              <w:rPr>
                <w:spacing w:val="-1"/>
                <w:sz w:val="20"/>
              </w:rPr>
              <w:t>水泥混凝土路</w:t>
            </w:r>
          </w:p>
          <w:p>
            <w:pPr>
              <w:spacing w:line="360" w:lineRule="exact"/>
              <w:ind w:left="107"/>
            </w:pPr>
            <w:r>
              <w:rPr>
                <w:spacing w:val="-1"/>
                <w:sz w:val="20"/>
              </w:rPr>
              <w:t>面</w:t>
            </w: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745" w:lineRule="exact"/>
              <w:ind w:left="423"/>
            </w:pPr>
            <w:r>
              <w:rPr>
                <w:rFonts w:ascii="Times New Roman" w:hAnsi="Times New Roman" w:cs="Times New Roman"/>
                <w:position w:val="-4"/>
                <w:sz w:val="20"/>
              </w:rPr>
              <w:t>m</w:t>
            </w:r>
            <w:r>
              <w:rPr>
                <w:rFonts w:ascii="Times New Roman" w:hAnsi="Times New Roman" w:cs="Times New Roman"/>
                <w:spacing w:val="-4"/>
                <w:sz w:val="13"/>
              </w:rPr>
              <w:t>3</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34" w:lineRule="exact"/>
              <w:ind w:left="282"/>
            </w:pPr>
            <w:r>
              <w:rPr>
                <w:spacing w:val="-1"/>
                <w:sz w:val="20"/>
              </w:rPr>
              <w:t>依据图纸所示厚度</w:t>
            </w:r>
          </w:p>
          <w:p>
            <w:pPr>
              <w:spacing w:line="271" w:lineRule="exact"/>
              <w:ind w:left="109"/>
            </w:pPr>
            <w:r>
              <w:rPr>
                <w:spacing w:val="-1"/>
                <w:sz w:val="20"/>
              </w:rPr>
              <w:t>和混凝土强度等级，</w:t>
            </w:r>
          </w:p>
          <w:p>
            <w:pPr>
              <w:spacing w:line="271" w:lineRule="exact"/>
              <w:ind w:left="109"/>
            </w:pPr>
            <w:r>
              <w:rPr>
                <w:spacing w:val="-1"/>
                <w:sz w:val="20"/>
              </w:rPr>
              <w:t>按照铺筑体积以立方</w:t>
            </w:r>
          </w:p>
          <w:p>
            <w:pPr>
              <w:spacing w:line="274" w:lineRule="exact"/>
              <w:ind w:left="109"/>
            </w:pPr>
            <w:r>
              <w:rPr>
                <w:spacing w:val="-1"/>
                <w:sz w:val="20"/>
              </w:rPr>
              <w:t>米为单位计量</w:t>
            </w:r>
          </w:p>
        </w:tc>
        <w:tc>
          <w:tcPr>
            <w:tcW w:w="288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1.</w:t>
            </w:r>
            <w:r>
              <w:rPr>
                <w:spacing w:val="-1"/>
                <w:position w:val="1"/>
                <w:sz w:val="20"/>
              </w:rPr>
              <w:t>检查和清理下承层、洒水</w:t>
            </w:r>
            <w:r>
              <w:rPr>
                <w:spacing w:val="-1"/>
                <w:sz w:val="20"/>
              </w:rPr>
              <w:t>湿润；</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2.</w:t>
            </w:r>
            <w:r>
              <w:rPr>
                <w:spacing w:val="-1"/>
                <w:position w:val="1"/>
                <w:sz w:val="20"/>
              </w:rPr>
              <w:t>模板制作、架设、安装、</w:t>
            </w:r>
            <w:r>
              <w:rPr>
                <w:spacing w:val="-1"/>
                <w:sz w:val="20"/>
              </w:rPr>
              <w:t>修理、拆除；</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3.</w:t>
            </w:r>
            <w:r>
              <w:rPr>
                <w:spacing w:val="-1"/>
                <w:position w:val="1"/>
                <w:sz w:val="20"/>
              </w:rPr>
              <w:t>钢筋截断、弯曲、安设、</w:t>
            </w:r>
            <w:r>
              <w:rPr>
                <w:spacing w:val="-1"/>
                <w:sz w:val="20"/>
              </w:rPr>
              <w:t>支承及固定</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4.</w:t>
            </w:r>
            <w:r>
              <w:rPr>
                <w:spacing w:val="-1"/>
                <w:position w:val="1"/>
                <w:sz w:val="20"/>
              </w:rPr>
              <w:t>混凝土拌和物配合比设</w:t>
            </w:r>
            <w:r>
              <w:rPr>
                <w:sz w:val="20"/>
              </w:rPr>
              <w:t>计、配料、拌和、运输、浇筑、</w:t>
            </w:r>
            <w:r>
              <w:rPr>
                <w:spacing w:val="-6"/>
                <w:sz w:val="20"/>
              </w:rPr>
              <w:t>振捣、真空吸水、抹平、压（刻）</w:t>
            </w:r>
            <w:r>
              <w:rPr>
                <w:spacing w:val="-1"/>
                <w:sz w:val="20"/>
              </w:rPr>
              <w:t>纹，养护；</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5.</w:t>
            </w:r>
            <w:r>
              <w:rPr>
                <w:spacing w:val="-1"/>
                <w:position w:val="1"/>
                <w:sz w:val="20"/>
              </w:rPr>
              <w:t>切缝、灌缝；</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6.</w:t>
            </w:r>
            <w:r>
              <w:rPr>
                <w:spacing w:val="-1"/>
                <w:position w:val="1"/>
                <w:sz w:val="20"/>
              </w:rPr>
              <w:t>初期养护</w:t>
            </w:r>
          </w:p>
        </w:tc>
      </w:tr>
      <w:tr>
        <w:tblPrEx>
          <w:tblCellMar>
            <w:top w:w="0" w:type="dxa"/>
            <w:left w:w="108" w:type="dxa"/>
            <w:bottom w:w="0" w:type="dxa"/>
            <w:right w:w="108" w:type="dxa"/>
          </w:tblCellMar>
        </w:tblPrEx>
        <w:trPr>
          <w:trHeight w:val="2189" w:hRule="exact"/>
        </w:trPr>
        <w:tc>
          <w:tcPr>
            <w:tcW w:w="1166" w:type="dxa"/>
            <w:tcBorders>
              <w:top w:val="single" w:color="000000" w:sz="6" w:space="0"/>
              <w:left w:val="single" w:color="000000" w:sz="6" w:space="0"/>
              <w:bottom w:val="single" w:color="auto" w:sz="8" w:space="0"/>
              <w:right w:val="single" w:color="auto" w:sz="4" w:space="0"/>
            </w:tcBorders>
            <w:shd w:val="clear" w:color="auto" w:fill="auto"/>
            <w:tcMar>
              <w:left w:w="0" w:type="dxa"/>
              <w:right w:w="0" w:type="dxa"/>
            </w:tcMar>
          </w:tcPr>
          <w:p>
            <w:pPr>
              <w:spacing w:line="1292" w:lineRule="exact"/>
              <w:ind w:left="337"/>
            </w:pPr>
            <w:r>
              <w:rPr>
                <w:rFonts w:ascii="Times New Roman" w:hAnsi="Times New Roman" w:cs="Times New Roman"/>
                <w:spacing w:val="-1"/>
                <w:sz w:val="20"/>
              </w:rPr>
              <w:t>309-1</w:t>
            </w:r>
          </w:p>
        </w:tc>
        <w:tc>
          <w:tcPr>
            <w:tcW w:w="1769" w:type="dxa"/>
            <w:tcBorders>
              <w:top w:val="single" w:color="000000" w:sz="6" w:space="0"/>
              <w:left w:val="single" w:color="auto" w:sz="4" w:space="0"/>
              <w:bottom w:val="single" w:color="000000" w:sz="6" w:space="0"/>
              <w:right w:val="single" w:color="000000" w:sz="6" w:space="0"/>
            </w:tcBorders>
            <w:shd w:val="clear" w:color="auto" w:fill="auto"/>
            <w:tcMar>
              <w:left w:w="0" w:type="dxa"/>
              <w:right w:w="0" w:type="dxa"/>
            </w:tcMar>
          </w:tcPr>
          <w:p>
            <w:pPr>
              <w:spacing w:line="1063" w:lineRule="exact"/>
              <w:ind w:left="282"/>
            </w:pPr>
            <w:r>
              <w:rPr>
                <w:spacing w:val="-1"/>
                <w:sz w:val="20"/>
              </w:rPr>
              <w:t>混凝土预制块</w:t>
            </w:r>
          </w:p>
          <w:p>
            <w:pPr>
              <w:spacing w:line="360" w:lineRule="exact"/>
              <w:ind w:left="107"/>
            </w:pPr>
            <w:r>
              <w:rPr>
                <w:spacing w:val="-1"/>
                <w:sz w:val="20"/>
              </w:rPr>
              <w:t>路缘（牙）石</w:t>
            </w: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01" w:lineRule="exact"/>
              <w:ind w:left="423"/>
            </w:pPr>
            <w:r>
              <w:rPr>
                <w:rFonts w:ascii="Times New Roman" w:hAnsi="Times New Roman" w:cs="Times New Roman"/>
                <w:position w:val="-4"/>
                <w:sz w:val="20"/>
              </w:rPr>
              <w:t>m</w:t>
            </w:r>
            <w:r>
              <w:rPr>
                <w:rFonts w:ascii="Times New Roman" w:hAnsi="Times New Roman" w:cs="Times New Roman"/>
                <w:spacing w:val="-4"/>
                <w:sz w:val="13"/>
              </w:rPr>
              <w:t>3</w:t>
            </w:r>
          </w:p>
        </w:tc>
        <w:tc>
          <w:tcPr>
            <w:tcW w:w="2125" w:type="dxa"/>
            <w:tcBorders>
              <w:top w:val="single" w:color="000000" w:sz="6" w:space="0"/>
              <w:left w:val="single" w:color="000000" w:sz="6" w:space="0"/>
              <w:bottom w:val="single" w:color="000000" w:sz="6" w:space="0"/>
              <w:right w:val="single" w:color="auto" w:sz="4" w:space="0"/>
            </w:tcBorders>
            <w:shd w:val="clear" w:color="auto" w:fill="auto"/>
            <w:tcMar>
              <w:left w:w="0" w:type="dxa"/>
              <w:right w:w="0" w:type="dxa"/>
            </w:tcMar>
          </w:tcPr>
          <w:p>
            <w:pPr>
              <w:spacing w:line="653" w:lineRule="exact"/>
              <w:ind w:left="282"/>
            </w:pPr>
            <w:r>
              <w:rPr>
                <w:spacing w:val="-1"/>
                <w:sz w:val="20"/>
              </w:rPr>
              <w:t>依据图纸所示断面</w:t>
            </w:r>
          </w:p>
          <w:p>
            <w:pPr>
              <w:spacing w:line="274" w:lineRule="exact"/>
              <w:ind w:left="109"/>
            </w:pPr>
            <w:r>
              <w:rPr>
                <w:spacing w:val="-1"/>
                <w:sz w:val="20"/>
              </w:rPr>
              <w:t>尺寸和混凝土强度等</w:t>
            </w:r>
          </w:p>
          <w:p>
            <w:pPr>
              <w:spacing w:line="271" w:lineRule="exact"/>
              <w:ind w:left="109"/>
            </w:pPr>
            <w:r>
              <w:rPr>
                <w:spacing w:val="-1"/>
                <w:sz w:val="20"/>
              </w:rPr>
              <w:t>级，按照预制安装体</w:t>
            </w:r>
          </w:p>
          <w:p>
            <w:pPr>
              <w:spacing w:line="274" w:lineRule="exact"/>
              <w:ind w:left="109"/>
            </w:pPr>
            <w:r>
              <w:rPr>
                <w:spacing w:val="-1"/>
                <w:sz w:val="20"/>
              </w:rPr>
              <w:t>积以立方米为单位计</w:t>
            </w:r>
          </w:p>
          <w:p>
            <w:pPr>
              <w:spacing w:line="271" w:lineRule="exact"/>
              <w:ind w:left="109"/>
            </w:pPr>
            <w:r>
              <w:rPr>
                <w:spacing w:val="-1"/>
                <w:sz w:val="20"/>
              </w:rPr>
              <w:t>量</w:t>
            </w:r>
          </w:p>
        </w:tc>
        <w:tc>
          <w:tcPr>
            <w:tcW w:w="2886" w:type="dxa"/>
            <w:tcBorders>
              <w:top w:val="single" w:color="000000" w:sz="6" w:space="0"/>
              <w:left w:val="single" w:color="auto" w:sz="4"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预制场地平整，硬化处理；</w:t>
            </w:r>
          </w:p>
          <w:p>
            <w:pPr>
              <w:spacing w:line="274" w:lineRule="exact"/>
              <w:ind w:left="281"/>
            </w:pPr>
            <w:r>
              <w:rPr>
                <w:rFonts w:ascii="Times New Roman" w:hAnsi="Times New Roman" w:cs="Times New Roman"/>
                <w:sz w:val="20"/>
              </w:rPr>
              <w:t>2.</w:t>
            </w:r>
            <w:r>
              <w:rPr>
                <w:spacing w:val="-1"/>
                <w:position w:val="1"/>
                <w:sz w:val="20"/>
              </w:rPr>
              <w:t>路缘（牙）石预制、装运；</w:t>
            </w:r>
          </w:p>
          <w:p>
            <w:pPr>
              <w:spacing w:line="271" w:lineRule="exact"/>
              <w:ind w:left="281"/>
            </w:pPr>
            <w:r>
              <w:rPr>
                <w:rFonts w:ascii="Times New Roman" w:hAnsi="Times New Roman" w:cs="Times New Roman"/>
                <w:sz w:val="20"/>
              </w:rPr>
              <w:t>3.</w:t>
            </w:r>
            <w:r>
              <w:rPr>
                <w:spacing w:val="-1"/>
                <w:position w:val="1"/>
                <w:sz w:val="20"/>
              </w:rPr>
              <w:t>路基整修、基槽开挖与回</w:t>
            </w:r>
          </w:p>
          <w:p>
            <w:pPr>
              <w:spacing w:line="239" w:lineRule="exact"/>
              <w:ind w:left="108"/>
            </w:pPr>
            <w:r>
              <w:rPr>
                <w:spacing w:val="-1"/>
                <w:sz w:val="20"/>
              </w:rPr>
              <w:t>填，废方弃运；</w:t>
            </w:r>
          </w:p>
          <w:p>
            <w:pPr>
              <w:spacing w:line="306" w:lineRule="exact"/>
              <w:ind w:left="281"/>
            </w:pPr>
            <w:r>
              <w:rPr>
                <w:rFonts w:ascii="Times New Roman" w:hAnsi="Times New Roman" w:cs="Times New Roman"/>
                <w:sz w:val="20"/>
              </w:rPr>
              <w:t>4.</w:t>
            </w:r>
            <w:r>
              <w:rPr>
                <w:spacing w:val="-1"/>
                <w:position w:val="1"/>
                <w:sz w:val="20"/>
              </w:rPr>
              <w:t>基槽夯实；</w:t>
            </w:r>
          </w:p>
          <w:p>
            <w:pPr>
              <w:spacing w:line="271" w:lineRule="exact"/>
              <w:ind w:left="281"/>
            </w:pPr>
            <w:r>
              <w:rPr>
                <w:rFonts w:ascii="Times New Roman" w:hAnsi="Times New Roman" w:cs="Times New Roman"/>
                <w:sz w:val="20"/>
              </w:rPr>
              <w:t>5.</w:t>
            </w:r>
            <w:r>
              <w:rPr>
                <w:spacing w:val="-1"/>
                <w:position w:val="1"/>
                <w:sz w:val="20"/>
              </w:rPr>
              <w:t>路缘石铺砌、勾缝；</w:t>
            </w:r>
          </w:p>
          <w:p>
            <w:pPr>
              <w:spacing w:line="274" w:lineRule="exact"/>
              <w:ind w:left="281"/>
            </w:pPr>
            <w:r>
              <w:rPr>
                <w:rFonts w:ascii="Times New Roman" w:hAnsi="Times New Roman" w:cs="Times New Roman"/>
                <w:sz w:val="20"/>
              </w:rPr>
              <w:t>6.</w:t>
            </w:r>
            <w:r>
              <w:rPr>
                <w:spacing w:val="-1"/>
                <w:position w:val="1"/>
                <w:sz w:val="20"/>
              </w:rPr>
              <w:t>路缘（牙）石后背回填夯</w:t>
            </w:r>
          </w:p>
          <w:p>
            <w:pPr>
              <w:spacing w:line="237" w:lineRule="exact"/>
              <w:ind w:left="108"/>
            </w:pPr>
            <w:r>
              <w:rPr>
                <w:spacing w:val="-1"/>
                <w:sz w:val="20"/>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166" w:type="dxa"/>
            <w:tcBorders>
              <w:top w:val="single" w:color="auto" w:sz="8" w:space="0"/>
              <w:left w:val="single" w:color="auto" w:sz="8" w:space="0"/>
            </w:tcBorders>
          </w:tcPr>
          <w:p>
            <w:pPr>
              <w:spacing w:line="1292" w:lineRule="exact"/>
              <w:jc w:val="center"/>
            </w:pPr>
            <w:r>
              <w:rPr>
                <w:rFonts w:ascii="Times New Roman" w:hAnsi="Times New Roman" w:cs="Times New Roman"/>
                <w:spacing w:val="-1"/>
                <w:sz w:val="20"/>
              </w:rPr>
              <w:t>3</w:t>
            </w:r>
            <w:r>
              <w:rPr>
                <w:rFonts w:hint="eastAsia" w:ascii="Times New Roman" w:hAnsi="Times New Roman" w:cs="Times New Roman"/>
                <w:spacing w:val="-1"/>
                <w:sz w:val="20"/>
              </w:rPr>
              <w:t>10</w:t>
            </w:r>
            <w:r>
              <w:rPr>
                <w:rFonts w:ascii="Times New Roman" w:hAnsi="Times New Roman" w:cs="Times New Roman"/>
                <w:spacing w:val="-1"/>
                <w:sz w:val="20"/>
              </w:rPr>
              <w:t>-1</w:t>
            </w:r>
          </w:p>
        </w:tc>
        <w:tc>
          <w:tcPr>
            <w:tcW w:w="1769" w:type="dxa"/>
            <w:tcBorders>
              <w:right w:val="single" w:color="auto" w:sz="8" w:space="0"/>
            </w:tcBorders>
          </w:tcPr>
          <w:p/>
          <w:p>
            <w:r>
              <w:t>培路肩</w:t>
            </w:r>
            <w:r>
              <w:rPr>
                <w:rFonts w:hint="eastAsia"/>
              </w:rPr>
              <w:t xml:space="preserve"> </w:t>
            </w:r>
          </w:p>
        </w:tc>
        <w:tc>
          <w:tcPr>
            <w:tcW w:w="1071" w:type="dxa"/>
            <w:tcBorders>
              <w:left w:val="single" w:color="auto" w:sz="8" w:space="0"/>
              <w:right w:val="single" w:color="auto" w:sz="8" w:space="0"/>
            </w:tcBorders>
          </w:tcPr>
          <w:p>
            <w:pPr>
              <w:jc w:val="center"/>
              <w:rPr>
                <w:rFonts w:ascii="Times New Roman" w:hAnsi="Times New Roman" w:cs="Times New Roman"/>
                <w:position w:val="-4"/>
                <w:sz w:val="20"/>
              </w:rPr>
            </w:pPr>
          </w:p>
          <w:p>
            <w:pPr>
              <w:jc w:val="center"/>
            </w:pPr>
            <w:r>
              <w:rPr>
                <w:rFonts w:ascii="Times New Roman" w:hAnsi="Times New Roman" w:cs="Times New Roman"/>
                <w:position w:val="-4"/>
                <w:sz w:val="20"/>
              </w:rPr>
              <w:t>m</w:t>
            </w:r>
            <w:r>
              <w:rPr>
                <w:rFonts w:ascii="Times New Roman" w:hAnsi="Times New Roman" w:cs="Times New Roman"/>
                <w:spacing w:val="-4"/>
                <w:sz w:val="13"/>
              </w:rPr>
              <w:t>2</w:t>
            </w:r>
          </w:p>
        </w:tc>
        <w:tc>
          <w:tcPr>
            <w:tcW w:w="2134" w:type="dxa"/>
            <w:gridSpan w:val="2"/>
            <w:tcBorders>
              <w:left w:val="single" w:color="auto" w:sz="8" w:space="0"/>
              <w:right w:val="single" w:color="auto" w:sz="8" w:space="0"/>
            </w:tcBorders>
          </w:tcPr>
          <w:p>
            <w:r>
              <w:rPr>
                <w:spacing w:val="-1"/>
                <w:sz w:val="20"/>
              </w:rPr>
              <w:t>依据图纸所示断面尺寸，按照设计厚度以平方米为单位计量</w:t>
            </w:r>
          </w:p>
        </w:tc>
        <w:tc>
          <w:tcPr>
            <w:tcW w:w="2886" w:type="dxa"/>
            <w:tcBorders>
              <w:left w:val="single" w:color="auto" w:sz="8" w:space="0"/>
              <w:right w:val="single" w:color="auto" w:sz="8" w:space="0"/>
            </w:tcBorders>
          </w:tcPr>
          <w:p>
            <w:pPr>
              <w:spacing w:line="280" w:lineRule="exact"/>
              <w:ind w:left="281"/>
            </w:pPr>
            <w:r>
              <w:rPr>
                <w:rFonts w:ascii="Times New Roman" w:hAnsi="Times New Roman" w:cs="Times New Roman"/>
                <w:sz w:val="20"/>
              </w:rPr>
              <w:t>1.</w:t>
            </w:r>
            <w:r>
              <w:rPr>
                <w:rFonts w:hint="eastAsia"/>
                <w:spacing w:val="-1"/>
                <w:position w:val="1"/>
                <w:sz w:val="20"/>
              </w:rPr>
              <w:t>路</w:t>
            </w:r>
            <w:r>
              <w:rPr>
                <w:spacing w:val="-1"/>
                <w:position w:val="1"/>
                <w:sz w:val="20"/>
              </w:rPr>
              <w:t>肩材料的装运</w:t>
            </w:r>
            <w:r>
              <w:rPr>
                <w:rFonts w:hint="eastAsia"/>
                <w:spacing w:val="-1"/>
                <w:position w:val="1"/>
                <w:sz w:val="20"/>
              </w:rPr>
              <w:t>、</w:t>
            </w:r>
            <w:r>
              <w:rPr>
                <w:rFonts w:hint="eastAsia"/>
                <w:spacing w:val="-1"/>
                <w:position w:val="1"/>
                <w:sz w:val="20"/>
                <w:lang w:val="en-US"/>
              </w:rPr>
              <w:t>卸料</w:t>
            </w:r>
            <w:r>
              <w:rPr>
                <w:spacing w:val="-1"/>
                <w:position w:val="1"/>
                <w:sz w:val="20"/>
              </w:rPr>
              <w:t>；</w:t>
            </w:r>
          </w:p>
          <w:p>
            <w:pPr>
              <w:spacing w:line="274" w:lineRule="exact"/>
              <w:ind w:left="281"/>
            </w:pPr>
            <w:r>
              <w:rPr>
                <w:rFonts w:ascii="Times New Roman" w:hAnsi="Times New Roman" w:cs="Times New Roman"/>
                <w:sz w:val="20"/>
              </w:rPr>
              <w:t>2.</w:t>
            </w:r>
            <w:r>
              <w:rPr>
                <w:rFonts w:hint="eastAsia"/>
                <w:spacing w:val="-1"/>
                <w:position w:val="1"/>
                <w:sz w:val="20"/>
              </w:rPr>
              <w:t>路</w:t>
            </w:r>
            <w:r>
              <w:rPr>
                <w:spacing w:val="-1"/>
                <w:position w:val="1"/>
                <w:sz w:val="20"/>
              </w:rPr>
              <w:t>肩</w:t>
            </w:r>
            <w:r>
              <w:rPr>
                <w:rFonts w:hint="eastAsia"/>
                <w:spacing w:val="-1"/>
                <w:position w:val="1"/>
                <w:sz w:val="20"/>
              </w:rPr>
              <w:t>材料</w:t>
            </w:r>
            <w:r>
              <w:rPr>
                <w:spacing w:val="-1"/>
                <w:position w:val="1"/>
                <w:sz w:val="20"/>
              </w:rPr>
              <w:t>的摊铺、洒水、压实；</w:t>
            </w:r>
          </w:p>
          <w:p>
            <w:pPr>
              <w:spacing w:line="239" w:lineRule="exact"/>
              <w:ind w:left="112" w:leftChars="51" w:firstLine="200" w:firstLineChars="100"/>
            </w:pPr>
            <w:r>
              <w:rPr>
                <w:rFonts w:ascii="Times New Roman" w:hAnsi="Times New Roman" w:cs="Times New Roman"/>
                <w:sz w:val="20"/>
              </w:rPr>
              <w:t>3.</w:t>
            </w:r>
            <w:r>
              <w:rPr>
                <w:rFonts w:hint="eastAsia"/>
                <w:spacing w:val="-1"/>
                <w:position w:val="1"/>
                <w:sz w:val="20"/>
              </w:rPr>
              <w:t>路</w:t>
            </w:r>
            <w:r>
              <w:rPr>
                <w:spacing w:val="-1"/>
                <w:position w:val="1"/>
                <w:sz w:val="20"/>
              </w:rPr>
              <w:t>肩</w:t>
            </w:r>
            <w:r>
              <w:rPr>
                <w:rFonts w:hint="eastAsia"/>
                <w:spacing w:val="-1"/>
                <w:position w:val="1"/>
                <w:sz w:val="20"/>
              </w:rPr>
              <w:t>的整修</w:t>
            </w:r>
            <w:r>
              <w:rPr>
                <w:spacing w:val="-1"/>
                <w:sz w:val="20"/>
              </w:rPr>
              <w:t>；</w:t>
            </w:r>
          </w:p>
          <w:p/>
        </w:tc>
      </w:tr>
    </w:tbl>
    <w:p>
      <w:pPr>
        <w:spacing w:line="270" w:lineRule="atLeast"/>
        <w:rPr>
          <w:sz w:val="21"/>
        </w:rPr>
        <w:sectPr>
          <w:footerReference r:id="rId21" w:type="default"/>
          <w:pgSz w:w="11910" w:h="16840"/>
          <w:pgMar w:top="1440" w:right="1080" w:bottom="1040" w:left="1420" w:header="882" w:footer="847" w:gutter="0"/>
          <w:cols w:space="720" w:num="1"/>
        </w:sectPr>
      </w:pPr>
    </w:p>
    <w:p>
      <w:pPr>
        <w:spacing w:before="139"/>
        <w:ind w:left="86" w:right="196"/>
        <w:jc w:val="center"/>
        <w:rPr>
          <w:sz w:val="28"/>
        </w:rPr>
      </w:pPr>
      <w:r>
        <w:rPr>
          <w:rFonts w:hint="eastAsia"/>
          <w:sz w:val="28"/>
        </w:rPr>
        <w:t>第 400 章 桥梁通道</w:t>
      </w:r>
    </w:p>
    <w:p>
      <w:pPr>
        <w:pStyle w:val="10"/>
        <w:spacing w:before="1"/>
        <w:rPr>
          <w:sz w:val="18"/>
        </w:rPr>
      </w:pPr>
    </w:p>
    <w:tbl>
      <w:tblPr>
        <w:tblStyle w:val="18"/>
        <w:tblW w:w="9015" w:type="dxa"/>
        <w:tblInd w:w="0" w:type="dxa"/>
        <w:tblLayout w:type="fixed"/>
        <w:tblCellMar>
          <w:top w:w="0" w:type="dxa"/>
          <w:left w:w="108" w:type="dxa"/>
          <w:bottom w:w="0" w:type="dxa"/>
          <w:right w:w="108" w:type="dxa"/>
        </w:tblCellMar>
      </w:tblPr>
      <w:tblGrid>
        <w:gridCol w:w="1120"/>
        <w:gridCol w:w="1775"/>
        <w:gridCol w:w="1080"/>
        <w:gridCol w:w="2880"/>
        <w:gridCol w:w="2160"/>
      </w:tblGrid>
      <w:tr>
        <w:tblPrEx>
          <w:tblCellMar>
            <w:top w:w="0" w:type="dxa"/>
            <w:left w:w="108" w:type="dxa"/>
            <w:bottom w:w="0" w:type="dxa"/>
            <w:right w:w="108" w:type="dxa"/>
          </w:tblCellMar>
        </w:tblPrEx>
        <w:trPr>
          <w:trHeight w:val="49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3" w:lineRule="exact"/>
              <w:ind w:left="245"/>
            </w:pPr>
            <w:r>
              <w:rPr>
                <w:spacing w:val="-1"/>
                <w:sz w:val="20"/>
              </w:rPr>
              <w:t>子目号</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3" w:lineRule="exact"/>
              <w:ind w:left="467"/>
            </w:pPr>
            <w:r>
              <w:rPr>
                <w:spacing w:val="-1"/>
                <w:sz w:val="20"/>
              </w:rPr>
              <w:t>子目名称</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3" w:lineRule="exact"/>
              <w:ind w:left="329"/>
            </w:pPr>
            <w:r>
              <w:rPr>
                <w:spacing w:val="-1"/>
                <w:sz w:val="20"/>
              </w:rPr>
              <w:t>单位</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3" w:lineRule="exact"/>
              <w:ind w:left="914"/>
            </w:pPr>
            <w:r>
              <w:rPr>
                <w:spacing w:val="-1"/>
                <w:sz w:val="20"/>
              </w:rPr>
              <w:t>工程量计量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3" w:lineRule="exact"/>
              <w:ind w:left="660"/>
            </w:pPr>
            <w:r>
              <w:rPr>
                <w:spacing w:val="-1"/>
                <w:sz w:val="20"/>
              </w:rPr>
              <w:t>工程内容</w:t>
            </w:r>
          </w:p>
        </w:tc>
      </w:tr>
      <w:tr>
        <w:tblPrEx>
          <w:tblCellMar>
            <w:top w:w="0" w:type="dxa"/>
            <w:left w:w="108" w:type="dxa"/>
            <w:bottom w:w="0" w:type="dxa"/>
            <w:right w:w="108" w:type="dxa"/>
          </w:tblCellMar>
        </w:tblPrEx>
        <w:trPr>
          <w:trHeight w:val="49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45" w:lineRule="exact"/>
              <w:ind w:left="401"/>
            </w:pPr>
            <w:r>
              <w:rPr>
                <w:rFonts w:ascii="Times New Roman" w:hAnsi="Times New Roman" w:cs="Times New Roman"/>
                <w:spacing w:val="-1"/>
                <w:sz w:val="20"/>
              </w:rPr>
              <w:t>401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3" w:lineRule="exact"/>
              <w:ind w:left="282"/>
            </w:pPr>
            <w:r>
              <w:rPr>
                <w:spacing w:val="-1"/>
                <w:sz w:val="20"/>
              </w:rPr>
              <w:t>基础部分</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3" w:lineRule="exact"/>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3" w:lineRule="exact"/>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3" w:lineRule="exact"/>
            </w:pPr>
          </w:p>
        </w:tc>
      </w:tr>
      <w:tr>
        <w:tblPrEx>
          <w:tblCellMar>
            <w:top w:w="0" w:type="dxa"/>
            <w:left w:w="108" w:type="dxa"/>
            <w:bottom w:w="0" w:type="dxa"/>
            <w:right w:w="108" w:type="dxa"/>
          </w:tblCellMar>
        </w:tblPrEx>
        <w:trPr>
          <w:trHeight w:val="49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45" w:lineRule="exact"/>
              <w:ind w:left="315"/>
            </w:pPr>
            <w:r>
              <w:rPr>
                <w:rFonts w:ascii="Times New Roman" w:hAnsi="Times New Roman" w:cs="Times New Roman"/>
                <w:spacing w:val="-1"/>
                <w:sz w:val="20"/>
              </w:rPr>
              <w:t>401-1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3" w:lineRule="exact"/>
              <w:ind w:left="282"/>
            </w:pPr>
            <w:r>
              <w:rPr>
                <w:sz w:val="20"/>
              </w:rPr>
              <w:t>挖基土（石）方</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3" w:lineRule="exact"/>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3" w:lineRule="exact"/>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3" w:lineRule="exact"/>
            </w:pPr>
          </w:p>
        </w:tc>
      </w:tr>
      <w:tr>
        <w:tblPrEx>
          <w:tblCellMar>
            <w:top w:w="0" w:type="dxa"/>
            <w:left w:w="108" w:type="dxa"/>
            <w:bottom w:w="0" w:type="dxa"/>
            <w:right w:w="108" w:type="dxa"/>
          </w:tblCellMar>
        </w:tblPrEx>
        <w:trPr>
          <w:trHeight w:val="11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78" w:lineRule="exact"/>
              <w:ind w:left="478"/>
            </w:pPr>
            <w:r>
              <w:rPr>
                <w:rFonts w:ascii="Times New Roman" w:hAnsi="Times New Roman" w:cs="Times New Roman"/>
                <w:spacing w:val="-1"/>
                <w:sz w:val="20"/>
              </w:rPr>
              <w:t>-a</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29" w:lineRule="exact"/>
              <w:ind w:left="282"/>
            </w:pPr>
            <w:r>
              <w:rPr>
                <w:spacing w:val="-1"/>
                <w:sz w:val="20"/>
              </w:rPr>
              <w:t>干处挖土方</w:t>
            </w:r>
          </w:p>
        </w:tc>
        <w:tc>
          <w:tcPr>
            <w:tcW w:w="10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27" w:lineRule="exact"/>
              <w:ind w:left="425"/>
            </w:pPr>
            <w:r>
              <w:rPr>
                <w:rFonts w:ascii="Times New Roman" w:hAnsi="Times New Roman" w:cs="Times New Roman"/>
                <w:position w:val="-4"/>
                <w:sz w:val="20"/>
              </w:rPr>
              <w:t>m</w:t>
            </w:r>
            <w:r>
              <w:rPr>
                <w:rFonts w:ascii="Times New Roman" w:hAnsi="Times New Roman" w:cs="Times New Roman"/>
                <w:spacing w:val="-4"/>
                <w:sz w:val="13"/>
              </w:rPr>
              <w:t>3</w:t>
            </w:r>
          </w:p>
        </w:tc>
        <w:tc>
          <w:tcPr>
            <w:tcW w:w="28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根据图示，取用底、顶面</w:t>
            </w:r>
          </w:p>
          <w:p>
            <w:pPr>
              <w:spacing w:line="239" w:lineRule="exact"/>
              <w:ind w:left="108"/>
            </w:pPr>
            <w:r>
              <w:rPr>
                <w:spacing w:val="-1"/>
                <w:sz w:val="20"/>
              </w:rPr>
              <w:t>间平均高度的棱柱体体积，分</w:t>
            </w:r>
          </w:p>
          <w:p>
            <w:pPr>
              <w:spacing w:line="271" w:lineRule="exact"/>
              <w:ind w:left="108"/>
            </w:pPr>
            <w:r>
              <w:rPr>
                <w:sz w:val="20"/>
              </w:rPr>
              <w:t>干处、水下及土、石不同类型，</w:t>
            </w:r>
          </w:p>
          <w:p>
            <w:pPr>
              <w:spacing w:line="274" w:lineRule="exact"/>
              <w:ind w:left="108"/>
            </w:pPr>
            <w:r>
              <w:rPr>
                <w:spacing w:val="-1"/>
                <w:sz w:val="20"/>
              </w:rPr>
              <w:t>以立方米为单位计量；</w:t>
            </w:r>
          </w:p>
          <w:p>
            <w:pPr>
              <w:spacing w:line="306" w:lineRule="exact"/>
              <w:ind w:left="281"/>
            </w:pPr>
            <w:r>
              <w:rPr>
                <w:rFonts w:ascii="Times New Roman" w:hAnsi="Times New Roman" w:cs="Times New Roman"/>
                <w:sz w:val="20"/>
              </w:rPr>
              <w:t>2.</w:t>
            </w:r>
            <w:r>
              <w:rPr>
                <w:spacing w:val="-1"/>
                <w:position w:val="1"/>
                <w:sz w:val="20"/>
              </w:rPr>
              <w:t>在地下水位以上开挖的为</w:t>
            </w:r>
          </w:p>
          <w:p>
            <w:pPr>
              <w:spacing w:line="237" w:lineRule="exact"/>
              <w:ind w:left="108"/>
            </w:pPr>
            <w:r>
              <w:rPr>
                <w:spacing w:val="-1"/>
                <w:sz w:val="20"/>
              </w:rPr>
              <w:t>干处挖方，在地下水位以下开</w:t>
            </w:r>
          </w:p>
          <w:p>
            <w:pPr>
              <w:spacing w:line="274" w:lineRule="exact"/>
              <w:ind w:left="108"/>
            </w:pPr>
            <w:r>
              <w:rPr>
                <w:spacing w:val="-1"/>
                <w:sz w:val="20"/>
              </w:rPr>
              <w:t>挖的为水下挖方；</w:t>
            </w:r>
          </w:p>
          <w:p>
            <w:pPr>
              <w:spacing w:line="308" w:lineRule="exact"/>
              <w:ind w:left="281"/>
            </w:pPr>
            <w:r>
              <w:rPr>
                <w:rFonts w:ascii="Times New Roman" w:hAnsi="Times New Roman" w:cs="Times New Roman"/>
                <w:sz w:val="20"/>
              </w:rPr>
              <w:t>3.</w:t>
            </w:r>
            <w:r>
              <w:rPr>
                <w:spacing w:val="-1"/>
                <w:position w:val="1"/>
                <w:sz w:val="20"/>
              </w:rPr>
              <w:t>基坑底面、顶面及侧面的</w:t>
            </w:r>
          </w:p>
          <w:p>
            <w:pPr>
              <w:spacing w:line="236" w:lineRule="exact"/>
              <w:ind w:left="108"/>
            </w:pPr>
            <w:r>
              <w:rPr>
                <w:spacing w:val="-1"/>
                <w:sz w:val="20"/>
              </w:rPr>
              <w:t>确定应符合下列规定：</w:t>
            </w:r>
          </w:p>
          <w:p>
            <w:pPr>
              <w:spacing w:line="308" w:lineRule="exact"/>
              <w:ind w:left="281"/>
            </w:pPr>
            <w:r>
              <w:rPr>
                <w:rFonts w:ascii="Times New Roman" w:hAnsi="Times New Roman" w:cs="Times New Roman"/>
                <w:spacing w:val="-1"/>
                <w:sz w:val="20"/>
              </w:rPr>
              <w:t>a.</w:t>
            </w:r>
            <w:r>
              <w:rPr>
                <w:spacing w:val="-1"/>
                <w:position w:val="1"/>
                <w:sz w:val="20"/>
              </w:rPr>
              <w:t>基坑开挖底面：按图纸所</w:t>
            </w:r>
          </w:p>
          <w:p>
            <w:pPr>
              <w:spacing w:line="237" w:lineRule="exact"/>
              <w:ind w:left="108"/>
            </w:pPr>
            <w:r>
              <w:rPr>
                <w:spacing w:val="-1"/>
                <w:sz w:val="20"/>
              </w:rPr>
              <w:t>示的基底高程线计算。</w:t>
            </w:r>
          </w:p>
          <w:p>
            <w:pPr>
              <w:spacing w:line="306" w:lineRule="exact"/>
              <w:ind w:left="281"/>
            </w:pPr>
            <w:r>
              <w:rPr>
                <w:rFonts w:ascii="Times New Roman" w:hAnsi="Times New Roman" w:cs="Times New Roman"/>
                <w:sz w:val="20"/>
              </w:rPr>
              <w:t>b.</w:t>
            </w:r>
            <w:r>
              <w:rPr>
                <w:spacing w:val="-1"/>
                <w:position w:val="1"/>
                <w:sz w:val="20"/>
              </w:rPr>
              <w:t>基坑开挖顶面：按设计图</w:t>
            </w:r>
          </w:p>
          <w:p>
            <w:pPr>
              <w:spacing w:line="239" w:lineRule="exact"/>
              <w:ind w:left="108"/>
            </w:pPr>
            <w:r>
              <w:rPr>
                <w:spacing w:val="-1"/>
                <w:sz w:val="20"/>
              </w:rPr>
              <w:t>纸横断面上所标示的原地面</w:t>
            </w:r>
          </w:p>
          <w:p>
            <w:pPr>
              <w:spacing w:line="271" w:lineRule="exact"/>
              <w:ind w:left="108"/>
            </w:pPr>
            <w:r>
              <w:rPr>
                <w:spacing w:val="-1"/>
                <w:sz w:val="20"/>
              </w:rPr>
              <w:t>线计算。</w:t>
            </w:r>
          </w:p>
          <w:p>
            <w:pPr>
              <w:spacing w:line="308" w:lineRule="exact"/>
              <w:ind w:left="281"/>
            </w:pPr>
            <w:r>
              <w:rPr>
                <w:rFonts w:ascii="Times New Roman" w:hAnsi="Times New Roman" w:cs="Times New Roman"/>
                <w:spacing w:val="-1"/>
                <w:sz w:val="20"/>
              </w:rPr>
              <w:t>c.</w:t>
            </w:r>
            <w:r>
              <w:rPr>
                <w:spacing w:val="-1"/>
                <w:position w:val="1"/>
                <w:sz w:val="20"/>
              </w:rPr>
              <w:t>基坑开挖侧面：按顶面到</w:t>
            </w:r>
          </w:p>
          <w:p>
            <w:pPr>
              <w:spacing w:line="271" w:lineRule="exact"/>
              <w:ind w:left="108"/>
            </w:pPr>
            <w:r>
              <w:rPr>
                <w:spacing w:val="-1"/>
                <w:position w:val="1"/>
                <w:sz w:val="20"/>
              </w:rPr>
              <w:t>底面，以超出基底周边</w:t>
            </w:r>
            <w:r>
              <w:rPr>
                <w:rFonts w:ascii="Calibri" w:hAnsi="Calibri" w:cs="Calibri"/>
                <w:sz w:val="20"/>
              </w:rPr>
              <w:t> </w:t>
            </w:r>
            <w:r>
              <w:rPr>
                <w:rFonts w:ascii="Times New Roman" w:hAnsi="Times New Roman" w:cs="Times New Roman"/>
                <w:sz w:val="20"/>
              </w:rPr>
              <w:t>0.5m</w:t>
            </w:r>
          </w:p>
          <w:p>
            <w:pPr>
              <w:spacing w:line="239" w:lineRule="exact"/>
              <w:ind w:left="108"/>
            </w:pPr>
            <w:r>
              <w:rPr>
                <w:spacing w:val="-1"/>
                <w:sz w:val="20"/>
              </w:rPr>
              <w:t>的竖直面为界</w:t>
            </w:r>
          </w:p>
        </w:tc>
        <w:tc>
          <w:tcPr>
            <w:tcW w:w="216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54" w:lineRule="exact"/>
              <w:ind w:left="281"/>
            </w:pPr>
            <w:r>
              <w:rPr>
                <w:rFonts w:ascii="Times New Roman" w:hAnsi="Times New Roman" w:cs="Times New Roman"/>
                <w:sz w:val="20"/>
              </w:rPr>
              <w:t>1.</w:t>
            </w:r>
            <w:r>
              <w:rPr>
                <w:spacing w:val="-1"/>
                <w:position w:val="1"/>
                <w:sz w:val="20"/>
              </w:rPr>
              <w:t>场地清理；</w:t>
            </w:r>
          </w:p>
          <w:p>
            <w:pPr>
              <w:spacing w:line="271" w:lineRule="exact"/>
              <w:ind w:left="281"/>
            </w:pPr>
            <w:r>
              <w:rPr>
                <w:rFonts w:ascii="Times New Roman" w:hAnsi="Times New Roman" w:cs="Times New Roman"/>
                <w:sz w:val="20"/>
              </w:rPr>
              <w:t>2.</w:t>
            </w:r>
            <w:r>
              <w:rPr>
                <w:spacing w:val="-1"/>
                <w:position w:val="1"/>
                <w:sz w:val="20"/>
              </w:rPr>
              <w:t>围堰、排水；</w:t>
            </w:r>
          </w:p>
          <w:p>
            <w:pPr>
              <w:spacing w:line="274" w:lineRule="exact"/>
              <w:ind w:left="281"/>
            </w:pPr>
            <w:r>
              <w:rPr>
                <w:rFonts w:ascii="Times New Roman" w:hAnsi="Times New Roman" w:cs="Times New Roman"/>
                <w:sz w:val="20"/>
              </w:rPr>
              <w:t>3.</w:t>
            </w:r>
            <w:r>
              <w:rPr>
                <w:spacing w:val="-1"/>
                <w:position w:val="1"/>
                <w:sz w:val="20"/>
              </w:rPr>
              <w:t>基坑开挖；</w:t>
            </w:r>
          </w:p>
          <w:p>
            <w:pPr>
              <w:spacing w:line="271" w:lineRule="exact"/>
              <w:ind w:left="281"/>
            </w:pPr>
            <w:r>
              <w:rPr>
                <w:rFonts w:ascii="Times New Roman" w:hAnsi="Times New Roman" w:cs="Times New Roman"/>
                <w:sz w:val="20"/>
              </w:rPr>
              <w:t>4.</w:t>
            </w:r>
            <w:r>
              <w:rPr>
                <w:spacing w:val="-1"/>
                <w:position w:val="1"/>
                <w:sz w:val="20"/>
              </w:rPr>
              <w:t>基坑支护；</w:t>
            </w:r>
          </w:p>
          <w:p>
            <w:pPr>
              <w:spacing w:line="274" w:lineRule="exact"/>
              <w:ind w:left="281"/>
            </w:pPr>
            <w:r>
              <w:rPr>
                <w:rFonts w:ascii="Times New Roman" w:hAnsi="Times New Roman" w:cs="Times New Roman"/>
                <w:sz w:val="20"/>
              </w:rPr>
              <w:t>5.</w:t>
            </w:r>
            <w:r>
              <w:rPr>
                <w:spacing w:val="-1"/>
                <w:position w:val="1"/>
                <w:sz w:val="20"/>
              </w:rPr>
              <w:t>基坑检查、修整；</w:t>
            </w:r>
          </w:p>
          <w:p>
            <w:pPr>
              <w:spacing w:line="271" w:lineRule="exact"/>
              <w:ind w:left="281"/>
            </w:pPr>
            <w:r>
              <w:rPr>
                <w:rFonts w:ascii="Times New Roman" w:hAnsi="Times New Roman" w:cs="Times New Roman"/>
                <w:sz w:val="20"/>
              </w:rPr>
              <w:t>6.</w:t>
            </w:r>
            <w:r>
              <w:rPr>
                <w:spacing w:val="-1"/>
                <w:position w:val="1"/>
                <w:sz w:val="20"/>
              </w:rPr>
              <w:t>基坑回填、压实；</w:t>
            </w:r>
          </w:p>
          <w:p>
            <w:pPr>
              <w:spacing w:line="274" w:lineRule="exact"/>
              <w:ind w:left="281"/>
            </w:pPr>
            <w:r>
              <w:rPr>
                <w:rFonts w:ascii="Times New Roman" w:hAnsi="Times New Roman" w:cs="Times New Roman"/>
                <w:sz w:val="20"/>
              </w:rPr>
              <w:t>7.</w:t>
            </w:r>
            <w:r>
              <w:rPr>
                <w:spacing w:val="-1"/>
                <w:position w:val="1"/>
                <w:sz w:val="20"/>
              </w:rPr>
              <w:t>弃方清运</w:t>
            </w:r>
          </w:p>
        </w:tc>
      </w:tr>
      <w:tr>
        <w:tblPrEx>
          <w:tblCellMar>
            <w:top w:w="0" w:type="dxa"/>
            <w:left w:w="108" w:type="dxa"/>
            <w:bottom w:w="0" w:type="dxa"/>
            <w:right w:w="108" w:type="dxa"/>
          </w:tblCellMar>
        </w:tblPrEx>
        <w:trPr>
          <w:trHeight w:val="1105"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50" w:lineRule="exact"/>
              <w:ind w:left="473"/>
            </w:pPr>
            <w:r>
              <w:rPr>
                <w:rFonts w:ascii="Times New Roman" w:hAnsi="Times New Roman" w:cs="Times New Roman"/>
                <w:spacing w:val="-1"/>
                <w:sz w:val="20"/>
              </w:rPr>
              <w:t>-b</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01" w:lineRule="exact"/>
              <w:ind w:left="282"/>
            </w:pPr>
            <w:r>
              <w:rPr>
                <w:spacing w:val="-1"/>
                <w:sz w:val="20"/>
              </w:rPr>
              <w:t>水下挖土方</w:t>
            </w: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01" w:lineRule="exact"/>
            </w:pPr>
          </w:p>
        </w:tc>
        <w:tc>
          <w:tcPr>
            <w:tcW w:w="28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01" w:lineRule="exact"/>
            </w:pPr>
          </w:p>
        </w:tc>
        <w:tc>
          <w:tcPr>
            <w:tcW w:w="216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01" w:lineRule="exact"/>
            </w:pPr>
          </w:p>
        </w:tc>
      </w:tr>
      <w:tr>
        <w:tblPrEx>
          <w:tblCellMar>
            <w:top w:w="0" w:type="dxa"/>
            <w:left w:w="108" w:type="dxa"/>
            <w:bottom w:w="0" w:type="dxa"/>
            <w:right w:w="108" w:type="dxa"/>
          </w:tblCellMar>
        </w:tblPrEx>
        <w:trPr>
          <w:trHeight w:val="114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73" w:lineRule="exact"/>
              <w:ind w:left="478"/>
            </w:pPr>
            <w:r>
              <w:rPr>
                <w:rFonts w:ascii="Times New Roman" w:hAnsi="Times New Roman" w:cs="Times New Roman"/>
                <w:spacing w:val="-1"/>
                <w:sz w:val="20"/>
              </w:rPr>
              <w:t>-c</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22" w:lineRule="exact"/>
              <w:ind w:left="282"/>
            </w:pPr>
            <w:r>
              <w:rPr>
                <w:spacing w:val="-1"/>
                <w:sz w:val="20"/>
              </w:rPr>
              <w:t>干处挖石方</w:t>
            </w: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22" w:lineRule="exact"/>
            </w:pPr>
          </w:p>
        </w:tc>
        <w:tc>
          <w:tcPr>
            <w:tcW w:w="28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22" w:lineRule="exact"/>
            </w:pPr>
          </w:p>
        </w:tc>
        <w:tc>
          <w:tcPr>
            <w:tcW w:w="216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09" w:lineRule="exact"/>
              <w:ind w:left="281"/>
            </w:pPr>
            <w:r>
              <w:rPr>
                <w:rFonts w:ascii="Times New Roman" w:hAnsi="Times New Roman" w:cs="Times New Roman"/>
                <w:sz w:val="20"/>
              </w:rPr>
              <w:t>1.</w:t>
            </w:r>
            <w:r>
              <w:rPr>
                <w:spacing w:val="-1"/>
                <w:position w:val="1"/>
                <w:sz w:val="20"/>
              </w:rPr>
              <w:t>场地清理；</w:t>
            </w:r>
          </w:p>
          <w:p>
            <w:pPr>
              <w:spacing w:line="271" w:lineRule="exact"/>
              <w:ind w:left="281"/>
            </w:pPr>
            <w:r>
              <w:rPr>
                <w:rFonts w:ascii="Times New Roman" w:hAnsi="Times New Roman" w:cs="Times New Roman"/>
                <w:sz w:val="20"/>
              </w:rPr>
              <w:t>2.</w:t>
            </w:r>
            <w:r>
              <w:rPr>
                <w:spacing w:val="-1"/>
                <w:position w:val="1"/>
                <w:sz w:val="20"/>
              </w:rPr>
              <w:t>围堰、排水；</w:t>
            </w:r>
          </w:p>
          <w:p>
            <w:pPr>
              <w:spacing w:line="271" w:lineRule="exact"/>
              <w:ind w:left="281"/>
            </w:pPr>
            <w:r>
              <w:rPr>
                <w:rFonts w:ascii="Times New Roman" w:hAnsi="Times New Roman" w:cs="Times New Roman"/>
                <w:sz w:val="20"/>
              </w:rPr>
              <w:t>3.</w:t>
            </w:r>
            <w:r>
              <w:rPr>
                <w:spacing w:val="-1"/>
                <w:position w:val="1"/>
                <w:sz w:val="20"/>
              </w:rPr>
              <w:t>钻爆、出渣；</w:t>
            </w:r>
          </w:p>
          <w:p>
            <w:pPr>
              <w:spacing w:line="274" w:lineRule="exact"/>
              <w:ind w:left="281"/>
            </w:pPr>
            <w:r>
              <w:rPr>
                <w:rFonts w:ascii="Times New Roman" w:hAnsi="Times New Roman" w:cs="Times New Roman"/>
                <w:sz w:val="20"/>
              </w:rPr>
              <w:t>4.</w:t>
            </w:r>
            <w:r>
              <w:rPr>
                <w:spacing w:val="-1"/>
                <w:position w:val="1"/>
                <w:sz w:val="20"/>
              </w:rPr>
              <w:t>基坑支护；</w:t>
            </w:r>
          </w:p>
          <w:p>
            <w:pPr>
              <w:spacing w:line="271" w:lineRule="exact"/>
              <w:ind w:left="281"/>
            </w:pPr>
            <w:r>
              <w:rPr>
                <w:rFonts w:ascii="Times New Roman" w:hAnsi="Times New Roman" w:cs="Times New Roman"/>
                <w:sz w:val="20"/>
              </w:rPr>
              <w:t>5.</w:t>
            </w:r>
            <w:r>
              <w:rPr>
                <w:spacing w:val="-1"/>
                <w:position w:val="1"/>
                <w:sz w:val="20"/>
              </w:rPr>
              <w:t>基坑检查、修整；</w:t>
            </w:r>
          </w:p>
          <w:p>
            <w:pPr>
              <w:spacing w:line="274" w:lineRule="exact"/>
              <w:ind w:left="281"/>
            </w:pPr>
            <w:r>
              <w:rPr>
                <w:rFonts w:ascii="Times New Roman" w:hAnsi="Times New Roman" w:cs="Times New Roman"/>
                <w:sz w:val="20"/>
              </w:rPr>
              <w:t>6.</w:t>
            </w:r>
            <w:r>
              <w:rPr>
                <w:spacing w:val="-1"/>
                <w:position w:val="1"/>
                <w:sz w:val="20"/>
              </w:rPr>
              <w:t>基坑回填、压实；</w:t>
            </w:r>
          </w:p>
          <w:p>
            <w:pPr>
              <w:spacing w:line="271" w:lineRule="exact"/>
              <w:ind w:left="281"/>
            </w:pPr>
            <w:r>
              <w:rPr>
                <w:rFonts w:ascii="Times New Roman" w:hAnsi="Times New Roman" w:cs="Times New Roman"/>
                <w:sz w:val="20"/>
              </w:rPr>
              <w:t>7.</w:t>
            </w:r>
            <w:r>
              <w:rPr>
                <w:spacing w:val="-1"/>
                <w:position w:val="1"/>
                <w:sz w:val="20"/>
              </w:rPr>
              <w:t>弃方清运</w:t>
            </w:r>
          </w:p>
        </w:tc>
      </w:tr>
      <w:tr>
        <w:tblPrEx>
          <w:tblCellMar>
            <w:top w:w="0" w:type="dxa"/>
            <w:left w:w="108" w:type="dxa"/>
            <w:bottom w:w="0" w:type="dxa"/>
            <w:right w:w="108" w:type="dxa"/>
          </w:tblCellMar>
        </w:tblPrEx>
        <w:trPr>
          <w:trHeight w:val="1225"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10" w:lineRule="exact"/>
              <w:ind w:left="473"/>
            </w:pPr>
            <w:r>
              <w:rPr>
                <w:rFonts w:ascii="Times New Roman" w:hAnsi="Times New Roman" w:cs="Times New Roman"/>
                <w:spacing w:val="-1"/>
                <w:sz w:val="20"/>
              </w:rPr>
              <w:t>-d</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61" w:lineRule="exact"/>
              <w:ind w:left="282"/>
            </w:pPr>
            <w:r>
              <w:rPr>
                <w:spacing w:val="-1"/>
                <w:sz w:val="20"/>
              </w:rPr>
              <w:t>水下挖石方</w:t>
            </w: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61" w:lineRule="exact"/>
            </w:pPr>
          </w:p>
        </w:tc>
        <w:tc>
          <w:tcPr>
            <w:tcW w:w="28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61" w:lineRule="exact"/>
            </w:pPr>
          </w:p>
        </w:tc>
        <w:tc>
          <w:tcPr>
            <w:tcW w:w="216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61" w:lineRule="exact"/>
            </w:pPr>
          </w:p>
        </w:tc>
      </w:tr>
      <w:tr>
        <w:tblPrEx>
          <w:tblCellMar>
            <w:top w:w="0" w:type="dxa"/>
            <w:left w:w="108" w:type="dxa"/>
            <w:bottom w:w="0" w:type="dxa"/>
            <w:right w:w="108" w:type="dxa"/>
          </w:tblCellMar>
        </w:tblPrEx>
        <w:trPr>
          <w:trHeight w:val="416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244" w:lineRule="exact"/>
              <w:ind w:left="315"/>
            </w:pPr>
            <w:r>
              <w:rPr>
                <w:rFonts w:ascii="Times New Roman" w:hAnsi="Times New Roman" w:cs="Times New Roman"/>
                <w:spacing w:val="-1"/>
                <w:sz w:val="20"/>
              </w:rPr>
              <w:t>401-2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75" w:lineRule="exact"/>
              <w:ind w:left="282"/>
            </w:pPr>
            <w:r>
              <w:rPr>
                <w:sz w:val="20"/>
              </w:rPr>
              <w:t>混凝土基础（包</w:t>
            </w:r>
          </w:p>
          <w:p>
            <w:pPr>
              <w:spacing w:line="360" w:lineRule="exact"/>
              <w:ind w:left="107"/>
            </w:pPr>
            <w:r>
              <w:rPr>
                <w:spacing w:val="-1"/>
                <w:sz w:val="20"/>
              </w:rPr>
              <w:t>括支撑梁、桩基</w:t>
            </w:r>
          </w:p>
          <w:p>
            <w:pPr>
              <w:spacing w:line="360" w:lineRule="exact"/>
              <w:ind w:left="107"/>
            </w:pPr>
            <w:r>
              <w:rPr>
                <w:spacing w:val="-1"/>
                <w:sz w:val="20"/>
              </w:rPr>
              <w:t>承台、桩系梁，</w:t>
            </w:r>
          </w:p>
          <w:p>
            <w:pPr>
              <w:spacing w:line="360" w:lineRule="exact"/>
              <w:ind w:left="107"/>
            </w:pPr>
            <w:r>
              <w:rPr>
                <w:spacing w:val="-1"/>
                <w:sz w:val="20"/>
              </w:rPr>
              <w:t>但不包括桩基</w:t>
            </w:r>
          </w:p>
          <w:p>
            <w:pPr>
              <w:spacing w:line="360" w:lineRule="exact"/>
              <w:ind w:left="107"/>
            </w:pPr>
            <w:r>
              <w:rPr>
                <w:spacing w:val="-1"/>
                <w:sz w:val="20"/>
              </w:rPr>
              <w:t>础）</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152" w:lineRule="exact"/>
              <w:ind w:left="425"/>
            </w:pPr>
            <w:r>
              <w:rPr>
                <w:rFonts w:ascii="Times New Roman" w:hAnsi="Times New Roman" w:cs="Times New Roman"/>
                <w:position w:val="-4"/>
                <w:sz w:val="20"/>
              </w:rPr>
              <w:t>m</w:t>
            </w:r>
            <w:r>
              <w:rPr>
                <w:rFonts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878" w:lineRule="exact"/>
              <w:ind w:left="281"/>
            </w:pPr>
            <w:r>
              <w:rPr>
                <w:spacing w:val="-1"/>
                <w:sz w:val="20"/>
              </w:rPr>
              <w:t>依据图纸所示体积，分不同</w:t>
            </w:r>
          </w:p>
          <w:p>
            <w:pPr>
              <w:spacing w:line="271" w:lineRule="exact"/>
              <w:ind w:left="108"/>
            </w:pPr>
            <w:r>
              <w:rPr>
                <w:spacing w:val="-1"/>
                <w:sz w:val="20"/>
              </w:rPr>
              <w:t>强度等级以立方米为单位计</w:t>
            </w:r>
          </w:p>
          <w:p>
            <w:pPr>
              <w:spacing w:line="271" w:lineRule="exact"/>
              <w:ind w:left="108"/>
            </w:pPr>
            <w:r>
              <w:rPr>
                <w:spacing w:val="-1"/>
                <w:sz w:val="20"/>
              </w:rPr>
              <w:t>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8" w:lineRule="exact"/>
              <w:ind w:left="281"/>
            </w:pPr>
            <w:r>
              <w:rPr>
                <w:rFonts w:ascii="Times New Roman" w:hAnsi="Times New Roman" w:cs="Times New Roman"/>
                <w:sz w:val="20"/>
              </w:rPr>
              <w:t>1.</w:t>
            </w:r>
            <w:r>
              <w:rPr>
                <w:spacing w:val="-1"/>
                <w:position w:val="1"/>
                <w:sz w:val="20"/>
              </w:rPr>
              <w:t>场地清理；</w:t>
            </w:r>
          </w:p>
          <w:p>
            <w:pPr>
              <w:spacing w:line="274" w:lineRule="exact"/>
              <w:ind w:left="281"/>
            </w:pPr>
            <w:r>
              <w:rPr>
                <w:rFonts w:ascii="Times New Roman" w:hAnsi="Times New Roman" w:cs="Times New Roman"/>
                <w:sz w:val="20"/>
              </w:rPr>
              <w:t>2.</w:t>
            </w:r>
            <w:r>
              <w:rPr>
                <w:spacing w:val="-1"/>
                <w:position w:val="1"/>
                <w:sz w:val="20"/>
              </w:rPr>
              <w:t>搭拆作业平台；</w:t>
            </w:r>
          </w:p>
          <w:p>
            <w:pPr>
              <w:spacing w:line="271" w:lineRule="exact"/>
              <w:ind w:left="281"/>
            </w:pPr>
            <w:r>
              <w:rPr>
                <w:rFonts w:ascii="Times New Roman" w:hAnsi="Times New Roman" w:cs="Times New Roman"/>
                <w:sz w:val="20"/>
              </w:rPr>
              <w:t>3.</w:t>
            </w:r>
            <w:r>
              <w:rPr>
                <w:spacing w:val="-1"/>
                <w:position w:val="1"/>
                <w:sz w:val="20"/>
              </w:rPr>
              <w:t>铺设垫层；</w:t>
            </w:r>
          </w:p>
          <w:p>
            <w:pPr>
              <w:spacing w:line="274" w:lineRule="exact"/>
              <w:ind w:left="281"/>
            </w:pPr>
            <w:r>
              <w:rPr>
                <w:rFonts w:ascii="Times New Roman" w:hAnsi="Times New Roman" w:cs="Times New Roman"/>
                <w:sz w:val="20"/>
              </w:rPr>
              <w:t>4.</w:t>
            </w:r>
            <w:r>
              <w:rPr>
                <w:spacing w:val="-1"/>
                <w:position w:val="1"/>
                <w:sz w:val="20"/>
              </w:rPr>
              <w:t>安拆套箱或模板；</w:t>
            </w:r>
          </w:p>
          <w:p>
            <w:pPr>
              <w:spacing w:line="237" w:lineRule="exact"/>
              <w:ind w:left="108"/>
            </w:pPr>
            <w:r>
              <w:rPr>
                <w:spacing w:val="-1"/>
                <w:sz w:val="20"/>
              </w:rPr>
              <w:t>安设预埋件；</w:t>
            </w:r>
          </w:p>
          <w:p>
            <w:pPr>
              <w:spacing w:line="306" w:lineRule="exact"/>
              <w:ind w:left="281"/>
            </w:pPr>
            <w:r>
              <w:rPr>
                <w:rFonts w:ascii="Times New Roman" w:hAnsi="Times New Roman" w:cs="Times New Roman"/>
                <w:sz w:val="20"/>
              </w:rPr>
              <w:t>5.</w:t>
            </w:r>
            <w:r>
              <w:rPr>
                <w:position w:val="1"/>
                <w:sz w:val="20"/>
              </w:rPr>
              <w:t>混凝土配运料、拌</w:t>
            </w:r>
          </w:p>
          <w:p>
            <w:pPr>
              <w:spacing w:line="239" w:lineRule="exact"/>
              <w:ind w:left="108"/>
            </w:pPr>
            <w:r>
              <w:rPr>
                <w:spacing w:val="-1"/>
                <w:sz w:val="20"/>
              </w:rPr>
              <w:t>和、运输、浇筑、振</w:t>
            </w:r>
          </w:p>
          <w:p>
            <w:pPr>
              <w:spacing w:line="271" w:lineRule="exact"/>
              <w:ind w:left="108"/>
            </w:pPr>
            <w:r>
              <w:rPr>
                <w:spacing w:val="-1"/>
                <w:sz w:val="20"/>
              </w:rPr>
              <w:t>捣、养护、试验测试；</w:t>
            </w:r>
          </w:p>
          <w:p>
            <w:pPr>
              <w:spacing w:line="308" w:lineRule="exact"/>
              <w:ind w:left="281"/>
            </w:pPr>
            <w:r>
              <w:rPr>
                <w:rFonts w:ascii="Times New Roman" w:hAnsi="Times New Roman" w:cs="Times New Roman"/>
                <w:sz w:val="20"/>
              </w:rPr>
              <w:t>6.</w:t>
            </w:r>
            <w:r>
              <w:rPr>
                <w:position w:val="1"/>
                <w:sz w:val="20"/>
              </w:rPr>
              <w:t>施工缝、沉降缝设</w:t>
            </w:r>
          </w:p>
          <w:p>
            <w:pPr>
              <w:spacing w:line="239" w:lineRule="exact"/>
              <w:ind w:left="108"/>
            </w:pPr>
            <w:r>
              <w:rPr>
                <w:spacing w:val="-1"/>
                <w:sz w:val="20"/>
              </w:rPr>
              <w:t>置处理；</w:t>
            </w:r>
          </w:p>
          <w:p>
            <w:pPr>
              <w:spacing w:line="306" w:lineRule="exact"/>
              <w:ind w:left="281"/>
            </w:pPr>
            <w:r>
              <w:rPr>
                <w:rFonts w:ascii="Times New Roman" w:hAnsi="Times New Roman" w:cs="Times New Roman"/>
                <w:sz w:val="20"/>
              </w:rPr>
              <w:t>7.</w:t>
            </w:r>
            <w:r>
              <w:rPr>
                <w:spacing w:val="-1"/>
                <w:position w:val="1"/>
                <w:sz w:val="20"/>
              </w:rPr>
              <w:t>混凝土的冷却管</w:t>
            </w:r>
          </w:p>
          <w:p>
            <w:pPr>
              <w:spacing w:line="237" w:lineRule="exact"/>
              <w:ind w:left="108"/>
            </w:pPr>
            <w:r>
              <w:rPr>
                <w:spacing w:val="-1"/>
                <w:sz w:val="20"/>
              </w:rPr>
              <w:t>制作安装，通水、降</w:t>
            </w:r>
          </w:p>
          <w:p>
            <w:pPr>
              <w:spacing w:line="274" w:lineRule="exact"/>
              <w:ind w:left="108"/>
            </w:pPr>
            <w:r>
              <w:rPr>
                <w:spacing w:val="-1"/>
                <w:sz w:val="20"/>
              </w:rPr>
              <w:t>温；</w:t>
            </w:r>
          </w:p>
          <w:p>
            <w:pPr>
              <w:spacing w:line="306" w:lineRule="exact"/>
              <w:ind w:left="281"/>
            </w:pPr>
            <w:r>
              <w:rPr>
                <w:rFonts w:ascii="Times New Roman" w:hAnsi="Times New Roman" w:cs="Times New Roman"/>
                <w:sz w:val="20"/>
              </w:rPr>
              <w:t>8.</w:t>
            </w:r>
            <w:r>
              <w:rPr>
                <w:spacing w:val="-6"/>
                <w:position w:val="1"/>
                <w:sz w:val="20"/>
              </w:rPr>
              <w:t>排水、防水、防冻、</w:t>
            </w:r>
            <w:r>
              <w:rPr>
                <w:spacing w:val="-1"/>
                <w:sz w:val="20"/>
              </w:rPr>
              <w:t>防腐措施</w:t>
            </w:r>
          </w:p>
        </w:tc>
      </w:tr>
      <w:tr>
        <w:tblPrEx>
          <w:tblCellMar>
            <w:top w:w="0" w:type="dxa"/>
            <w:left w:w="108" w:type="dxa"/>
            <w:bottom w:w="0" w:type="dxa"/>
            <w:right w:w="108" w:type="dxa"/>
          </w:tblCellMar>
        </w:tblPrEx>
        <w:trPr>
          <w:trHeight w:val="276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564" w:lineRule="exact"/>
              <w:ind w:left="315"/>
            </w:pPr>
            <w:r>
              <w:rPr>
                <w:rFonts w:ascii="Times New Roman" w:hAnsi="Times New Roman" w:cs="Times New Roman"/>
                <w:spacing w:val="-1"/>
                <w:sz w:val="20"/>
              </w:rPr>
              <w:t>401-3</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515" w:lineRule="exact"/>
              <w:ind w:left="282"/>
            </w:pPr>
            <w:r>
              <w:rPr>
                <w:spacing w:val="-1"/>
                <w:sz w:val="20"/>
              </w:rPr>
              <w:t>桩基础</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564" w:lineRule="exact"/>
              <w:ind w:left="458"/>
            </w:pPr>
            <w:r>
              <w:rPr>
                <w:rFonts w:ascii="Times New Roman" w:hAnsi="Times New Roman" w:cs="Times New Roman"/>
                <w:sz w:val="20"/>
              </w:rPr>
              <w:t>m</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依据图纸所示桩长及混凝</w:t>
            </w:r>
          </w:p>
          <w:p>
            <w:pPr>
              <w:spacing w:line="236" w:lineRule="exact"/>
              <w:ind w:left="108"/>
            </w:pPr>
            <w:r>
              <w:rPr>
                <w:spacing w:val="-1"/>
                <w:sz w:val="20"/>
              </w:rPr>
              <w:t>土强度等级，按照不同桩径的</w:t>
            </w:r>
          </w:p>
          <w:p>
            <w:pPr>
              <w:spacing w:line="274" w:lineRule="exact"/>
              <w:ind w:left="108"/>
            </w:pPr>
            <w:r>
              <w:rPr>
                <w:spacing w:val="-1"/>
                <w:sz w:val="20"/>
              </w:rPr>
              <w:t>桩长以米为单位计量；</w:t>
            </w:r>
          </w:p>
          <w:p>
            <w:pPr>
              <w:spacing w:line="306" w:lineRule="exact"/>
              <w:ind w:left="281"/>
            </w:pPr>
            <w:r>
              <w:rPr>
                <w:rFonts w:ascii="Times New Roman" w:hAnsi="Times New Roman" w:cs="Times New Roman"/>
                <w:sz w:val="20"/>
              </w:rPr>
              <w:t>2.</w:t>
            </w:r>
            <w:r>
              <w:rPr>
                <w:spacing w:val="-1"/>
                <w:position w:val="1"/>
                <w:sz w:val="20"/>
              </w:rPr>
              <w:t>施工图设计水深小于</w:t>
            </w:r>
            <w:r>
              <w:rPr>
                <w:rFonts w:ascii="Calibri" w:hAnsi="Calibri" w:cs="Calibri"/>
                <w:sz w:val="20"/>
              </w:rPr>
              <w:t> </w:t>
            </w:r>
            <w:r>
              <w:rPr>
                <w:rFonts w:ascii="Times New Roman" w:hAnsi="Times New Roman" w:cs="Times New Roman"/>
                <w:spacing w:val="-1"/>
                <w:sz w:val="20"/>
              </w:rPr>
              <w:t>2</w:t>
            </w:r>
            <w:r>
              <w:rPr>
                <w:rFonts w:ascii="Calibri" w:hAnsi="Calibri" w:cs="Calibri"/>
                <w:sz w:val="20"/>
              </w:rPr>
              <w:t> </w:t>
            </w:r>
            <w:r>
              <w:rPr>
                <w:spacing w:val="-1"/>
                <w:position w:val="1"/>
                <w:sz w:val="20"/>
              </w:rPr>
              <w:t>米</w:t>
            </w:r>
          </w:p>
          <w:p>
            <w:pPr>
              <w:spacing w:line="274" w:lineRule="exact"/>
              <w:ind w:left="108"/>
            </w:pPr>
            <w:r>
              <w:rPr>
                <w:spacing w:val="-1"/>
                <w:position w:val="1"/>
                <w:sz w:val="20"/>
              </w:rPr>
              <w:t>（含</w:t>
            </w:r>
            <w:r>
              <w:rPr>
                <w:rFonts w:ascii="Calibri" w:hAnsi="Calibri" w:cs="Calibri"/>
                <w:sz w:val="20"/>
              </w:rPr>
              <w:t> </w:t>
            </w:r>
            <w:r>
              <w:rPr>
                <w:rFonts w:ascii="Times New Roman" w:hAnsi="Times New Roman" w:cs="Times New Roman"/>
                <w:spacing w:val="-1"/>
                <w:sz w:val="20"/>
              </w:rPr>
              <w:t>2</w:t>
            </w:r>
            <w:r>
              <w:rPr>
                <w:rFonts w:ascii="Calibri" w:hAnsi="Calibri" w:cs="Calibri"/>
                <w:sz w:val="20"/>
              </w:rPr>
              <w:t> </w:t>
            </w:r>
            <w:r>
              <w:rPr>
                <w:spacing w:val="-1"/>
                <w:position w:val="1"/>
                <w:sz w:val="20"/>
              </w:rPr>
              <w:t>米）的为陆上钻孔灌注</w:t>
            </w:r>
          </w:p>
          <w:p>
            <w:pPr>
              <w:spacing w:line="237" w:lineRule="exact"/>
              <w:ind w:left="108"/>
            </w:pPr>
            <w:r>
              <w:rPr>
                <w:spacing w:val="-1"/>
                <w:sz w:val="20"/>
              </w:rPr>
              <w:t>桩；</w:t>
            </w:r>
          </w:p>
          <w:p>
            <w:pPr>
              <w:spacing w:line="308" w:lineRule="exact"/>
              <w:ind w:left="281"/>
            </w:pPr>
            <w:r>
              <w:rPr>
                <w:rFonts w:ascii="Times New Roman" w:hAnsi="Times New Roman" w:cs="Times New Roman"/>
                <w:sz w:val="20"/>
              </w:rPr>
              <w:t>3.</w:t>
            </w:r>
            <w:r>
              <w:rPr>
                <w:spacing w:val="-1"/>
                <w:position w:val="1"/>
                <w:sz w:val="20"/>
              </w:rPr>
              <w:t>桩长为桩底高程至承台底</w:t>
            </w:r>
          </w:p>
          <w:p>
            <w:pPr>
              <w:spacing w:line="237" w:lineRule="exact"/>
              <w:ind w:left="108"/>
            </w:pPr>
            <w:r>
              <w:rPr>
                <w:spacing w:val="-1"/>
                <w:sz w:val="20"/>
              </w:rPr>
              <w:t>面或系梁底面。对于与桩连为</w:t>
            </w:r>
          </w:p>
          <w:p>
            <w:pPr>
              <w:spacing w:line="271" w:lineRule="exact"/>
              <w:ind w:left="108"/>
            </w:pPr>
            <w:r>
              <w:rPr>
                <w:spacing w:val="-1"/>
                <w:sz w:val="20"/>
              </w:rPr>
              <w:t>一体的柱式墩台，如无承台或</w:t>
            </w:r>
          </w:p>
          <w:p>
            <w:pPr>
              <w:spacing w:line="274" w:lineRule="exact"/>
              <w:ind w:left="108"/>
            </w:pPr>
            <w:r>
              <w:rPr>
                <w:spacing w:val="-1"/>
                <w:sz w:val="20"/>
              </w:rPr>
              <w:t>系梁时，则以桩位处原始地面</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安设护筒及设置</w:t>
            </w:r>
          </w:p>
          <w:p>
            <w:pPr>
              <w:spacing w:line="236" w:lineRule="exact"/>
              <w:ind w:left="108"/>
            </w:pPr>
            <w:r>
              <w:rPr>
                <w:spacing w:val="-1"/>
                <w:sz w:val="20"/>
              </w:rPr>
              <w:t>钻孔平台；</w:t>
            </w:r>
          </w:p>
          <w:p>
            <w:pPr>
              <w:spacing w:line="308" w:lineRule="exact"/>
              <w:ind w:left="281"/>
            </w:pPr>
            <w:r>
              <w:rPr>
                <w:rFonts w:ascii="Times New Roman" w:hAnsi="Times New Roman" w:cs="Times New Roman"/>
                <w:sz w:val="20"/>
              </w:rPr>
              <w:t>2.</w:t>
            </w:r>
            <w:r>
              <w:rPr>
                <w:spacing w:val="-1"/>
                <w:position w:val="1"/>
                <w:sz w:val="20"/>
              </w:rPr>
              <w:t>钻机安拆，就位；</w:t>
            </w:r>
          </w:p>
          <w:p>
            <w:pPr>
              <w:spacing w:line="271" w:lineRule="exact"/>
              <w:ind w:left="281"/>
            </w:pPr>
            <w:r>
              <w:rPr>
                <w:rFonts w:ascii="Times New Roman" w:hAnsi="Times New Roman" w:cs="Times New Roman"/>
                <w:sz w:val="20"/>
              </w:rPr>
              <w:t>3.</w:t>
            </w:r>
            <w:r>
              <w:rPr>
                <w:position w:val="1"/>
                <w:sz w:val="20"/>
              </w:rPr>
              <w:t>钻孔、成孔、成孔</w:t>
            </w:r>
          </w:p>
          <w:p>
            <w:pPr>
              <w:spacing w:line="239" w:lineRule="exact"/>
              <w:ind w:left="108"/>
            </w:pPr>
            <w:r>
              <w:rPr>
                <w:spacing w:val="-1"/>
                <w:sz w:val="20"/>
              </w:rPr>
              <w:t>检查；</w:t>
            </w:r>
          </w:p>
          <w:p>
            <w:pPr>
              <w:spacing w:line="306" w:lineRule="exact"/>
              <w:ind w:left="281"/>
            </w:pPr>
            <w:r>
              <w:rPr>
                <w:rFonts w:ascii="Times New Roman" w:hAnsi="Times New Roman" w:cs="Times New Roman"/>
                <w:sz w:val="20"/>
              </w:rPr>
              <w:t>4.</w:t>
            </w:r>
            <w:r>
              <w:rPr>
                <w:spacing w:val="-1"/>
                <w:position w:val="1"/>
                <w:sz w:val="20"/>
              </w:rPr>
              <w:t>安装声测管；</w:t>
            </w:r>
          </w:p>
          <w:p>
            <w:pPr>
              <w:spacing w:line="274" w:lineRule="exact"/>
              <w:ind w:left="281"/>
            </w:pPr>
            <w:r>
              <w:rPr>
                <w:rFonts w:ascii="Times New Roman" w:hAnsi="Times New Roman" w:cs="Times New Roman"/>
                <w:sz w:val="20"/>
              </w:rPr>
              <w:t>5.</w:t>
            </w:r>
            <w:r>
              <w:rPr>
                <w:spacing w:val="-1"/>
                <w:position w:val="1"/>
                <w:sz w:val="20"/>
              </w:rPr>
              <w:t>混凝土制拌、运</w:t>
            </w:r>
          </w:p>
          <w:p>
            <w:pPr>
              <w:spacing w:line="237" w:lineRule="exact"/>
              <w:ind w:left="108"/>
            </w:pPr>
            <w:r>
              <w:rPr>
                <w:spacing w:val="-1"/>
                <w:sz w:val="20"/>
              </w:rPr>
              <w:t>输、浇筑；</w:t>
            </w:r>
          </w:p>
          <w:p>
            <w:pPr>
              <w:spacing w:line="306" w:lineRule="exact"/>
              <w:ind w:left="281"/>
            </w:pPr>
            <w:r>
              <w:rPr>
                <w:rFonts w:ascii="Times New Roman" w:hAnsi="Times New Roman" w:cs="Times New Roman"/>
                <w:sz w:val="20"/>
              </w:rPr>
              <w:t>6.</w:t>
            </w:r>
            <w:r>
              <w:rPr>
                <w:spacing w:val="-1"/>
                <w:position w:val="1"/>
                <w:sz w:val="20"/>
              </w:rPr>
              <w:t>破桩头；</w:t>
            </w:r>
          </w:p>
          <w:p>
            <w:pPr>
              <w:spacing w:line="274" w:lineRule="exact"/>
              <w:ind w:left="281"/>
            </w:pPr>
            <w:r>
              <w:rPr>
                <w:rFonts w:ascii="Times New Roman" w:hAnsi="Times New Roman" w:cs="Times New Roman"/>
                <w:sz w:val="20"/>
              </w:rPr>
              <w:t>7.</w:t>
            </w:r>
            <w:r>
              <w:rPr>
                <w:spacing w:val="-1"/>
                <w:position w:val="1"/>
                <w:sz w:val="20"/>
              </w:rPr>
              <w:t>按相关规定进行</w:t>
            </w:r>
          </w:p>
        </w:tc>
      </w:tr>
    </w:tbl>
    <w:p>
      <w:pPr>
        <w:spacing w:line="250" w:lineRule="exact"/>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120"/>
        <w:gridCol w:w="1775"/>
        <w:gridCol w:w="1080"/>
        <w:gridCol w:w="2880"/>
        <w:gridCol w:w="2160"/>
      </w:tblGrid>
      <w:tr>
        <w:tblPrEx>
          <w:tblCellMar>
            <w:top w:w="0" w:type="dxa"/>
            <w:left w:w="108" w:type="dxa"/>
            <w:bottom w:w="0" w:type="dxa"/>
            <w:right w:w="108" w:type="dxa"/>
          </w:tblCellMar>
        </w:tblPrEx>
        <w:trPr>
          <w:trHeight w:val="137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108"/>
            </w:pPr>
            <w:r>
              <w:rPr>
                <w:spacing w:val="-1"/>
                <w:sz w:val="20"/>
              </w:rPr>
              <w:t>线为分界线，地面线以下部分</w:t>
            </w:r>
          </w:p>
          <w:p>
            <w:pPr>
              <w:spacing w:line="274" w:lineRule="exact"/>
              <w:ind w:left="108"/>
            </w:pPr>
            <w:r>
              <w:rPr>
                <w:spacing w:val="-1"/>
                <w:sz w:val="20"/>
              </w:rPr>
              <w:t>为灌注桩桩长。若图纸有标示</w:t>
            </w:r>
          </w:p>
          <w:p>
            <w:pPr>
              <w:spacing w:line="271" w:lineRule="exact"/>
              <w:ind w:left="108"/>
            </w:pPr>
            <w:r>
              <w:rPr>
                <w:spacing w:val="-1"/>
                <w:sz w:val="20"/>
              </w:rPr>
              <w:t>的，按图纸标示为准；</w:t>
            </w:r>
          </w:p>
          <w:p>
            <w:pPr>
              <w:spacing w:line="308" w:lineRule="exact"/>
              <w:ind w:left="281"/>
            </w:pPr>
            <w:r>
              <w:rPr>
                <w:rFonts w:ascii="Times New Roman" w:hAnsi="Times New Roman" w:cs="Times New Roman"/>
                <w:sz w:val="20"/>
              </w:rPr>
              <w:t>4.</w:t>
            </w:r>
            <w:r>
              <w:rPr>
                <w:spacing w:val="-1"/>
                <w:position w:val="1"/>
                <w:sz w:val="20"/>
              </w:rPr>
              <w:t>由于超钻深于所需桩长部</w:t>
            </w:r>
          </w:p>
          <w:p>
            <w:pPr>
              <w:spacing w:line="237" w:lineRule="exact"/>
              <w:ind w:left="108"/>
            </w:pPr>
            <w:r>
              <w:rPr>
                <w:spacing w:val="-1"/>
                <w:sz w:val="20"/>
              </w:rPr>
              <w:t>分，不予计量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108"/>
            </w:pPr>
            <w:r>
              <w:rPr>
                <w:spacing w:val="-1"/>
                <w:sz w:val="20"/>
              </w:rPr>
              <w:t>桩基检测</w:t>
            </w:r>
          </w:p>
        </w:tc>
      </w:tr>
      <w:tr>
        <w:tblPrEx>
          <w:tblCellMar>
            <w:top w:w="0" w:type="dxa"/>
            <w:left w:w="108" w:type="dxa"/>
            <w:bottom w:w="0" w:type="dxa"/>
            <w:right w:w="108" w:type="dxa"/>
          </w:tblCellMar>
        </w:tblPrEx>
        <w:trPr>
          <w:trHeight w:val="188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56" w:lineRule="exact"/>
              <w:ind w:left="315"/>
            </w:pPr>
            <w:r>
              <w:rPr>
                <w:rFonts w:ascii="Times New Roman" w:hAnsi="Times New Roman" w:cs="Times New Roman"/>
                <w:spacing w:val="-1"/>
                <w:sz w:val="20"/>
              </w:rPr>
              <w:t>401-4</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45" w:lineRule="exact"/>
              <w:ind w:left="282"/>
            </w:pPr>
            <w:r>
              <w:rPr>
                <w:sz w:val="20"/>
              </w:rPr>
              <w:t>钢筋（包括灌注</w:t>
            </w:r>
          </w:p>
          <w:p>
            <w:pPr>
              <w:spacing w:line="360" w:lineRule="exact"/>
              <w:ind w:left="107"/>
            </w:pPr>
            <w:r>
              <w:rPr>
                <w:spacing w:val="-1"/>
                <w:sz w:val="20"/>
              </w:rPr>
              <w:t>桩、承台、桩系</w:t>
            </w:r>
          </w:p>
          <w:p>
            <w:pPr>
              <w:spacing w:line="360" w:lineRule="exact"/>
              <w:ind w:left="107"/>
            </w:pPr>
            <w:r>
              <w:rPr>
                <w:spacing w:val="-1"/>
                <w:sz w:val="20"/>
              </w:rPr>
              <w:t>梁、支撑梁等）</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56" w:lineRule="exact"/>
              <w:ind w:left="434"/>
            </w:pPr>
            <w:r>
              <w:rPr>
                <w:rFonts w:ascii="Times New Roman" w:hAnsi="Times New Roman" w:cs="Times New Roman"/>
                <w:spacing w:val="-1"/>
                <w:sz w:val="20"/>
              </w:rPr>
              <w:t>kg</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依据图纸所示及钢筋表所</w:t>
            </w:r>
          </w:p>
          <w:p>
            <w:pPr>
              <w:spacing w:line="236" w:lineRule="exact"/>
              <w:ind w:left="108"/>
            </w:pPr>
            <w:r>
              <w:rPr>
                <w:spacing w:val="-1"/>
                <w:sz w:val="20"/>
              </w:rPr>
              <w:t>列钢筋质量以千克为单位计</w:t>
            </w:r>
          </w:p>
          <w:p>
            <w:pPr>
              <w:spacing w:line="271" w:lineRule="exact"/>
              <w:ind w:left="108"/>
            </w:pPr>
            <w:r>
              <w:rPr>
                <w:spacing w:val="-1"/>
                <w:sz w:val="20"/>
              </w:rPr>
              <w:t>量；</w:t>
            </w:r>
          </w:p>
          <w:p>
            <w:pPr>
              <w:spacing w:line="308" w:lineRule="exact"/>
              <w:ind w:left="281"/>
            </w:pPr>
            <w:r>
              <w:rPr>
                <w:rFonts w:ascii="Times New Roman" w:hAnsi="Times New Roman" w:cs="Times New Roman"/>
                <w:sz w:val="20"/>
              </w:rPr>
              <w:t>2.</w:t>
            </w:r>
            <w:r>
              <w:rPr>
                <w:spacing w:val="-1"/>
                <w:position w:val="1"/>
                <w:sz w:val="20"/>
              </w:rPr>
              <w:t>固定钢筋的材料、定位架</w:t>
            </w:r>
          </w:p>
          <w:p>
            <w:pPr>
              <w:spacing w:line="236" w:lineRule="exact"/>
              <w:ind w:left="108"/>
            </w:pPr>
            <w:r>
              <w:rPr>
                <w:sz w:val="20"/>
              </w:rPr>
              <w:t>立钢筋、钢筋接头、吊装钢筋、</w:t>
            </w:r>
          </w:p>
          <w:p>
            <w:pPr>
              <w:spacing w:line="274" w:lineRule="exact"/>
              <w:ind w:left="108"/>
            </w:pPr>
            <w:r>
              <w:rPr>
                <w:spacing w:val="-1"/>
                <w:sz w:val="20"/>
              </w:rPr>
              <w:t>钢板、铁丝作为钢筋作业的附</w:t>
            </w:r>
          </w:p>
          <w:p>
            <w:pPr>
              <w:spacing w:line="271" w:lineRule="exact"/>
              <w:ind w:left="108"/>
            </w:pPr>
            <w:r>
              <w:rPr>
                <w:spacing w:val="-1"/>
                <w:sz w:val="20"/>
              </w:rPr>
              <w:t>属工作，不另行计量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5" w:lineRule="exact"/>
              <w:ind w:left="281"/>
            </w:pPr>
            <w:r>
              <w:rPr>
                <w:rFonts w:ascii="Times New Roman" w:hAnsi="Times New Roman" w:cs="Times New Roman"/>
                <w:sz w:val="20"/>
              </w:rPr>
              <w:t>1.</w:t>
            </w:r>
            <w:r>
              <w:rPr>
                <w:spacing w:val="-1"/>
                <w:position w:val="1"/>
                <w:sz w:val="20"/>
              </w:rPr>
              <w:t>钢筋的运输、保</w:t>
            </w:r>
          </w:p>
          <w:p>
            <w:pPr>
              <w:spacing w:line="237" w:lineRule="exact"/>
              <w:ind w:left="108"/>
            </w:pPr>
            <w:r>
              <w:rPr>
                <w:spacing w:val="-1"/>
                <w:sz w:val="20"/>
              </w:rPr>
              <w:t>护、储存及除锈；</w:t>
            </w:r>
          </w:p>
          <w:p>
            <w:pPr>
              <w:spacing w:line="306" w:lineRule="exact"/>
              <w:ind w:left="281"/>
            </w:pPr>
            <w:r>
              <w:rPr>
                <w:rFonts w:ascii="Times New Roman" w:hAnsi="Times New Roman" w:cs="Times New Roman"/>
                <w:sz w:val="20"/>
              </w:rPr>
              <w:t>2.</w:t>
            </w:r>
            <w:r>
              <w:rPr>
                <w:spacing w:val="-1"/>
                <w:position w:val="1"/>
                <w:sz w:val="20"/>
              </w:rPr>
              <w:t>钢筋整直、接头；</w:t>
            </w:r>
          </w:p>
          <w:p>
            <w:pPr>
              <w:spacing w:line="274" w:lineRule="exact"/>
              <w:ind w:left="281"/>
            </w:pPr>
            <w:r>
              <w:rPr>
                <w:rFonts w:ascii="Times New Roman" w:hAnsi="Times New Roman" w:cs="Times New Roman"/>
                <w:sz w:val="20"/>
              </w:rPr>
              <w:t>3.</w:t>
            </w:r>
            <w:r>
              <w:rPr>
                <w:spacing w:val="-1"/>
                <w:position w:val="1"/>
                <w:sz w:val="20"/>
              </w:rPr>
              <w:t>钢筋截断、弯曲；</w:t>
            </w:r>
          </w:p>
          <w:p>
            <w:pPr>
              <w:spacing w:line="274" w:lineRule="exact"/>
              <w:ind w:left="281"/>
            </w:pPr>
            <w:r>
              <w:rPr>
                <w:rFonts w:ascii="Times New Roman" w:hAnsi="Times New Roman" w:cs="Times New Roman"/>
                <w:sz w:val="20"/>
              </w:rPr>
              <w:t>4.</w:t>
            </w:r>
            <w:r>
              <w:rPr>
                <w:position w:val="1"/>
                <w:sz w:val="20"/>
              </w:rPr>
              <w:t>钢筋安设、支承及</w:t>
            </w:r>
          </w:p>
          <w:p>
            <w:pPr>
              <w:spacing w:line="236" w:lineRule="exact"/>
              <w:ind w:left="108"/>
            </w:pPr>
            <w:r>
              <w:rPr>
                <w:spacing w:val="-1"/>
                <w:sz w:val="20"/>
              </w:rPr>
              <w:t>固定</w:t>
            </w:r>
          </w:p>
        </w:tc>
      </w:tr>
      <w:tr>
        <w:tblPrEx>
          <w:tblCellMar>
            <w:top w:w="0" w:type="dxa"/>
            <w:left w:w="108" w:type="dxa"/>
            <w:bottom w:w="0" w:type="dxa"/>
            <w:right w:w="108" w:type="dxa"/>
          </w:tblCellMar>
        </w:tblPrEx>
        <w:trPr>
          <w:trHeight w:val="1090"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43" w:lineRule="exact"/>
              <w:ind w:left="401"/>
            </w:pPr>
            <w:r>
              <w:rPr>
                <w:rFonts w:ascii="Times New Roman" w:hAnsi="Times New Roman" w:cs="Times New Roman"/>
                <w:spacing w:val="-1"/>
                <w:sz w:val="20"/>
              </w:rPr>
              <w:t>402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3" w:lineRule="exact"/>
              <w:ind w:left="282"/>
            </w:pPr>
            <w:r>
              <w:rPr>
                <w:sz w:val="20"/>
              </w:rPr>
              <w:t>下部结构（包含</w:t>
            </w:r>
          </w:p>
          <w:p>
            <w:pPr>
              <w:spacing w:line="360" w:lineRule="exact"/>
              <w:ind w:left="107"/>
            </w:pPr>
            <w:r>
              <w:rPr>
                <w:spacing w:val="-1"/>
                <w:sz w:val="20"/>
              </w:rPr>
              <w:t>桥台、桥墩、盖</w:t>
            </w:r>
          </w:p>
          <w:p>
            <w:pPr>
              <w:spacing w:line="360" w:lineRule="exact"/>
              <w:ind w:left="107"/>
            </w:pPr>
            <w:r>
              <w:rPr>
                <w:spacing w:val="-1"/>
                <w:sz w:val="20"/>
              </w:rPr>
              <w:t>梁、台帽等）</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r>
      <w:tr>
        <w:tblPrEx>
          <w:tblCellMar>
            <w:top w:w="0" w:type="dxa"/>
            <w:left w:w="108" w:type="dxa"/>
            <w:bottom w:w="0" w:type="dxa"/>
            <w:right w:w="108" w:type="dxa"/>
          </w:tblCellMar>
        </w:tblPrEx>
        <w:trPr>
          <w:trHeight w:val="382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110" w:lineRule="exact"/>
              <w:ind w:left="315"/>
            </w:pPr>
            <w:r>
              <w:rPr>
                <w:rFonts w:ascii="Times New Roman" w:hAnsi="Times New Roman" w:cs="Times New Roman"/>
                <w:spacing w:val="-1"/>
                <w:sz w:val="20"/>
              </w:rPr>
              <w:t>402-1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059" w:lineRule="exact"/>
              <w:ind w:left="282"/>
            </w:pPr>
            <w:r>
              <w:rPr>
                <w:spacing w:val="-1"/>
                <w:sz w:val="20"/>
              </w:rPr>
              <w:t>下部混凝土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019" w:lineRule="exact"/>
              <w:ind w:left="425"/>
            </w:pPr>
            <w:r>
              <w:rPr>
                <w:rFonts w:ascii="Times New Roman" w:hAnsi="Times New Roman" w:cs="Times New Roman"/>
                <w:position w:val="-4"/>
                <w:sz w:val="20"/>
              </w:rPr>
              <w:t>m</w:t>
            </w:r>
            <w:r>
              <w:rPr>
                <w:rFonts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32" w:lineRule="exact"/>
              <w:ind w:left="281"/>
            </w:pPr>
            <w:r>
              <w:rPr>
                <w:rFonts w:ascii="Times New Roman" w:hAnsi="Times New Roman" w:cs="Times New Roman"/>
                <w:sz w:val="20"/>
              </w:rPr>
              <w:t>1.</w:t>
            </w:r>
            <w:r>
              <w:rPr>
                <w:spacing w:val="-1"/>
                <w:position w:val="1"/>
                <w:sz w:val="20"/>
              </w:rPr>
              <w:t>依据图纸所示体积分不同</w:t>
            </w:r>
          </w:p>
          <w:p>
            <w:pPr>
              <w:spacing w:line="237" w:lineRule="exact"/>
              <w:ind w:left="108"/>
            </w:pPr>
            <w:r>
              <w:rPr>
                <w:spacing w:val="-1"/>
                <w:sz w:val="20"/>
              </w:rPr>
              <w:t>强度等级以立方米为单位计</w:t>
            </w:r>
          </w:p>
          <w:p>
            <w:pPr>
              <w:spacing w:line="274" w:lineRule="exact"/>
              <w:ind w:left="108"/>
            </w:pPr>
            <w:r>
              <w:rPr>
                <w:spacing w:val="-1"/>
                <w:sz w:val="20"/>
              </w:rPr>
              <w:t>量；</w:t>
            </w:r>
          </w:p>
          <w:p>
            <w:pPr>
              <w:spacing w:line="308" w:lineRule="exact"/>
              <w:ind w:left="281"/>
            </w:pPr>
            <w:r>
              <w:rPr>
                <w:rFonts w:ascii="Times New Roman" w:hAnsi="Times New Roman" w:cs="Times New Roman"/>
                <w:sz w:val="20"/>
              </w:rPr>
              <w:t>2.</w:t>
            </w:r>
            <w:r>
              <w:rPr>
                <w:spacing w:val="-1"/>
                <w:position w:val="1"/>
                <w:sz w:val="20"/>
              </w:rPr>
              <w:t>直径小于</w:t>
            </w:r>
            <w:r>
              <w:rPr>
                <w:rFonts w:ascii="Calibri" w:hAnsi="Calibri" w:cs="Calibri"/>
                <w:sz w:val="20"/>
              </w:rPr>
              <w:t> </w:t>
            </w:r>
            <w:r>
              <w:rPr>
                <w:rFonts w:ascii="Times New Roman" w:hAnsi="Times New Roman" w:cs="Times New Roman"/>
                <w:spacing w:val="-1"/>
                <w:sz w:val="20"/>
              </w:rPr>
              <w:t>200mm</w:t>
            </w:r>
            <w:r>
              <w:rPr>
                <w:rFonts w:ascii="Calibri" w:hAnsi="Calibri" w:cs="Calibri"/>
                <w:sz w:val="20"/>
              </w:rPr>
              <w:t> </w:t>
            </w:r>
            <w:r>
              <w:rPr>
                <w:spacing w:val="-1"/>
                <w:position w:val="1"/>
                <w:sz w:val="20"/>
              </w:rPr>
              <w:t>的管子、</w:t>
            </w:r>
          </w:p>
          <w:p>
            <w:pPr>
              <w:spacing w:line="236" w:lineRule="exact"/>
              <w:ind w:left="108"/>
            </w:pPr>
            <w:r>
              <w:rPr>
                <w:spacing w:val="-1"/>
                <w:sz w:val="20"/>
              </w:rPr>
              <w:t>钢筋、锚固件、管道、泄水孔</w:t>
            </w:r>
          </w:p>
          <w:p>
            <w:pPr>
              <w:spacing w:line="271" w:lineRule="exact"/>
              <w:ind w:left="108"/>
            </w:pPr>
            <w:r>
              <w:rPr>
                <w:spacing w:val="-1"/>
                <w:sz w:val="20"/>
              </w:rPr>
              <w:t>或桩所占混凝土体积不予扣</w:t>
            </w:r>
          </w:p>
          <w:p>
            <w:pPr>
              <w:spacing w:line="274" w:lineRule="exact"/>
              <w:ind w:left="108"/>
            </w:pPr>
            <w:r>
              <w:rPr>
                <w:spacing w:val="-1"/>
                <w:sz w:val="20"/>
              </w:rPr>
              <w:t>除</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场地清理；</w:t>
            </w:r>
          </w:p>
          <w:p>
            <w:pPr>
              <w:spacing w:line="274" w:lineRule="exact"/>
              <w:ind w:left="281"/>
            </w:pPr>
            <w:r>
              <w:rPr>
                <w:rFonts w:ascii="Times New Roman" w:hAnsi="Times New Roman" w:cs="Times New Roman"/>
                <w:sz w:val="20"/>
              </w:rPr>
              <w:t>2.</w:t>
            </w:r>
            <w:r>
              <w:rPr>
                <w:position w:val="1"/>
                <w:sz w:val="20"/>
              </w:rPr>
              <w:t>搭拆作业平台、支</w:t>
            </w:r>
          </w:p>
          <w:p>
            <w:pPr>
              <w:spacing w:line="237" w:lineRule="exact"/>
              <w:ind w:left="108"/>
            </w:pPr>
            <w:r>
              <w:rPr>
                <w:spacing w:val="-1"/>
                <w:sz w:val="20"/>
              </w:rPr>
              <w:t>架；</w:t>
            </w:r>
          </w:p>
          <w:p>
            <w:pPr>
              <w:spacing w:line="308" w:lineRule="exact"/>
              <w:ind w:left="281"/>
            </w:pPr>
            <w:r>
              <w:rPr>
                <w:rFonts w:ascii="Times New Roman" w:hAnsi="Times New Roman" w:cs="Times New Roman"/>
                <w:sz w:val="20"/>
              </w:rPr>
              <w:t>3.</w:t>
            </w:r>
            <w:r>
              <w:rPr>
                <w:position w:val="1"/>
                <w:sz w:val="20"/>
              </w:rPr>
              <w:t>安拆模板；安设预</w:t>
            </w:r>
          </w:p>
          <w:p>
            <w:pPr>
              <w:spacing w:line="271" w:lineRule="exact"/>
              <w:ind w:left="108"/>
            </w:pPr>
            <w:r>
              <w:rPr>
                <w:spacing w:val="-1"/>
                <w:position w:val="1"/>
                <w:sz w:val="20"/>
              </w:rPr>
              <w:t>埋件</w:t>
            </w:r>
            <w:r>
              <w:rPr>
                <w:rFonts w:ascii="Times New Roman" w:hAnsi="Times New Roman" w:cs="Times New Roman"/>
                <w:spacing w:val="-1"/>
                <w:sz w:val="20"/>
              </w:rPr>
              <w:t>(</w:t>
            </w:r>
            <w:r>
              <w:rPr>
                <w:spacing w:val="-1"/>
                <w:position w:val="1"/>
                <w:sz w:val="20"/>
              </w:rPr>
              <w:t>包括支座预埋</w:t>
            </w:r>
          </w:p>
          <w:p>
            <w:pPr>
              <w:spacing w:line="239" w:lineRule="exact"/>
              <w:ind w:left="108"/>
            </w:pPr>
            <w:r>
              <w:rPr>
                <w:spacing w:val="-1"/>
                <w:sz w:val="20"/>
              </w:rPr>
              <w:t>件、防震锚栓及套筒</w:t>
            </w:r>
          </w:p>
          <w:p>
            <w:pPr>
              <w:spacing w:line="271" w:lineRule="exact"/>
              <w:ind w:left="108"/>
            </w:pPr>
            <w:r>
              <w:rPr>
                <w:spacing w:val="-1"/>
                <w:sz w:val="20"/>
              </w:rPr>
              <w:t>等）；</w:t>
            </w:r>
          </w:p>
          <w:p>
            <w:pPr>
              <w:spacing w:line="308" w:lineRule="exact"/>
              <w:ind w:left="281"/>
            </w:pPr>
            <w:r>
              <w:rPr>
                <w:rFonts w:ascii="Times New Roman" w:hAnsi="Times New Roman" w:cs="Times New Roman"/>
                <w:sz w:val="20"/>
              </w:rPr>
              <w:t>4.</w:t>
            </w:r>
            <w:r>
              <w:rPr>
                <w:position w:val="1"/>
                <w:sz w:val="20"/>
              </w:rPr>
              <w:t>混凝土配运料、拌</w:t>
            </w:r>
          </w:p>
          <w:p>
            <w:pPr>
              <w:spacing w:line="237" w:lineRule="exact"/>
              <w:ind w:left="108"/>
            </w:pPr>
            <w:r>
              <w:rPr>
                <w:spacing w:val="-1"/>
                <w:sz w:val="20"/>
              </w:rPr>
              <w:t>和、运输、浇筑、振</w:t>
            </w:r>
          </w:p>
          <w:p>
            <w:pPr>
              <w:spacing w:line="274" w:lineRule="exact"/>
              <w:ind w:left="108"/>
            </w:pPr>
            <w:r>
              <w:rPr>
                <w:spacing w:val="-1"/>
                <w:sz w:val="20"/>
              </w:rPr>
              <w:t>捣、养护；</w:t>
            </w:r>
          </w:p>
          <w:p>
            <w:pPr>
              <w:spacing w:line="306" w:lineRule="exact"/>
              <w:ind w:left="281"/>
            </w:pPr>
            <w:r>
              <w:rPr>
                <w:rFonts w:ascii="Times New Roman" w:hAnsi="Times New Roman" w:cs="Times New Roman"/>
                <w:sz w:val="20"/>
              </w:rPr>
              <w:t>5.</w:t>
            </w:r>
            <w:r>
              <w:rPr>
                <w:position w:val="1"/>
                <w:sz w:val="20"/>
              </w:rPr>
              <w:t>施工缝、沉降缝设</w:t>
            </w:r>
          </w:p>
          <w:p>
            <w:pPr>
              <w:spacing w:line="237" w:lineRule="exact"/>
              <w:ind w:left="108"/>
            </w:pPr>
            <w:r>
              <w:rPr>
                <w:spacing w:val="-1"/>
                <w:sz w:val="20"/>
              </w:rPr>
              <w:t>置处理；</w:t>
            </w:r>
          </w:p>
          <w:p>
            <w:pPr>
              <w:spacing w:line="308" w:lineRule="exact"/>
              <w:ind w:left="281"/>
            </w:pPr>
            <w:r>
              <w:rPr>
                <w:rFonts w:ascii="Times New Roman" w:hAnsi="Times New Roman" w:cs="Times New Roman"/>
                <w:sz w:val="20"/>
              </w:rPr>
              <w:t>6.</w:t>
            </w:r>
            <w:r>
              <w:rPr>
                <w:position w:val="1"/>
                <w:sz w:val="20"/>
              </w:rPr>
              <w:t>防水、防冻、防腐</w:t>
            </w:r>
          </w:p>
          <w:p>
            <w:pPr>
              <w:spacing w:line="237" w:lineRule="exact"/>
              <w:ind w:left="108"/>
            </w:pPr>
            <w:r>
              <w:rPr>
                <w:spacing w:val="-1"/>
                <w:sz w:val="20"/>
              </w:rPr>
              <w:t>措施</w:t>
            </w:r>
          </w:p>
        </w:tc>
      </w:tr>
      <w:tr>
        <w:tblPrEx>
          <w:tblCellMar>
            <w:top w:w="0" w:type="dxa"/>
            <w:left w:w="108" w:type="dxa"/>
            <w:bottom w:w="0" w:type="dxa"/>
            <w:right w:w="108" w:type="dxa"/>
          </w:tblCellMar>
        </w:tblPrEx>
        <w:trPr>
          <w:trHeight w:val="24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26" w:lineRule="exact"/>
              <w:ind w:left="315"/>
            </w:pPr>
            <w:r>
              <w:rPr>
                <w:rFonts w:ascii="Times New Roman" w:hAnsi="Times New Roman" w:cs="Times New Roman"/>
                <w:spacing w:val="-1"/>
                <w:sz w:val="20"/>
              </w:rPr>
              <w:t>402-2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77" w:lineRule="exact"/>
              <w:ind w:left="282"/>
            </w:pPr>
            <w:r>
              <w:rPr>
                <w:sz w:val="20"/>
              </w:rPr>
              <w:t>浆砌片（块）石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37" w:lineRule="exact"/>
              <w:ind w:left="425"/>
            </w:pPr>
            <w:r>
              <w:rPr>
                <w:rFonts w:ascii="Times New Roman" w:hAnsi="Times New Roman" w:cs="Times New Roman"/>
                <w:position w:val="-4"/>
                <w:sz w:val="20"/>
              </w:rPr>
              <w:t>m</w:t>
            </w:r>
            <w:r>
              <w:rPr>
                <w:rFonts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60" w:lineRule="exact"/>
              <w:ind w:left="281"/>
            </w:pPr>
            <w:r>
              <w:rPr>
                <w:spacing w:val="-1"/>
                <w:sz w:val="20"/>
              </w:rPr>
              <w:t>依据图纸所示位置及尺寸</w:t>
            </w:r>
          </w:p>
          <w:p>
            <w:pPr>
              <w:spacing w:line="271" w:lineRule="exact"/>
              <w:ind w:left="108"/>
            </w:pPr>
            <w:r>
              <w:rPr>
                <w:spacing w:val="-1"/>
                <w:sz w:val="20"/>
              </w:rPr>
              <w:t>砌筑体积分不同砂浆强度等</w:t>
            </w:r>
          </w:p>
          <w:p>
            <w:pPr>
              <w:spacing w:line="274" w:lineRule="exact"/>
              <w:ind w:left="108"/>
            </w:pPr>
            <w:r>
              <w:rPr>
                <w:spacing w:val="-1"/>
                <w:sz w:val="20"/>
              </w:rPr>
              <w:t>级以立方米为单位计量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基础清理；</w:t>
            </w:r>
          </w:p>
          <w:p>
            <w:pPr>
              <w:spacing w:line="271" w:lineRule="exact"/>
              <w:ind w:left="281"/>
            </w:pPr>
            <w:r>
              <w:rPr>
                <w:rFonts w:ascii="Times New Roman" w:hAnsi="Times New Roman" w:cs="Times New Roman"/>
                <w:sz w:val="20"/>
              </w:rPr>
              <w:t>2.</w:t>
            </w:r>
            <w:r>
              <w:rPr>
                <w:spacing w:val="-1"/>
                <w:position w:val="1"/>
                <w:sz w:val="20"/>
              </w:rPr>
              <w:t>基底检查；</w:t>
            </w:r>
          </w:p>
          <w:p>
            <w:pPr>
              <w:spacing w:line="274" w:lineRule="exact"/>
              <w:ind w:left="281"/>
            </w:pPr>
            <w:r>
              <w:rPr>
                <w:rFonts w:ascii="Times New Roman" w:hAnsi="Times New Roman" w:cs="Times New Roman"/>
                <w:sz w:val="20"/>
              </w:rPr>
              <w:t>3.</w:t>
            </w:r>
            <w:r>
              <w:rPr>
                <w:spacing w:val="-1"/>
                <w:position w:val="1"/>
                <w:sz w:val="20"/>
              </w:rPr>
              <w:t>选修石料；</w:t>
            </w:r>
          </w:p>
          <w:p>
            <w:pPr>
              <w:spacing w:line="271" w:lineRule="exact"/>
              <w:ind w:left="281"/>
            </w:pPr>
            <w:r>
              <w:rPr>
                <w:rFonts w:ascii="Times New Roman" w:hAnsi="Times New Roman" w:cs="Times New Roman"/>
                <w:sz w:val="20"/>
              </w:rPr>
              <w:t>4.</w:t>
            </w:r>
            <w:r>
              <w:rPr>
                <w:spacing w:val="-1"/>
                <w:position w:val="1"/>
                <w:sz w:val="20"/>
              </w:rPr>
              <w:t>铺筑垫层；</w:t>
            </w:r>
          </w:p>
          <w:p>
            <w:pPr>
              <w:spacing w:line="274" w:lineRule="exact"/>
              <w:ind w:left="281"/>
            </w:pPr>
            <w:r>
              <w:rPr>
                <w:rFonts w:ascii="Times New Roman" w:hAnsi="Times New Roman" w:cs="Times New Roman"/>
                <w:sz w:val="20"/>
              </w:rPr>
              <w:t>5.</w:t>
            </w:r>
            <w:r>
              <w:rPr>
                <w:spacing w:val="-1"/>
                <w:position w:val="1"/>
                <w:sz w:val="20"/>
              </w:rPr>
              <w:t>搭、拆脚手架；</w:t>
            </w:r>
          </w:p>
          <w:p>
            <w:pPr>
              <w:spacing w:line="271" w:lineRule="exact"/>
              <w:ind w:left="281"/>
            </w:pPr>
            <w:r>
              <w:rPr>
                <w:rFonts w:ascii="Times New Roman" w:hAnsi="Times New Roman" w:cs="Times New Roman"/>
                <w:sz w:val="20"/>
              </w:rPr>
              <w:t>6.</w:t>
            </w:r>
            <w:r>
              <w:rPr>
                <w:spacing w:val="-1"/>
                <w:position w:val="1"/>
                <w:sz w:val="20"/>
              </w:rPr>
              <w:t>配、拌、运砂浆；</w:t>
            </w:r>
          </w:p>
          <w:p>
            <w:pPr>
              <w:spacing w:line="274" w:lineRule="exact"/>
              <w:ind w:left="281"/>
            </w:pPr>
            <w:r>
              <w:rPr>
                <w:rFonts w:ascii="Times New Roman" w:hAnsi="Times New Roman" w:cs="Times New Roman"/>
                <w:sz w:val="20"/>
              </w:rPr>
              <w:t>7.</w:t>
            </w:r>
            <w:r>
              <w:rPr>
                <w:spacing w:val="-6"/>
                <w:position w:val="1"/>
                <w:sz w:val="20"/>
              </w:rPr>
              <w:t>砌筑、勾缝、抹面、</w:t>
            </w:r>
            <w:r>
              <w:rPr>
                <w:spacing w:val="-1"/>
                <w:sz w:val="20"/>
              </w:rPr>
              <w:t>养护；</w:t>
            </w:r>
          </w:p>
          <w:p>
            <w:pPr>
              <w:spacing w:line="306" w:lineRule="exact"/>
              <w:ind w:left="281"/>
            </w:pPr>
            <w:r>
              <w:rPr>
                <w:rFonts w:ascii="Times New Roman" w:hAnsi="Times New Roman" w:cs="Times New Roman"/>
                <w:sz w:val="20"/>
              </w:rPr>
              <w:t>8.</w:t>
            </w:r>
            <w:r>
              <w:rPr>
                <w:spacing w:val="-1"/>
                <w:position w:val="1"/>
                <w:sz w:val="20"/>
              </w:rPr>
              <w:t>沉降缝设置</w:t>
            </w:r>
          </w:p>
        </w:tc>
      </w:tr>
      <w:tr>
        <w:tblPrEx>
          <w:tblCellMar>
            <w:top w:w="0" w:type="dxa"/>
            <w:left w:w="108" w:type="dxa"/>
            <w:bottom w:w="0" w:type="dxa"/>
            <w:right w:w="108" w:type="dxa"/>
          </w:tblCellMar>
        </w:tblPrEx>
        <w:trPr>
          <w:trHeight w:val="186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57" w:lineRule="exact"/>
              <w:ind w:left="315"/>
            </w:pPr>
            <w:r>
              <w:rPr>
                <w:rFonts w:ascii="Times New Roman" w:hAnsi="Times New Roman" w:cs="Times New Roman"/>
                <w:spacing w:val="-1"/>
                <w:sz w:val="20"/>
              </w:rPr>
              <w:t>402-3</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07" w:lineRule="exact"/>
              <w:ind w:left="282"/>
            </w:pPr>
            <w:r>
              <w:rPr>
                <w:spacing w:val="-1"/>
                <w:sz w:val="20"/>
              </w:rPr>
              <w:t>钢筋</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57" w:lineRule="exact"/>
              <w:ind w:left="434"/>
            </w:pPr>
            <w:r>
              <w:rPr>
                <w:rFonts w:ascii="Times New Roman" w:hAnsi="Times New Roman" w:cs="Times New Roman"/>
                <w:spacing w:val="-1"/>
                <w:sz w:val="20"/>
              </w:rPr>
              <w:t>kg</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1"/>
            </w:pPr>
            <w:r>
              <w:rPr>
                <w:rFonts w:ascii="Times New Roman" w:hAnsi="Times New Roman" w:cs="Times New Roman"/>
                <w:sz w:val="20"/>
              </w:rPr>
              <w:t>1.</w:t>
            </w:r>
            <w:r>
              <w:rPr>
                <w:spacing w:val="-1"/>
                <w:position w:val="1"/>
                <w:sz w:val="20"/>
              </w:rPr>
              <w:t>依据图纸所示及钢筋表所</w:t>
            </w:r>
          </w:p>
          <w:p>
            <w:pPr>
              <w:spacing w:line="237" w:lineRule="exact"/>
              <w:ind w:left="108"/>
            </w:pPr>
            <w:r>
              <w:rPr>
                <w:spacing w:val="-1"/>
                <w:sz w:val="20"/>
              </w:rPr>
              <w:t>列钢筋质量以千克为单位计</w:t>
            </w:r>
          </w:p>
          <w:p>
            <w:pPr>
              <w:spacing w:line="271" w:lineRule="exact"/>
              <w:ind w:left="108"/>
            </w:pPr>
            <w:r>
              <w:rPr>
                <w:spacing w:val="-1"/>
                <w:sz w:val="20"/>
              </w:rPr>
              <w:t>量；</w:t>
            </w:r>
          </w:p>
          <w:p>
            <w:pPr>
              <w:spacing w:line="308" w:lineRule="exact"/>
              <w:ind w:left="281"/>
            </w:pPr>
            <w:r>
              <w:rPr>
                <w:rFonts w:ascii="Times New Roman" w:hAnsi="Times New Roman" w:cs="Times New Roman"/>
                <w:sz w:val="20"/>
              </w:rPr>
              <w:t>2.</w:t>
            </w:r>
            <w:r>
              <w:rPr>
                <w:spacing w:val="-1"/>
                <w:position w:val="1"/>
                <w:sz w:val="20"/>
              </w:rPr>
              <w:t>固定钢筋的材料、定位架</w:t>
            </w:r>
          </w:p>
          <w:p>
            <w:pPr>
              <w:spacing w:line="239" w:lineRule="exact"/>
              <w:ind w:left="108"/>
            </w:pPr>
            <w:r>
              <w:rPr>
                <w:sz w:val="20"/>
              </w:rPr>
              <w:t>立钢筋、钢筋接头、吊装钢筋、</w:t>
            </w:r>
          </w:p>
          <w:p>
            <w:pPr>
              <w:spacing w:line="271" w:lineRule="exact"/>
              <w:ind w:left="108"/>
            </w:pPr>
            <w:r>
              <w:rPr>
                <w:spacing w:val="-1"/>
                <w:sz w:val="20"/>
              </w:rPr>
              <w:t>钢板、铁丝作为钢筋作业的附</w:t>
            </w:r>
          </w:p>
          <w:p>
            <w:pPr>
              <w:spacing w:line="274" w:lineRule="exact"/>
              <w:ind w:left="108"/>
            </w:pPr>
            <w:r>
              <w:rPr>
                <w:spacing w:val="-1"/>
                <w:sz w:val="20"/>
              </w:rPr>
              <w:t>属工作，不另行计量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5" w:lineRule="exact"/>
              <w:ind w:left="281"/>
            </w:pPr>
            <w:r>
              <w:rPr>
                <w:rFonts w:ascii="Times New Roman" w:hAnsi="Times New Roman" w:cs="Times New Roman"/>
                <w:sz w:val="20"/>
              </w:rPr>
              <w:t>1.</w:t>
            </w:r>
            <w:r>
              <w:rPr>
                <w:spacing w:val="-1"/>
                <w:position w:val="1"/>
                <w:sz w:val="20"/>
              </w:rPr>
              <w:t>钢筋的运输、保</w:t>
            </w:r>
          </w:p>
          <w:p>
            <w:pPr>
              <w:spacing w:line="237" w:lineRule="exact"/>
              <w:ind w:left="108"/>
            </w:pPr>
            <w:r>
              <w:rPr>
                <w:spacing w:val="-1"/>
                <w:sz w:val="20"/>
              </w:rPr>
              <w:t>护、储存及除锈；</w:t>
            </w:r>
          </w:p>
          <w:p>
            <w:pPr>
              <w:spacing w:line="308" w:lineRule="exact"/>
              <w:ind w:left="281"/>
            </w:pPr>
            <w:r>
              <w:rPr>
                <w:rFonts w:ascii="Times New Roman" w:hAnsi="Times New Roman" w:cs="Times New Roman"/>
                <w:sz w:val="20"/>
              </w:rPr>
              <w:t>2.</w:t>
            </w:r>
            <w:r>
              <w:rPr>
                <w:spacing w:val="-1"/>
                <w:position w:val="1"/>
                <w:sz w:val="20"/>
              </w:rPr>
              <w:t>钢筋整直、接头；</w:t>
            </w:r>
          </w:p>
          <w:p>
            <w:pPr>
              <w:spacing w:line="271" w:lineRule="exact"/>
              <w:ind w:left="281"/>
            </w:pPr>
            <w:r>
              <w:rPr>
                <w:rFonts w:ascii="Times New Roman" w:hAnsi="Times New Roman" w:cs="Times New Roman"/>
                <w:sz w:val="20"/>
              </w:rPr>
              <w:t>3.</w:t>
            </w:r>
            <w:r>
              <w:rPr>
                <w:spacing w:val="-1"/>
                <w:position w:val="1"/>
                <w:sz w:val="20"/>
              </w:rPr>
              <w:t>钢筋截断、弯曲；</w:t>
            </w:r>
          </w:p>
          <w:p>
            <w:pPr>
              <w:spacing w:line="274" w:lineRule="exact"/>
              <w:ind w:left="281"/>
            </w:pPr>
            <w:r>
              <w:rPr>
                <w:rFonts w:ascii="Times New Roman" w:hAnsi="Times New Roman" w:cs="Times New Roman"/>
                <w:sz w:val="20"/>
              </w:rPr>
              <w:t>4.</w:t>
            </w:r>
            <w:r>
              <w:rPr>
                <w:position w:val="1"/>
                <w:sz w:val="20"/>
              </w:rPr>
              <w:t>钢筋安设、支承及</w:t>
            </w:r>
          </w:p>
          <w:p>
            <w:pPr>
              <w:spacing w:line="237" w:lineRule="exact"/>
              <w:ind w:left="108"/>
            </w:pPr>
            <w:r>
              <w:rPr>
                <w:spacing w:val="-1"/>
                <w:sz w:val="20"/>
              </w:rPr>
              <w:t>固定</w:t>
            </w:r>
          </w:p>
        </w:tc>
      </w:tr>
      <w:tr>
        <w:tblPrEx>
          <w:tblCellMar>
            <w:top w:w="0" w:type="dxa"/>
            <w:left w:w="108" w:type="dxa"/>
            <w:bottom w:w="0" w:type="dxa"/>
            <w:right w:w="108" w:type="dxa"/>
          </w:tblCellMar>
        </w:tblPrEx>
        <w:trPr>
          <w:trHeight w:val="520"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57" w:lineRule="exact"/>
              <w:ind w:left="401"/>
            </w:pPr>
            <w:r>
              <w:rPr>
                <w:rFonts w:ascii="Times New Roman" w:hAnsi="Times New Roman" w:cs="Times New Roman"/>
                <w:spacing w:val="-1"/>
                <w:sz w:val="20"/>
              </w:rPr>
              <w:t>403</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08" w:lineRule="exact"/>
              <w:ind w:left="282"/>
            </w:pPr>
            <w:r>
              <w:rPr>
                <w:spacing w:val="-1"/>
                <w:sz w:val="20"/>
              </w:rPr>
              <w:t>上部结构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08" w:lineRule="exact"/>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08" w:lineRule="exact"/>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08" w:lineRule="exact"/>
            </w:pPr>
          </w:p>
        </w:tc>
      </w:tr>
      <w:tr>
        <w:tblPrEx>
          <w:tblCellMar>
            <w:top w:w="0" w:type="dxa"/>
            <w:left w:w="108" w:type="dxa"/>
            <w:bottom w:w="0" w:type="dxa"/>
            <w:right w:w="108" w:type="dxa"/>
          </w:tblCellMar>
        </w:tblPrEx>
        <w:trPr>
          <w:trHeight w:val="55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75" w:lineRule="exact"/>
              <w:ind w:left="315"/>
            </w:pPr>
            <w:r>
              <w:rPr>
                <w:rFonts w:ascii="Times New Roman" w:hAnsi="Times New Roman" w:cs="Times New Roman"/>
                <w:spacing w:val="-1"/>
                <w:sz w:val="20"/>
              </w:rPr>
              <w:t>403-1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26" w:lineRule="exact"/>
              <w:ind w:left="282"/>
            </w:pPr>
            <w:r>
              <w:rPr>
                <w:spacing w:val="-1"/>
                <w:sz w:val="20"/>
              </w:rPr>
              <w:t>现浇混凝土上</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3" w:lineRule="exact"/>
              <w:ind w:left="425"/>
            </w:pPr>
            <w:r>
              <w:rPr>
                <w:rFonts w:ascii="Times New Roman" w:hAnsi="Times New Roman" w:cs="Times New Roman"/>
                <w:position w:val="-4"/>
                <w:sz w:val="20"/>
              </w:rPr>
              <w:t>m</w:t>
            </w:r>
            <w:r>
              <w:rPr>
                <w:rFonts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1"/>
            </w:pPr>
            <w:r>
              <w:rPr>
                <w:rFonts w:ascii="Times New Roman" w:hAnsi="Times New Roman" w:cs="Times New Roman"/>
                <w:sz w:val="20"/>
              </w:rPr>
              <w:t>1.</w:t>
            </w:r>
            <w:r>
              <w:rPr>
                <w:spacing w:val="-1"/>
                <w:position w:val="1"/>
                <w:sz w:val="20"/>
              </w:rPr>
              <w:t>依据图纸所示体积分不同</w:t>
            </w:r>
          </w:p>
          <w:p>
            <w:pPr>
              <w:spacing w:line="237" w:lineRule="exact"/>
              <w:ind w:left="108"/>
            </w:pPr>
            <w:r>
              <w:rPr>
                <w:spacing w:val="-1"/>
                <w:sz w:val="20"/>
              </w:rPr>
              <w:t>强度等级以立方米为单位计</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1"/>
            </w:pPr>
            <w:r>
              <w:rPr>
                <w:rFonts w:ascii="Times New Roman" w:hAnsi="Times New Roman" w:cs="Times New Roman"/>
                <w:sz w:val="20"/>
              </w:rPr>
              <w:t>1.</w:t>
            </w:r>
            <w:r>
              <w:rPr>
                <w:spacing w:val="-1"/>
                <w:position w:val="1"/>
                <w:sz w:val="20"/>
              </w:rPr>
              <w:t>平整场地；</w:t>
            </w:r>
          </w:p>
          <w:p>
            <w:pPr>
              <w:spacing w:line="271" w:lineRule="exact"/>
              <w:ind w:left="281"/>
            </w:pPr>
            <w:r>
              <w:rPr>
                <w:rFonts w:ascii="Times New Roman" w:hAnsi="Times New Roman" w:cs="Times New Roman"/>
                <w:sz w:val="20"/>
              </w:rPr>
              <w:t>2.</w:t>
            </w:r>
            <w:r>
              <w:rPr>
                <w:spacing w:val="-1"/>
                <w:position w:val="1"/>
                <w:sz w:val="20"/>
              </w:rPr>
              <w:t>搭拆工作平台；</w:t>
            </w:r>
          </w:p>
        </w:tc>
      </w:tr>
    </w:tbl>
    <w:p>
      <w:pPr>
        <w:spacing w:line="250" w:lineRule="exact"/>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120"/>
        <w:gridCol w:w="1775"/>
        <w:gridCol w:w="1080"/>
        <w:gridCol w:w="2880"/>
        <w:gridCol w:w="2160"/>
      </w:tblGrid>
      <w:tr>
        <w:trPr>
          <w:trHeight w:val="24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pP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3" w:lineRule="exact"/>
              <w:ind w:left="107"/>
            </w:pPr>
            <w:r>
              <w:rPr>
                <w:spacing w:val="-1"/>
                <w:sz w:val="20"/>
              </w:rPr>
              <w:t>部结构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3" w:lineRule="exact"/>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108"/>
            </w:pPr>
            <w:r>
              <w:rPr>
                <w:spacing w:val="-1"/>
                <w:sz w:val="20"/>
              </w:rPr>
              <w:t>量；</w:t>
            </w:r>
          </w:p>
          <w:p>
            <w:pPr>
              <w:spacing w:line="308" w:lineRule="exact"/>
              <w:ind w:left="281"/>
            </w:pPr>
            <w:r>
              <w:rPr>
                <w:rFonts w:ascii="Times New Roman" w:hAnsi="Times New Roman" w:cs="Times New Roman"/>
                <w:sz w:val="20"/>
              </w:rPr>
              <w:t>2.</w:t>
            </w:r>
            <w:r>
              <w:rPr>
                <w:spacing w:val="-1"/>
                <w:position w:val="1"/>
                <w:sz w:val="20"/>
              </w:rPr>
              <w:t>直径小于</w:t>
            </w:r>
            <w:r>
              <w:rPr>
                <w:rFonts w:ascii="Calibri" w:hAnsi="Calibri" w:cs="Calibri"/>
                <w:sz w:val="20"/>
              </w:rPr>
              <w:t> </w:t>
            </w:r>
            <w:r>
              <w:rPr>
                <w:rFonts w:ascii="Times New Roman" w:hAnsi="Times New Roman" w:cs="Times New Roman"/>
                <w:spacing w:val="-1"/>
                <w:sz w:val="20"/>
              </w:rPr>
              <w:t>200mm</w:t>
            </w:r>
            <w:r>
              <w:rPr>
                <w:rFonts w:ascii="Calibri" w:hAnsi="Calibri" w:cs="Calibri"/>
                <w:sz w:val="20"/>
              </w:rPr>
              <w:t> </w:t>
            </w:r>
            <w:r>
              <w:rPr>
                <w:spacing w:val="-1"/>
                <w:position w:val="1"/>
                <w:sz w:val="20"/>
              </w:rPr>
              <w:t>的管子、</w:t>
            </w:r>
          </w:p>
          <w:p>
            <w:pPr>
              <w:spacing w:line="237" w:lineRule="exact"/>
              <w:ind w:left="108"/>
            </w:pPr>
            <w:r>
              <w:rPr>
                <w:spacing w:val="-1"/>
                <w:sz w:val="20"/>
              </w:rPr>
              <w:t>钢筋、锚固件、管道、泄水孔</w:t>
            </w:r>
          </w:p>
          <w:p>
            <w:pPr>
              <w:spacing w:line="274" w:lineRule="exact"/>
              <w:ind w:left="108"/>
            </w:pPr>
            <w:r>
              <w:rPr>
                <w:spacing w:val="-1"/>
                <w:sz w:val="20"/>
              </w:rPr>
              <w:t>或桩所占混凝土体积不予扣</w:t>
            </w:r>
          </w:p>
          <w:p>
            <w:pPr>
              <w:spacing w:line="271" w:lineRule="exact"/>
              <w:ind w:left="108"/>
            </w:pPr>
            <w:r>
              <w:rPr>
                <w:spacing w:val="-1"/>
                <w:sz w:val="20"/>
              </w:rPr>
              <w:t>除</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3.</w:t>
            </w:r>
            <w:r>
              <w:rPr>
                <w:position w:val="1"/>
                <w:sz w:val="20"/>
              </w:rPr>
              <w:t>支架搭设、预压与</w:t>
            </w:r>
          </w:p>
          <w:p>
            <w:pPr>
              <w:spacing w:line="239" w:lineRule="exact"/>
              <w:ind w:left="108"/>
            </w:pPr>
            <w:r>
              <w:rPr>
                <w:spacing w:val="-1"/>
                <w:sz w:val="20"/>
              </w:rPr>
              <w:t>拆除；</w:t>
            </w:r>
          </w:p>
          <w:p>
            <w:pPr>
              <w:spacing w:line="306" w:lineRule="exact"/>
              <w:ind w:left="281"/>
            </w:pPr>
            <w:r>
              <w:rPr>
                <w:rFonts w:ascii="Times New Roman" w:hAnsi="Times New Roman" w:cs="Times New Roman"/>
                <w:sz w:val="20"/>
              </w:rPr>
              <w:t>4.</w:t>
            </w:r>
            <w:r>
              <w:rPr>
                <w:position w:val="1"/>
                <w:sz w:val="20"/>
              </w:rPr>
              <w:t>安拆模板；安设预</w:t>
            </w:r>
          </w:p>
          <w:p>
            <w:pPr>
              <w:spacing w:line="239" w:lineRule="exact"/>
              <w:ind w:left="108"/>
            </w:pPr>
            <w:r>
              <w:rPr>
                <w:spacing w:val="-1"/>
                <w:sz w:val="20"/>
              </w:rPr>
              <w:t>埋件；</w:t>
            </w:r>
          </w:p>
          <w:p>
            <w:pPr>
              <w:spacing w:line="306" w:lineRule="exact"/>
              <w:ind w:left="281"/>
            </w:pPr>
            <w:r>
              <w:rPr>
                <w:rFonts w:ascii="Times New Roman" w:hAnsi="Times New Roman" w:cs="Times New Roman"/>
                <w:sz w:val="20"/>
              </w:rPr>
              <w:t>5.</w:t>
            </w:r>
            <w:r>
              <w:rPr>
                <w:position w:val="1"/>
                <w:sz w:val="20"/>
              </w:rPr>
              <w:t>混凝土配运料、拌</w:t>
            </w:r>
          </w:p>
          <w:p>
            <w:pPr>
              <w:spacing w:line="237" w:lineRule="exact"/>
              <w:ind w:left="108"/>
            </w:pPr>
            <w:r>
              <w:rPr>
                <w:spacing w:val="-1"/>
                <w:sz w:val="20"/>
              </w:rPr>
              <w:t>和、运输、浇筑、养</w:t>
            </w:r>
          </w:p>
          <w:p>
            <w:pPr>
              <w:spacing w:line="274" w:lineRule="exact"/>
              <w:ind w:left="108"/>
            </w:pPr>
            <w:r>
              <w:rPr>
                <w:spacing w:val="-1"/>
                <w:sz w:val="20"/>
              </w:rPr>
              <w:t>护；</w:t>
            </w:r>
          </w:p>
          <w:p>
            <w:pPr>
              <w:spacing w:line="306" w:lineRule="exact"/>
              <w:ind w:left="281"/>
            </w:pPr>
            <w:r>
              <w:rPr>
                <w:rFonts w:ascii="Times New Roman" w:hAnsi="Times New Roman" w:cs="Times New Roman"/>
                <w:sz w:val="20"/>
              </w:rPr>
              <w:t>6.</w:t>
            </w:r>
            <w:r>
              <w:rPr>
                <w:position w:val="1"/>
                <w:sz w:val="20"/>
              </w:rPr>
              <w:t>施工缝、伸缩缝设</w:t>
            </w:r>
          </w:p>
          <w:p>
            <w:pPr>
              <w:spacing w:line="239" w:lineRule="exact"/>
              <w:ind w:left="108"/>
            </w:pPr>
            <w:r>
              <w:rPr>
                <w:spacing w:val="-1"/>
                <w:sz w:val="20"/>
              </w:rPr>
              <w:t>置处理</w:t>
            </w:r>
          </w:p>
        </w:tc>
      </w:tr>
      <w:tr>
        <w:tblPrEx>
          <w:tblCellMar>
            <w:top w:w="0" w:type="dxa"/>
            <w:left w:w="108" w:type="dxa"/>
            <w:bottom w:w="0" w:type="dxa"/>
            <w:right w:w="108" w:type="dxa"/>
          </w:tblCellMar>
        </w:tblPrEx>
        <w:trPr>
          <w:trHeight w:val="24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28" w:lineRule="exact"/>
              <w:ind w:left="315"/>
            </w:pPr>
            <w:r>
              <w:rPr>
                <w:rFonts w:ascii="Times New Roman" w:hAnsi="Times New Roman" w:cs="Times New Roman"/>
                <w:spacing w:val="-1"/>
                <w:sz w:val="20"/>
              </w:rPr>
              <w:t>403-2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99" w:lineRule="exact"/>
              <w:ind w:left="282"/>
            </w:pPr>
            <w:r>
              <w:rPr>
                <w:spacing w:val="-1"/>
                <w:sz w:val="20"/>
              </w:rPr>
              <w:t>预制混凝土上</w:t>
            </w:r>
          </w:p>
          <w:p>
            <w:pPr>
              <w:spacing w:line="360" w:lineRule="exact"/>
              <w:ind w:left="107"/>
            </w:pPr>
            <w:r>
              <w:rPr>
                <w:spacing w:val="-1"/>
                <w:sz w:val="20"/>
              </w:rPr>
              <w:t>部结构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36" w:lineRule="exact"/>
              <w:ind w:left="425"/>
            </w:pPr>
            <w:r>
              <w:rPr>
                <w:rFonts w:ascii="Times New Roman" w:hAnsi="Times New Roman" w:cs="Times New Roman"/>
                <w:position w:val="-4"/>
                <w:sz w:val="20"/>
              </w:rPr>
              <w:t>m</w:t>
            </w:r>
            <w:r>
              <w:rPr>
                <w:rFonts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1"/>
            </w:pPr>
            <w:r>
              <w:rPr>
                <w:rFonts w:ascii="Times New Roman" w:hAnsi="Times New Roman" w:cs="Times New Roman"/>
                <w:sz w:val="20"/>
              </w:rPr>
              <w:t>1.</w:t>
            </w:r>
            <w:r>
              <w:rPr>
                <w:spacing w:val="-1"/>
                <w:position w:val="1"/>
                <w:sz w:val="20"/>
              </w:rPr>
              <w:t>依据图纸所示体积分不同</w:t>
            </w:r>
          </w:p>
          <w:p>
            <w:pPr>
              <w:spacing w:line="237" w:lineRule="exact"/>
              <w:ind w:left="108"/>
            </w:pPr>
            <w:r>
              <w:rPr>
                <w:spacing w:val="-1"/>
                <w:sz w:val="20"/>
              </w:rPr>
              <w:t>强度等级以立方米为单位计</w:t>
            </w:r>
          </w:p>
          <w:p>
            <w:pPr>
              <w:spacing w:line="271" w:lineRule="exact"/>
              <w:ind w:left="108"/>
            </w:pPr>
            <w:r>
              <w:rPr>
                <w:spacing w:val="-1"/>
                <w:sz w:val="20"/>
              </w:rPr>
              <w:t>量；</w:t>
            </w:r>
          </w:p>
          <w:p>
            <w:pPr>
              <w:spacing w:line="308" w:lineRule="exact"/>
              <w:ind w:left="281"/>
            </w:pPr>
            <w:r>
              <w:rPr>
                <w:rFonts w:ascii="Times New Roman" w:hAnsi="Times New Roman" w:cs="Times New Roman"/>
                <w:sz w:val="20"/>
              </w:rPr>
              <w:t>2.</w:t>
            </w:r>
            <w:r>
              <w:rPr>
                <w:spacing w:val="-1"/>
                <w:position w:val="1"/>
                <w:sz w:val="20"/>
              </w:rPr>
              <w:t>直径小于</w:t>
            </w:r>
            <w:r>
              <w:rPr>
                <w:rFonts w:ascii="Calibri" w:hAnsi="Calibri" w:cs="Calibri"/>
                <w:sz w:val="20"/>
              </w:rPr>
              <w:t> </w:t>
            </w:r>
            <w:r>
              <w:rPr>
                <w:rFonts w:ascii="Times New Roman" w:hAnsi="Times New Roman" w:cs="Times New Roman"/>
                <w:spacing w:val="-1"/>
                <w:sz w:val="20"/>
              </w:rPr>
              <w:t>200mm</w:t>
            </w:r>
            <w:r>
              <w:rPr>
                <w:rFonts w:ascii="Calibri" w:hAnsi="Calibri" w:cs="Calibri"/>
                <w:sz w:val="20"/>
              </w:rPr>
              <w:t> </w:t>
            </w:r>
            <w:r>
              <w:rPr>
                <w:spacing w:val="-1"/>
                <w:position w:val="1"/>
                <w:sz w:val="20"/>
              </w:rPr>
              <w:t>的管子、</w:t>
            </w:r>
          </w:p>
          <w:p>
            <w:pPr>
              <w:spacing w:line="237" w:lineRule="exact"/>
              <w:ind w:left="108"/>
            </w:pPr>
            <w:r>
              <w:rPr>
                <w:spacing w:val="-1"/>
                <w:sz w:val="20"/>
              </w:rPr>
              <w:t>钢筋、锚固件、管道、泄水孔</w:t>
            </w:r>
          </w:p>
          <w:p>
            <w:pPr>
              <w:spacing w:line="274" w:lineRule="exact"/>
              <w:ind w:left="108"/>
            </w:pPr>
            <w:r>
              <w:rPr>
                <w:spacing w:val="-1"/>
                <w:sz w:val="20"/>
              </w:rPr>
              <w:t>或桩所占混凝土体积不予扣</w:t>
            </w:r>
          </w:p>
          <w:p>
            <w:pPr>
              <w:spacing w:line="274" w:lineRule="exact"/>
              <w:ind w:left="108"/>
            </w:pPr>
            <w:r>
              <w:rPr>
                <w:spacing w:val="-1"/>
                <w:sz w:val="20"/>
              </w:rPr>
              <w:t>除</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1"/>
            </w:pPr>
            <w:r>
              <w:rPr>
                <w:rFonts w:ascii="Times New Roman" w:hAnsi="Times New Roman" w:cs="Times New Roman"/>
                <w:sz w:val="20"/>
              </w:rPr>
              <w:t>1.</w:t>
            </w:r>
            <w:r>
              <w:rPr>
                <w:spacing w:val="-1"/>
                <w:position w:val="1"/>
                <w:sz w:val="20"/>
              </w:rPr>
              <w:t>搭拆工作平台；</w:t>
            </w:r>
          </w:p>
          <w:p>
            <w:pPr>
              <w:spacing w:line="271" w:lineRule="exact"/>
              <w:ind w:left="281"/>
            </w:pPr>
            <w:r>
              <w:rPr>
                <w:rFonts w:ascii="Times New Roman" w:hAnsi="Times New Roman" w:cs="Times New Roman"/>
                <w:sz w:val="20"/>
              </w:rPr>
              <w:t>2.</w:t>
            </w:r>
            <w:r>
              <w:rPr>
                <w:position w:val="1"/>
                <w:sz w:val="20"/>
              </w:rPr>
              <w:t>安拆模板；安设预</w:t>
            </w:r>
          </w:p>
          <w:p>
            <w:pPr>
              <w:spacing w:line="237" w:lineRule="exact"/>
              <w:ind w:left="108"/>
            </w:pPr>
            <w:r>
              <w:rPr>
                <w:spacing w:val="-1"/>
                <w:sz w:val="20"/>
              </w:rPr>
              <w:t>埋件（吊环、预埋连</w:t>
            </w:r>
          </w:p>
          <w:p>
            <w:pPr>
              <w:spacing w:line="274" w:lineRule="exact"/>
              <w:ind w:left="108"/>
            </w:pPr>
            <w:r>
              <w:rPr>
                <w:spacing w:val="-1"/>
                <w:sz w:val="20"/>
              </w:rPr>
              <w:t>接件）；</w:t>
            </w:r>
          </w:p>
          <w:p>
            <w:pPr>
              <w:spacing w:line="306" w:lineRule="exact"/>
              <w:ind w:left="281"/>
            </w:pPr>
            <w:r>
              <w:rPr>
                <w:rFonts w:ascii="Times New Roman" w:hAnsi="Times New Roman" w:cs="Times New Roman"/>
                <w:sz w:val="20"/>
              </w:rPr>
              <w:t>3.</w:t>
            </w:r>
            <w:r>
              <w:rPr>
                <w:position w:val="1"/>
                <w:sz w:val="20"/>
              </w:rPr>
              <w:t>混凝土配运料、拌</w:t>
            </w:r>
          </w:p>
          <w:p>
            <w:pPr>
              <w:spacing w:line="239" w:lineRule="exact"/>
              <w:ind w:left="108"/>
            </w:pPr>
            <w:r>
              <w:rPr>
                <w:spacing w:val="-1"/>
                <w:sz w:val="20"/>
              </w:rPr>
              <w:t>和、运输、浇筑、养</w:t>
            </w:r>
          </w:p>
          <w:p>
            <w:pPr>
              <w:spacing w:line="274" w:lineRule="exact"/>
              <w:ind w:left="108"/>
            </w:pPr>
            <w:r>
              <w:rPr>
                <w:spacing w:val="-1"/>
                <w:sz w:val="20"/>
              </w:rPr>
              <w:t>护；</w:t>
            </w:r>
          </w:p>
          <w:p>
            <w:pPr>
              <w:spacing w:line="306" w:lineRule="exact"/>
              <w:ind w:left="281"/>
            </w:pPr>
            <w:r>
              <w:rPr>
                <w:rFonts w:ascii="Times New Roman" w:hAnsi="Times New Roman" w:cs="Times New Roman"/>
                <w:sz w:val="20"/>
              </w:rPr>
              <w:t>4.</w:t>
            </w:r>
            <w:r>
              <w:rPr>
                <w:spacing w:val="-1"/>
                <w:position w:val="1"/>
                <w:sz w:val="20"/>
              </w:rPr>
              <w:t>构件预制、运输、</w:t>
            </w:r>
          </w:p>
          <w:p>
            <w:pPr>
              <w:spacing w:line="237" w:lineRule="exact"/>
              <w:ind w:left="108"/>
            </w:pPr>
            <w:r>
              <w:rPr>
                <w:spacing w:val="-1"/>
                <w:sz w:val="20"/>
              </w:rPr>
              <w:t>安装</w:t>
            </w:r>
          </w:p>
        </w:tc>
      </w:tr>
      <w:tr>
        <w:tblPrEx>
          <w:tblCellMar>
            <w:top w:w="0" w:type="dxa"/>
            <w:left w:w="108" w:type="dxa"/>
            <w:bottom w:w="0" w:type="dxa"/>
            <w:right w:w="108" w:type="dxa"/>
          </w:tblCellMar>
        </w:tblPrEx>
        <w:trPr>
          <w:trHeight w:val="220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56" w:lineRule="exact"/>
              <w:ind w:left="315"/>
            </w:pPr>
            <w:r>
              <w:rPr>
                <w:rFonts w:ascii="Times New Roman" w:hAnsi="Times New Roman" w:cs="Times New Roman"/>
                <w:spacing w:val="-1"/>
                <w:sz w:val="20"/>
              </w:rPr>
              <w:t>403-3</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07" w:lineRule="exact"/>
              <w:ind w:left="282"/>
            </w:pPr>
            <w:r>
              <w:rPr>
                <w:spacing w:val="-1"/>
                <w:sz w:val="20"/>
              </w:rPr>
              <w:t>钢筋</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56" w:lineRule="exact"/>
              <w:ind w:left="434"/>
            </w:pPr>
            <w:r>
              <w:rPr>
                <w:rFonts w:ascii="Times New Roman" w:hAnsi="Times New Roman" w:cs="Times New Roman"/>
                <w:spacing w:val="-1"/>
                <w:sz w:val="20"/>
              </w:rPr>
              <w:t>kg</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依据图纸所示及钢筋表所</w:t>
            </w:r>
          </w:p>
          <w:p>
            <w:pPr>
              <w:spacing w:line="237" w:lineRule="exact"/>
              <w:ind w:left="108"/>
            </w:pPr>
            <w:r>
              <w:rPr>
                <w:spacing w:val="-1"/>
                <w:sz w:val="20"/>
              </w:rPr>
              <w:t>列钢筋质量以千克为单位计</w:t>
            </w:r>
          </w:p>
          <w:p>
            <w:pPr>
              <w:spacing w:line="274" w:lineRule="exact"/>
              <w:ind w:left="108"/>
            </w:pPr>
            <w:r>
              <w:rPr>
                <w:spacing w:val="-1"/>
                <w:sz w:val="20"/>
              </w:rPr>
              <w:t>量；</w:t>
            </w:r>
          </w:p>
          <w:p>
            <w:pPr>
              <w:spacing w:line="308" w:lineRule="exact"/>
              <w:ind w:left="281"/>
            </w:pPr>
            <w:r>
              <w:rPr>
                <w:rFonts w:ascii="Times New Roman" w:hAnsi="Times New Roman" w:cs="Times New Roman"/>
                <w:sz w:val="20"/>
              </w:rPr>
              <w:t>2.</w:t>
            </w:r>
            <w:r>
              <w:rPr>
                <w:spacing w:val="-1"/>
                <w:position w:val="1"/>
                <w:sz w:val="20"/>
              </w:rPr>
              <w:t>固定钢筋的材料、定位架</w:t>
            </w:r>
          </w:p>
          <w:p>
            <w:pPr>
              <w:spacing w:line="236" w:lineRule="exact"/>
              <w:ind w:left="108"/>
            </w:pPr>
            <w:r>
              <w:rPr>
                <w:sz w:val="20"/>
              </w:rPr>
              <w:t>立钢筋、钢筋接头、吊装钢筋、</w:t>
            </w:r>
          </w:p>
          <w:p>
            <w:pPr>
              <w:spacing w:line="271" w:lineRule="exact"/>
              <w:ind w:left="108"/>
            </w:pPr>
            <w:r>
              <w:rPr>
                <w:spacing w:val="-1"/>
                <w:sz w:val="20"/>
              </w:rPr>
              <w:t>钢板、铁丝作为钢筋作业的附</w:t>
            </w:r>
          </w:p>
          <w:p>
            <w:pPr>
              <w:spacing w:line="274" w:lineRule="exact"/>
              <w:ind w:left="108"/>
            </w:pPr>
            <w:r>
              <w:rPr>
                <w:spacing w:val="-1"/>
                <w:sz w:val="20"/>
              </w:rPr>
              <w:t>属工作，不另行计量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4" w:lineRule="exact"/>
              <w:ind w:left="281"/>
            </w:pPr>
            <w:r>
              <w:rPr>
                <w:rFonts w:ascii="Times New Roman" w:hAnsi="Times New Roman" w:cs="Times New Roman"/>
                <w:sz w:val="20"/>
              </w:rPr>
              <w:t>1.</w:t>
            </w:r>
            <w:r>
              <w:rPr>
                <w:spacing w:val="-1"/>
                <w:position w:val="1"/>
                <w:sz w:val="20"/>
              </w:rPr>
              <w:t>钢筋的运输、保</w:t>
            </w:r>
          </w:p>
          <w:p>
            <w:pPr>
              <w:spacing w:line="239" w:lineRule="exact"/>
              <w:ind w:left="108"/>
            </w:pPr>
            <w:r>
              <w:rPr>
                <w:spacing w:val="-1"/>
                <w:sz w:val="20"/>
              </w:rPr>
              <w:t>护、储存及除锈；</w:t>
            </w:r>
          </w:p>
          <w:p>
            <w:pPr>
              <w:spacing w:line="306" w:lineRule="exact"/>
              <w:ind w:left="281"/>
            </w:pPr>
            <w:r>
              <w:rPr>
                <w:rFonts w:ascii="Times New Roman" w:hAnsi="Times New Roman" w:cs="Times New Roman"/>
                <w:sz w:val="20"/>
              </w:rPr>
              <w:t>2.</w:t>
            </w:r>
            <w:r>
              <w:rPr>
                <w:spacing w:val="-1"/>
                <w:position w:val="1"/>
                <w:sz w:val="20"/>
              </w:rPr>
              <w:t>钢筋整直、接头；</w:t>
            </w:r>
          </w:p>
          <w:p>
            <w:pPr>
              <w:spacing w:line="274" w:lineRule="exact"/>
              <w:ind w:left="281"/>
            </w:pPr>
            <w:r>
              <w:rPr>
                <w:rFonts w:ascii="Times New Roman" w:hAnsi="Times New Roman" w:cs="Times New Roman"/>
                <w:sz w:val="20"/>
              </w:rPr>
              <w:t>3.</w:t>
            </w:r>
            <w:r>
              <w:rPr>
                <w:spacing w:val="-1"/>
                <w:position w:val="1"/>
                <w:sz w:val="20"/>
              </w:rPr>
              <w:t>钢筋截断、弯曲；</w:t>
            </w:r>
          </w:p>
          <w:p>
            <w:pPr>
              <w:spacing w:line="271" w:lineRule="exact"/>
              <w:ind w:left="281"/>
            </w:pPr>
            <w:r>
              <w:rPr>
                <w:rFonts w:ascii="Times New Roman" w:hAnsi="Times New Roman" w:cs="Times New Roman"/>
                <w:sz w:val="20"/>
              </w:rPr>
              <w:t>4.</w:t>
            </w:r>
            <w:r>
              <w:rPr>
                <w:position w:val="1"/>
                <w:sz w:val="20"/>
              </w:rPr>
              <w:t>钢筋安设、支承及</w:t>
            </w:r>
          </w:p>
          <w:p>
            <w:pPr>
              <w:spacing w:line="237" w:lineRule="exact"/>
              <w:ind w:left="108"/>
            </w:pPr>
            <w:r>
              <w:rPr>
                <w:spacing w:val="-1"/>
                <w:sz w:val="20"/>
              </w:rPr>
              <w:t>固定</w:t>
            </w:r>
          </w:p>
        </w:tc>
      </w:tr>
      <w:tr>
        <w:tblPrEx>
          <w:tblCellMar>
            <w:top w:w="0" w:type="dxa"/>
            <w:left w:w="108" w:type="dxa"/>
            <w:bottom w:w="0" w:type="dxa"/>
            <w:right w:w="108" w:type="dxa"/>
          </w:tblCellMar>
        </w:tblPrEx>
        <w:trPr>
          <w:trHeight w:val="242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28" w:lineRule="exact"/>
              <w:ind w:left="315"/>
            </w:pPr>
            <w:r>
              <w:rPr>
                <w:rFonts w:ascii="Times New Roman" w:hAnsi="Times New Roman" w:cs="Times New Roman"/>
                <w:spacing w:val="-1"/>
                <w:sz w:val="20"/>
              </w:rPr>
              <w:t>403-4</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98" w:lineRule="exact"/>
              <w:ind w:left="282"/>
            </w:pPr>
            <w:r>
              <w:rPr>
                <w:spacing w:val="-1"/>
                <w:sz w:val="20"/>
              </w:rPr>
              <w:t>现浇预应力混</w:t>
            </w:r>
          </w:p>
          <w:p>
            <w:pPr>
              <w:spacing w:line="360" w:lineRule="exact"/>
              <w:ind w:left="107"/>
            </w:pPr>
            <w:r>
              <w:rPr>
                <w:spacing w:val="-1"/>
                <w:sz w:val="20"/>
              </w:rPr>
              <w:t>凝土上部结构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36" w:lineRule="exact"/>
              <w:ind w:left="425"/>
            </w:pPr>
            <w:r>
              <w:rPr>
                <w:rFonts w:ascii="Times New Roman" w:hAnsi="Times New Roman" w:cs="Times New Roman"/>
                <w:position w:val="-4"/>
                <w:sz w:val="20"/>
              </w:rPr>
              <w:t>m</w:t>
            </w:r>
            <w:r>
              <w:rPr>
                <w:rFonts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86" w:lineRule="exact"/>
              <w:ind w:left="281"/>
            </w:pPr>
            <w:r>
              <w:rPr>
                <w:rFonts w:ascii="Times New Roman" w:hAnsi="Times New Roman" w:cs="Times New Roman"/>
                <w:sz w:val="20"/>
              </w:rPr>
              <w:t>1.</w:t>
            </w:r>
            <w:r>
              <w:rPr>
                <w:spacing w:val="-1"/>
                <w:position w:val="1"/>
                <w:sz w:val="20"/>
              </w:rPr>
              <w:t>依据图纸所示体积分不同</w:t>
            </w:r>
          </w:p>
          <w:p>
            <w:pPr>
              <w:spacing w:line="239" w:lineRule="exact"/>
              <w:ind w:left="108"/>
              <w:rPr>
                <w:spacing w:val="-1"/>
                <w:sz w:val="20"/>
              </w:rPr>
            </w:pPr>
            <w:r>
              <w:rPr>
                <w:spacing w:val="-1"/>
                <w:sz w:val="20"/>
              </w:rPr>
              <w:t>强度等级以立方米为单位计</w:t>
            </w:r>
          </w:p>
          <w:p>
            <w:pPr>
              <w:spacing w:line="239" w:lineRule="exact"/>
              <w:ind w:left="108"/>
              <w:rPr>
                <w:spacing w:val="-1"/>
                <w:sz w:val="20"/>
              </w:rPr>
            </w:pPr>
            <w:r>
              <w:rPr>
                <w:spacing w:val="-1"/>
                <w:sz w:val="20"/>
              </w:rPr>
              <w:t>量；</w:t>
            </w:r>
          </w:p>
          <w:p>
            <w:pPr>
              <w:spacing w:line="239" w:lineRule="exact"/>
              <w:ind w:left="108"/>
              <w:rPr>
                <w:spacing w:val="-1"/>
                <w:sz w:val="20"/>
              </w:rPr>
            </w:pPr>
            <w:r>
              <w:rPr>
                <w:spacing w:val="-1"/>
                <w:sz w:val="20"/>
              </w:rPr>
              <w:t>2.钢筋、钢材所占体积及单</w:t>
            </w:r>
          </w:p>
          <w:p>
            <w:pPr>
              <w:spacing w:line="239" w:lineRule="exact"/>
              <w:ind w:left="108"/>
            </w:pPr>
            <w:r>
              <w:rPr>
                <w:spacing w:val="-1"/>
                <w:sz w:val="20"/>
              </w:rPr>
              <w:t>个面积在0.</w:t>
            </w:r>
            <w:r>
              <w:rPr>
                <w:spacing w:val="-1"/>
                <w:position w:val="1"/>
                <w:sz w:val="20"/>
              </w:rPr>
              <w:t>03m以内的孔洞不予扣除</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8" w:lineRule="exact"/>
              <w:ind w:left="281"/>
            </w:pPr>
            <w:r>
              <w:rPr>
                <w:rFonts w:ascii="Times New Roman" w:hAnsi="Times New Roman" w:cs="Times New Roman"/>
                <w:sz w:val="20"/>
              </w:rPr>
              <w:t>1.</w:t>
            </w:r>
            <w:r>
              <w:rPr>
                <w:spacing w:val="-1"/>
                <w:position w:val="1"/>
                <w:sz w:val="20"/>
              </w:rPr>
              <w:t>平整场地；</w:t>
            </w:r>
          </w:p>
          <w:p>
            <w:pPr>
              <w:spacing w:line="274" w:lineRule="exact"/>
              <w:ind w:left="281"/>
            </w:pPr>
            <w:r>
              <w:rPr>
                <w:rFonts w:ascii="Times New Roman" w:hAnsi="Times New Roman" w:cs="Times New Roman"/>
                <w:sz w:val="20"/>
              </w:rPr>
              <w:t>2.</w:t>
            </w:r>
            <w:r>
              <w:rPr>
                <w:position w:val="1"/>
                <w:sz w:val="20"/>
              </w:rPr>
              <w:t>搭拆工作平台；支</w:t>
            </w:r>
          </w:p>
          <w:p>
            <w:pPr>
              <w:spacing w:line="237" w:lineRule="exact"/>
              <w:ind w:left="108"/>
            </w:pPr>
            <w:r>
              <w:rPr>
                <w:spacing w:val="-1"/>
                <w:sz w:val="20"/>
              </w:rPr>
              <w:t>架搭设、预压与拆除；</w:t>
            </w:r>
          </w:p>
          <w:p>
            <w:pPr>
              <w:spacing w:line="308" w:lineRule="exact"/>
              <w:ind w:left="281"/>
            </w:pPr>
            <w:r>
              <w:rPr>
                <w:rFonts w:ascii="Times New Roman" w:hAnsi="Times New Roman" w:cs="Times New Roman"/>
                <w:sz w:val="20"/>
              </w:rPr>
              <w:t>3.</w:t>
            </w:r>
            <w:r>
              <w:rPr>
                <w:spacing w:val="-1"/>
                <w:position w:val="1"/>
                <w:sz w:val="20"/>
              </w:rPr>
              <w:t>安、拆模板；</w:t>
            </w:r>
          </w:p>
          <w:p>
            <w:pPr>
              <w:spacing w:line="271" w:lineRule="exact"/>
              <w:ind w:left="281"/>
            </w:pPr>
            <w:r>
              <w:rPr>
                <w:rFonts w:ascii="Times New Roman" w:hAnsi="Times New Roman" w:cs="Times New Roman"/>
                <w:sz w:val="20"/>
              </w:rPr>
              <w:t>4.</w:t>
            </w:r>
            <w:r>
              <w:rPr>
                <w:position w:val="1"/>
                <w:sz w:val="20"/>
              </w:rPr>
              <w:t>混凝土配运料、拌</w:t>
            </w:r>
          </w:p>
          <w:p>
            <w:pPr>
              <w:spacing w:line="239" w:lineRule="exact"/>
              <w:ind w:left="108"/>
            </w:pPr>
            <w:r>
              <w:rPr>
                <w:spacing w:val="-1"/>
                <w:sz w:val="20"/>
              </w:rPr>
              <w:t>合、运输、浇筑、养</w:t>
            </w:r>
          </w:p>
          <w:p>
            <w:pPr>
              <w:spacing w:line="271" w:lineRule="exact"/>
              <w:ind w:left="108"/>
            </w:pPr>
            <w:r>
              <w:rPr>
                <w:spacing w:val="-1"/>
                <w:sz w:val="20"/>
              </w:rPr>
              <w:t>护；</w:t>
            </w:r>
          </w:p>
          <w:p>
            <w:pPr>
              <w:spacing w:line="308" w:lineRule="exact"/>
              <w:ind w:left="281"/>
            </w:pPr>
            <w:r>
              <w:rPr>
                <w:rFonts w:ascii="Times New Roman" w:hAnsi="Times New Roman" w:cs="Times New Roman"/>
                <w:sz w:val="20"/>
              </w:rPr>
              <w:t>5.</w:t>
            </w:r>
            <w:r>
              <w:rPr>
                <w:position w:val="1"/>
                <w:sz w:val="20"/>
              </w:rPr>
              <w:t>施工缝、伸缩缝设</w:t>
            </w:r>
          </w:p>
          <w:p>
            <w:pPr>
              <w:spacing w:line="237" w:lineRule="exact"/>
              <w:ind w:left="108"/>
            </w:pPr>
            <w:r>
              <w:rPr>
                <w:spacing w:val="-1"/>
                <w:sz w:val="20"/>
              </w:rPr>
              <w:t>置处理</w:t>
            </w:r>
          </w:p>
        </w:tc>
      </w:tr>
      <w:tr>
        <w:tblPrEx>
          <w:tblCellMar>
            <w:top w:w="0" w:type="dxa"/>
            <w:left w:w="108" w:type="dxa"/>
            <w:bottom w:w="0" w:type="dxa"/>
            <w:right w:w="108" w:type="dxa"/>
          </w:tblCellMar>
        </w:tblPrEx>
        <w:trPr>
          <w:trHeight w:val="203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92" w:lineRule="exact"/>
              <w:ind w:left="315"/>
            </w:pPr>
            <w:r>
              <w:rPr>
                <w:rFonts w:ascii="Times New Roman" w:hAnsi="Times New Roman" w:cs="Times New Roman"/>
                <w:spacing w:val="-1"/>
                <w:sz w:val="20"/>
              </w:rPr>
              <w:t>403-5</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61" w:lineRule="exact"/>
              <w:ind w:left="282"/>
            </w:pPr>
            <w:r>
              <w:rPr>
                <w:spacing w:val="-1"/>
                <w:sz w:val="20"/>
              </w:rPr>
              <w:t>预制预应力混</w:t>
            </w:r>
          </w:p>
          <w:p>
            <w:pPr>
              <w:spacing w:line="360" w:lineRule="exact"/>
              <w:ind w:left="107"/>
            </w:pPr>
            <w:r>
              <w:rPr>
                <w:spacing w:val="-1"/>
                <w:sz w:val="20"/>
              </w:rPr>
              <w:t>凝土上部结构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01" w:lineRule="exact"/>
              <w:ind w:left="425"/>
            </w:pPr>
            <w:r>
              <w:rPr>
                <w:rFonts w:ascii="Times New Roman" w:hAnsi="Times New Roman" w:cs="Times New Roman"/>
                <w:position w:val="-4"/>
                <w:sz w:val="20"/>
              </w:rPr>
              <w:t>m</w:t>
            </w:r>
            <w:r>
              <w:rPr>
                <w:rFonts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依据图纸所示体积分不同</w:t>
            </w:r>
          </w:p>
          <w:p>
            <w:pPr>
              <w:spacing w:line="237" w:lineRule="exact"/>
              <w:ind w:left="108"/>
            </w:pPr>
            <w:r>
              <w:rPr>
                <w:spacing w:val="-1"/>
                <w:sz w:val="20"/>
              </w:rPr>
              <w:t>强度等级以立方米为单位计</w:t>
            </w:r>
          </w:p>
          <w:p>
            <w:pPr>
              <w:spacing w:line="274" w:lineRule="exact"/>
              <w:ind w:left="108"/>
            </w:pPr>
            <w:r>
              <w:rPr>
                <w:spacing w:val="-1"/>
                <w:sz w:val="20"/>
              </w:rPr>
              <w:t>量；</w:t>
            </w:r>
          </w:p>
          <w:p>
            <w:pPr>
              <w:spacing w:line="239" w:lineRule="exact"/>
              <w:ind w:left="108"/>
              <w:rPr>
                <w:spacing w:val="-1"/>
                <w:sz w:val="20"/>
              </w:rPr>
            </w:pPr>
            <w:r>
              <w:rPr>
                <w:spacing w:val="-1"/>
                <w:sz w:val="20"/>
              </w:rPr>
              <w:t>2.钢筋、钢材所占体积及单</w:t>
            </w:r>
          </w:p>
          <w:p>
            <w:pPr>
              <w:spacing w:line="239" w:lineRule="exact"/>
              <w:ind w:left="108"/>
              <w:rPr>
                <w:spacing w:val="-1"/>
                <w:sz w:val="20"/>
              </w:rPr>
            </w:pPr>
            <w:r>
              <w:rPr>
                <w:spacing w:val="-1"/>
                <w:sz w:val="20"/>
              </w:rPr>
              <w:t>个面积在0.03m以内的孔洞</w:t>
            </w:r>
          </w:p>
          <w:p>
            <w:pPr>
              <w:spacing w:line="239" w:lineRule="exact"/>
              <w:ind w:left="108"/>
              <w:rPr>
                <w:spacing w:val="-1"/>
                <w:sz w:val="20"/>
              </w:rPr>
            </w:pPr>
            <w:r>
              <w:rPr>
                <w:spacing w:val="-1"/>
                <w:sz w:val="20"/>
              </w:rPr>
              <w:t>不予扣除；</w:t>
            </w:r>
          </w:p>
          <w:p>
            <w:pPr>
              <w:spacing w:line="239" w:lineRule="exact"/>
              <w:ind w:left="108"/>
              <w:rPr>
                <w:spacing w:val="-1"/>
                <w:sz w:val="20"/>
              </w:rPr>
            </w:pPr>
            <w:r>
              <w:rPr>
                <w:spacing w:val="-1"/>
                <w:sz w:val="20"/>
              </w:rPr>
              <w:t>3.后张法预应力混凝土梁封</w:t>
            </w:r>
          </w:p>
          <w:p>
            <w:pPr>
              <w:spacing w:line="239" w:lineRule="exact"/>
              <w:ind w:left="108"/>
            </w:pPr>
            <w:r>
              <w:rPr>
                <w:spacing w:val="-1"/>
                <w:sz w:val="20"/>
              </w:rPr>
              <w:t>端混凝土工程量列入本子目</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4" w:lineRule="exact"/>
              <w:ind w:left="281"/>
            </w:pPr>
            <w:r>
              <w:rPr>
                <w:rFonts w:ascii="Times New Roman" w:hAnsi="Times New Roman" w:cs="Times New Roman"/>
                <w:sz w:val="20"/>
              </w:rPr>
              <w:t>1.</w:t>
            </w:r>
            <w:r>
              <w:rPr>
                <w:spacing w:val="-1"/>
                <w:position w:val="1"/>
                <w:sz w:val="20"/>
              </w:rPr>
              <w:t>平整场地；</w:t>
            </w:r>
          </w:p>
          <w:p>
            <w:pPr>
              <w:spacing w:line="271" w:lineRule="exact"/>
              <w:ind w:left="281"/>
            </w:pPr>
            <w:r>
              <w:rPr>
                <w:rFonts w:ascii="Times New Roman" w:hAnsi="Times New Roman" w:cs="Times New Roman"/>
                <w:sz w:val="20"/>
              </w:rPr>
              <w:t>2.</w:t>
            </w:r>
            <w:r>
              <w:rPr>
                <w:spacing w:val="-1"/>
                <w:position w:val="1"/>
                <w:sz w:val="20"/>
              </w:rPr>
              <w:t>搭拆工作平台；</w:t>
            </w:r>
          </w:p>
          <w:p>
            <w:pPr>
              <w:spacing w:line="274" w:lineRule="exact"/>
              <w:ind w:left="281"/>
            </w:pPr>
            <w:r>
              <w:rPr>
                <w:rFonts w:ascii="Times New Roman" w:hAnsi="Times New Roman" w:cs="Times New Roman"/>
                <w:sz w:val="20"/>
              </w:rPr>
              <w:t>3.</w:t>
            </w:r>
            <w:r>
              <w:rPr>
                <w:spacing w:val="-1"/>
                <w:position w:val="1"/>
                <w:sz w:val="20"/>
              </w:rPr>
              <w:t>安、拆模板；</w:t>
            </w:r>
          </w:p>
          <w:p>
            <w:pPr>
              <w:spacing w:line="274" w:lineRule="exact"/>
              <w:ind w:left="281"/>
            </w:pPr>
            <w:r>
              <w:rPr>
                <w:rFonts w:ascii="Times New Roman" w:hAnsi="Times New Roman" w:cs="Times New Roman"/>
                <w:sz w:val="20"/>
              </w:rPr>
              <w:t>4.</w:t>
            </w:r>
            <w:r>
              <w:rPr>
                <w:position w:val="1"/>
                <w:sz w:val="20"/>
              </w:rPr>
              <w:t>混凝土配运料、拌</w:t>
            </w:r>
          </w:p>
          <w:p>
            <w:pPr>
              <w:spacing w:line="236" w:lineRule="exact"/>
              <w:ind w:left="108"/>
            </w:pPr>
            <w:r>
              <w:rPr>
                <w:spacing w:val="-1"/>
                <w:sz w:val="20"/>
              </w:rPr>
              <w:t>合、运输、浇筑、养</w:t>
            </w:r>
          </w:p>
          <w:p>
            <w:pPr>
              <w:spacing w:line="271" w:lineRule="exact"/>
              <w:ind w:left="108"/>
            </w:pPr>
            <w:r>
              <w:rPr>
                <w:spacing w:val="-1"/>
                <w:sz w:val="20"/>
              </w:rPr>
              <w:t>护；</w:t>
            </w:r>
          </w:p>
          <w:p>
            <w:pPr>
              <w:spacing w:line="308" w:lineRule="exact"/>
              <w:ind w:left="281"/>
            </w:pPr>
            <w:r>
              <w:rPr>
                <w:rFonts w:ascii="Times New Roman" w:hAnsi="Times New Roman" w:cs="Times New Roman"/>
                <w:sz w:val="20"/>
              </w:rPr>
              <w:t>5.</w:t>
            </w:r>
            <w:r>
              <w:rPr>
                <w:position w:val="1"/>
                <w:sz w:val="20"/>
              </w:rPr>
              <w:t>预制件运输、安装</w:t>
            </w:r>
          </w:p>
        </w:tc>
      </w:tr>
      <w:tr>
        <w:tblPrEx>
          <w:tblCellMar>
            <w:top w:w="0" w:type="dxa"/>
            <w:left w:w="108" w:type="dxa"/>
            <w:bottom w:w="0" w:type="dxa"/>
            <w:right w:w="108" w:type="dxa"/>
          </w:tblCellMar>
        </w:tblPrEx>
        <w:trPr>
          <w:trHeight w:val="110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48" w:lineRule="exact"/>
              <w:ind w:left="315"/>
            </w:pPr>
            <w:r>
              <w:rPr>
                <w:rFonts w:ascii="Times New Roman" w:hAnsi="Times New Roman" w:cs="Times New Roman"/>
                <w:spacing w:val="-1"/>
                <w:sz w:val="20"/>
              </w:rPr>
              <w:t>403-6</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9" w:lineRule="exact"/>
              <w:ind w:left="282"/>
            </w:pPr>
            <w:r>
              <w:rPr>
                <w:spacing w:val="-1"/>
                <w:sz w:val="20"/>
              </w:rPr>
              <w:t>先张法预应力</w:t>
            </w:r>
          </w:p>
          <w:p>
            <w:pPr>
              <w:spacing w:line="360" w:lineRule="exact"/>
              <w:ind w:left="107"/>
            </w:pPr>
            <w:r>
              <w:rPr>
                <w:spacing w:val="-1"/>
                <w:sz w:val="20"/>
              </w:rPr>
              <w:t>钢绞线</w:t>
            </w:r>
          </w:p>
        </w:tc>
        <w:tc>
          <w:tcPr>
            <w:tcW w:w="10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00" w:lineRule="exact"/>
              <w:ind w:left="434"/>
            </w:pPr>
            <w:r>
              <w:rPr>
                <w:rFonts w:ascii="Times New Roman" w:hAnsi="Times New Roman" w:cs="Times New Roman"/>
                <w:spacing w:val="-1"/>
                <w:sz w:val="20"/>
              </w:rPr>
              <w:t>kg</w:t>
            </w:r>
          </w:p>
        </w:tc>
        <w:tc>
          <w:tcPr>
            <w:tcW w:w="28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22" w:lineRule="exact"/>
              <w:ind w:left="281"/>
            </w:pPr>
            <w:r>
              <w:rPr>
                <w:rFonts w:ascii="Times New Roman" w:hAnsi="Times New Roman" w:cs="Times New Roman"/>
                <w:sz w:val="20"/>
              </w:rPr>
              <w:t>1.</w:t>
            </w:r>
            <w:r>
              <w:rPr>
                <w:spacing w:val="-1"/>
                <w:position w:val="1"/>
                <w:sz w:val="20"/>
              </w:rPr>
              <w:t>依据图纸所示构件长度计</w:t>
            </w:r>
          </w:p>
          <w:p>
            <w:pPr>
              <w:spacing w:line="237" w:lineRule="exact"/>
              <w:ind w:left="108"/>
            </w:pPr>
            <w:r>
              <w:rPr>
                <w:spacing w:val="-1"/>
                <w:sz w:val="20"/>
              </w:rPr>
              <w:t>算的预应力钢材质量，分不同</w:t>
            </w:r>
          </w:p>
          <w:p>
            <w:pPr>
              <w:spacing w:line="274" w:lineRule="exact"/>
              <w:ind w:left="108"/>
            </w:pPr>
            <w:r>
              <w:rPr>
                <w:spacing w:val="-1"/>
                <w:sz w:val="20"/>
              </w:rPr>
              <w:t>材质以千克为单位计量。</w:t>
            </w:r>
          </w:p>
          <w:p>
            <w:pPr>
              <w:spacing w:line="308" w:lineRule="exact"/>
              <w:ind w:left="281"/>
            </w:pPr>
            <w:r>
              <w:rPr>
                <w:rFonts w:ascii="Times New Roman" w:hAnsi="Times New Roman" w:cs="Times New Roman"/>
                <w:sz w:val="20"/>
              </w:rPr>
              <w:t>2.</w:t>
            </w:r>
            <w:r>
              <w:rPr>
                <w:spacing w:val="-1"/>
                <w:position w:val="1"/>
                <w:sz w:val="20"/>
              </w:rPr>
              <w:t>除上述计算长度以外的锚</w:t>
            </w:r>
          </w:p>
          <w:p>
            <w:pPr>
              <w:spacing w:line="236" w:lineRule="exact"/>
              <w:ind w:left="108"/>
            </w:pPr>
            <w:r>
              <w:rPr>
                <w:spacing w:val="-1"/>
                <w:sz w:val="20"/>
              </w:rPr>
              <w:t>固长度及工作长度的预应力</w:t>
            </w:r>
          </w:p>
          <w:p>
            <w:pPr>
              <w:spacing w:line="271" w:lineRule="exact"/>
              <w:ind w:left="108"/>
            </w:pPr>
            <w:r>
              <w:rPr>
                <w:spacing w:val="-1"/>
                <w:sz w:val="20"/>
              </w:rPr>
              <w:t>钢材含入相应预应力钢材报</w:t>
            </w:r>
          </w:p>
          <w:p>
            <w:pPr>
              <w:spacing w:line="274" w:lineRule="exact"/>
              <w:ind w:left="108"/>
            </w:pPr>
            <w:r>
              <w:rPr>
                <w:spacing w:val="-1"/>
                <w:sz w:val="20"/>
              </w:rPr>
              <w:t>价之中，不另行计量</w:t>
            </w:r>
          </w:p>
        </w:tc>
        <w:tc>
          <w:tcPr>
            <w:tcW w:w="216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22" w:lineRule="exact"/>
              <w:ind w:left="281"/>
            </w:pPr>
            <w:r>
              <w:rPr>
                <w:rFonts w:ascii="Times New Roman" w:hAnsi="Times New Roman" w:cs="Times New Roman"/>
                <w:sz w:val="20"/>
              </w:rPr>
              <w:t>1.</w:t>
            </w:r>
            <w:r>
              <w:rPr>
                <w:spacing w:val="-1"/>
                <w:position w:val="1"/>
                <w:sz w:val="20"/>
              </w:rPr>
              <w:t>制作安装预应力</w:t>
            </w:r>
          </w:p>
          <w:p>
            <w:pPr>
              <w:spacing w:line="237" w:lineRule="exact"/>
              <w:ind w:left="108"/>
            </w:pPr>
            <w:r>
              <w:rPr>
                <w:spacing w:val="-1"/>
                <w:sz w:val="20"/>
              </w:rPr>
              <w:t>钢材；</w:t>
            </w:r>
          </w:p>
          <w:p>
            <w:pPr>
              <w:spacing w:line="308" w:lineRule="exact"/>
              <w:ind w:left="281"/>
            </w:pPr>
            <w:r>
              <w:rPr>
                <w:rFonts w:ascii="Times New Roman" w:hAnsi="Times New Roman" w:cs="Times New Roman"/>
                <w:sz w:val="20"/>
              </w:rPr>
              <w:t>2.</w:t>
            </w:r>
            <w:r>
              <w:rPr>
                <w:spacing w:val="-1"/>
                <w:position w:val="1"/>
                <w:sz w:val="20"/>
              </w:rPr>
              <w:t>制作安装管道；</w:t>
            </w:r>
          </w:p>
          <w:p>
            <w:pPr>
              <w:spacing w:line="274" w:lineRule="exact"/>
              <w:ind w:left="281"/>
            </w:pPr>
            <w:r>
              <w:rPr>
                <w:rFonts w:ascii="Times New Roman" w:hAnsi="Times New Roman" w:cs="Times New Roman"/>
                <w:sz w:val="20"/>
              </w:rPr>
              <w:t>3.</w:t>
            </w:r>
            <w:r>
              <w:rPr>
                <w:spacing w:val="-1"/>
                <w:position w:val="1"/>
                <w:sz w:val="20"/>
              </w:rPr>
              <w:t>安装锚具、锚板；</w:t>
            </w:r>
          </w:p>
          <w:p>
            <w:pPr>
              <w:spacing w:line="271" w:lineRule="exact"/>
              <w:ind w:left="281"/>
            </w:pPr>
            <w:r>
              <w:rPr>
                <w:rFonts w:ascii="Times New Roman" w:hAnsi="Times New Roman" w:cs="Times New Roman"/>
                <w:sz w:val="20"/>
              </w:rPr>
              <w:t>4.</w:t>
            </w:r>
            <w:r>
              <w:rPr>
                <w:spacing w:val="-1"/>
                <w:position w:val="1"/>
                <w:sz w:val="20"/>
              </w:rPr>
              <w:t>张拉；</w:t>
            </w:r>
          </w:p>
          <w:p>
            <w:pPr>
              <w:spacing w:line="271" w:lineRule="exact"/>
              <w:ind w:left="281"/>
            </w:pPr>
            <w:r>
              <w:rPr>
                <w:rFonts w:ascii="Times New Roman" w:hAnsi="Times New Roman" w:cs="Times New Roman"/>
                <w:sz w:val="20"/>
              </w:rPr>
              <w:t>5.</w:t>
            </w:r>
            <w:r>
              <w:rPr>
                <w:spacing w:val="-1"/>
                <w:position w:val="1"/>
                <w:sz w:val="20"/>
              </w:rPr>
              <w:t>放张；</w:t>
            </w:r>
          </w:p>
          <w:p>
            <w:pPr>
              <w:spacing w:line="274" w:lineRule="exact"/>
              <w:ind w:left="281"/>
            </w:pPr>
            <w:r>
              <w:rPr>
                <w:rFonts w:ascii="Times New Roman" w:hAnsi="Times New Roman" w:cs="Times New Roman"/>
                <w:sz w:val="20"/>
              </w:rPr>
              <w:t>6.</w:t>
            </w:r>
            <w:r>
              <w:rPr>
                <w:spacing w:val="-1"/>
                <w:position w:val="1"/>
                <w:sz w:val="20"/>
              </w:rPr>
              <w:t>封锚头</w:t>
            </w:r>
          </w:p>
        </w:tc>
      </w:tr>
      <w:tr>
        <w:tblPrEx>
          <w:tblCellMar>
            <w:top w:w="0" w:type="dxa"/>
            <w:left w:w="108" w:type="dxa"/>
            <w:bottom w:w="0" w:type="dxa"/>
            <w:right w:w="108" w:type="dxa"/>
          </w:tblCellMar>
        </w:tblPrEx>
        <w:trPr>
          <w:trHeight w:val="109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49" w:lineRule="exact"/>
              <w:ind w:left="315"/>
            </w:pPr>
            <w:r>
              <w:rPr>
                <w:rFonts w:ascii="Times New Roman" w:hAnsi="Times New Roman" w:cs="Times New Roman"/>
                <w:spacing w:val="-1"/>
                <w:sz w:val="20"/>
              </w:rPr>
              <w:t>403-7</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7" w:lineRule="exact"/>
              <w:ind w:left="282"/>
            </w:pPr>
            <w:r>
              <w:rPr>
                <w:spacing w:val="-1"/>
                <w:sz w:val="20"/>
              </w:rPr>
              <w:t>先张法预应力</w:t>
            </w:r>
          </w:p>
          <w:p>
            <w:pPr>
              <w:spacing w:line="360" w:lineRule="exact"/>
              <w:ind w:left="107"/>
            </w:pPr>
            <w:r>
              <w:rPr>
                <w:spacing w:val="-1"/>
                <w:sz w:val="20"/>
              </w:rPr>
              <w:t>钢筋</w:t>
            </w: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c>
          <w:tcPr>
            <w:tcW w:w="28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c>
          <w:tcPr>
            <w:tcW w:w="216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r>
    </w:tbl>
    <w:p>
      <w:pPr>
        <w:rPr>
          <w:sz w:val="2"/>
          <w:szCs w:val="2"/>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120"/>
        <w:gridCol w:w="1775"/>
        <w:gridCol w:w="1080"/>
        <w:gridCol w:w="2880"/>
        <w:gridCol w:w="2160"/>
      </w:tblGrid>
      <w:tr>
        <w:tblPrEx>
          <w:tblCellMar>
            <w:top w:w="0" w:type="dxa"/>
            <w:left w:w="108" w:type="dxa"/>
            <w:bottom w:w="0" w:type="dxa"/>
            <w:right w:w="108" w:type="dxa"/>
          </w:tblCellMar>
        </w:tblPrEx>
        <w:trPr>
          <w:trHeight w:val="125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27" w:lineRule="exact"/>
              <w:ind w:left="315"/>
            </w:pPr>
            <w:r>
              <w:rPr>
                <w:rFonts w:ascii="Times New Roman" w:hAnsi="Times New Roman" w:cs="Times New Roman"/>
                <w:spacing w:val="-1"/>
                <w:sz w:val="20"/>
              </w:rPr>
              <w:t>403-8</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97" w:lineRule="exact"/>
              <w:ind w:left="282"/>
            </w:pPr>
            <w:r>
              <w:rPr>
                <w:spacing w:val="-1"/>
                <w:sz w:val="20"/>
              </w:rPr>
              <w:t>后张法预应力</w:t>
            </w:r>
          </w:p>
          <w:p>
            <w:pPr>
              <w:spacing w:line="360" w:lineRule="exact"/>
              <w:ind w:left="107"/>
            </w:pPr>
            <w:r>
              <w:rPr>
                <w:spacing w:val="-1"/>
                <w:sz w:val="20"/>
              </w:rPr>
              <w:t>钢绞线</w:t>
            </w:r>
          </w:p>
        </w:tc>
        <w:tc>
          <w:tcPr>
            <w:tcW w:w="10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53" w:lineRule="exact"/>
              <w:ind w:left="434"/>
            </w:pPr>
            <w:r>
              <w:rPr>
                <w:rFonts w:ascii="Times New Roman" w:hAnsi="Times New Roman" w:cs="Times New Roman"/>
                <w:spacing w:val="-1"/>
                <w:sz w:val="20"/>
              </w:rPr>
              <w:t>kg</w:t>
            </w:r>
          </w:p>
        </w:tc>
        <w:tc>
          <w:tcPr>
            <w:tcW w:w="28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40" w:lineRule="exact"/>
              <w:ind w:left="281"/>
            </w:pPr>
            <w:r>
              <w:rPr>
                <w:rFonts w:ascii="Times New Roman" w:hAnsi="Times New Roman" w:cs="Times New Roman"/>
                <w:sz w:val="20"/>
              </w:rPr>
              <w:t>1.</w:t>
            </w:r>
            <w:r>
              <w:rPr>
                <w:spacing w:val="-1"/>
                <w:position w:val="1"/>
                <w:sz w:val="20"/>
              </w:rPr>
              <w:t>按图示两端锚具间的理论</w:t>
            </w:r>
          </w:p>
          <w:p>
            <w:pPr>
              <w:spacing w:line="239" w:lineRule="exact"/>
              <w:ind w:left="108"/>
            </w:pPr>
            <w:r>
              <w:rPr>
                <w:spacing w:val="-1"/>
                <w:sz w:val="20"/>
              </w:rPr>
              <w:t>长度计算的预应力钢材质量，</w:t>
            </w:r>
          </w:p>
          <w:p>
            <w:pPr>
              <w:spacing w:line="271" w:lineRule="exact"/>
              <w:ind w:left="108"/>
            </w:pPr>
            <w:r>
              <w:rPr>
                <w:spacing w:val="-1"/>
                <w:sz w:val="20"/>
              </w:rPr>
              <w:t>分不同材质以千克为单位计</w:t>
            </w:r>
          </w:p>
          <w:p>
            <w:pPr>
              <w:spacing w:line="274" w:lineRule="exact"/>
              <w:ind w:left="108"/>
            </w:pPr>
            <w:r>
              <w:rPr>
                <w:spacing w:val="-1"/>
                <w:sz w:val="20"/>
              </w:rPr>
              <w:t>量。</w:t>
            </w:r>
          </w:p>
          <w:p>
            <w:pPr>
              <w:spacing w:line="306" w:lineRule="exact"/>
              <w:ind w:left="281"/>
            </w:pPr>
            <w:r>
              <w:rPr>
                <w:rFonts w:ascii="Times New Roman" w:hAnsi="Times New Roman" w:cs="Times New Roman"/>
                <w:sz w:val="20"/>
              </w:rPr>
              <w:t>2.</w:t>
            </w:r>
            <w:r>
              <w:rPr>
                <w:spacing w:val="-1"/>
                <w:position w:val="1"/>
                <w:sz w:val="20"/>
              </w:rPr>
              <w:t>除上述计算长度以外的锚</w:t>
            </w:r>
          </w:p>
          <w:p>
            <w:pPr>
              <w:spacing w:line="237" w:lineRule="exact"/>
              <w:ind w:left="108"/>
            </w:pPr>
            <w:r>
              <w:rPr>
                <w:spacing w:val="-1"/>
                <w:sz w:val="20"/>
              </w:rPr>
              <w:t>固长度及工作长度的预应力</w:t>
            </w:r>
          </w:p>
          <w:p>
            <w:pPr>
              <w:spacing w:line="274" w:lineRule="exact"/>
              <w:ind w:left="108"/>
            </w:pPr>
            <w:r>
              <w:rPr>
                <w:spacing w:val="-1"/>
                <w:sz w:val="20"/>
              </w:rPr>
              <w:t>钢材含入相应预应力钢材报</w:t>
            </w:r>
          </w:p>
          <w:p>
            <w:pPr>
              <w:spacing w:line="274" w:lineRule="exact"/>
              <w:ind w:left="108"/>
            </w:pPr>
            <w:r>
              <w:rPr>
                <w:spacing w:val="-1"/>
                <w:sz w:val="20"/>
              </w:rPr>
              <w:t>价之中，不另行计量</w:t>
            </w:r>
          </w:p>
        </w:tc>
        <w:tc>
          <w:tcPr>
            <w:tcW w:w="216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77" w:lineRule="exact"/>
              <w:ind w:left="281"/>
            </w:pPr>
            <w:r>
              <w:rPr>
                <w:rFonts w:ascii="Times New Roman" w:hAnsi="Times New Roman" w:cs="Times New Roman"/>
                <w:sz w:val="20"/>
              </w:rPr>
              <w:t>1.</w:t>
            </w:r>
            <w:r>
              <w:rPr>
                <w:spacing w:val="-1"/>
                <w:position w:val="1"/>
                <w:sz w:val="20"/>
              </w:rPr>
              <w:t>制作安装预应力</w:t>
            </w:r>
          </w:p>
          <w:p>
            <w:pPr>
              <w:spacing w:line="237" w:lineRule="exact"/>
              <w:ind w:left="108"/>
            </w:pPr>
            <w:r>
              <w:rPr>
                <w:spacing w:val="-1"/>
                <w:sz w:val="20"/>
              </w:rPr>
              <w:t>钢材；</w:t>
            </w:r>
          </w:p>
          <w:p>
            <w:pPr>
              <w:spacing w:line="308" w:lineRule="exact"/>
              <w:ind w:left="281"/>
            </w:pPr>
            <w:r>
              <w:rPr>
                <w:rFonts w:ascii="Times New Roman" w:hAnsi="Times New Roman" w:cs="Times New Roman"/>
                <w:sz w:val="20"/>
              </w:rPr>
              <w:t>2.</w:t>
            </w:r>
            <w:r>
              <w:rPr>
                <w:spacing w:val="-1"/>
                <w:position w:val="1"/>
                <w:sz w:val="20"/>
              </w:rPr>
              <w:t>制作安装管道；</w:t>
            </w:r>
          </w:p>
          <w:p>
            <w:pPr>
              <w:spacing w:line="271" w:lineRule="exact"/>
              <w:ind w:left="281"/>
            </w:pPr>
            <w:r>
              <w:rPr>
                <w:rFonts w:ascii="Times New Roman" w:hAnsi="Times New Roman" w:cs="Times New Roman"/>
                <w:sz w:val="20"/>
              </w:rPr>
              <w:t>3.</w:t>
            </w:r>
            <w:r>
              <w:rPr>
                <w:spacing w:val="-1"/>
                <w:position w:val="1"/>
                <w:sz w:val="20"/>
              </w:rPr>
              <w:t>安装锚具、锚板；</w:t>
            </w:r>
          </w:p>
          <w:p>
            <w:pPr>
              <w:spacing w:line="274" w:lineRule="exact"/>
              <w:ind w:left="281"/>
            </w:pPr>
            <w:r>
              <w:rPr>
                <w:rFonts w:ascii="Times New Roman" w:hAnsi="Times New Roman" w:cs="Times New Roman"/>
                <w:sz w:val="20"/>
              </w:rPr>
              <w:t>4.</w:t>
            </w:r>
            <w:r>
              <w:rPr>
                <w:spacing w:val="-1"/>
                <w:position w:val="1"/>
                <w:sz w:val="20"/>
              </w:rPr>
              <w:t>张拉；</w:t>
            </w:r>
          </w:p>
          <w:p>
            <w:pPr>
              <w:spacing w:line="271" w:lineRule="exact"/>
              <w:ind w:left="281"/>
            </w:pPr>
            <w:r>
              <w:rPr>
                <w:rFonts w:ascii="Times New Roman" w:hAnsi="Times New Roman" w:cs="Times New Roman"/>
                <w:sz w:val="20"/>
              </w:rPr>
              <w:t>5.</w:t>
            </w:r>
            <w:r>
              <w:rPr>
                <w:spacing w:val="-1"/>
                <w:position w:val="1"/>
                <w:sz w:val="20"/>
              </w:rPr>
              <w:t>压浆；</w:t>
            </w:r>
          </w:p>
          <w:p>
            <w:pPr>
              <w:spacing w:line="274" w:lineRule="exact"/>
              <w:ind w:left="281"/>
            </w:pPr>
            <w:r>
              <w:rPr>
                <w:rFonts w:ascii="Times New Roman" w:hAnsi="Times New Roman" w:cs="Times New Roman"/>
                <w:sz w:val="20"/>
              </w:rPr>
              <w:t>6.</w:t>
            </w:r>
            <w:r>
              <w:rPr>
                <w:spacing w:val="-1"/>
                <w:position w:val="1"/>
                <w:sz w:val="20"/>
              </w:rPr>
              <w:t>封锚头</w:t>
            </w:r>
          </w:p>
        </w:tc>
      </w:tr>
      <w:tr>
        <w:tblPrEx>
          <w:tblCellMar>
            <w:top w:w="0" w:type="dxa"/>
            <w:left w:w="108" w:type="dxa"/>
            <w:bottom w:w="0" w:type="dxa"/>
            <w:right w:w="108" w:type="dxa"/>
          </w:tblCellMar>
        </w:tblPrEx>
        <w:trPr>
          <w:trHeight w:val="125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26" w:lineRule="exact"/>
              <w:ind w:left="315"/>
            </w:pPr>
            <w:r>
              <w:rPr>
                <w:rFonts w:ascii="Times New Roman" w:hAnsi="Times New Roman" w:cs="Times New Roman"/>
                <w:spacing w:val="-1"/>
                <w:sz w:val="20"/>
              </w:rPr>
              <w:t>403-9</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97" w:lineRule="exact"/>
              <w:ind w:left="282"/>
            </w:pPr>
            <w:r>
              <w:rPr>
                <w:spacing w:val="-1"/>
                <w:sz w:val="20"/>
              </w:rPr>
              <w:t>后张法预应力</w:t>
            </w:r>
          </w:p>
          <w:p>
            <w:pPr>
              <w:spacing w:line="360" w:lineRule="exact"/>
              <w:ind w:left="107"/>
            </w:pPr>
            <w:r>
              <w:rPr>
                <w:spacing w:val="-1"/>
                <w:sz w:val="20"/>
              </w:rPr>
              <w:t>钢筋</w:t>
            </w: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c>
          <w:tcPr>
            <w:tcW w:w="28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c>
          <w:tcPr>
            <w:tcW w:w="216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r>
      <w:tr>
        <w:tblPrEx>
          <w:tblCellMar>
            <w:top w:w="0" w:type="dxa"/>
            <w:left w:w="108" w:type="dxa"/>
            <w:bottom w:w="0" w:type="dxa"/>
            <w:right w:w="108" w:type="dxa"/>
          </w:tblCellMar>
        </w:tblPrEx>
        <w:trPr>
          <w:trHeight w:val="52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60" w:lineRule="exact"/>
              <w:ind w:left="401"/>
            </w:pPr>
            <w:r>
              <w:rPr>
                <w:rFonts w:ascii="Times New Roman" w:hAnsi="Times New Roman" w:cs="Times New Roman"/>
                <w:spacing w:val="-1"/>
                <w:sz w:val="20"/>
              </w:rPr>
              <w:t>404</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09" w:lineRule="exact"/>
              <w:ind w:left="282"/>
            </w:pPr>
            <w:r>
              <w:rPr>
                <w:spacing w:val="-1"/>
                <w:sz w:val="20"/>
              </w:rPr>
              <w:t>附属结构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09" w:lineRule="exact"/>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09" w:lineRule="exact"/>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09" w:lineRule="exact"/>
            </w:pPr>
          </w:p>
        </w:tc>
      </w:tr>
      <w:tr>
        <w:tblPrEx>
          <w:tblCellMar>
            <w:top w:w="0" w:type="dxa"/>
            <w:left w:w="108" w:type="dxa"/>
            <w:bottom w:w="0" w:type="dxa"/>
            <w:right w:w="108" w:type="dxa"/>
          </w:tblCellMar>
        </w:tblPrEx>
        <w:trPr>
          <w:trHeight w:val="300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701" w:lineRule="exact"/>
              <w:ind w:left="315"/>
            </w:pPr>
            <w:r>
              <w:rPr>
                <w:rFonts w:ascii="Times New Roman" w:hAnsi="Times New Roman" w:cs="Times New Roman"/>
                <w:spacing w:val="-1"/>
                <w:sz w:val="20"/>
              </w:rPr>
              <w:t>404-1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70" w:lineRule="exact"/>
              <w:ind w:left="282"/>
            </w:pPr>
            <w:r>
              <w:rPr>
                <w:spacing w:val="-1"/>
                <w:sz w:val="20"/>
              </w:rPr>
              <w:t>现浇混凝土附</w:t>
            </w:r>
          </w:p>
          <w:p>
            <w:pPr>
              <w:spacing w:line="360" w:lineRule="exact"/>
              <w:ind w:left="107"/>
            </w:pPr>
            <w:r>
              <w:rPr>
                <w:spacing w:val="-1"/>
                <w:sz w:val="20"/>
              </w:rPr>
              <w:t>属结构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610" w:lineRule="exact"/>
              <w:ind w:left="425"/>
            </w:pPr>
            <w:r>
              <w:rPr>
                <w:rFonts w:ascii="Times New Roman" w:hAnsi="Times New Roman" w:cs="Times New Roman"/>
                <w:position w:val="-4"/>
                <w:sz w:val="20"/>
              </w:rPr>
              <w:t>m</w:t>
            </w:r>
            <w:r>
              <w:rPr>
                <w:rFonts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依据图纸所示体积分不同</w:t>
            </w:r>
          </w:p>
          <w:p>
            <w:pPr>
              <w:spacing w:line="237" w:lineRule="exact"/>
              <w:ind w:left="108"/>
            </w:pPr>
            <w:r>
              <w:rPr>
                <w:spacing w:val="-1"/>
                <w:sz w:val="20"/>
              </w:rPr>
              <w:t>强度等级以立方米为单位计</w:t>
            </w:r>
          </w:p>
          <w:p>
            <w:pPr>
              <w:spacing w:line="274" w:lineRule="exact"/>
              <w:ind w:left="108"/>
            </w:pPr>
            <w:r>
              <w:rPr>
                <w:spacing w:val="-1"/>
                <w:sz w:val="20"/>
              </w:rPr>
              <w:t>量；</w:t>
            </w:r>
          </w:p>
          <w:p>
            <w:pPr>
              <w:spacing w:line="306" w:lineRule="exact"/>
              <w:ind w:left="281"/>
            </w:pPr>
            <w:r>
              <w:rPr>
                <w:rFonts w:ascii="Times New Roman" w:hAnsi="Times New Roman" w:cs="Times New Roman"/>
                <w:sz w:val="20"/>
              </w:rPr>
              <w:t>2.</w:t>
            </w:r>
            <w:r>
              <w:rPr>
                <w:spacing w:val="-1"/>
                <w:position w:val="1"/>
                <w:sz w:val="20"/>
              </w:rPr>
              <w:t>直径小于</w:t>
            </w:r>
            <w:r>
              <w:rPr>
                <w:rFonts w:ascii="Calibri" w:hAnsi="Calibri" w:cs="Calibri"/>
                <w:sz w:val="20"/>
              </w:rPr>
              <w:t> </w:t>
            </w:r>
            <w:r>
              <w:rPr>
                <w:rFonts w:ascii="Times New Roman" w:hAnsi="Times New Roman" w:cs="Times New Roman"/>
                <w:spacing w:val="-1"/>
                <w:sz w:val="20"/>
              </w:rPr>
              <w:t>200mm</w:t>
            </w:r>
            <w:r>
              <w:rPr>
                <w:rFonts w:ascii="Calibri" w:hAnsi="Calibri" w:cs="Calibri"/>
                <w:sz w:val="20"/>
              </w:rPr>
              <w:t> </w:t>
            </w:r>
            <w:r>
              <w:rPr>
                <w:spacing w:val="-1"/>
                <w:position w:val="1"/>
                <w:sz w:val="20"/>
              </w:rPr>
              <w:t>的管子、</w:t>
            </w:r>
          </w:p>
          <w:p>
            <w:pPr>
              <w:spacing w:line="239" w:lineRule="exact"/>
              <w:ind w:left="108"/>
            </w:pPr>
            <w:r>
              <w:rPr>
                <w:spacing w:val="-1"/>
                <w:sz w:val="20"/>
              </w:rPr>
              <w:t>钢筋、锚固件、管道、泄水孔</w:t>
            </w:r>
          </w:p>
          <w:p>
            <w:pPr>
              <w:spacing w:line="271" w:lineRule="exact"/>
              <w:ind w:left="108"/>
            </w:pPr>
            <w:r>
              <w:rPr>
                <w:spacing w:val="-1"/>
                <w:sz w:val="20"/>
              </w:rPr>
              <w:t>或桩所占混凝土体积不予扣</w:t>
            </w:r>
          </w:p>
          <w:p>
            <w:pPr>
              <w:spacing w:line="274" w:lineRule="exact"/>
              <w:ind w:left="108"/>
            </w:pPr>
            <w:r>
              <w:rPr>
                <w:spacing w:val="-1"/>
                <w:sz w:val="20"/>
              </w:rPr>
              <w:t>除；</w:t>
            </w:r>
          </w:p>
          <w:p>
            <w:pPr>
              <w:spacing w:line="306" w:lineRule="exact"/>
              <w:ind w:left="281"/>
            </w:pPr>
            <w:r>
              <w:rPr>
                <w:rFonts w:ascii="Times New Roman" w:hAnsi="Times New Roman" w:cs="Times New Roman"/>
                <w:sz w:val="20"/>
              </w:rPr>
              <w:t>3.</w:t>
            </w:r>
            <w:r>
              <w:rPr>
                <w:spacing w:val="-1"/>
                <w:position w:val="1"/>
                <w:sz w:val="20"/>
              </w:rPr>
              <w:t>现浇缘石、人行道、防撞</w:t>
            </w:r>
          </w:p>
          <w:p>
            <w:pPr>
              <w:spacing w:line="237" w:lineRule="exact"/>
              <w:ind w:left="108"/>
            </w:pPr>
            <w:r>
              <w:rPr>
                <w:spacing w:val="-1"/>
                <w:sz w:val="20"/>
              </w:rPr>
              <w:t>墙、栏杆、护栏、桥头搭板、</w:t>
            </w:r>
          </w:p>
          <w:p>
            <w:pPr>
              <w:spacing w:line="274" w:lineRule="exact"/>
              <w:ind w:left="108"/>
            </w:pPr>
            <w:r>
              <w:rPr>
                <w:spacing w:val="-1"/>
                <w:sz w:val="20"/>
              </w:rPr>
              <w:t>枕梁、抗震挡块、支座垫石、</w:t>
            </w:r>
          </w:p>
          <w:p>
            <w:pPr>
              <w:spacing w:line="271" w:lineRule="exact"/>
              <w:ind w:left="108"/>
            </w:pPr>
            <w:r>
              <w:rPr>
                <w:spacing w:val="-1"/>
                <w:sz w:val="20"/>
              </w:rPr>
              <w:t>踏步等列入本子目</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0" w:lineRule="exact"/>
              <w:ind w:left="281"/>
            </w:pPr>
            <w:r>
              <w:rPr>
                <w:rFonts w:ascii="Times New Roman" w:hAnsi="Times New Roman" w:cs="Times New Roman"/>
                <w:sz w:val="20"/>
              </w:rPr>
              <w:t>1.</w:t>
            </w:r>
            <w:r>
              <w:rPr>
                <w:spacing w:val="-1"/>
                <w:position w:val="1"/>
                <w:sz w:val="20"/>
              </w:rPr>
              <w:t>工作面清理；</w:t>
            </w:r>
          </w:p>
          <w:p>
            <w:pPr>
              <w:spacing w:line="274" w:lineRule="exact"/>
              <w:ind w:left="281"/>
            </w:pPr>
            <w:r>
              <w:rPr>
                <w:rFonts w:ascii="Times New Roman" w:hAnsi="Times New Roman" w:cs="Times New Roman"/>
                <w:sz w:val="20"/>
              </w:rPr>
              <w:t>2.</w:t>
            </w:r>
            <w:r>
              <w:rPr>
                <w:spacing w:val="-1"/>
                <w:position w:val="1"/>
                <w:sz w:val="20"/>
              </w:rPr>
              <w:t>搭拆作业平台；</w:t>
            </w:r>
          </w:p>
          <w:p>
            <w:pPr>
              <w:spacing w:line="271" w:lineRule="exact"/>
              <w:ind w:left="281"/>
            </w:pPr>
            <w:r>
              <w:rPr>
                <w:rFonts w:ascii="Times New Roman" w:hAnsi="Times New Roman" w:cs="Times New Roman"/>
                <w:sz w:val="20"/>
              </w:rPr>
              <w:t>3.</w:t>
            </w:r>
            <w:r>
              <w:rPr>
                <w:spacing w:val="-1"/>
                <w:position w:val="1"/>
                <w:sz w:val="20"/>
              </w:rPr>
              <w:t>安拆支架、模板；</w:t>
            </w:r>
          </w:p>
          <w:p>
            <w:pPr>
              <w:spacing w:line="274" w:lineRule="exact"/>
              <w:ind w:left="281"/>
            </w:pPr>
            <w:r>
              <w:rPr>
                <w:rFonts w:ascii="Times New Roman" w:hAnsi="Times New Roman" w:cs="Times New Roman"/>
                <w:sz w:val="20"/>
              </w:rPr>
              <w:t>4.</w:t>
            </w:r>
            <w:r>
              <w:rPr>
                <w:position w:val="1"/>
                <w:sz w:val="20"/>
              </w:rPr>
              <w:t>混凝土配运料、拌</w:t>
            </w:r>
          </w:p>
          <w:p>
            <w:pPr>
              <w:spacing w:line="237" w:lineRule="exact"/>
              <w:ind w:left="108"/>
            </w:pPr>
            <w:r>
              <w:rPr>
                <w:spacing w:val="-1"/>
                <w:sz w:val="20"/>
              </w:rPr>
              <w:t>和、运输、浇筑、养</w:t>
            </w:r>
          </w:p>
          <w:p>
            <w:pPr>
              <w:spacing w:line="271" w:lineRule="exact"/>
              <w:ind w:left="108"/>
            </w:pPr>
            <w:r>
              <w:rPr>
                <w:spacing w:val="-1"/>
                <w:sz w:val="20"/>
              </w:rPr>
              <w:t>护</w:t>
            </w:r>
          </w:p>
        </w:tc>
      </w:tr>
      <w:tr>
        <w:tblPrEx>
          <w:tblCellMar>
            <w:top w:w="0" w:type="dxa"/>
            <w:left w:w="108" w:type="dxa"/>
            <w:bottom w:w="0" w:type="dxa"/>
            <w:right w:w="108" w:type="dxa"/>
          </w:tblCellMar>
        </w:tblPrEx>
        <w:trPr>
          <w:trHeight w:val="300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700" w:lineRule="exact"/>
              <w:ind w:left="315"/>
            </w:pPr>
            <w:r>
              <w:rPr>
                <w:rFonts w:ascii="Times New Roman" w:hAnsi="Times New Roman" w:cs="Times New Roman"/>
                <w:spacing w:val="-1"/>
                <w:sz w:val="20"/>
              </w:rPr>
              <w:t>404-2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68" w:lineRule="exact"/>
              <w:ind w:left="282"/>
            </w:pPr>
            <w:r>
              <w:rPr>
                <w:spacing w:val="-1"/>
                <w:sz w:val="20"/>
              </w:rPr>
              <w:t>预制混凝土附</w:t>
            </w:r>
          </w:p>
          <w:p>
            <w:pPr>
              <w:spacing w:line="360" w:lineRule="exact"/>
              <w:ind w:left="107"/>
            </w:pPr>
            <w:r>
              <w:rPr>
                <w:spacing w:val="-1"/>
                <w:sz w:val="20"/>
              </w:rPr>
              <w:t>属结构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608" w:lineRule="exact"/>
              <w:ind w:left="425"/>
            </w:pPr>
            <w:r>
              <w:rPr>
                <w:rFonts w:ascii="Times New Roman" w:hAnsi="Times New Roman" w:cs="Times New Roman"/>
                <w:position w:val="-4"/>
                <w:sz w:val="20"/>
              </w:rPr>
              <w:t>m</w:t>
            </w:r>
            <w:r>
              <w:rPr>
                <w:rFonts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依据图纸所示体积分不同</w:t>
            </w:r>
          </w:p>
          <w:p>
            <w:pPr>
              <w:spacing w:line="236" w:lineRule="exact"/>
              <w:ind w:left="108"/>
            </w:pPr>
            <w:r>
              <w:rPr>
                <w:spacing w:val="-1"/>
                <w:sz w:val="20"/>
              </w:rPr>
              <w:t>强度等级以立方米为单位计</w:t>
            </w:r>
          </w:p>
          <w:p>
            <w:pPr>
              <w:spacing w:line="274" w:lineRule="exact"/>
              <w:ind w:left="108"/>
            </w:pPr>
            <w:r>
              <w:rPr>
                <w:spacing w:val="-1"/>
                <w:sz w:val="20"/>
              </w:rPr>
              <w:t>量；</w:t>
            </w:r>
          </w:p>
          <w:p>
            <w:pPr>
              <w:spacing w:line="306" w:lineRule="exact"/>
              <w:ind w:left="281"/>
            </w:pPr>
            <w:r>
              <w:rPr>
                <w:rFonts w:ascii="Times New Roman" w:hAnsi="Times New Roman" w:cs="Times New Roman"/>
                <w:sz w:val="20"/>
              </w:rPr>
              <w:t>2.</w:t>
            </w:r>
            <w:r>
              <w:rPr>
                <w:spacing w:val="-1"/>
                <w:position w:val="1"/>
                <w:sz w:val="20"/>
              </w:rPr>
              <w:t>直径小于</w:t>
            </w:r>
            <w:r>
              <w:rPr>
                <w:rFonts w:ascii="Calibri" w:hAnsi="Calibri" w:cs="Calibri"/>
                <w:sz w:val="20"/>
              </w:rPr>
              <w:t> </w:t>
            </w:r>
            <w:r>
              <w:rPr>
                <w:rFonts w:ascii="Times New Roman" w:hAnsi="Times New Roman" w:cs="Times New Roman"/>
                <w:spacing w:val="-1"/>
                <w:sz w:val="20"/>
              </w:rPr>
              <w:t>200mm</w:t>
            </w:r>
            <w:r>
              <w:rPr>
                <w:rFonts w:ascii="Calibri" w:hAnsi="Calibri" w:cs="Calibri"/>
                <w:sz w:val="20"/>
              </w:rPr>
              <w:t> </w:t>
            </w:r>
            <w:r>
              <w:rPr>
                <w:spacing w:val="-1"/>
                <w:position w:val="1"/>
                <w:sz w:val="20"/>
              </w:rPr>
              <w:t>的管子、</w:t>
            </w:r>
          </w:p>
          <w:p>
            <w:pPr>
              <w:spacing w:line="239" w:lineRule="exact"/>
              <w:ind w:left="108"/>
            </w:pPr>
            <w:r>
              <w:rPr>
                <w:spacing w:val="-1"/>
                <w:sz w:val="20"/>
              </w:rPr>
              <w:t>钢筋、锚固件、管道、泄水孔</w:t>
            </w:r>
          </w:p>
          <w:p>
            <w:pPr>
              <w:spacing w:line="271" w:lineRule="exact"/>
              <w:ind w:left="108"/>
            </w:pPr>
            <w:r>
              <w:rPr>
                <w:spacing w:val="-1"/>
                <w:sz w:val="20"/>
              </w:rPr>
              <w:t>或桩所占混凝土体积不予扣</w:t>
            </w:r>
          </w:p>
          <w:p>
            <w:pPr>
              <w:spacing w:line="274" w:lineRule="exact"/>
              <w:ind w:left="108"/>
            </w:pPr>
            <w:r>
              <w:rPr>
                <w:spacing w:val="-1"/>
                <w:sz w:val="20"/>
              </w:rPr>
              <w:t>除；</w:t>
            </w:r>
          </w:p>
          <w:p>
            <w:pPr>
              <w:spacing w:line="306" w:lineRule="exact"/>
              <w:ind w:left="281"/>
            </w:pPr>
            <w:r>
              <w:rPr>
                <w:rFonts w:ascii="Times New Roman" w:hAnsi="Times New Roman" w:cs="Times New Roman"/>
                <w:sz w:val="20"/>
              </w:rPr>
              <w:t>3.</w:t>
            </w:r>
            <w:r>
              <w:rPr>
                <w:spacing w:val="-1"/>
                <w:position w:val="1"/>
                <w:sz w:val="20"/>
              </w:rPr>
              <w:t>现浇缘石、人行道、防撞</w:t>
            </w:r>
          </w:p>
          <w:p>
            <w:pPr>
              <w:spacing w:line="237" w:lineRule="exact"/>
              <w:ind w:left="108"/>
            </w:pPr>
            <w:r>
              <w:rPr>
                <w:spacing w:val="-1"/>
                <w:sz w:val="20"/>
              </w:rPr>
              <w:t>墙、栏杆、护栏、桥头搭板、</w:t>
            </w:r>
          </w:p>
          <w:p>
            <w:pPr>
              <w:spacing w:line="274" w:lineRule="exact"/>
              <w:ind w:left="108"/>
            </w:pPr>
            <w:r>
              <w:rPr>
                <w:spacing w:val="-1"/>
                <w:sz w:val="20"/>
              </w:rPr>
              <w:t>枕梁、抗震挡块、支座垫石、</w:t>
            </w:r>
          </w:p>
          <w:p>
            <w:pPr>
              <w:spacing w:line="274" w:lineRule="exact"/>
              <w:ind w:left="108"/>
            </w:pPr>
            <w:r>
              <w:rPr>
                <w:spacing w:val="-1"/>
                <w:sz w:val="20"/>
              </w:rPr>
              <w:t>踏步等列入本子目</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58" w:lineRule="exact"/>
              <w:ind w:left="281"/>
            </w:pPr>
            <w:r>
              <w:rPr>
                <w:rFonts w:ascii="Times New Roman" w:hAnsi="Times New Roman" w:cs="Times New Roman"/>
                <w:sz w:val="20"/>
              </w:rPr>
              <w:t>1.</w:t>
            </w:r>
            <w:r>
              <w:rPr>
                <w:spacing w:val="-1"/>
                <w:position w:val="1"/>
                <w:sz w:val="20"/>
              </w:rPr>
              <w:t>工作面清理；</w:t>
            </w:r>
          </w:p>
          <w:p>
            <w:pPr>
              <w:spacing w:line="274" w:lineRule="exact"/>
              <w:ind w:left="281"/>
            </w:pPr>
            <w:r>
              <w:rPr>
                <w:rFonts w:ascii="Times New Roman" w:hAnsi="Times New Roman" w:cs="Times New Roman"/>
                <w:sz w:val="20"/>
              </w:rPr>
              <w:t>2.</w:t>
            </w:r>
            <w:r>
              <w:rPr>
                <w:spacing w:val="-1"/>
                <w:position w:val="1"/>
                <w:sz w:val="20"/>
              </w:rPr>
              <w:t>搭拆作业平台；</w:t>
            </w:r>
          </w:p>
          <w:p>
            <w:pPr>
              <w:spacing w:line="271" w:lineRule="exact"/>
              <w:ind w:left="281"/>
            </w:pPr>
            <w:r>
              <w:rPr>
                <w:rFonts w:ascii="Times New Roman" w:hAnsi="Times New Roman" w:cs="Times New Roman"/>
                <w:sz w:val="20"/>
              </w:rPr>
              <w:t>3.</w:t>
            </w:r>
            <w:r>
              <w:rPr>
                <w:spacing w:val="-1"/>
                <w:position w:val="1"/>
                <w:sz w:val="20"/>
              </w:rPr>
              <w:t>安拆支架、模板；</w:t>
            </w:r>
          </w:p>
          <w:p>
            <w:pPr>
              <w:spacing w:line="274" w:lineRule="exact"/>
              <w:ind w:left="281"/>
            </w:pPr>
            <w:r>
              <w:rPr>
                <w:rFonts w:ascii="Times New Roman" w:hAnsi="Times New Roman" w:cs="Times New Roman"/>
                <w:sz w:val="20"/>
              </w:rPr>
              <w:t>4.</w:t>
            </w:r>
            <w:r>
              <w:rPr>
                <w:position w:val="1"/>
                <w:sz w:val="20"/>
              </w:rPr>
              <w:t>混凝土配运料、拌</w:t>
            </w:r>
          </w:p>
          <w:p>
            <w:pPr>
              <w:spacing w:line="237" w:lineRule="exact"/>
              <w:ind w:left="108"/>
            </w:pPr>
            <w:r>
              <w:rPr>
                <w:spacing w:val="-1"/>
                <w:sz w:val="20"/>
              </w:rPr>
              <w:t>和、运输、浇筑、养</w:t>
            </w:r>
          </w:p>
          <w:p>
            <w:pPr>
              <w:spacing w:line="271" w:lineRule="exact"/>
              <w:ind w:left="108"/>
            </w:pPr>
            <w:r>
              <w:rPr>
                <w:spacing w:val="-1"/>
                <w:sz w:val="20"/>
              </w:rPr>
              <w:t>护</w:t>
            </w:r>
          </w:p>
        </w:tc>
      </w:tr>
      <w:tr>
        <w:tblPrEx>
          <w:tblCellMar>
            <w:top w:w="0" w:type="dxa"/>
            <w:left w:w="108" w:type="dxa"/>
            <w:bottom w:w="0" w:type="dxa"/>
            <w:right w:w="108" w:type="dxa"/>
          </w:tblCellMar>
        </w:tblPrEx>
        <w:trPr>
          <w:trHeight w:val="270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28" w:lineRule="exact"/>
              <w:ind w:left="315"/>
            </w:pPr>
            <w:r>
              <w:rPr>
                <w:rFonts w:ascii="Times New Roman" w:hAnsi="Times New Roman" w:cs="Times New Roman"/>
                <w:spacing w:val="-1"/>
                <w:sz w:val="20"/>
              </w:rPr>
              <w:t>404-3</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78" w:lineRule="exact"/>
              <w:ind w:left="282"/>
            </w:pPr>
            <w:r>
              <w:rPr>
                <w:spacing w:val="-1"/>
                <w:sz w:val="20"/>
              </w:rPr>
              <w:t>钢筋</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28" w:lineRule="exact"/>
              <w:ind w:left="434"/>
            </w:pPr>
            <w:r>
              <w:rPr>
                <w:rFonts w:ascii="Times New Roman" w:hAnsi="Times New Roman" w:cs="Times New Roman"/>
                <w:spacing w:val="-1"/>
                <w:sz w:val="20"/>
              </w:rPr>
              <w:t>kg</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8" w:lineRule="exact"/>
              <w:ind w:left="281"/>
            </w:pPr>
            <w:r>
              <w:rPr>
                <w:rFonts w:ascii="Times New Roman" w:hAnsi="Times New Roman" w:cs="Times New Roman"/>
                <w:sz w:val="20"/>
              </w:rPr>
              <w:t>1.</w:t>
            </w:r>
            <w:r>
              <w:rPr>
                <w:spacing w:val="-1"/>
                <w:position w:val="1"/>
                <w:sz w:val="20"/>
              </w:rPr>
              <w:t>依据图纸所示及钢筋表所</w:t>
            </w:r>
          </w:p>
          <w:p>
            <w:pPr>
              <w:spacing w:line="239" w:lineRule="exact"/>
              <w:ind w:left="108"/>
            </w:pPr>
            <w:r>
              <w:rPr>
                <w:spacing w:val="-1"/>
                <w:sz w:val="20"/>
              </w:rPr>
              <w:t>列钢筋质量以千克为单位计</w:t>
            </w:r>
          </w:p>
          <w:p>
            <w:pPr>
              <w:spacing w:line="271" w:lineRule="exact"/>
              <w:ind w:left="108"/>
            </w:pPr>
            <w:r>
              <w:rPr>
                <w:spacing w:val="-1"/>
                <w:sz w:val="20"/>
              </w:rPr>
              <w:t>量；</w:t>
            </w:r>
          </w:p>
          <w:p>
            <w:pPr>
              <w:spacing w:line="308" w:lineRule="exact"/>
              <w:ind w:left="281"/>
            </w:pPr>
            <w:r>
              <w:rPr>
                <w:rFonts w:ascii="Times New Roman" w:hAnsi="Times New Roman" w:cs="Times New Roman"/>
                <w:sz w:val="20"/>
              </w:rPr>
              <w:t>2.</w:t>
            </w:r>
            <w:r>
              <w:rPr>
                <w:spacing w:val="-1"/>
                <w:position w:val="1"/>
                <w:sz w:val="20"/>
              </w:rPr>
              <w:t>固定钢筋的材料、定位架</w:t>
            </w:r>
          </w:p>
          <w:p>
            <w:pPr>
              <w:spacing w:line="237" w:lineRule="exact"/>
              <w:ind w:left="108"/>
            </w:pPr>
            <w:r>
              <w:rPr>
                <w:sz w:val="20"/>
              </w:rPr>
              <w:t>立钢筋、钢筋接头、吊装钢筋、</w:t>
            </w:r>
          </w:p>
          <w:p>
            <w:pPr>
              <w:spacing w:line="274" w:lineRule="exact"/>
              <w:ind w:left="108"/>
            </w:pPr>
            <w:r>
              <w:rPr>
                <w:spacing w:val="-1"/>
                <w:sz w:val="20"/>
              </w:rPr>
              <w:t>钢板、铁丝作为钢筋作业的附</w:t>
            </w:r>
          </w:p>
          <w:p>
            <w:pPr>
              <w:spacing w:line="271" w:lineRule="exact"/>
              <w:ind w:left="108"/>
            </w:pPr>
            <w:r>
              <w:rPr>
                <w:spacing w:val="-1"/>
                <w:sz w:val="20"/>
              </w:rPr>
              <w:t>属工作，不另行计量；</w:t>
            </w:r>
          </w:p>
          <w:p>
            <w:pPr>
              <w:spacing w:line="308" w:lineRule="exact"/>
              <w:ind w:left="281"/>
            </w:pPr>
            <w:r>
              <w:rPr>
                <w:rFonts w:ascii="Times New Roman" w:hAnsi="Times New Roman" w:cs="Times New Roman"/>
                <w:sz w:val="20"/>
              </w:rPr>
              <w:t>3.</w:t>
            </w:r>
            <w:r>
              <w:rPr>
                <w:spacing w:val="-1"/>
                <w:position w:val="1"/>
                <w:sz w:val="20"/>
              </w:rPr>
              <w:t>钢管作为附属工作，不另</w:t>
            </w:r>
          </w:p>
          <w:p>
            <w:pPr>
              <w:spacing w:line="237" w:lineRule="exact"/>
              <w:ind w:left="108"/>
            </w:pPr>
            <w:r>
              <w:rPr>
                <w:spacing w:val="-1"/>
                <w:sz w:val="20"/>
              </w:rPr>
              <w:t>行计量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86" w:lineRule="exact"/>
              <w:ind w:left="281"/>
            </w:pPr>
            <w:r>
              <w:rPr>
                <w:rFonts w:ascii="Times New Roman" w:hAnsi="Times New Roman" w:cs="Times New Roman"/>
                <w:sz w:val="20"/>
              </w:rPr>
              <w:t>1.</w:t>
            </w:r>
            <w:r>
              <w:rPr>
                <w:spacing w:val="-1"/>
                <w:position w:val="1"/>
                <w:sz w:val="20"/>
              </w:rPr>
              <w:t>钢筋的运输、保</w:t>
            </w:r>
          </w:p>
          <w:p>
            <w:pPr>
              <w:spacing w:line="239" w:lineRule="exact"/>
              <w:ind w:left="108"/>
            </w:pPr>
            <w:r>
              <w:rPr>
                <w:spacing w:val="-1"/>
                <w:sz w:val="20"/>
              </w:rPr>
              <w:t>护、储存及除锈；</w:t>
            </w:r>
          </w:p>
          <w:p>
            <w:pPr>
              <w:spacing w:line="306" w:lineRule="exact"/>
              <w:ind w:left="281"/>
            </w:pPr>
            <w:r>
              <w:rPr>
                <w:rFonts w:ascii="Times New Roman" w:hAnsi="Times New Roman" w:cs="Times New Roman"/>
                <w:sz w:val="20"/>
              </w:rPr>
              <w:t>2.</w:t>
            </w:r>
            <w:r>
              <w:rPr>
                <w:spacing w:val="-1"/>
                <w:position w:val="1"/>
                <w:sz w:val="20"/>
              </w:rPr>
              <w:t>钢筋整直、接头；</w:t>
            </w:r>
          </w:p>
          <w:p>
            <w:pPr>
              <w:spacing w:line="274" w:lineRule="exact"/>
              <w:ind w:left="281"/>
            </w:pPr>
            <w:r>
              <w:rPr>
                <w:rFonts w:ascii="Times New Roman" w:hAnsi="Times New Roman" w:cs="Times New Roman"/>
                <w:sz w:val="20"/>
              </w:rPr>
              <w:t>3.</w:t>
            </w:r>
            <w:r>
              <w:rPr>
                <w:spacing w:val="-1"/>
                <w:position w:val="1"/>
                <w:sz w:val="20"/>
              </w:rPr>
              <w:t>钢筋截断、弯曲；</w:t>
            </w:r>
          </w:p>
          <w:p>
            <w:pPr>
              <w:spacing w:line="271" w:lineRule="exact"/>
              <w:ind w:left="281"/>
            </w:pPr>
            <w:r>
              <w:rPr>
                <w:rFonts w:ascii="Times New Roman" w:hAnsi="Times New Roman" w:cs="Times New Roman"/>
                <w:sz w:val="20"/>
              </w:rPr>
              <w:t>4.</w:t>
            </w:r>
            <w:r>
              <w:rPr>
                <w:position w:val="1"/>
                <w:sz w:val="20"/>
              </w:rPr>
              <w:t>钢筋安设、支承及</w:t>
            </w:r>
          </w:p>
          <w:p>
            <w:pPr>
              <w:spacing w:line="239" w:lineRule="exact"/>
              <w:ind w:left="108"/>
            </w:pPr>
            <w:r>
              <w:rPr>
                <w:spacing w:val="-1"/>
                <w:sz w:val="20"/>
              </w:rPr>
              <w:t>固定</w:t>
            </w:r>
          </w:p>
        </w:tc>
      </w:tr>
      <w:tr>
        <w:tblPrEx>
          <w:tblCellMar>
            <w:top w:w="0" w:type="dxa"/>
            <w:left w:w="108" w:type="dxa"/>
            <w:bottom w:w="0" w:type="dxa"/>
            <w:right w:w="108" w:type="dxa"/>
          </w:tblCellMar>
        </w:tblPrEx>
        <w:trPr>
          <w:trHeight w:val="53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64" w:lineRule="exact"/>
              <w:ind w:left="401"/>
            </w:pPr>
            <w:r>
              <w:rPr>
                <w:rFonts w:ascii="Times New Roman" w:hAnsi="Times New Roman" w:cs="Times New Roman"/>
                <w:spacing w:val="-1"/>
                <w:sz w:val="20"/>
              </w:rPr>
              <w:t>405</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5" w:lineRule="exact"/>
              <w:ind w:left="282"/>
            </w:pPr>
            <w:r>
              <w:rPr>
                <w:spacing w:val="-1"/>
                <w:sz w:val="20"/>
              </w:rPr>
              <w:t>桥面铺装</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5" w:lineRule="exact"/>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5" w:lineRule="exact"/>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5" w:lineRule="exact"/>
            </w:pPr>
          </w:p>
        </w:tc>
      </w:tr>
      <w:tr>
        <w:tblPrEx>
          <w:tblCellMar>
            <w:top w:w="0" w:type="dxa"/>
            <w:left w:w="108" w:type="dxa"/>
            <w:bottom w:w="0" w:type="dxa"/>
            <w:right w:w="108" w:type="dxa"/>
          </w:tblCellMar>
        </w:tblPrEx>
        <w:trPr>
          <w:trHeight w:val="164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20" w:lineRule="exact"/>
              <w:ind w:left="315"/>
            </w:pPr>
            <w:r>
              <w:rPr>
                <w:rFonts w:ascii="Times New Roman" w:hAnsi="Times New Roman" w:cs="Times New Roman"/>
                <w:spacing w:val="-1"/>
                <w:sz w:val="20"/>
              </w:rPr>
              <w:t>405-1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08" w:lineRule="exact"/>
              <w:ind w:left="282"/>
            </w:pPr>
            <w:r>
              <w:rPr>
                <w:spacing w:val="-1"/>
                <w:sz w:val="20"/>
              </w:rPr>
              <w:t>沥青混凝土桥</w:t>
            </w:r>
          </w:p>
          <w:p>
            <w:pPr>
              <w:spacing w:line="360" w:lineRule="exact"/>
              <w:ind w:left="107"/>
            </w:pPr>
            <w:r>
              <w:rPr>
                <w:spacing w:val="-1"/>
                <w:sz w:val="20"/>
              </w:rPr>
              <w:t>面铺装</w:t>
            </w:r>
          </w:p>
          <w:p>
            <w:pPr>
              <w:spacing w:line="395" w:lineRule="exact"/>
              <w:ind w:left="107"/>
            </w:pPr>
            <w:r>
              <w:rPr>
                <w:spacing w:val="-1"/>
                <w:position w:val="1"/>
                <w:sz w:val="20"/>
              </w:rPr>
              <w:t>（厚</w:t>
            </w:r>
            <w:r>
              <w:rPr>
                <w:rFonts w:ascii="Times New Roman" w:hAnsi="Times New Roman" w:cs="Times New Roman"/>
                <w:spacing w:val="-1"/>
                <w:sz w:val="20"/>
              </w:rPr>
              <w:t>…mm</w:t>
            </w:r>
            <w:r>
              <w:rPr>
                <w:spacing w:val="-1"/>
                <w:position w:val="1"/>
                <w:sz w:val="20"/>
              </w:rPr>
              <w:t>）</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8" w:lineRule="exact"/>
              <w:ind w:left="425"/>
            </w:pPr>
            <w:r>
              <w:rPr>
                <w:rFonts w:ascii="Times New Roman" w:hAnsi="Times New Roman" w:cs="Times New Roman"/>
                <w:position w:val="-4"/>
                <w:sz w:val="20"/>
              </w:rPr>
              <w:t>m</w:t>
            </w:r>
            <w:r>
              <w:rPr>
                <w:rFonts w:ascii="Times New Roman" w:hAnsi="Times New Roman" w:cs="Times New Roman"/>
                <w:spacing w:val="-4"/>
                <w:sz w:val="13"/>
              </w:rPr>
              <w:t>2</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8" w:lineRule="exact"/>
              <w:ind w:left="281"/>
            </w:pPr>
            <w:r>
              <w:rPr>
                <w:rFonts w:ascii="Times New Roman" w:hAnsi="Times New Roman" w:cs="Times New Roman"/>
                <w:sz w:val="20"/>
              </w:rPr>
              <w:t>1.</w:t>
            </w:r>
            <w:r>
              <w:rPr>
                <w:spacing w:val="-1"/>
                <w:position w:val="1"/>
                <w:sz w:val="20"/>
              </w:rPr>
              <w:t>按图纸所示的位置、尺寸，</w:t>
            </w:r>
          </w:p>
          <w:p>
            <w:pPr>
              <w:spacing w:line="239" w:lineRule="exact"/>
              <w:ind w:left="108"/>
            </w:pPr>
            <w:r>
              <w:rPr>
                <w:spacing w:val="-1"/>
                <w:sz w:val="20"/>
              </w:rPr>
              <w:t>分别按不同材料类型，按铺筑</w:t>
            </w:r>
          </w:p>
          <w:p>
            <w:pPr>
              <w:spacing w:line="271" w:lineRule="exact"/>
              <w:ind w:left="108"/>
            </w:pPr>
            <w:r>
              <w:rPr>
                <w:spacing w:val="-1"/>
                <w:sz w:val="20"/>
              </w:rPr>
              <w:t>厚度以平方米计量；</w:t>
            </w:r>
          </w:p>
          <w:p>
            <w:pPr>
              <w:spacing w:line="308" w:lineRule="exact"/>
              <w:ind w:left="281"/>
            </w:pPr>
            <w:r>
              <w:rPr>
                <w:rFonts w:ascii="Times New Roman" w:hAnsi="Times New Roman" w:cs="Times New Roman"/>
                <w:sz w:val="20"/>
              </w:rPr>
              <w:t>2.</w:t>
            </w:r>
            <w:r>
              <w:rPr>
                <w:spacing w:val="-1"/>
                <w:position w:val="1"/>
                <w:sz w:val="20"/>
              </w:rPr>
              <w:t>防水层、桥面排水管作为</w:t>
            </w:r>
          </w:p>
          <w:p>
            <w:pPr>
              <w:spacing w:line="237" w:lineRule="exact"/>
              <w:ind w:left="108"/>
            </w:pPr>
            <w:r>
              <w:rPr>
                <w:spacing w:val="-1"/>
                <w:sz w:val="20"/>
              </w:rPr>
              <w:t>桥面铺装的附属工作，不另行</w:t>
            </w:r>
          </w:p>
          <w:p>
            <w:pPr>
              <w:spacing w:line="271" w:lineRule="exact"/>
              <w:ind w:left="108"/>
            </w:pPr>
            <w:r>
              <w:rPr>
                <w:spacing w:val="-1"/>
                <w:sz w:val="20"/>
              </w:rPr>
              <w:t>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8" w:lineRule="exact"/>
              <w:ind w:left="281"/>
            </w:pPr>
            <w:r>
              <w:rPr>
                <w:rFonts w:ascii="Times New Roman" w:hAnsi="Times New Roman" w:cs="Times New Roman"/>
                <w:sz w:val="20"/>
              </w:rPr>
              <w:t>1.</w:t>
            </w:r>
            <w:r>
              <w:rPr>
                <w:spacing w:val="-1"/>
                <w:position w:val="1"/>
                <w:sz w:val="20"/>
              </w:rPr>
              <w:t>清理下承层；</w:t>
            </w:r>
          </w:p>
          <w:p>
            <w:pPr>
              <w:spacing w:line="274" w:lineRule="exact"/>
              <w:ind w:left="281"/>
            </w:pPr>
            <w:r>
              <w:rPr>
                <w:rFonts w:ascii="Times New Roman" w:hAnsi="Times New Roman" w:cs="Times New Roman"/>
                <w:sz w:val="20"/>
              </w:rPr>
              <w:t>2.</w:t>
            </w:r>
            <w:r>
              <w:rPr>
                <w:position w:val="1"/>
                <w:sz w:val="20"/>
              </w:rPr>
              <w:t>拌和设备安装、调</w:t>
            </w:r>
          </w:p>
          <w:p>
            <w:pPr>
              <w:spacing w:line="237" w:lineRule="exact"/>
              <w:ind w:left="108"/>
            </w:pPr>
            <w:r>
              <w:rPr>
                <w:spacing w:val="-1"/>
                <w:sz w:val="20"/>
              </w:rPr>
              <w:t>试、拆除；</w:t>
            </w:r>
          </w:p>
          <w:p>
            <w:pPr>
              <w:spacing w:line="308" w:lineRule="exact"/>
              <w:ind w:left="281"/>
            </w:pPr>
            <w:r>
              <w:rPr>
                <w:rFonts w:ascii="Times New Roman" w:hAnsi="Times New Roman" w:cs="Times New Roman"/>
                <w:sz w:val="20"/>
              </w:rPr>
              <w:t>3.</w:t>
            </w:r>
            <w:r>
              <w:rPr>
                <w:spacing w:val="-1"/>
                <w:position w:val="1"/>
                <w:sz w:val="20"/>
              </w:rPr>
              <w:t>沥青混合料拌和、</w:t>
            </w:r>
          </w:p>
          <w:p>
            <w:pPr>
              <w:spacing w:line="237" w:lineRule="exact"/>
              <w:ind w:left="108"/>
            </w:pPr>
            <w:r>
              <w:rPr>
                <w:spacing w:val="-1"/>
                <w:sz w:val="20"/>
              </w:rPr>
              <w:t>运输、摊铺、压实、</w:t>
            </w:r>
          </w:p>
          <w:p>
            <w:pPr>
              <w:spacing w:line="271" w:lineRule="exact"/>
              <w:ind w:left="108"/>
            </w:pPr>
            <w:r>
              <w:rPr>
                <w:spacing w:val="-1"/>
                <w:sz w:val="20"/>
              </w:rPr>
              <w:t>成型；</w:t>
            </w:r>
          </w:p>
        </w:tc>
      </w:tr>
    </w:tbl>
    <w:p>
      <w:pPr>
        <w:spacing w:line="270" w:lineRule="atLeast"/>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120"/>
        <w:gridCol w:w="1775"/>
        <w:gridCol w:w="1080"/>
        <w:gridCol w:w="2880"/>
        <w:gridCol w:w="2160"/>
      </w:tblGrid>
      <w:tr>
        <w:tblPrEx>
          <w:tblCellMar>
            <w:top w:w="0" w:type="dxa"/>
            <w:left w:w="108" w:type="dxa"/>
            <w:bottom w:w="0" w:type="dxa"/>
            <w:right w:w="108" w:type="dxa"/>
          </w:tblCellMar>
        </w:tblPrEx>
        <w:trPr>
          <w:trHeight w:val="555"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pP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pP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3.</w:t>
            </w:r>
            <w:r>
              <w:rPr>
                <w:spacing w:val="-1"/>
                <w:position w:val="1"/>
                <w:sz w:val="20"/>
              </w:rPr>
              <w:t>由于施工原因而超铺的不</w:t>
            </w:r>
          </w:p>
          <w:p>
            <w:pPr>
              <w:spacing w:line="239" w:lineRule="exact"/>
              <w:ind w:left="108"/>
            </w:pPr>
            <w:r>
              <w:rPr>
                <w:spacing w:val="-1"/>
                <w:sz w:val="20"/>
              </w:rPr>
              <w:t>予计量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4.</w:t>
            </w:r>
            <w:r>
              <w:rPr>
                <w:spacing w:val="-1"/>
                <w:position w:val="1"/>
                <w:sz w:val="20"/>
              </w:rPr>
              <w:t>接缝；</w:t>
            </w:r>
          </w:p>
          <w:p>
            <w:pPr>
              <w:spacing w:line="274" w:lineRule="exact"/>
              <w:ind w:left="281"/>
            </w:pPr>
            <w:r>
              <w:rPr>
                <w:rFonts w:ascii="Times New Roman" w:hAnsi="Times New Roman" w:cs="Times New Roman"/>
                <w:sz w:val="20"/>
              </w:rPr>
              <w:t>5.</w:t>
            </w:r>
            <w:r>
              <w:rPr>
                <w:spacing w:val="-1"/>
                <w:position w:val="1"/>
                <w:sz w:val="20"/>
              </w:rPr>
              <w:t>初期养护</w:t>
            </w:r>
          </w:p>
        </w:tc>
      </w:tr>
      <w:tr>
        <w:tblPrEx>
          <w:tblCellMar>
            <w:top w:w="0" w:type="dxa"/>
            <w:left w:w="108" w:type="dxa"/>
            <w:bottom w:w="0" w:type="dxa"/>
            <w:right w:w="108" w:type="dxa"/>
          </w:tblCellMar>
        </w:tblPrEx>
        <w:trPr>
          <w:trHeight w:val="2188"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92" w:lineRule="exact"/>
              <w:ind w:left="315"/>
            </w:pPr>
            <w:r>
              <w:rPr>
                <w:rFonts w:ascii="Times New Roman" w:hAnsi="Times New Roman" w:cs="Times New Roman"/>
                <w:spacing w:val="-1"/>
                <w:sz w:val="20"/>
              </w:rPr>
              <w:t>405-2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62" w:lineRule="exact"/>
              <w:ind w:left="282"/>
            </w:pPr>
            <w:r>
              <w:rPr>
                <w:spacing w:val="-1"/>
                <w:sz w:val="20"/>
              </w:rPr>
              <w:t>水泥混凝土桥</w:t>
            </w:r>
          </w:p>
          <w:p>
            <w:pPr>
              <w:spacing w:line="395" w:lineRule="exact"/>
              <w:ind w:left="107"/>
            </w:pPr>
            <w:r>
              <w:rPr>
                <w:spacing w:val="-1"/>
                <w:position w:val="1"/>
                <w:sz w:val="20"/>
              </w:rPr>
              <w:t>面铺装（</w:t>
            </w:r>
            <w:r>
              <w:rPr>
                <w:rFonts w:ascii="Times New Roman" w:hAnsi="Times New Roman" w:cs="Times New Roman"/>
                <w:spacing w:val="-1"/>
                <w:sz w:val="20"/>
              </w:rPr>
              <w:t>C…</w:t>
            </w:r>
            <w:r>
              <w:rPr>
                <w:spacing w:val="-1"/>
                <w:position w:val="1"/>
                <w:sz w:val="20"/>
              </w:rPr>
              <w:t>）</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00" w:lineRule="exact"/>
              <w:ind w:left="425"/>
            </w:pPr>
            <w:r>
              <w:rPr>
                <w:rFonts w:ascii="Times New Roman" w:hAnsi="Times New Roman" w:cs="Times New Roman"/>
                <w:position w:val="-4"/>
                <w:sz w:val="20"/>
              </w:rPr>
              <w:t>m</w:t>
            </w:r>
            <w:r>
              <w:rPr>
                <w:rFonts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依据图纸所示位置、尺寸，</w:t>
            </w:r>
          </w:p>
          <w:p>
            <w:pPr>
              <w:spacing w:line="237" w:lineRule="exact"/>
              <w:ind w:left="108"/>
            </w:pPr>
            <w:r>
              <w:rPr>
                <w:spacing w:val="-1"/>
                <w:sz w:val="20"/>
              </w:rPr>
              <w:t>分不同混凝土强度等级，按铺</w:t>
            </w:r>
          </w:p>
          <w:p>
            <w:pPr>
              <w:spacing w:line="274" w:lineRule="exact"/>
              <w:ind w:left="108"/>
            </w:pPr>
            <w:r>
              <w:rPr>
                <w:spacing w:val="-1"/>
                <w:sz w:val="20"/>
              </w:rPr>
              <w:t>筑厚度以平方米为单位计量；</w:t>
            </w:r>
          </w:p>
          <w:p>
            <w:pPr>
              <w:spacing w:line="308" w:lineRule="exact"/>
              <w:ind w:left="281"/>
            </w:pPr>
            <w:r>
              <w:rPr>
                <w:rFonts w:ascii="Times New Roman" w:hAnsi="Times New Roman" w:cs="Times New Roman"/>
                <w:sz w:val="20"/>
              </w:rPr>
              <w:t>2.</w:t>
            </w:r>
            <w:r>
              <w:rPr>
                <w:spacing w:val="-1"/>
                <w:position w:val="1"/>
                <w:sz w:val="20"/>
              </w:rPr>
              <w:t>防水层、桥面排水管作为</w:t>
            </w:r>
          </w:p>
          <w:p>
            <w:pPr>
              <w:spacing w:line="236" w:lineRule="exact"/>
              <w:ind w:left="108"/>
            </w:pPr>
            <w:r>
              <w:rPr>
                <w:spacing w:val="-1"/>
                <w:sz w:val="20"/>
              </w:rPr>
              <w:t>桥面铺装的附属工作，不另行</w:t>
            </w:r>
          </w:p>
          <w:p>
            <w:pPr>
              <w:spacing w:line="271" w:lineRule="exact"/>
              <w:ind w:left="108"/>
            </w:pPr>
            <w:r>
              <w:rPr>
                <w:spacing w:val="-1"/>
                <w:sz w:val="20"/>
              </w:rPr>
              <w:t>计量；</w:t>
            </w:r>
          </w:p>
          <w:p>
            <w:pPr>
              <w:spacing w:line="308" w:lineRule="exact"/>
              <w:ind w:left="281"/>
            </w:pPr>
            <w:r>
              <w:rPr>
                <w:rFonts w:ascii="Times New Roman" w:hAnsi="Times New Roman" w:cs="Times New Roman"/>
                <w:sz w:val="20"/>
              </w:rPr>
              <w:t>3.</w:t>
            </w:r>
            <w:r>
              <w:rPr>
                <w:spacing w:val="-1"/>
                <w:position w:val="1"/>
                <w:sz w:val="20"/>
              </w:rPr>
              <w:t>由于施工原因而超铺的不</w:t>
            </w:r>
          </w:p>
          <w:p>
            <w:pPr>
              <w:spacing w:line="236" w:lineRule="exact"/>
              <w:ind w:left="108"/>
            </w:pPr>
            <w:r>
              <w:rPr>
                <w:spacing w:val="-1"/>
                <w:sz w:val="20"/>
              </w:rPr>
              <w:t>予计量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50" w:lineRule="exact"/>
              <w:ind w:left="281"/>
            </w:pPr>
            <w:r>
              <w:rPr>
                <w:rFonts w:ascii="Times New Roman" w:hAnsi="Times New Roman" w:cs="Times New Roman"/>
                <w:sz w:val="20"/>
              </w:rPr>
              <w:t>1.</w:t>
            </w:r>
            <w:r>
              <w:rPr>
                <w:spacing w:val="-1"/>
                <w:position w:val="1"/>
                <w:sz w:val="20"/>
              </w:rPr>
              <w:t>场地清理；</w:t>
            </w:r>
          </w:p>
          <w:p>
            <w:pPr>
              <w:spacing w:line="271" w:lineRule="exact"/>
              <w:ind w:left="281"/>
            </w:pPr>
            <w:r>
              <w:rPr>
                <w:rFonts w:ascii="Times New Roman" w:hAnsi="Times New Roman" w:cs="Times New Roman"/>
                <w:sz w:val="20"/>
              </w:rPr>
              <w:t>2.</w:t>
            </w:r>
            <w:r>
              <w:rPr>
                <w:position w:val="1"/>
                <w:sz w:val="20"/>
              </w:rPr>
              <w:t>混凝土配运料、拌</w:t>
            </w:r>
          </w:p>
          <w:p>
            <w:pPr>
              <w:spacing w:line="239" w:lineRule="exact"/>
              <w:ind w:left="108"/>
            </w:pPr>
            <w:r>
              <w:rPr>
                <w:spacing w:val="-1"/>
                <w:sz w:val="20"/>
              </w:rPr>
              <w:t>和、运输、浇筑、振</w:t>
            </w:r>
          </w:p>
          <w:p>
            <w:pPr>
              <w:spacing w:line="271" w:lineRule="exact"/>
              <w:ind w:left="108"/>
            </w:pPr>
            <w:r>
              <w:rPr>
                <w:spacing w:val="-1"/>
                <w:sz w:val="20"/>
              </w:rPr>
              <w:t>捣、养护；</w:t>
            </w:r>
          </w:p>
          <w:p>
            <w:pPr>
              <w:spacing w:line="308" w:lineRule="exact"/>
              <w:ind w:left="281"/>
            </w:pPr>
            <w:r>
              <w:rPr>
                <w:rFonts w:ascii="Times New Roman" w:hAnsi="Times New Roman" w:cs="Times New Roman"/>
                <w:sz w:val="20"/>
              </w:rPr>
              <w:t>3.</w:t>
            </w:r>
            <w:r>
              <w:rPr>
                <w:position w:val="1"/>
                <w:sz w:val="20"/>
              </w:rPr>
              <w:t>施工缝、沉降缝设</w:t>
            </w:r>
          </w:p>
          <w:p>
            <w:pPr>
              <w:spacing w:line="237" w:lineRule="exact"/>
              <w:ind w:left="108"/>
            </w:pPr>
            <w:r>
              <w:rPr>
                <w:spacing w:val="-1"/>
                <w:sz w:val="20"/>
              </w:rPr>
              <w:t>置处理</w:t>
            </w:r>
          </w:p>
        </w:tc>
      </w:tr>
      <w:tr>
        <w:trPr>
          <w:trHeight w:val="218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92" w:lineRule="exact"/>
              <w:ind w:left="401"/>
            </w:pPr>
            <w:r>
              <w:rPr>
                <w:rFonts w:ascii="Times New Roman" w:hAnsi="Times New Roman" w:cs="Times New Roman"/>
                <w:spacing w:val="-1"/>
                <w:sz w:val="20"/>
              </w:rPr>
              <w:t>406</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43" w:lineRule="exact"/>
              <w:ind w:left="282"/>
            </w:pPr>
            <w:r>
              <w:rPr>
                <w:spacing w:val="-1"/>
                <w:sz w:val="20"/>
              </w:rPr>
              <w:t>桥梁支座</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43" w:lineRule="exact"/>
              <w:ind w:left="434"/>
            </w:pPr>
            <w:r>
              <w:rPr>
                <w:spacing w:val="-1"/>
                <w:sz w:val="20"/>
              </w:rPr>
              <w:t>个</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90" w:lineRule="exact"/>
              <w:ind w:left="281"/>
            </w:pPr>
            <w:r>
              <w:rPr>
                <w:spacing w:val="-1"/>
                <w:sz w:val="20"/>
              </w:rPr>
              <w:t>依据图纸所示位置及尺寸，</w:t>
            </w:r>
          </w:p>
          <w:p>
            <w:pPr>
              <w:spacing w:line="271" w:lineRule="exact"/>
              <w:ind w:left="108"/>
            </w:pPr>
            <w:r>
              <w:rPr>
                <w:spacing w:val="-1"/>
                <w:sz w:val="20"/>
              </w:rPr>
              <w:t>安装图纸所示类型及规格支</w:t>
            </w:r>
          </w:p>
          <w:p>
            <w:pPr>
              <w:spacing w:line="274" w:lineRule="exact"/>
              <w:ind w:left="108"/>
            </w:pPr>
            <w:r>
              <w:rPr>
                <w:spacing w:val="-1"/>
                <w:sz w:val="20"/>
              </w:rPr>
              <w:t>座就位，按图示数量分不同型</w:t>
            </w:r>
          </w:p>
          <w:p>
            <w:pPr>
              <w:spacing w:line="271" w:lineRule="exact"/>
              <w:ind w:left="108"/>
            </w:pPr>
            <w:r>
              <w:rPr>
                <w:spacing w:val="-1"/>
                <w:sz w:val="20"/>
              </w:rPr>
              <w:t>号、支座反力以个为单位计量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清洁整平混凝土</w:t>
            </w:r>
          </w:p>
          <w:p>
            <w:pPr>
              <w:spacing w:line="239" w:lineRule="exact"/>
              <w:ind w:left="108"/>
            </w:pPr>
            <w:r>
              <w:rPr>
                <w:spacing w:val="-1"/>
                <w:sz w:val="20"/>
              </w:rPr>
              <w:t>表面；</w:t>
            </w:r>
          </w:p>
          <w:p>
            <w:pPr>
              <w:spacing w:line="306" w:lineRule="exact"/>
              <w:ind w:left="281"/>
            </w:pPr>
            <w:r>
              <w:rPr>
                <w:rFonts w:ascii="Times New Roman" w:hAnsi="Times New Roman" w:cs="Times New Roman"/>
                <w:sz w:val="20"/>
              </w:rPr>
              <w:t>2.</w:t>
            </w:r>
            <w:r>
              <w:rPr>
                <w:spacing w:val="-1"/>
                <w:position w:val="1"/>
                <w:sz w:val="20"/>
              </w:rPr>
              <w:t>砂浆配运料、拌</w:t>
            </w:r>
          </w:p>
          <w:p>
            <w:pPr>
              <w:spacing w:line="239" w:lineRule="exact"/>
              <w:ind w:left="108"/>
            </w:pPr>
            <w:r>
              <w:rPr>
                <w:spacing w:val="-1"/>
                <w:sz w:val="20"/>
              </w:rPr>
              <w:t>和，接触面抹平；</w:t>
            </w:r>
          </w:p>
          <w:p>
            <w:pPr>
              <w:spacing w:line="306" w:lineRule="exact"/>
              <w:ind w:left="281"/>
            </w:pPr>
            <w:r>
              <w:rPr>
                <w:rFonts w:ascii="Times New Roman" w:hAnsi="Times New Roman" w:cs="Times New Roman"/>
                <w:sz w:val="20"/>
              </w:rPr>
              <w:t>3.</w:t>
            </w:r>
            <w:r>
              <w:rPr>
                <w:spacing w:val="-1"/>
                <w:position w:val="1"/>
                <w:sz w:val="20"/>
              </w:rPr>
              <w:t>钢板制作与安装；</w:t>
            </w:r>
          </w:p>
          <w:p>
            <w:pPr>
              <w:spacing w:line="271" w:lineRule="exact"/>
              <w:ind w:left="281"/>
            </w:pPr>
            <w:r>
              <w:rPr>
                <w:rFonts w:ascii="Times New Roman" w:hAnsi="Times New Roman" w:cs="Times New Roman"/>
                <w:sz w:val="20"/>
              </w:rPr>
              <w:t>4.</w:t>
            </w:r>
            <w:r>
              <w:rPr>
                <w:spacing w:val="-1"/>
                <w:position w:val="1"/>
                <w:sz w:val="20"/>
              </w:rPr>
              <w:t>吊装设备安拆；</w:t>
            </w:r>
          </w:p>
          <w:p>
            <w:pPr>
              <w:spacing w:line="274" w:lineRule="exact"/>
              <w:ind w:left="281"/>
            </w:pPr>
            <w:r>
              <w:rPr>
                <w:rFonts w:ascii="Times New Roman" w:hAnsi="Times New Roman" w:cs="Times New Roman"/>
                <w:sz w:val="20"/>
              </w:rPr>
              <w:t>5.</w:t>
            </w:r>
            <w:r>
              <w:rPr>
                <w:spacing w:val="-1"/>
                <w:position w:val="1"/>
                <w:sz w:val="20"/>
              </w:rPr>
              <w:t>支座定位安装；</w:t>
            </w:r>
          </w:p>
          <w:p>
            <w:pPr>
              <w:spacing w:line="271" w:lineRule="exact"/>
              <w:ind w:left="281"/>
            </w:pPr>
            <w:r>
              <w:rPr>
                <w:rFonts w:ascii="Times New Roman" w:hAnsi="Times New Roman" w:cs="Times New Roman"/>
                <w:sz w:val="20"/>
              </w:rPr>
              <w:t>6.</w:t>
            </w:r>
            <w:r>
              <w:rPr>
                <w:spacing w:val="-1"/>
                <w:position w:val="1"/>
                <w:sz w:val="20"/>
              </w:rPr>
              <w:t>支座焊接固定</w:t>
            </w:r>
          </w:p>
        </w:tc>
      </w:tr>
      <w:tr>
        <w:tblPrEx>
          <w:tblCellMar>
            <w:top w:w="0" w:type="dxa"/>
            <w:left w:w="108" w:type="dxa"/>
            <w:bottom w:w="0" w:type="dxa"/>
            <w:right w:w="108" w:type="dxa"/>
          </w:tblCellMar>
        </w:tblPrEx>
        <w:trPr>
          <w:trHeight w:val="218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92" w:lineRule="exact"/>
              <w:ind w:left="401"/>
            </w:pPr>
            <w:r>
              <w:rPr>
                <w:rFonts w:ascii="Times New Roman" w:hAnsi="Times New Roman" w:cs="Times New Roman"/>
                <w:spacing w:val="-1"/>
                <w:sz w:val="20"/>
              </w:rPr>
              <w:t>407</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43" w:lineRule="exact"/>
              <w:ind w:left="282"/>
            </w:pPr>
            <w:r>
              <w:rPr>
                <w:spacing w:val="-1"/>
                <w:sz w:val="20"/>
              </w:rPr>
              <w:t>桥梁伸缩装置</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92" w:lineRule="exact"/>
              <w:ind w:left="458"/>
            </w:pPr>
            <w:r>
              <w:rPr>
                <w:rFonts w:ascii="Times New Roman" w:hAnsi="Times New Roman" w:cs="Times New Roman"/>
                <w:sz w:val="20"/>
              </w:rPr>
              <w:t>m</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6" w:lineRule="exact"/>
              <w:ind w:left="281"/>
            </w:pPr>
            <w:r>
              <w:rPr>
                <w:spacing w:val="-1"/>
                <w:sz w:val="20"/>
              </w:rPr>
              <w:t>依据图纸所示位置及尺寸，</w:t>
            </w:r>
          </w:p>
          <w:p>
            <w:pPr>
              <w:spacing w:line="274" w:lineRule="exact"/>
              <w:ind w:left="108"/>
            </w:pPr>
            <w:r>
              <w:rPr>
                <w:spacing w:val="-1"/>
                <w:sz w:val="20"/>
              </w:rPr>
              <w:t>安装图示类型和规格的伸缩</w:t>
            </w:r>
          </w:p>
          <w:p>
            <w:pPr>
              <w:spacing w:line="271" w:lineRule="exact"/>
              <w:ind w:left="108"/>
            </w:pPr>
            <w:r>
              <w:rPr>
                <w:spacing w:val="-1"/>
                <w:sz w:val="20"/>
              </w:rPr>
              <w:t>装置，按图示长度（包括人行</w:t>
            </w:r>
          </w:p>
          <w:p>
            <w:pPr>
              <w:spacing w:line="274" w:lineRule="exact"/>
              <w:ind w:left="108"/>
            </w:pPr>
            <w:r>
              <w:rPr>
                <w:spacing w:val="-1"/>
                <w:sz w:val="20"/>
              </w:rPr>
              <w:t>道、缘石、护栏底座与行车道</w:t>
            </w:r>
          </w:p>
          <w:p>
            <w:pPr>
              <w:spacing w:line="271" w:lineRule="exact"/>
              <w:ind w:left="108"/>
            </w:pPr>
            <w:r>
              <w:rPr>
                <w:spacing w:val="-1"/>
                <w:sz w:val="20"/>
              </w:rPr>
              <w:t>等全部长度），分不同伸缩量</w:t>
            </w:r>
          </w:p>
          <w:p>
            <w:pPr>
              <w:spacing w:line="271" w:lineRule="exact"/>
              <w:ind w:left="108"/>
            </w:pPr>
            <w:r>
              <w:rPr>
                <w:spacing w:val="-1"/>
                <w:sz w:val="20"/>
              </w:rPr>
              <w:t>以米为单位计量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切割清理伸缩装</w:t>
            </w:r>
          </w:p>
          <w:p>
            <w:pPr>
              <w:spacing w:line="239" w:lineRule="exact"/>
              <w:ind w:left="108"/>
            </w:pPr>
            <w:r>
              <w:rPr>
                <w:spacing w:val="-1"/>
                <w:sz w:val="20"/>
              </w:rPr>
              <w:t>置范围内混凝土；设</w:t>
            </w:r>
          </w:p>
          <w:p>
            <w:pPr>
              <w:spacing w:line="271" w:lineRule="exact"/>
              <w:ind w:left="108"/>
            </w:pPr>
            <w:r>
              <w:rPr>
                <w:spacing w:val="-1"/>
                <w:sz w:val="20"/>
              </w:rPr>
              <w:t>置预埋件；</w:t>
            </w:r>
          </w:p>
          <w:p>
            <w:pPr>
              <w:spacing w:line="308" w:lineRule="exact"/>
              <w:ind w:left="281"/>
            </w:pPr>
            <w:r>
              <w:rPr>
                <w:rFonts w:ascii="Times New Roman" w:hAnsi="Times New Roman" w:cs="Times New Roman"/>
                <w:sz w:val="20"/>
              </w:rPr>
              <w:t>2.</w:t>
            </w:r>
            <w:r>
              <w:rPr>
                <w:position w:val="1"/>
                <w:sz w:val="20"/>
              </w:rPr>
              <w:t>伸缩装置定位、安</w:t>
            </w:r>
          </w:p>
          <w:p>
            <w:pPr>
              <w:spacing w:line="237" w:lineRule="exact"/>
              <w:ind w:left="108"/>
            </w:pPr>
            <w:r>
              <w:rPr>
                <w:spacing w:val="-1"/>
                <w:sz w:val="20"/>
              </w:rPr>
              <w:t>装；</w:t>
            </w:r>
          </w:p>
          <w:p>
            <w:pPr>
              <w:spacing w:line="306" w:lineRule="exact"/>
              <w:ind w:left="281"/>
            </w:pPr>
            <w:r>
              <w:rPr>
                <w:rFonts w:ascii="Times New Roman" w:hAnsi="Times New Roman" w:cs="Times New Roman"/>
                <w:sz w:val="20"/>
              </w:rPr>
              <w:t>3.</w:t>
            </w:r>
            <w:r>
              <w:rPr>
                <w:spacing w:val="-1"/>
                <w:position w:val="1"/>
                <w:sz w:val="20"/>
              </w:rPr>
              <w:t>混凝土拌和、运</w:t>
            </w:r>
          </w:p>
          <w:p>
            <w:pPr>
              <w:spacing w:line="239" w:lineRule="exact"/>
              <w:ind w:left="108"/>
            </w:pPr>
            <w:r>
              <w:rPr>
                <w:spacing w:val="-1"/>
                <w:sz w:val="20"/>
              </w:rPr>
              <w:t>输、浇筑、压纹、养</w:t>
            </w:r>
          </w:p>
          <w:p>
            <w:pPr>
              <w:spacing w:line="271" w:lineRule="exact"/>
              <w:ind w:left="108"/>
            </w:pPr>
            <w:r>
              <w:rPr>
                <w:spacing w:val="-1"/>
                <w:sz w:val="20"/>
              </w:rPr>
              <w:t>护</w:t>
            </w:r>
          </w:p>
        </w:tc>
      </w:tr>
    </w:tbl>
    <w:p>
      <w:pPr>
        <w:spacing w:line="270" w:lineRule="atLeast"/>
        <w:rPr>
          <w:sz w:val="21"/>
        </w:rPr>
        <w:sectPr>
          <w:pgSz w:w="11910" w:h="16840"/>
          <w:pgMar w:top="1440" w:right="1080" w:bottom="1040" w:left="1420" w:header="882" w:footer="847" w:gutter="0"/>
          <w:cols w:space="720" w:num="1"/>
        </w:sectPr>
      </w:pPr>
    </w:p>
    <w:p>
      <w:pPr>
        <w:spacing w:before="139"/>
        <w:ind w:left="86" w:right="203"/>
        <w:jc w:val="center"/>
        <w:rPr>
          <w:sz w:val="28"/>
        </w:rPr>
      </w:pPr>
      <w:r>
        <w:rPr>
          <w:rFonts w:hint="eastAsia"/>
          <w:sz w:val="28"/>
        </w:rPr>
        <w:t>第 500 章 排水与涵洞</w:t>
      </w:r>
    </w:p>
    <w:p>
      <w:pPr>
        <w:pStyle w:val="10"/>
        <w:spacing w:before="1"/>
        <w:rPr>
          <w:sz w:val="18"/>
        </w:rPr>
      </w:pPr>
    </w:p>
    <w:tbl>
      <w:tblPr>
        <w:tblStyle w:val="18"/>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tblPrEx>
          <w:tblCellMar>
            <w:top w:w="0" w:type="dxa"/>
            <w:left w:w="108" w:type="dxa"/>
            <w:bottom w:w="0" w:type="dxa"/>
            <w:right w:w="108" w:type="dxa"/>
          </w:tblCellMar>
        </w:tblPrEx>
        <w:trPr>
          <w:trHeight w:val="48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45" w:lineRule="exact"/>
              <w:ind w:left="265"/>
            </w:pPr>
            <w:r>
              <w:rPr>
                <w:spacing w:val="-1"/>
                <w:sz w:val="20"/>
              </w:rPr>
              <w:t>子目号</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45" w:lineRule="exact"/>
              <w:ind w:left="464"/>
            </w:pPr>
            <w:r>
              <w:rPr>
                <w:spacing w:val="-1"/>
                <w:sz w:val="20"/>
              </w:rPr>
              <w:t>子目名称</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45" w:lineRule="exact"/>
              <w:ind w:left="330"/>
            </w:pPr>
            <w:r>
              <w:rPr>
                <w:spacing w:val="-1"/>
                <w:sz w:val="20"/>
              </w:rPr>
              <w:t>单位</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45" w:lineRule="exact"/>
              <w:ind w:left="716"/>
            </w:pPr>
            <w:r>
              <w:rPr>
                <w:spacing w:val="-1"/>
                <w:sz w:val="20"/>
              </w:rPr>
              <w:t>工程量计量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45" w:lineRule="exact"/>
              <w:ind w:left="840"/>
            </w:pPr>
            <w:r>
              <w:rPr>
                <w:spacing w:val="-1"/>
                <w:sz w:val="20"/>
              </w:rPr>
              <w:t>工程内容</w:t>
            </w:r>
          </w:p>
        </w:tc>
      </w:tr>
      <w:tr>
        <w:tblPrEx>
          <w:tblCellMar>
            <w:top w:w="0" w:type="dxa"/>
            <w:left w:w="108" w:type="dxa"/>
            <w:bottom w:w="0" w:type="dxa"/>
            <w:right w:w="108" w:type="dxa"/>
          </w:tblCellMar>
        </w:tblPrEx>
        <w:trPr>
          <w:trHeight w:val="5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6" w:lineRule="exact"/>
              <w:ind w:left="337"/>
            </w:pPr>
            <w:r>
              <w:rPr>
                <w:rFonts w:ascii="Times New Roman" w:hAnsi="Times New Roman" w:cs="Times New Roman"/>
                <w:spacing w:val="-1"/>
                <w:sz w:val="20"/>
              </w:rPr>
              <w:t>501-1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282"/>
            </w:pPr>
            <w:r>
              <w:rPr>
                <w:spacing w:val="-1"/>
                <w:sz w:val="20"/>
              </w:rPr>
              <w:t>边沟、排水沟、</w:t>
            </w:r>
          </w:p>
          <w:p>
            <w:pPr>
              <w:spacing w:line="274" w:lineRule="exact"/>
              <w:ind w:left="107"/>
            </w:pPr>
            <w:r>
              <w:rPr>
                <w:spacing w:val="-1"/>
                <w:sz w:val="20"/>
              </w:rPr>
              <w:t>截水沟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r>
      <w:tr>
        <w:tblPrEx>
          <w:tblCellMar>
            <w:top w:w="0" w:type="dxa"/>
            <w:left w:w="108" w:type="dxa"/>
            <w:bottom w:w="0" w:type="dxa"/>
            <w:right w:w="108" w:type="dxa"/>
          </w:tblCellMar>
        </w:tblPrEx>
        <w:trPr>
          <w:trHeight w:val="218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92" w:lineRule="exact"/>
              <w:ind w:left="500"/>
            </w:pPr>
            <w:r>
              <w:rPr>
                <w:rFonts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40" w:lineRule="exact"/>
              <w:ind w:left="282"/>
            </w:pPr>
            <w:r>
              <w:rPr>
                <w:spacing w:val="-1"/>
                <w:sz w:val="20"/>
              </w:rPr>
              <w:t>浆砌片（卵）石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00" w:lineRule="exact"/>
              <w:ind w:left="423"/>
            </w:pPr>
            <w:r>
              <w:rPr>
                <w:rFonts w:ascii="Times New Roman" w:hAnsi="Times New Roman" w:cs="Times New Roman"/>
                <w:position w:val="-4"/>
                <w:sz w:val="20"/>
              </w:rPr>
              <w:t>m</w:t>
            </w:r>
            <w:r>
              <w:rPr>
                <w:rFonts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89" w:lineRule="exact"/>
              <w:ind w:left="282"/>
            </w:pPr>
            <w:r>
              <w:rPr>
                <w:spacing w:val="-1"/>
                <w:sz w:val="20"/>
              </w:rPr>
              <w:t>依据图纸所示位置及</w:t>
            </w:r>
          </w:p>
          <w:p>
            <w:pPr>
              <w:spacing w:line="271" w:lineRule="exact"/>
              <w:ind w:left="109"/>
            </w:pPr>
            <w:r>
              <w:rPr>
                <w:sz w:val="20"/>
              </w:rPr>
              <w:t>断面尺寸，按浆砌片（卵）</w:t>
            </w:r>
          </w:p>
          <w:p>
            <w:pPr>
              <w:spacing w:line="271" w:lineRule="exact"/>
              <w:ind w:left="109"/>
            </w:pPr>
            <w:r>
              <w:rPr>
                <w:spacing w:val="-1"/>
                <w:sz w:val="20"/>
              </w:rPr>
              <w:t>石的体积，以立方米为单</w:t>
            </w:r>
          </w:p>
          <w:p>
            <w:pPr>
              <w:spacing w:line="274" w:lineRule="exact"/>
              <w:ind w:left="109"/>
            </w:pPr>
            <w:r>
              <w:rPr>
                <w:spacing w:val="-1"/>
                <w:sz w:val="20"/>
              </w:rPr>
              <w:t>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场地清理；</w:t>
            </w:r>
          </w:p>
          <w:p>
            <w:pPr>
              <w:spacing w:line="271" w:lineRule="exact"/>
              <w:ind w:left="281"/>
            </w:pPr>
            <w:r>
              <w:rPr>
                <w:rFonts w:ascii="Times New Roman" w:hAnsi="Times New Roman" w:cs="Times New Roman"/>
                <w:sz w:val="20"/>
              </w:rPr>
              <w:t>2.</w:t>
            </w:r>
            <w:r>
              <w:rPr>
                <w:spacing w:val="-1"/>
                <w:position w:val="1"/>
                <w:sz w:val="20"/>
              </w:rPr>
              <w:t>地基平整夯实，断面</w:t>
            </w:r>
          </w:p>
          <w:p>
            <w:pPr>
              <w:spacing w:line="239" w:lineRule="exact"/>
              <w:ind w:left="108"/>
            </w:pPr>
            <w:r>
              <w:rPr>
                <w:spacing w:val="-1"/>
                <w:sz w:val="20"/>
              </w:rPr>
              <w:t>补挖；</w:t>
            </w:r>
          </w:p>
          <w:p>
            <w:pPr>
              <w:spacing w:line="306" w:lineRule="exact"/>
              <w:ind w:left="281"/>
            </w:pPr>
            <w:r>
              <w:rPr>
                <w:rFonts w:ascii="Times New Roman" w:hAnsi="Times New Roman" w:cs="Times New Roman"/>
                <w:sz w:val="20"/>
              </w:rPr>
              <w:t>3.</w:t>
            </w:r>
            <w:r>
              <w:rPr>
                <w:spacing w:val="-1"/>
                <w:position w:val="1"/>
                <w:sz w:val="20"/>
              </w:rPr>
              <w:t>铺设垫层；</w:t>
            </w:r>
          </w:p>
          <w:p>
            <w:pPr>
              <w:spacing w:line="274" w:lineRule="exact"/>
              <w:ind w:left="281"/>
            </w:pPr>
            <w:r>
              <w:rPr>
                <w:rFonts w:ascii="Times New Roman" w:hAnsi="Times New Roman" w:cs="Times New Roman"/>
                <w:sz w:val="20"/>
              </w:rPr>
              <w:t>4.</w:t>
            </w:r>
            <w:r>
              <w:rPr>
                <w:spacing w:val="-1"/>
                <w:position w:val="1"/>
                <w:sz w:val="20"/>
              </w:rPr>
              <w:t>砂浆拌制；</w:t>
            </w:r>
          </w:p>
          <w:p>
            <w:pPr>
              <w:spacing w:line="271" w:lineRule="exact"/>
              <w:ind w:left="281"/>
            </w:pPr>
            <w:r>
              <w:rPr>
                <w:rFonts w:ascii="Times New Roman" w:hAnsi="Times New Roman" w:cs="Times New Roman"/>
                <w:sz w:val="20"/>
              </w:rPr>
              <w:t>5.</w:t>
            </w:r>
            <w:r>
              <w:rPr>
                <w:spacing w:val="-1"/>
                <w:position w:val="1"/>
                <w:sz w:val="20"/>
              </w:rPr>
              <w:t>浆砌片石、勾缝、抹</w:t>
            </w:r>
          </w:p>
          <w:p>
            <w:pPr>
              <w:spacing w:line="239" w:lineRule="exact"/>
              <w:ind w:left="108"/>
            </w:pPr>
            <w:r>
              <w:rPr>
                <w:spacing w:val="-1"/>
                <w:sz w:val="20"/>
              </w:rPr>
              <w:t>面、养护；</w:t>
            </w:r>
          </w:p>
          <w:p>
            <w:pPr>
              <w:spacing w:line="306" w:lineRule="exact"/>
              <w:ind w:left="281"/>
            </w:pPr>
            <w:r>
              <w:rPr>
                <w:rFonts w:ascii="Times New Roman" w:hAnsi="Times New Roman" w:cs="Times New Roman"/>
                <w:sz w:val="20"/>
              </w:rPr>
              <w:t>6.</w:t>
            </w:r>
            <w:r>
              <w:rPr>
                <w:spacing w:val="-1"/>
                <w:position w:val="1"/>
                <w:sz w:val="20"/>
              </w:rPr>
              <w:t>回填</w:t>
            </w:r>
          </w:p>
        </w:tc>
      </w:tr>
      <w:tr>
        <w:trPr>
          <w:trHeight w:val="2821"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606" w:lineRule="exact"/>
              <w:ind w:left="493"/>
            </w:pPr>
            <w:r>
              <w:rPr>
                <w:rFonts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557" w:lineRule="exact"/>
              <w:ind w:left="282"/>
            </w:pPr>
            <w:r>
              <w:rPr>
                <w:spacing w:val="-1"/>
                <w:sz w:val="20"/>
              </w:rPr>
              <w:t>现浇混凝土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517" w:lineRule="exact"/>
              <w:ind w:left="423"/>
            </w:pPr>
            <w:r>
              <w:rPr>
                <w:rFonts w:ascii="Times New Roman" w:hAnsi="Times New Roman" w:cs="Times New Roman"/>
                <w:position w:val="-4"/>
                <w:sz w:val="20"/>
              </w:rPr>
              <w:t>m</w:t>
            </w:r>
            <w:r>
              <w:rPr>
                <w:rFonts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9" w:lineRule="exact"/>
              <w:ind w:left="282"/>
            </w:pPr>
            <w:r>
              <w:rPr>
                <w:spacing w:val="-1"/>
                <w:sz w:val="20"/>
              </w:rPr>
              <w:t>依据图纸所示位置及</w:t>
            </w:r>
          </w:p>
          <w:p>
            <w:pPr>
              <w:spacing w:line="271" w:lineRule="exact"/>
              <w:ind w:left="109"/>
            </w:pPr>
            <w:r>
              <w:rPr>
                <w:spacing w:val="-1"/>
                <w:sz w:val="20"/>
              </w:rPr>
              <w:t>断面尺寸，按照不同强度</w:t>
            </w:r>
          </w:p>
          <w:p>
            <w:pPr>
              <w:spacing w:line="271" w:lineRule="exact"/>
              <w:ind w:left="109"/>
            </w:pPr>
            <w:r>
              <w:rPr>
                <w:spacing w:val="-1"/>
                <w:sz w:val="20"/>
              </w:rPr>
              <w:t>等级混凝土浇筑的边沟</w:t>
            </w:r>
          </w:p>
          <w:p>
            <w:pPr>
              <w:spacing w:line="274" w:lineRule="exact"/>
              <w:ind w:left="109"/>
            </w:pPr>
            <w:r>
              <w:rPr>
                <w:spacing w:val="-1"/>
                <w:sz w:val="20"/>
              </w:rPr>
              <w:t>的体积以立方米为单位</w:t>
            </w:r>
          </w:p>
          <w:p>
            <w:pPr>
              <w:spacing w:line="274" w:lineRule="exact"/>
              <w:ind w:left="109"/>
            </w:pPr>
            <w:r>
              <w:rPr>
                <w:spacing w:val="-1"/>
                <w:sz w:val="20"/>
              </w:rPr>
              <w:t>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场地清理；</w:t>
            </w:r>
          </w:p>
          <w:p>
            <w:pPr>
              <w:spacing w:line="271" w:lineRule="exact"/>
              <w:ind w:left="281"/>
            </w:pPr>
            <w:r>
              <w:rPr>
                <w:rFonts w:ascii="Times New Roman" w:hAnsi="Times New Roman" w:cs="Times New Roman"/>
                <w:sz w:val="20"/>
              </w:rPr>
              <w:t>2.</w:t>
            </w:r>
            <w:r>
              <w:rPr>
                <w:spacing w:val="-1"/>
                <w:position w:val="1"/>
                <w:sz w:val="20"/>
              </w:rPr>
              <w:t>地基平整夯实，断面</w:t>
            </w:r>
          </w:p>
          <w:p>
            <w:pPr>
              <w:spacing w:line="239" w:lineRule="exact"/>
              <w:ind w:left="108"/>
            </w:pPr>
            <w:r>
              <w:rPr>
                <w:spacing w:val="-1"/>
                <w:sz w:val="20"/>
              </w:rPr>
              <w:t>补挖；</w:t>
            </w:r>
          </w:p>
          <w:p>
            <w:pPr>
              <w:spacing w:line="308" w:lineRule="exact"/>
              <w:ind w:left="281"/>
            </w:pPr>
            <w:r>
              <w:rPr>
                <w:rFonts w:ascii="Times New Roman" w:hAnsi="Times New Roman" w:cs="Times New Roman"/>
                <w:sz w:val="20"/>
              </w:rPr>
              <w:t>3.</w:t>
            </w:r>
            <w:r>
              <w:rPr>
                <w:spacing w:val="-1"/>
                <w:position w:val="1"/>
                <w:sz w:val="20"/>
              </w:rPr>
              <w:t>铺设垫层；</w:t>
            </w:r>
          </w:p>
          <w:p>
            <w:pPr>
              <w:spacing w:line="271" w:lineRule="exact"/>
              <w:ind w:left="281"/>
            </w:pPr>
            <w:r>
              <w:rPr>
                <w:rFonts w:ascii="Times New Roman" w:hAnsi="Times New Roman" w:cs="Times New Roman"/>
                <w:sz w:val="20"/>
              </w:rPr>
              <w:t>4.</w:t>
            </w:r>
            <w:r>
              <w:rPr>
                <w:spacing w:val="-1"/>
                <w:position w:val="1"/>
                <w:sz w:val="20"/>
              </w:rPr>
              <w:t>模板制作、安装、拆</w:t>
            </w:r>
          </w:p>
          <w:p>
            <w:pPr>
              <w:spacing w:line="237" w:lineRule="exact"/>
              <w:ind w:left="108"/>
            </w:pPr>
            <w:r>
              <w:rPr>
                <w:spacing w:val="-1"/>
                <w:sz w:val="20"/>
              </w:rPr>
              <w:t>除；</w:t>
            </w:r>
          </w:p>
          <w:p>
            <w:pPr>
              <w:spacing w:line="397" w:lineRule="exact"/>
              <w:ind w:left="281"/>
            </w:pPr>
            <w:r>
              <w:rPr>
                <w:rFonts w:ascii="Times New Roman" w:hAnsi="Times New Roman" w:cs="Times New Roman"/>
                <w:sz w:val="20"/>
              </w:rPr>
              <w:t>5.</w:t>
            </w:r>
            <w:r>
              <w:rPr>
                <w:spacing w:val="-1"/>
                <w:position w:val="1"/>
                <w:sz w:val="20"/>
              </w:rPr>
              <w:t>钢筋制作与安装；</w:t>
            </w:r>
          </w:p>
          <w:p>
            <w:pPr>
              <w:spacing w:line="271" w:lineRule="exact"/>
              <w:ind w:left="281"/>
            </w:pPr>
            <w:r>
              <w:rPr>
                <w:rFonts w:ascii="Times New Roman" w:hAnsi="Times New Roman" w:cs="Times New Roman"/>
                <w:sz w:val="20"/>
              </w:rPr>
              <w:t>6.</w:t>
            </w:r>
            <w:r>
              <w:rPr>
                <w:spacing w:val="-1"/>
                <w:position w:val="1"/>
                <w:sz w:val="20"/>
              </w:rPr>
              <w:t>混凝土拌和、运输、</w:t>
            </w:r>
          </w:p>
          <w:p>
            <w:pPr>
              <w:spacing w:line="236" w:lineRule="exact"/>
              <w:ind w:left="108"/>
            </w:pPr>
            <w:r>
              <w:rPr>
                <w:spacing w:val="-1"/>
                <w:sz w:val="20"/>
              </w:rPr>
              <w:t>浇筑、养护；</w:t>
            </w:r>
          </w:p>
          <w:p>
            <w:pPr>
              <w:spacing w:line="308" w:lineRule="exact"/>
              <w:ind w:left="281"/>
            </w:pPr>
            <w:r>
              <w:rPr>
                <w:rFonts w:ascii="Times New Roman" w:hAnsi="Times New Roman" w:cs="Times New Roman"/>
                <w:sz w:val="20"/>
              </w:rPr>
              <w:t>7.</w:t>
            </w:r>
            <w:r>
              <w:rPr>
                <w:spacing w:val="-1"/>
                <w:position w:val="1"/>
                <w:sz w:val="20"/>
              </w:rPr>
              <w:t>回填</w:t>
            </w:r>
          </w:p>
        </w:tc>
      </w:tr>
      <w:tr>
        <w:tblPrEx>
          <w:tblCellMar>
            <w:top w:w="0" w:type="dxa"/>
            <w:left w:w="108" w:type="dxa"/>
            <w:bottom w:w="0" w:type="dxa"/>
            <w:right w:w="108" w:type="dxa"/>
          </w:tblCellMar>
        </w:tblPrEx>
        <w:trPr>
          <w:trHeight w:val="273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564" w:lineRule="exact"/>
              <w:ind w:left="500"/>
            </w:pPr>
            <w:r>
              <w:rPr>
                <w:rFonts w:ascii="Times New Roman" w:hAnsi="Times New Roman" w:cs="Times New Roman"/>
                <w:spacing w:val="-1"/>
                <w:sz w:val="20"/>
              </w:rPr>
              <w:t>-c</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513" w:lineRule="exact"/>
              <w:ind w:left="282"/>
            </w:pPr>
            <w:r>
              <w:rPr>
                <w:spacing w:val="-1"/>
                <w:sz w:val="20"/>
              </w:rPr>
              <w:t>预制混凝土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13" w:lineRule="exact"/>
              <w:ind w:left="423"/>
            </w:pPr>
            <w:r>
              <w:rPr>
                <w:rFonts w:ascii="Times New Roman" w:hAnsi="Times New Roman" w:cs="Times New Roman"/>
                <w:position w:val="-4"/>
                <w:sz w:val="20"/>
              </w:rPr>
              <w:t>m</w:t>
            </w:r>
            <w:r>
              <w:rPr>
                <w:rFonts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5" w:lineRule="exact"/>
              <w:ind w:left="282"/>
            </w:pPr>
            <w:r>
              <w:rPr>
                <w:spacing w:val="-1"/>
                <w:sz w:val="20"/>
              </w:rPr>
              <w:t>依据图纸所示位置及</w:t>
            </w:r>
          </w:p>
          <w:p>
            <w:pPr>
              <w:spacing w:line="271" w:lineRule="exact"/>
              <w:ind w:left="109"/>
            </w:pPr>
            <w:r>
              <w:rPr>
                <w:spacing w:val="-1"/>
                <w:sz w:val="20"/>
              </w:rPr>
              <w:t>断面尺寸，按照不同强度</w:t>
            </w:r>
          </w:p>
          <w:p>
            <w:pPr>
              <w:spacing w:line="274" w:lineRule="exact"/>
              <w:ind w:left="109"/>
            </w:pPr>
            <w:r>
              <w:rPr>
                <w:spacing w:val="-1"/>
                <w:sz w:val="20"/>
              </w:rPr>
              <w:t>等级混凝土预制的边沟</w:t>
            </w:r>
          </w:p>
          <w:p>
            <w:pPr>
              <w:spacing w:line="271" w:lineRule="exact"/>
              <w:ind w:left="109"/>
            </w:pPr>
            <w:r>
              <w:rPr>
                <w:spacing w:val="-1"/>
                <w:sz w:val="20"/>
              </w:rPr>
              <w:t>的体积以立方米为单位</w:t>
            </w:r>
          </w:p>
          <w:p>
            <w:pPr>
              <w:spacing w:line="274" w:lineRule="exact"/>
              <w:ind w:left="109"/>
            </w:pPr>
            <w:r>
              <w:rPr>
                <w:spacing w:val="-1"/>
                <w:sz w:val="20"/>
              </w:rPr>
              <w:t>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场地清理；</w:t>
            </w:r>
          </w:p>
          <w:p>
            <w:pPr>
              <w:spacing w:line="271" w:lineRule="exact"/>
              <w:ind w:left="281"/>
            </w:pPr>
            <w:r>
              <w:rPr>
                <w:rFonts w:ascii="Times New Roman" w:hAnsi="Times New Roman" w:cs="Times New Roman"/>
                <w:sz w:val="20"/>
              </w:rPr>
              <w:t>2.</w:t>
            </w:r>
            <w:r>
              <w:rPr>
                <w:spacing w:val="-1"/>
                <w:position w:val="1"/>
                <w:sz w:val="20"/>
              </w:rPr>
              <w:t>地基平整夯实，断面</w:t>
            </w:r>
          </w:p>
          <w:p>
            <w:pPr>
              <w:spacing w:line="237" w:lineRule="exact"/>
              <w:ind w:left="108"/>
            </w:pPr>
            <w:r>
              <w:rPr>
                <w:spacing w:val="-1"/>
                <w:sz w:val="20"/>
              </w:rPr>
              <w:t>补挖；</w:t>
            </w:r>
          </w:p>
          <w:p>
            <w:pPr>
              <w:spacing w:line="308" w:lineRule="exact"/>
              <w:ind w:left="281"/>
            </w:pPr>
            <w:r>
              <w:rPr>
                <w:rFonts w:ascii="Times New Roman" w:hAnsi="Times New Roman" w:cs="Times New Roman"/>
                <w:sz w:val="20"/>
              </w:rPr>
              <w:t>3.</w:t>
            </w:r>
            <w:r>
              <w:rPr>
                <w:spacing w:val="-1"/>
                <w:position w:val="1"/>
                <w:sz w:val="20"/>
              </w:rPr>
              <w:t>铺设垫层；</w:t>
            </w:r>
          </w:p>
          <w:p>
            <w:pPr>
              <w:spacing w:line="271" w:lineRule="exact"/>
              <w:ind w:left="281"/>
            </w:pPr>
            <w:r>
              <w:rPr>
                <w:rFonts w:ascii="Times New Roman" w:hAnsi="Times New Roman" w:cs="Times New Roman"/>
                <w:sz w:val="20"/>
              </w:rPr>
              <w:t>4.</w:t>
            </w:r>
            <w:r>
              <w:rPr>
                <w:spacing w:val="-1"/>
                <w:position w:val="1"/>
                <w:sz w:val="20"/>
              </w:rPr>
              <w:t>模板制作、安装、拆</w:t>
            </w:r>
          </w:p>
          <w:p>
            <w:pPr>
              <w:spacing w:line="239" w:lineRule="exact"/>
              <w:ind w:left="108"/>
            </w:pPr>
            <w:r>
              <w:rPr>
                <w:spacing w:val="-1"/>
                <w:sz w:val="20"/>
              </w:rPr>
              <w:t>除；</w:t>
            </w:r>
          </w:p>
          <w:p>
            <w:pPr>
              <w:spacing w:line="306" w:lineRule="exact"/>
              <w:ind w:left="281"/>
            </w:pPr>
            <w:r>
              <w:rPr>
                <w:rFonts w:ascii="Times New Roman" w:hAnsi="Times New Roman" w:cs="Times New Roman"/>
                <w:sz w:val="20"/>
              </w:rPr>
              <w:t>5.</w:t>
            </w:r>
            <w:r>
              <w:rPr>
                <w:spacing w:val="-1"/>
                <w:position w:val="1"/>
                <w:sz w:val="20"/>
              </w:rPr>
              <w:t>预制件预制、运输、</w:t>
            </w:r>
          </w:p>
          <w:p>
            <w:pPr>
              <w:spacing w:line="239" w:lineRule="exact"/>
              <w:ind w:left="108"/>
            </w:pPr>
            <w:r>
              <w:rPr>
                <w:spacing w:val="-1"/>
                <w:sz w:val="20"/>
              </w:rPr>
              <w:t>装卸；</w:t>
            </w:r>
          </w:p>
          <w:p>
            <w:pPr>
              <w:spacing w:line="306" w:lineRule="exact"/>
              <w:ind w:left="281"/>
            </w:pPr>
            <w:r>
              <w:rPr>
                <w:rFonts w:ascii="Times New Roman" w:hAnsi="Times New Roman" w:cs="Times New Roman"/>
                <w:sz w:val="20"/>
              </w:rPr>
              <w:t>6.</w:t>
            </w:r>
            <w:r>
              <w:rPr>
                <w:spacing w:val="-1"/>
                <w:position w:val="1"/>
                <w:sz w:val="20"/>
              </w:rPr>
              <w:t>预制件安装；</w:t>
            </w:r>
          </w:p>
          <w:p>
            <w:pPr>
              <w:spacing w:line="274" w:lineRule="exact"/>
              <w:ind w:left="281"/>
            </w:pPr>
            <w:r>
              <w:rPr>
                <w:rFonts w:ascii="Times New Roman" w:hAnsi="Times New Roman" w:cs="Times New Roman"/>
                <w:sz w:val="20"/>
              </w:rPr>
              <w:t>7.</w:t>
            </w:r>
            <w:r>
              <w:rPr>
                <w:spacing w:val="-1"/>
                <w:position w:val="1"/>
                <w:sz w:val="20"/>
              </w:rPr>
              <w:t>回填</w:t>
            </w:r>
          </w:p>
        </w:tc>
      </w:tr>
      <w:tr>
        <w:tblPrEx>
          <w:tblCellMar>
            <w:top w:w="0" w:type="dxa"/>
            <w:left w:w="108" w:type="dxa"/>
            <w:bottom w:w="0" w:type="dxa"/>
            <w:right w:w="108" w:type="dxa"/>
          </w:tblCellMar>
        </w:tblPrEx>
        <w:trPr>
          <w:trHeight w:val="327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836" w:lineRule="exact"/>
              <w:ind w:left="337"/>
            </w:pPr>
            <w:r>
              <w:rPr>
                <w:rFonts w:ascii="Times New Roman" w:hAnsi="Times New Roman" w:cs="Times New Roman"/>
                <w:spacing w:val="-1"/>
                <w:sz w:val="20"/>
              </w:rPr>
              <w:t>502-1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787" w:lineRule="exact"/>
              <w:ind w:left="282"/>
            </w:pPr>
            <w:r>
              <w:rPr>
                <w:spacing w:val="-1"/>
                <w:sz w:val="20"/>
              </w:rPr>
              <w:t>埋设排水管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778" w:lineRule="exact"/>
              <w:ind w:left="457"/>
            </w:pPr>
            <w:r>
              <w:rPr>
                <w:rFonts w:ascii="Times New Roman" w:hAnsi="Times New Roman" w:cs="Times New Roman"/>
                <w:sz w:val="20"/>
              </w:rPr>
              <w:t>m</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33" w:lineRule="exact"/>
              <w:ind w:left="282"/>
            </w:pPr>
            <w:r>
              <w:rPr>
                <w:spacing w:val="-1"/>
                <w:sz w:val="20"/>
              </w:rPr>
              <w:t>依据图纸所示位置，按</w:t>
            </w:r>
          </w:p>
          <w:p>
            <w:pPr>
              <w:spacing w:line="274" w:lineRule="exact"/>
              <w:ind w:left="109"/>
            </w:pPr>
            <w:r>
              <w:rPr>
                <w:spacing w:val="-1"/>
                <w:sz w:val="20"/>
              </w:rPr>
              <w:t>不同材质、不同孔径的排</w:t>
            </w:r>
          </w:p>
          <w:p>
            <w:pPr>
              <w:spacing w:line="271" w:lineRule="exact"/>
              <w:ind w:left="109"/>
            </w:pPr>
            <w:r>
              <w:rPr>
                <w:spacing w:val="-1"/>
                <w:sz w:val="20"/>
              </w:rPr>
              <w:t>水管长度计算，以米为单</w:t>
            </w:r>
          </w:p>
          <w:p>
            <w:pPr>
              <w:spacing w:line="274" w:lineRule="exact"/>
              <w:ind w:left="109"/>
            </w:pPr>
            <w:r>
              <w:rPr>
                <w:spacing w:val="-1"/>
                <w:sz w:val="20"/>
              </w:rPr>
              <w:t>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1"/>
            </w:pPr>
            <w:r>
              <w:rPr>
                <w:rFonts w:ascii="Times New Roman" w:hAnsi="Times New Roman" w:cs="Times New Roman"/>
                <w:sz w:val="20"/>
              </w:rPr>
              <w:t>1.</w:t>
            </w:r>
            <w:r>
              <w:rPr>
                <w:spacing w:val="-1"/>
                <w:position w:val="1"/>
                <w:sz w:val="20"/>
              </w:rPr>
              <w:t>挖基、基坑排水、基</w:t>
            </w:r>
          </w:p>
          <w:p>
            <w:pPr>
              <w:spacing w:line="237" w:lineRule="exact"/>
              <w:ind w:left="108"/>
            </w:pPr>
            <w:r>
              <w:rPr>
                <w:spacing w:val="-1"/>
                <w:sz w:val="20"/>
              </w:rPr>
              <w:t>底清理；</w:t>
            </w:r>
          </w:p>
          <w:p>
            <w:pPr>
              <w:spacing w:line="306" w:lineRule="exact"/>
              <w:ind w:left="281"/>
            </w:pPr>
            <w:r>
              <w:rPr>
                <w:rFonts w:ascii="Times New Roman" w:hAnsi="Times New Roman" w:cs="Times New Roman"/>
                <w:sz w:val="20"/>
              </w:rPr>
              <w:t>2.</w:t>
            </w:r>
            <w:r>
              <w:rPr>
                <w:spacing w:val="-1"/>
                <w:position w:val="1"/>
                <w:sz w:val="20"/>
              </w:rPr>
              <w:t>垫层材料铺筑；</w:t>
            </w:r>
          </w:p>
          <w:p>
            <w:pPr>
              <w:spacing w:line="274" w:lineRule="exact"/>
              <w:ind w:left="281"/>
            </w:pPr>
            <w:r>
              <w:rPr>
                <w:rFonts w:ascii="Times New Roman" w:hAnsi="Times New Roman" w:cs="Times New Roman"/>
                <w:sz w:val="20"/>
              </w:rPr>
              <w:t>3.</w:t>
            </w:r>
            <w:r>
              <w:rPr>
                <w:spacing w:val="-1"/>
                <w:position w:val="1"/>
                <w:sz w:val="20"/>
              </w:rPr>
              <w:t>基座砌筑或浇筑；</w:t>
            </w:r>
          </w:p>
          <w:p>
            <w:pPr>
              <w:spacing w:line="271" w:lineRule="exact"/>
              <w:ind w:left="281"/>
            </w:pPr>
            <w:r>
              <w:rPr>
                <w:rFonts w:ascii="Times New Roman" w:hAnsi="Times New Roman" w:cs="Times New Roman"/>
                <w:sz w:val="20"/>
              </w:rPr>
              <w:t>4.</w:t>
            </w:r>
            <w:r>
              <w:rPr>
                <w:spacing w:val="-1"/>
                <w:position w:val="1"/>
                <w:sz w:val="20"/>
              </w:rPr>
              <w:t>排水管制作或购买、</w:t>
            </w:r>
          </w:p>
          <w:p>
            <w:pPr>
              <w:spacing w:line="239" w:lineRule="exact"/>
              <w:ind w:left="108"/>
            </w:pPr>
            <w:r>
              <w:rPr>
                <w:spacing w:val="-1"/>
                <w:sz w:val="20"/>
              </w:rPr>
              <w:t>运输、保存；</w:t>
            </w:r>
          </w:p>
          <w:p>
            <w:pPr>
              <w:spacing w:line="308" w:lineRule="exact"/>
              <w:ind w:left="281"/>
            </w:pPr>
            <w:r>
              <w:rPr>
                <w:rFonts w:ascii="Times New Roman" w:hAnsi="Times New Roman" w:cs="Times New Roman"/>
                <w:sz w:val="20"/>
              </w:rPr>
              <w:t>5.</w:t>
            </w:r>
            <w:r>
              <w:rPr>
                <w:spacing w:val="-1"/>
                <w:position w:val="1"/>
                <w:sz w:val="20"/>
              </w:rPr>
              <w:t>排水管安装、接缝处</w:t>
            </w:r>
          </w:p>
          <w:p>
            <w:pPr>
              <w:spacing w:line="236" w:lineRule="exact"/>
              <w:ind w:left="108"/>
            </w:pPr>
            <w:r>
              <w:rPr>
                <w:spacing w:val="-1"/>
                <w:sz w:val="20"/>
              </w:rPr>
              <w:t>理；</w:t>
            </w:r>
          </w:p>
          <w:p>
            <w:pPr>
              <w:spacing w:line="306" w:lineRule="exact"/>
              <w:ind w:left="281"/>
            </w:pPr>
            <w:r>
              <w:rPr>
                <w:rFonts w:ascii="Times New Roman" w:hAnsi="Times New Roman" w:cs="Times New Roman"/>
                <w:sz w:val="20"/>
              </w:rPr>
              <w:t>6.</w:t>
            </w:r>
            <w:r>
              <w:rPr>
                <w:spacing w:val="-1"/>
                <w:position w:val="1"/>
                <w:sz w:val="20"/>
              </w:rPr>
              <w:t>防水、防冻、防腐等</w:t>
            </w:r>
          </w:p>
          <w:p>
            <w:pPr>
              <w:spacing w:line="239" w:lineRule="exact"/>
              <w:ind w:left="108"/>
            </w:pPr>
            <w:r>
              <w:rPr>
                <w:spacing w:val="-1"/>
                <w:sz w:val="20"/>
              </w:rPr>
              <w:t>处理；</w:t>
            </w:r>
          </w:p>
          <w:p>
            <w:pPr>
              <w:spacing w:line="306" w:lineRule="exact"/>
              <w:ind w:left="281"/>
            </w:pPr>
            <w:r>
              <w:rPr>
                <w:rFonts w:ascii="Times New Roman" w:hAnsi="Times New Roman" w:cs="Times New Roman"/>
                <w:sz w:val="20"/>
              </w:rPr>
              <w:t>7.</w:t>
            </w:r>
            <w:r>
              <w:rPr>
                <w:spacing w:val="-1"/>
                <w:position w:val="1"/>
                <w:sz w:val="20"/>
              </w:rPr>
              <w:t>分层回填、压实；</w:t>
            </w:r>
          </w:p>
          <w:p>
            <w:pPr>
              <w:spacing w:line="274" w:lineRule="exact"/>
              <w:ind w:left="281"/>
            </w:pPr>
            <w:r>
              <w:rPr>
                <w:rFonts w:ascii="Times New Roman" w:hAnsi="Times New Roman" w:cs="Times New Roman"/>
                <w:sz w:val="20"/>
              </w:rPr>
              <w:t>8.</w:t>
            </w:r>
            <w:r>
              <w:rPr>
                <w:spacing w:val="-1"/>
                <w:position w:val="1"/>
                <w:sz w:val="20"/>
              </w:rPr>
              <w:t>现场清理、废方弃运</w:t>
            </w:r>
          </w:p>
        </w:tc>
      </w:tr>
      <w:tr>
        <w:tblPrEx>
          <w:tblCellMar>
            <w:top w:w="0" w:type="dxa"/>
            <w:left w:w="108" w:type="dxa"/>
            <w:bottom w:w="0" w:type="dxa"/>
            <w:right w:w="108" w:type="dxa"/>
          </w:tblCellMar>
        </w:tblPrEx>
        <w:trPr>
          <w:trHeight w:val="50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52" w:lineRule="exact"/>
              <w:ind w:left="337"/>
            </w:pPr>
            <w:r>
              <w:rPr>
                <w:rFonts w:ascii="Times New Roman" w:hAnsi="Times New Roman" w:cs="Times New Roman"/>
                <w:spacing w:val="-1"/>
                <w:sz w:val="20"/>
              </w:rPr>
              <w:t>503-1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02" w:lineRule="exact"/>
              <w:ind w:left="282"/>
            </w:pPr>
            <w:r>
              <w:rPr>
                <w:spacing w:val="-1"/>
                <w:sz w:val="20"/>
              </w:rPr>
              <w:t>过水路面</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02" w:lineRule="exact"/>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02"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02" w:lineRule="exact"/>
            </w:pPr>
          </w:p>
        </w:tc>
      </w:tr>
      <w:tr>
        <w:tblPrEx>
          <w:tblCellMar>
            <w:top w:w="0" w:type="dxa"/>
            <w:left w:w="108" w:type="dxa"/>
            <w:bottom w:w="0" w:type="dxa"/>
            <w:right w:w="108" w:type="dxa"/>
          </w:tblCellMar>
        </w:tblPrEx>
        <w:trPr>
          <w:trHeight w:val="55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76" w:lineRule="exact"/>
              <w:ind w:left="500"/>
            </w:pPr>
            <w:r>
              <w:rPr>
                <w:rFonts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24" w:lineRule="exact"/>
              <w:ind w:left="282"/>
            </w:pPr>
            <w:r>
              <w:rPr>
                <w:spacing w:val="-1"/>
                <w:sz w:val="20"/>
              </w:rPr>
              <w:t>浆砌片（卵）石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24" w:lineRule="exact"/>
              <w:ind w:left="423"/>
            </w:pPr>
            <w:r>
              <w:rPr>
                <w:rFonts w:ascii="Times New Roman" w:hAnsi="Times New Roman" w:cs="Times New Roman"/>
                <w:position w:val="-4"/>
                <w:sz w:val="20"/>
              </w:rPr>
              <w:t>m</w:t>
            </w:r>
            <w:r>
              <w:rPr>
                <w:rFonts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4" w:lineRule="exact"/>
              <w:ind w:left="282"/>
            </w:pPr>
            <w:r>
              <w:rPr>
                <w:spacing w:val="-1"/>
                <w:sz w:val="20"/>
              </w:rPr>
              <w:t>依据图纸所示位置及</w:t>
            </w:r>
          </w:p>
          <w:p>
            <w:pPr>
              <w:spacing w:line="274" w:lineRule="exact"/>
              <w:ind w:left="109"/>
            </w:pPr>
            <w:r>
              <w:rPr>
                <w:sz w:val="20"/>
              </w:rPr>
              <w:t>断面尺寸，按浆砌片（卵）</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场地清理、开挖基坑；</w:t>
            </w:r>
          </w:p>
          <w:p>
            <w:pPr>
              <w:spacing w:line="274" w:lineRule="exact"/>
              <w:ind w:left="281"/>
            </w:pPr>
            <w:r>
              <w:rPr>
                <w:rFonts w:ascii="Times New Roman" w:hAnsi="Times New Roman" w:cs="Times New Roman"/>
                <w:sz w:val="20"/>
              </w:rPr>
              <w:t>2.</w:t>
            </w:r>
            <w:r>
              <w:rPr>
                <w:spacing w:val="-1"/>
                <w:position w:val="1"/>
                <w:sz w:val="20"/>
              </w:rPr>
              <w:t>地基平整夯实；</w:t>
            </w:r>
          </w:p>
        </w:tc>
      </w:tr>
    </w:tbl>
    <w:p>
      <w:pPr>
        <w:spacing w:line="249" w:lineRule="exact"/>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tblPrEx>
          <w:tblCellMar>
            <w:top w:w="0" w:type="dxa"/>
            <w:left w:w="108" w:type="dxa"/>
            <w:bottom w:w="0" w:type="dxa"/>
            <w:right w:w="108" w:type="dxa"/>
          </w:tblCellMar>
        </w:tblPrEx>
        <w:trPr>
          <w:trHeight w:val="137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109"/>
            </w:pPr>
            <w:r>
              <w:rPr>
                <w:spacing w:val="-1"/>
                <w:sz w:val="20"/>
              </w:rPr>
              <w:t>石的体积，以立方米为单</w:t>
            </w:r>
          </w:p>
          <w:p>
            <w:pPr>
              <w:spacing w:line="274" w:lineRule="exact"/>
              <w:ind w:left="109"/>
            </w:pPr>
            <w:r>
              <w:rPr>
                <w:spacing w:val="-1"/>
                <w:sz w:val="20"/>
              </w:rPr>
              <w:t>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3.</w:t>
            </w:r>
            <w:r>
              <w:rPr>
                <w:spacing w:val="-1"/>
                <w:position w:val="1"/>
                <w:sz w:val="20"/>
              </w:rPr>
              <w:t>铺设垫层；</w:t>
            </w:r>
          </w:p>
          <w:p>
            <w:pPr>
              <w:spacing w:line="274" w:lineRule="exact"/>
              <w:ind w:left="281"/>
            </w:pPr>
            <w:r>
              <w:rPr>
                <w:rFonts w:ascii="Times New Roman" w:hAnsi="Times New Roman" w:cs="Times New Roman"/>
                <w:sz w:val="20"/>
              </w:rPr>
              <w:t>4.</w:t>
            </w:r>
            <w:r>
              <w:rPr>
                <w:spacing w:val="-1"/>
                <w:position w:val="1"/>
                <w:sz w:val="20"/>
              </w:rPr>
              <w:t>砂浆拌制；</w:t>
            </w:r>
          </w:p>
          <w:p>
            <w:pPr>
              <w:spacing w:line="271" w:lineRule="exact"/>
              <w:ind w:left="281"/>
            </w:pPr>
            <w:r>
              <w:rPr>
                <w:rFonts w:ascii="Times New Roman" w:hAnsi="Times New Roman" w:cs="Times New Roman"/>
                <w:sz w:val="20"/>
              </w:rPr>
              <w:t>5.</w:t>
            </w:r>
            <w:r>
              <w:rPr>
                <w:spacing w:val="-1"/>
                <w:position w:val="1"/>
                <w:sz w:val="20"/>
              </w:rPr>
              <w:t>浆砌片（卵）石、勾</w:t>
            </w:r>
          </w:p>
          <w:p>
            <w:pPr>
              <w:spacing w:line="239" w:lineRule="exact"/>
              <w:ind w:left="108"/>
            </w:pPr>
            <w:r>
              <w:rPr>
                <w:spacing w:val="-1"/>
                <w:sz w:val="20"/>
              </w:rPr>
              <w:t>缝、抹面、养护；</w:t>
            </w:r>
          </w:p>
          <w:p>
            <w:pPr>
              <w:spacing w:line="306" w:lineRule="exact"/>
              <w:ind w:left="281"/>
            </w:pPr>
            <w:r>
              <w:rPr>
                <w:rFonts w:ascii="Times New Roman" w:hAnsi="Times New Roman" w:cs="Times New Roman"/>
                <w:sz w:val="20"/>
              </w:rPr>
              <w:t>6.</w:t>
            </w:r>
            <w:r>
              <w:rPr>
                <w:spacing w:val="-1"/>
                <w:position w:val="1"/>
                <w:sz w:val="20"/>
              </w:rPr>
              <w:t>清理现场，废方弃运</w:t>
            </w:r>
          </w:p>
        </w:tc>
      </w:tr>
      <w:tr>
        <w:tblPrEx>
          <w:tblCellMar>
            <w:top w:w="0" w:type="dxa"/>
            <w:left w:w="108" w:type="dxa"/>
            <w:bottom w:w="0" w:type="dxa"/>
            <w:right w:w="108" w:type="dxa"/>
          </w:tblCellMar>
        </w:tblPrEx>
        <w:trPr>
          <w:trHeight w:val="268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27" w:lineRule="exact"/>
              <w:ind w:left="493"/>
            </w:pPr>
            <w:r>
              <w:rPr>
                <w:rFonts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78" w:lineRule="exact"/>
              <w:ind w:left="282"/>
            </w:pPr>
            <w:r>
              <w:rPr>
                <w:spacing w:val="-1"/>
                <w:sz w:val="20"/>
              </w:rPr>
              <w:t>混凝土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78" w:lineRule="exact"/>
              <w:ind w:left="423"/>
            </w:pPr>
            <w:r>
              <w:rPr>
                <w:rFonts w:ascii="Times New Roman" w:hAnsi="Times New Roman" w:cs="Times New Roman"/>
                <w:position w:val="-4"/>
                <w:sz w:val="20"/>
              </w:rPr>
              <w:t>m</w:t>
            </w:r>
            <w:r>
              <w:rPr>
                <w:rFonts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5" w:lineRule="exact"/>
              <w:ind w:left="282"/>
            </w:pPr>
            <w:r>
              <w:rPr>
                <w:spacing w:val="-1"/>
                <w:sz w:val="20"/>
              </w:rPr>
              <w:t>依据图纸所示位置及</w:t>
            </w:r>
          </w:p>
          <w:p>
            <w:pPr>
              <w:spacing w:line="271" w:lineRule="exact"/>
              <w:ind w:left="109"/>
            </w:pPr>
            <w:r>
              <w:rPr>
                <w:spacing w:val="-1"/>
                <w:sz w:val="20"/>
              </w:rPr>
              <w:t>断面尺寸，按混凝土不同</w:t>
            </w:r>
          </w:p>
          <w:p>
            <w:pPr>
              <w:spacing w:line="274" w:lineRule="exact"/>
              <w:ind w:left="109"/>
            </w:pPr>
            <w:r>
              <w:rPr>
                <w:spacing w:val="-1"/>
                <w:sz w:val="20"/>
              </w:rPr>
              <w:t>强度等级的铺筑体积，以</w:t>
            </w:r>
          </w:p>
          <w:p>
            <w:pPr>
              <w:spacing w:line="271" w:lineRule="exact"/>
              <w:ind w:left="109"/>
            </w:pPr>
            <w:r>
              <w:rPr>
                <w:spacing w:val="-1"/>
                <w:sz w:val="20"/>
              </w:rPr>
              <w:t>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检查和清理下承层、</w:t>
            </w:r>
          </w:p>
          <w:p>
            <w:pPr>
              <w:spacing w:line="236" w:lineRule="exact"/>
              <w:ind w:left="108"/>
            </w:pPr>
            <w:r>
              <w:rPr>
                <w:spacing w:val="-1"/>
                <w:sz w:val="20"/>
              </w:rPr>
              <w:t>洒水湿润；</w:t>
            </w:r>
          </w:p>
          <w:p>
            <w:pPr>
              <w:spacing w:line="306" w:lineRule="exact"/>
              <w:ind w:left="281"/>
            </w:pPr>
            <w:r>
              <w:rPr>
                <w:rFonts w:ascii="Times New Roman" w:hAnsi="Times New Roman" w:cs="Times New Roman"/>
                <w:sz w:val="20"/>
              </w:rPr>
              <w:t>2.</w:t>
            </w:r>
            <w:r>
              <w:rPr>
                <w:spacing w:val="-1"/>
                <w:position w:val="1"/>
                <w:sz w:val="20"/>
              </w:rPr>
              <w:t>模板制作、架设、安</w:t>
            </w:r>
          </w:p>
          <w:p>
            <w:pPr>
              <w:spacing w:line="239" w:lineRule="exact"/>
              <w:ind w:left="108"/>
            </w:pPr>
            <w:r>
              <w:rPr>
                <w:spacing w:val="-1"/>
                <w:sz w:val="20"/>
              </w:rPr>
              <w:t>装、拆除；</w:t>
            </w:r>
          </w:p>
          <w:p>
            <w:pPr>
              <w:spacing w:line="306" w:lineRule="exact"/>
              <w:ind w:left="281"/>
            </w:pPr>
            <w:r>
              <w:rPr>
                <w:rFonts w:ascii="Times New Roman" w:hAnsi="Times New Roman" w:cs="Times New Roman"/>
                <w:sz w:val="20"/>
              </w:rPr>
              <w:t>3.</w:t>
            </w:r>
            <w:r>
              <w:rPr>
                <w:spacing w:val="-1"/>
                <w:position w:val="1"/>
                <w:sz w:val="20"/>
              </w:rPr>
              <w:t>混凝土拌合、运输、</w:t>
            </w:r>
          </w:p>
          <w:p>
            <w:pPr>
              <w:spacing w:line="239" w:lineRule="exact"/>
              <w:ind w:left="108"/>
            </w:pPr>
            <w:r>
              <w:rPr>
                <w:sz w:val="20"/>
              </w:rPr>
              <w:t>浇筑、振捣、抹平、养护；</w:t>
            </w:r>
          </w:p>
          <w:p>
            <w:pPr>
              <w:spacing w:line="306" w:lineRule="exact"/>
              <w:ind w:left="281"/>
            </w:pPr>
            <w:r>
              <w:rPr>
                <w:rFonts w:ascii="Times New Roman" w:hAnsi="Times New Roman" w:cs="Times New Roman"/>
                <w:sz w:val="20"/>
              </w:rPr>
              <w:t>4.</w:t>
            </w:r>
            <w:r>
              <w:rPr>
                <w:spacing w:val="-1"/>
                <w:position w:val="1"/>
                <w:sz w:val="20"/>
              </w:rPr>
              <w:t>切缝、灌缝处理；</w:t>
            </w:r>
          </w:p>
          <w:p>
            <w:pPr>
              <w:spacing w:line="274" w:lineRule="exact"/>
              <w:ind w:left="281"/>
            </w:pPr>
            <w:r>
              <w:rPr>
                <w:rFonts w:ascii="Times New Roman" w:hAnsi="Times New Roman" w:cs="Times New Roman"/>
                <w:sz w:val="20"/>
              </w:rPr>
              <w:t>5.</w:t>
            </w:r>
            <w:r>
              <w:rPr>
                <w:spacing w:val="-1"/>
                <w:position w:val="1"/>
                <w:sz w:val="20"/>
              </w:rPr>
              <w:t>初期养护；</w:t>
            </w:r>
          </w:p>
          <w:p>
            <w:pPr>
              <w:spacing w:line="271" w:lineRule="exact"/>
              <w:ind w:left="281"/>
            </w:pPr>
            <w:r>
              <w:rPr>
                <w:rFonts w:ascii="Times New Roman" w:hAnsi="Times New Roman" w:cs="Times New Roman"/>
                <w:sz w:val="20"/>
              </w:rPr>
              <w:t>6.</w:t>
            </w:r>
            <w:r>
              <w:rPr>
                <w:spacing w:val="-1"/>
                <w:position w:val="1"/>
                <w:sz w:val="20"/>
              </w:rPr>
              <w:t>清理现场</w:t>
            </w:r>
          </w:p>
        </w:tc>
      </w:tr>
      <w:tr>
        <w:tblPrEx>
          <w:tblCellMar>
            <w:top w:w="0" w:type="dxa"/>
            <w:left w:w="108" w:type="dxa"/>
            <w:bottom w:w="0" w:type="dxa"/>
            <w:right w:w="108" w:type="dxa"/>
          </w:tblCellMar>
        </w:tblPrEx>
        <w:trPr>
          <w:trHeight w:val="5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74" w:lineRule="exact"/>
              <w:ind w:left="337"/>
            </w:pPr>
            <w:r>
              <w:rPr>
                <w:rFonts w:ascii="Times New Roman" w:hAnsi="Times New Roman" w:cs="Times New Roman"/>
                <w:spacing w:val="-1"/>
                <w:sz w:val="20"/>
              </w:rPr>
              <w:t>504-1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4" w:lineRule="exact"/>
              <w:ind w:left="282"/>
            </w:pPr>
            <w:r>
              <w:rPr>
                <w:spacing w:val="-1"/>
                <w:sz w:val="20"/>
              </w:rPr>
              <w:t>钢筋混凝土圆</w:t>
            </w:r>
          </w:p>
          <w:p>
            <w:pPr>
              <w:spacing w:line="271" w:lineRule="exact"/>
              <w:ind w:left="107"/>
            </w:pPr>
            <w:r>
              <w:rPr>
                <w:spacing w:val="-1"/>
                <w:sz w:val="20"/>
              </w:rPr>
              <w:t>管涵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pPr>
          </w:p>
        </w:tc>
      </w:tr>
      <w:tr>
        <w:tblPrEx>
          <w:tblCellMar>
            <w:top w:w="0" w:type="dxa"/>
            <w:left w:w="108" w:type="dxa"/>
            <w:bottom w:w="0" w:type="dxa"/>
            <w:right w:w="108" w:type="dxa"/>
          </w:tblCellMar>
        </w:tblPrEx>
        <w:trPr>
          <w:trHeight w:val="234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68" w:lineRule="exact"/>
              <w:ind w:left="500"/>
            </w:pPr>
            <w:r>
              <w:rPr>
                <w:rFonts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74" w:lineRule="exact"/>
              <w:ind w:left="282"/>
            </w:pPr>
            <w:r>
              <w:rPr>
                <w:rFonts w:ascii="Times New Roman" w:hAnsi="Times New Roman" w:cs="Times New Roman"/>
                <w:spacing w:val="-1"/>
                <w:sz w:val="20"/>
              </w:rPr>
              <w:t>…m</w:t>
            </w:r>
            <w:r>
              <w:rPr>
                <w:rFonts w:ascii="Calibri" w:hAnsi="Calibri" w:cs="Calibri"/>
                <w:sz w:val="20"/>
              </w:rPr>
              <w:t> </w:t>
            </w:r>
            <w:r>
              <w:rPr>
                <w:spacing w:val="-1"/>
                <w:position w:val="1"/>
                <w:sz w:val="20"/>
              </w:rPr>
              <w:t>单孔钢筋</w:t>
            </w:r>
          </w:p>
          <w:p>
            <w:pPr>
              <w:spacing w:line="237" w:lineRule="exact"/>
              <w:ind w:left="107"/>
            </w:pPr>
            <w:r>
              <w:rPr>
                <w:spacing w:val="-1"/>
                <w:sz w:val="20"/>
              </w:rPr>
              <w:t>混凝土圆管涵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11" w:lineRule="exact"/>
              <w:ind w:left="457"/>
            </w:pPr>
            <w:r>
              <w:rPr>
                <w:rFonts w:ascii="Times New Roman" w:hAnsi="Times New Roman" w:cs="Times New Roman"/>
                <w:sz w:val="20"/>
              </w:rPr>
              <w:t>m</w:t>
            </w:r>
          </w:p>
        </w:tc>
        <w:tc>
          <w:tcPr>
            <w:tcW w:w="248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039" w:lineRule="exact"/>
              <w:ind w:left="282"/>
            </w:pPr>
            <w:r>
              <w:rPr>
                <w:spacing w:val="-1"/>
                <w:sz w:val="20"/>
              </w:rPr>
              <w:t>依据图纸所示，按不同</w:t>
            </w:r>
          </w:p>
          <w:p>
            <w:pPr>
              <w:spacing w:line="306" w:lineRule="exact"/>
              <w:ind w:left="109"/>
            </w:pPr>
            <w:r>
              <w:rPr>
                <w:spacing w:val="-1"/>
                <w:position w:val="1"/>
                <w:sz w:val="20"/>
              </w:rPr>
              <w:t>孔径的涵身长度</w:t>
            </w:r>
            <w:r>
              <w:rPr>
                <w:rFonts w:ascii="Times New Roman" w:hAnsi="Times New Roman" w:cs="Times New Roman"/>
                <w:spacing w:val="-1"/>
                <w:sz w:val="20"/>
              </w:rPr>
              <w:t>(</w:t>
            </w:r>
            <w:r>
              <w:rPr>
                <w:spacing w:val="-1"/>
                <w:position w:val="1"/>
                <w:sz w:val="20"/>
              </w:rPr>
              <w:t>进出口</w:t>
            </w:r>
          </w:p>
          <w:p>
            <w:pPr>
              <w:spacing w:line="274" w:lineRule="exact"/>
              <w:ind w:left="109"/>
            </w:pPr>
            <w:r>
              <w:rPr>
                <w:spacing w:val="-1"/>
                <w:position w:val="1"/>
                <w:sz w:val="20"/>
              </w:rPr>
              <w:t>端墙外侧间距离</w:t>
            </w:r>
            <w:r>
              <w:rPr>
                <w:rFonts w:ascii="Times New Roman" w:hAnsi="Times New Roman" w:cs="Times New Roman"/>
                <w:spacing w:val="-1"/>
                <w:sz w:val="20"/>
              </w:rPr>
              <w:t>)</w:t>
            </w:r>
            <w:r>
              <w:rPr>
                <w:spacing w:val="-1"/>
                <w:position w:val="1"/>
                <w:sz w:val="20"/>
              </w:rPr>
              <w:t>计算，</w:t>
            </w:r>
          </w:p>
          <w:p>
            <w:pPr>
              <w:spacing w:line="239" w:lineRule="exact"/>
              <w:ind w:left="109"/>
            </w:pPr>
            <w:r>
              <w:rPr>
                <w:spacing w:val="-1"/>
                <w:sz w:val="20"/>
              </w:rPr>
              <w:t>以米为单位计量</w:t>
            </w:r>
          </w:p>
        </w:tc>
        <w:tc>
          <w:tcPr>
            <w:tcW w:w="252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13" w:lineRule="exact"/>
              <w:ind w:left="281"/>
            </w:pPr>
            <w:r>
              <w:rPr>
                <w:rFonts w:ascii="Times New Roman" w:hAnsi="Times New Roman" w:cs="Times New Roman"/>
                <w:sz w:val="20"/>
              </w:rPr>
              <w:t>1.</w:t>
            </w:r>
            <w:r>
              <w:rPr>
                <w:spacing w:val="-1"/>
                <w:position w:val="1"/>
                <w:sz w:val="20"/>
              </w:rPr>
              <w:t>挖基、基坑排水、基</w:t>
            </w:r>
          </w:p>
          <w:p>
            <w:pPr>
              <w:spacing w:line="237" w:lineRule="exact"/>
              <w:ind w:left="108"/>
            </w:pPr>
            <w:r>
              <w:rPr>
                <w:spacing w:val="-1"/>
                <w:sz w:val="20"/>
              </w:rPr>
              <w:t>底清理、地基处理；</w:t>
            </w:r>
          </w:p>
          <w:p>
            <w:pPr>
              <w:spacing w:line="306" w:lineRule="exact"/>
              <w:ind w:left="281"/>
            </w:pPr>
            <w:r>
              <w:rPr>
                <w:rFonts w:ascii="Times New Roman" w:hAnsi="Times New Roman" w:cs="Times New Roman"/>
                <w:sz w:val="20"/>
              </w:rPr>
              <w:t>2.</w:t>
            </w:r>
            <w:r>
              <w:rPr>
                <w:spacing w:val="-1"/>
                <w:position w:val="1"/>
                <w:sz w:val="20"/>
              </w:rPr>
              <w:t>基座砌筑或浇筑；</w:t>
            </w:r>
          </w:p>
          <w:p>
            <w:pPr>
              <w:spacing w:line="274" w:lineRule="exact"/>
              <w:ind w:left="281"/>
            </w:pPr>
            <w:r>
              <w:rPr>
                <w:rFonts w:ascii="Times New Roman" w:hAnsi="Times New Roman" w:cs="Times New Roman"/>
                <w:sz w:val="20"/>
              </w:rPr>
              <w:t>3.</w:t>
            </w:r>
            <w:r>
              <w:rPr>
                <w:spacing w:val="-1"/>
                <w:position w:val="1"/>
                <w:sz w:val="20"/>
              </w:rPr>
              <w:t>垫层材料铺筑；</w:t>
            </w:r>
          </w:p>
          <w:p>
            <w:pPr>
              <w:spacing w:line="271" w:lineRule="exact"/>
              <w:ind w:left="281"/>
            </w:pPr>
            <w:r>
              <w:rPr>
                <w:rFonts w:ascii="Times New Roman" w:hAnsi="Times New Roman" w:cs="Times New Roman"/>
                <w:sz w:val="20"/>
              </w:rPr>
              <w:t>4.</w:t>
            </w:r>
            <w:r>
              <w:rPr>
                <w:spacing w:val="-1"/>
                <w:position w:val="1"/>
                <w:sz w:val="20"/>
              </w:rPr>
              <w:t>钢筋制作安装；</w:t>
            </w:r>
          </w:p>
          <w:p>
            <w:pPr>
              <w:spacing w:line="274" w:lineRule="exact"/>
              <w:ind w:left="281"/>
            </w:pPr>
            <w:r>
              <w:rPr>
                <w:rFonts w:ascii="Times New Roman" w:hAnsi="Times New Roman" w:cs="Times New Roman"/>
                <w:sz w:val="20"/>
              </w:rPr>
              <w:t>5.</w:t>
            </w:r>
            <w:r>
              <w:rPr>
                <w:spacing w:val="-1"/>
                <w:position w:val="1"/>
                <w:sz w:val="20"/>
              </w:rPr>
              <w:t>预制或现浇钢筋混凝</w:t>
            </w:r>
          </w:p>
          <w:p>
            <w:pPr>
              <w:spacing w:line="237" w:lineRule="exact"/>
              <w:ind w:left="108"/>
            </w:pPr>
            <w:r>
              <w:rPr>
                <w:spacing w:val="-1"/>
                <w:sz w:val="20"/>
              </w:rPr>
              <w:t>土管；</w:t>
            </w:r>
          </w:p>
          <w:p>
            <w:pPr>
              <w:spacing w:line="308" w:lineRule="exact"/>
              <w:ind w:left="281"/>
            </w:pPr>
            <w:r>
              <w:rPr>
                <w:rFonts w:ascii="Times New Roman" w:hAnsi="Times New Roman" w:cs="Times New Roman"/>
                <w:sz w:val="20"/>
              </w:rPr>
              <w:t>6.</w:t>
            </w:r>
            <w:r>
              <w:rPr>
                <w:spacing w:val="-1"/>
                <w:position w:val="1"/>
                <w:sz w:val="20"/>
              </w:rPr>
              <w:t>铺涂防水层；</w:t>
            </w:r>
          </w:p>
          <w:p>
            <w:pPr>
              <w:spacing w:line="271" w:lineRule="exact"/>
              <w:ind w:left="281"/>
            </w:pPr>
            <w:r>
              <w:rPr>
                <w:rFonts w:ascii="Times New Roman" w:hAnsi="Times New Roman" w:cs="Times New Roman"/>
                <w:sz w:val="20"/>
              </w:rPr>
              <w:t>7.</w:t>
            </w:r>
            <w:r>
              <w:rPr>
                <w:spacing w:val="-1"/>
                <w:position w:val="1"/>
                <w:sz w:val="20"/>
              </w:rPr>
              <w:t>安装、接缝；</w:t>
            </w:r>
          </w:p>
          <w:p>
            <w:pPr>
              <w:spacing w:line="274" w:lineRule="exact"/>
              <w:ind w:left="281"/>
            </w:pPr>
            <w:r>
              <w:rPr>
                <w:rFonts w:ascii="Times New Roman" w:hAnsi="Times New Roman" w:cs="Times New Roman"/>
                <w:sz w:val="20"/>
              </w:rPr>
              <w:t>8.</w:t>
            </w:r>
            <w:r>
              <w:rPr>
                <w:spacing w:val="-1"/>
                <w:position w:val="1"/>
                <w:sz w:val="20"/>
              </w:rPr>
              <w:t>砌筑进出口</w:t>
            </w:r>
            <w:r>
              <w:rPr>
                <w:rFonts w:ascii="Times New Roman" w:hAnsi="Times New Roman" w:cs="Times New Roman"/>
                <w:spacing w:val="-1"/>
                <w:sz w:val="20"/>
              </w:rPr>
              <w:t>(</w:t>
            </w:r>
            <w:r>
              <w:rPr>
                <w:spacing w:val="-1"/>
                <w:position w:val="1"/>
                <w:sz w:val="20"/>
              </w:rPr>
              <w:t>端墙、翼</w:t>
            </w:r>
          </w:p>
          <w:p>
            <w:pPr>
              <w:spacing w:line="271" w:lineRule="exact"/>
              <w:ind w:left="108"/>
            </w:pPr>
            <w:r>
              <w:rPr>
                <w:spacing w:val="-1"/>
                <w:position w:val="1"/>
                <w:sz w:val="20"/>
              </w:rPr>
              <w:t>墙、八字墙井口</w:t>
            </w:r>
            <w:r>
              <w:rPr>
                <w:rFonts w:ascii="Times New Roman" w:hAnsi="Times New Roman" w:cs="Times New Roman"/>
                <w:spacing w:val="-1"/>
                <w:sz w:val="20"/>
              </w:rPr>
              <w:t>)</w:t>
            </w:r>
            <w:r>
              <w:rPr>
                <w:spacing w:val="-1"/>
                <w:position w:val="1"/>
                <w:sz w:val="20"/>
              </w:rPr>
              <w:t>；</w:t>
            </w:r>
          </w:p>
          <w:p>
            <w:pPr>
              <w:spacing w:line="274" w:lineRule="exact"/>
              <w:ind w:left="281"/>
            </w:pPr>
            <w:r>
              <w:rPr>
                <w:rFonts w:ascii="Times New Roman" w:hAnsi="Times New Roman" w:cs="Times New Roman"/>
                <w:sz w:val="20"/>
              </w:rPr>
              <w:t>9.</w:t>
            </w:r>
            <w:r>
              <w:rPr>
                <w:spacing w:val="-1"/>
                <w:position w:val="1"/>
                <w:sz w:val="20"/>
              </w:rPr>
              <w:t>防水、防冻、防腐措</w:t>
            </w:r>
          </w:p>
          <w:p>
            <w:pPr>
              <w:spacing w:line="236" w:lineRule="exact"/>
              <w:ind w:left="108"/>
            </w:pPr>
            <w:r>
              <w:rPr>
                <w:spacing w:val="-1"/>
                <w:sz w:val="20"/>
              </w:rPr>
              <w:t>施；</w:t>
            </w:r>
          </w:p>
          <w:p>
            <w:pPr>
              <w:spacing w:line="308" w:lineRule="exact"/>
              <w:ind w:left="281"/>
            </w:pPr>
            <w:r>
              <w:rPr>
                <w:rFonts w:ascii="Times New Roman" w:hAnsi="Times New Roman" w:cs="Times New Roman"/>
                <w:sz w:val="20"/>
              </w:rPr>
              <w:t>10.</w:t>
            </w:r>
            <w:r>
              <w:rPr>
                <w:spacing w:val="-1"/>
                <w:position w:val="1"/>
                <w:sz w:val="20"/>
              </w:rPr>
              <w:t>回填</w:t>
            </w:r>
          </w:p>
        </w:tc>
      </w:tr>
      <w:tr>
        <w:tblPrEx>
          <w:tblCellMar>
            <w:top w:w="0" w:type="dxa"/>
            <w:left w:w="108" w:type="dxa"/>
            <w:bottom w:w="0" w:type="dxa"/>
            <w:right w:w="108" w:type="dxa"/>
          </w:tblCellMar>
        </w:tblPrEx>
        <w:trPr>
          <w:trHeight w:val="194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68" w:lineRule="exact"/>
              <w:ind w:left="493"/>
            </w:pPr>
            <w:r>
              <w:rPr>
                <w:rFonts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74" w:lineRule="exact"/>
              <w:ind w:left="282"/>
            </w:pPr>
            <w:r>
              <w:rPr>
                <w:rFonts w:ascii="Times New Roman" w:hAnsi="Times New Roman" w:cs="Times New Roman"/>
                <w:spacing w:val="-1"/>
                <w:sz w:val="20"/>
              </w:rPr>
              <w:t>…m</w:t>
            </w:r>
            <w:r>
              <w:rPr>
                <w:rFonts w:ascii="Calibri" w:hAnsi="Calibri" w:cs="Calibri"/>
                <w:sz w:val="20"/>
              </w:rPr>
              <w:t> </w:t>
            </w:r>
            <w:r>
              <w:rPr>
                <w:spacing w:val="-1"/>
                <w:position w:val="1"/>
                <w:sz w:val="20"/>
              </w:rPr>
              <w:t>双孔钢筋</w:t>
            </w:r>
          </w:p>
          <w:p>
            <w:pPr>
              <w:spacing w:line="239" w:lineRule="exact"/>
              <w:ind w:left="107"/>
            </w:pPr>
            <w:r>
              <w:rPr>
                <w:spacing w:val="-1"/>
                <w:sz w:val="20"/>
              </w:rPr>
              <w:t>混凝土圆管涵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10" w:lineRule="exact"/>
              <w:ind w:left="457"/>
            </w:pPr>
            <w:r>
              <w:rPr>
                <w:rFonts w:ascii="Times New Roman" w:hAnsi="Times New Roman" w:cs="Times New Roman"/>
                <w:sz w:val="20"/>
              </w:rPr>
              <w:t>m</w:t>
            </w:r>
          </w:p>
        </w:tc>
        <w:tc>
          <w:tcPr>
            <w:tcW w:w="248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10" w:lineRule="exact"/>
            </w:pPr>
          </w:p>
        </w:tc>
        <w:tc>
          <w:tcPr>
            <w:tcW w:w="252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10" w:lineRule="exact"/>
            </w:pPr>
          </w:p>
        </w:tc>
      </w:tr>
      <w:tr>
        <w:tblPrEx>
          <w:tblCellMar>
            <w:top w:w="0" w:type="dxa"/>
            <w:left w:w="108" w:type="dxa"/>
            <w:bottom w:w="0" w:type="dxa"/>
            <w:right w:w="108" w:type="dxa"/>
          </w:tblCellMar>
        </w:tblPrEx>
        <w:trPr>
          <w:trHeight w:val="382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107" w:lineRule="exact"/>
              <w:ind w:left="337"/>
            </w:pPr>
            <w:r>
              <w:rPr>
                <w:rFonts w:ascii="Times New Roman" w:hAnsi="Times New Roman" w:cs="Times New Roman"/>
                <w:spacing w:val="-1"/>
                <w:sz w:val="20"/>
              </w:rPr>
              <w:t>505-1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878" w:lineRule="exact"/>
              <w:ind w:left="282"/>
            </w:pPr>
            <w:r>
              <w:rPr>
                <w:spacing w:val="-1"/>
                <w:sz w:val="20"/>
              </w:rPr>
              <w:t>倒虹吸（不分孔</w:t>
            </w:r>
          </w:p>
          <w:p>
            <w:pPr>
              <w:spacing w:line="271" w:lineRule="exact"/>
              <w:ind w:left="107"/>
            </w:pPr>
            <w:r>
              <w:rPr>
                <w:spacing w:val="-1"/>
                <w:sz w:val="20"/>
              </w:rPr>
              <w:t>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049" w:lineRule="exact"/>
              <w:ind w:left="457"/>
            </w:pPr>
            <w:r>
              <w:rPr>
                <w:rFonts w:ascii="Times New Roman" w:hAnsi="Times New Roman" w:cs="Times New Roman"/>
                <w:sz w:val="20"/>
              </w:rPr>
              <w:t>m</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604" w:lineRule="exact"/>
              <w:ind w:left="282"/>
            </w:pPr>
            <w:r>
              <w:rPr>
                <w:spacing w:val="-1"/>
                <w:sz w:val="20"/>
              </w:rPr>
              <w:t>依据图纸所示，不分孔</w:t>
            </w:r>
          </w:p>
          <w:p>
            <w:pPr>
              <w:spacing w:line="308" w:lineRule="exact"/>
              <w:ind w:left="109"/>
            </w:pPr>
            <w:r>
              <w:rPr>
                <w:spacing w:val="-1"/>
                <w:position w:val="1"/>
                <w:sz w:val="20"/>
              </w:rPr>
              <w:t>径按涵身长度</w:t>
            </w:r>
            <w:r>
              <w:rPr>
                <w:rFonts w:ascii="Times New Roman" w:hAnsi="Times New Roman" w:cs="Times New Roman"/>
                <w:spacing w:val="-1"/>
                <w:sz w:val="20"/>
              </w:rPr>
              <w:t>(</w:t>
            </w:r>
            <w:r>
              <w:rPr>
                <w:spacing w:val="-1"/>
                <w:position w:val="1"/>
                <w:sz w:val="20"/>
              </w:rPr>
              <w:t>进出口端</w:t>
            </w:r>
          </w:p>
          <w:p>
            <w:pPr>
              <w:spacing w:line="271" w:lineRule="exact"/>
              <w:ind w:left="109"/>
            </w:pPr>
            <w:r>
              <w:rPr>
                <w:spacing w:val="-1"/>
                <w:position w:val="1"/>
                <w:sz w:val="20"/>
              </w:rPr>
              <w:t>墙外侧间距离</w:t>
            </w:r>
            <w:r>
              <w:rPr>
                <w:rFonts w:ascii="Times New Roman" w:hAnsi="Times New Roman" w:cs="Times New Roman"/>
                <w:spacing w:val="-1"/>
                <w:sz w:val="20"/>
              </w:rPr>
              <w:t>)</w:t>
            </w:r>
            <w:r>
              <w:rPr>
                <w:spacing w:val="-1"/>
                <w:position w:val="1"/>
                <w:sz w:val="20"/>
              </w:rPr>
              <w:t>计算，以</w:t>
            </w:r>
          </w:p>
          <w:p>
            <w:pPr>
              <w:spacing w:line="239" w:lineRule="exact"/>
              <w:ind w:left="109"/>
            </w:pPr>
            <w:r>
              <w:rPr>
                <w:spacing w:val="-1"/>
                <w:sz w:val="20"/>
              </w:rPr>
              <w:t>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8" w:lineRule="exact"/>
              <w:ind w:left="281"/>
            </w:pPr>
            <w:r>
              <w:rPr>
                <w:rFonts w:ascii="Times New Roman" w:hAnsi="Times New Roman" w:cs="Times New Roman"/>
                <w:sz w:val="20"/>
              </w:rPr>
              <w:t>1.</w:t>
            </w:r>
            <w:r>
              <w:rPr>
                <w:spacing w:val="-1"/>
                <w:position w:val="1"/>
                <w:sz w:val="20"/>
              </w:rPr>
              <w:t>挖基、基坑排水、基</w:t>
            </w:r>
          </w:p>
          <w:p>
            <w:pPr>
              <w:spacing w:line="239" w:lineRule="exact"/>
              <w:ind w:left="108"/>
            </w:pPr>
            <w:r>
              <w:rPr>
                <w:spacing w:val="-1"/>
                <w:sz w:val="20"/>
              </w:rPr>
              <w:t>底清理；</w:t>
            </w:r>
          </w:p>
          <w:p>
            <w:pPr>
              <w:spacing w:line="306" w:lineRule="exact"/>
              <w:ind w:left="281"/>
            </w:pPr>
            <w:r>
              <w:rPr>
                <w:rFonts w:ascii="Times New Roman" w:hAnsi="Times New Roman" w:cs="Times New Roman"/>
                <w:sz w:val="20"/>
              </w:rPr>
              <w:t>2.</w:t>
            </w:r>
            <w:r>
              <w:rPr>
                <w:spacing w:val="-1"/>
                <w:position w:val="1"/>
                <w:sz w:val="20"/>
              </w:rPr>
              <w:t>基座砌筑或浇筑；</w:t>
            </w:r>
          </w:p>
          <w:p>
            <w:pPr>
              <w:spacing w:line="274" w:lineRule="exact"/>
              <w:ind w:left="281"/>
            </w:pPr>
            <w:r>
              <w:rPr>
                <w:rFonts w:ascii="Times New Roman" w:hAnsi="Times New Roman" w:cs="Times New Roman"/>
                <w:sz w:val="20"/>
              </w:rPr>
              <w:t>3.</w:t>
            </w:r>
            <w:r>
              <w:rPr>
                <w:spacing w:val="-1"/>
                <w:position w:val="1"/>
                <w:sz w:val="20"/>
              </w:rPr>
              <w:t>垫层材料铺筑；</w:t>
            </w:r>
          </w:p>
          <w:p>
            <w:pPr>
              <w:spacing w:line="271" w:lineRule="exact"/>
              <w:ind w:left="281"/>
            </w:pPr>
            <w:r>
              <w:rPr>
                <w:rFonts w:ascii="Times New Roman" w:hAnsi="Times New Roman" w:cs="Times New Roman"/>
                <w:sz w:val="20"/>
              </w:rPr>
              <w:t>4.</w:t>
            </w:r>
            <w:r>
              <w:rPr>
                <w:spacing w:val="-1"/>
                <w:position w:val="1"/>
                <w:sz w:val="20"/>
              </w:rPr>
              <w:t>钢筋制作安装；</w:t>
            </w:r>
          </w:p>
          <w:p>
            <w:pPr>
              <w:spacing w:line="271" w:lineRule="exact"/>
              <w:ind w:left="281"/>
            </w:pPr>
            <w:r>
              <w:rPr>
                <w:rFonts w:ascii="Times New Roman" w:hAnsi="Times New Roman" w:cs="Times New Roman"/>
                <w:sz w:val="20"/>
              </w:rPr>
              <w:t>5.</w:t>
            </w:r>
            <w:r>
              <w:rPr>
                <w:spacing w:val="-1"/>
                <w:position w:val="1"/>
                <w:sz w:val="20"/>
              </w:rPr>
              <w:t>预制或现浇钢筋混凝</w:t>
            </w:r>
          </w:p>
          <w:p>
            <w:pPr>
              <w:spacing w:line="239" w:lineRule="exact"/>
              <w:ind w:left="108"/>
            </w:pPr>
            <w:r>
              <w:rPr>
                <w:spacing w:val="-1"/>
                <w:sz w:val="20"/>
              </w:rPr>
              <w:t>土管；</w:t>
            </w:r>
          </w:p>
          <w:p>
            <w:pPr>
              <w:spacing w:line="308" w:lineRule="exact"/>
              <w:ind w:left="281"/>
            </w:pPr>
            <w:r>
              <w:rPr>
                <w:rFonts w:ascii="Times New Roman" w:hAnsi="Times New Roman" w:cs="Times New Roman"/>
                <w:sz w:val="20"/>
              </w:rPr>
              <w:t>6.</w:t>
            </w:r>
            <w:r>
              <w:rPr>
                <w:spacing w:val="-1"/>
                <w:position w:val="1"/>
                <w:sz w:val="20"/>
              </w:rPr>
              <w:t>铺涂防水层；</w:t>
            </w:r>
          </w:p>
          <w:p>
            <w:pPr>
              <w:spacing w:line="271" w:lineRule="exact"/>
              <w:ind w:left="281"/>
            </w:pPr>
            <w:r>
              <w:rPr>
                <w:rFonts w:ascii="Times New Roman" w:hAnsi="Times New Roman" w:cs="Times New Roman"/>
                <w:sz w:val="20"/>
              </w:rPr>
              <w:t>7.</w:t>
            </w:r>
            <w:r>
              <w:rPr>
                <w:spacing w:val="-1"/>
                <w:position w:val="1"/>
                <w:sz w:val="20"/>
              </w:rPr>
              <w:t>安装、接缝；</w:t>
            </w:r>
          </w:p>
          <w:p>
            <w:pPr>
              <w:spacing w:line="274" w:lineRule="exact"/>
              <w:ind w:left="281"/>
            </w:pPr>
            <w:r>
              <w:rPr>
                <w:rFonts w:ascii="Times New Roman" w:hAnsi="Times New Roman" w:cs="Times New Roman"/>
                <w:sz w:val="20"/>
              </w:rPr>
              <w:t>8.</w:t>
            </w:r>
            <w:r>
              <w:rPr>
                <w:spacing w:val="-1"/>
                <w:position w:val="1"/>
                <w:sz w:val="20"/>
              </w:rPr>
              <w:t>砌筑进出口</w:t>
            </w:r>
            <w:r>
              <w:rPr>
                <w:rFonts w:ascii="Times New Roman" w:hAnsi="Times New Roman" w:cs="Times New Roman"/>
                <w:spacing w:val="-1"/>
                <w:sz w:val="20"/>
              </w:rPr>
              <w:t>(</w:t>
            </w:r>
            <w:r>
              <w:rPr>
                <w:spacing w:val="-1"/>
                <w:position w:val="1"/>
                <w:sz w:val="20"/>
              </w:rPr>
              <w:t>端墙、翼</w:t>
            </w:r>
          </w:p>
          <w:p>
            <w:pPr>
              <w:spacing w:line="271" w:lineRule="exact"/>
              <w:ind w:left="108"/>
            </w:pPr>
            <w:r>
              <w:rPr>
                <w:spacing w:val="-1"/>
                <w:position w:val="1"/>
                <w:sz w:val="20"/>
              </w:rPr>
              <w:t>墙、八字墙井口</w:t>
            </w:r>
            <w:r>
              <w:rPr>
                <w:rFonts w:ascii="Times New Roman" w:hAnsi="Times New Roman" w:cs="Times New Roman"/>
                <w:spacing w:val="-1"/>
                <w:sz w:val="20"/>
              </w:rPr>
              <w:t>)</w:t>
            </w:r>
            <w:r>
              <w:rPr>
                <w:spacing w:val="-1"/>
                <w:position w:val="1"/>
                <w:sz w:val="20"/>
              </w:rPr>
              <w:t>；</w:t>
            </w:r>
          </w:p>
          <w:p>
            <w:pPr>
              <w:spacing w:line="271" w:lineRule="exact"/>
              <w:ind w:left="281"/>
            </w:pPr>
            <w:r>
              <w:rPr>
                <w:rFonts w:ascii="Times New Roman" w:hAnsi="Times New Roman" w:cs="Times New Roman"/>
                <w:sz w:val="20"/>
              </w:rPr>
              <w:t>9.</w:t>
            </w:r>
            <w:r>
              <w:rPr>
                <w:spacing w:val="-1"/>
                <w:position w:val="1"/>
                <w:sz w:val="20"/>
              </w:rPr>
              <w:t>防水、防冻、防腐措</w:t>
            </w:r>
          </w:p>
          <w:p>
            <w:pPr>
              <w:spacing w:line="239" w:lineRule="exact"/>
              <w:ind w:left="108"/>
            </w:pPr>
            <w:r>
              <w:rPr>
                <w:spacing w:val="-1"/>
                <w:sz w:val="20"/>
              </w:rPr>
              <w:t>施；</w:t>
            </w:r>
          </w:p>
          <w:p>
            <w:pPr>
              <w:spacing w:line="306" w:lineRule="exact"/>
              <w:ind w:left="281"/>
            </w:pPr>
            <w:r>
              <w:rPr>
                <w:rFonts w:ascii="Times New Roman" w:hAnsi="Times New Roman" w:cs="Times New Roman"/>
                <w:sz w:val="20"/>
              </w:rPr>
              <w:t>10.</w:t>
            </w:r>
            <w:r>
              <w:rPr>
                <w:spacing w:val="-1"/>
                <w:position w:val="1"/>
                <w:sz w:val="20"/>
              </w:rPr>
              <w:t>回填</w:t>
            </w:r>
          </w:p>
        </w:tc>
      </w:tr>
      <w:tr>
        <w:tblPrEx>
          <w:tblCellMar>
            <w:top w:w="0" w:type="dxa"/>
            <w:left w:w="108" w:type="dxa"/>
            <w:bottom w:w="0" w:type="dxa"/>
            <w:right w:w="108" w:type="dxa"/>
          </w:tblCellMar>
        </w:tblPrEx>
        <w:trPr>
          <w:trHeight w:val="55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76" w:lineRule="exact"/>
              <w:ind w:left="337"/>
            </w:pPr>
            <w:r>
              <w:rPr>
                <w:rFonts w:ascii="Times New Roman" w:hAnsi="Times New Roman" w:cs="Times New Roman"/>
                <w:spacing w:val="-1"/>
                <w:sz w:val="20"/>
              </w:rPr>
              <w:t>506-1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282"/>
            </w:pPr>
            <w:r>
              <w:rPr>
                <w:spacing w:val="-1"/>
                <w:sz w:val="20"/>
              </w:rPr>
              <w:t>钢筋混凝土盖</w:t>
            </w:r>
          </w:p>
          <w:p>
            <w:pPr>
              <w:spacing w:line="274" w:lineRule="exact"/>
              <w:ind w:left="107"/>
            </w:pPr>
            <w:r>
              <w:rPr>
                <w:spacing w:val="-1"/>
                <w:sz w:val="20"/>
              </w:rPr>
              <w:t>板涵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r>
    </w:tbl>
    <w:p>
      <w:pPr>
        <w:rPr>
          <w:sz w:val="20"/>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tblPrEx>
          <w:tblCellMar>
            <w:top w:w="0" w:type="dxa"/>
            <w:left w:w="108" w:type="dxa"/>
            <w:bottom w:w="0" w:type="dxa"/>
            <w:right w:w="108" w:type="dxa"/>
          </w:tblCellMar>
        </w:tblPrEx>
        <w:trPr>
          <w:trHeight w:val="162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09" w:lineRule="exact"/>
              <w:ind w:left="500"/>
            </w:pPr>
            <w:r>
              <w:rPr>
                <w:rFonts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15" w:lineRule="exact"/>
              <w:ind w:left="282"/>
            </w:pPr>
            <w:r>
              <w:rPr>
                <w:rFonts w:ascii="Times New Roman" w:hAnsi="Times New Roman" w:cs="Times New Roman"/>
                <w:spacing w:val="-1"/>
                <w:sz w:val="20"/>
              </w:rPr>
              <w:t>1-…m×…m</w:t>
            </w:r>
            <w:r>
              <w:rPr>
                <w:rFonts w:ascii="Calibri" w:hAnsi="Calibri" w:cs="Calibri"/>
                <w:sz w:val="20"/>
              </w:rPr>
              <w:t> </w:t>
            </w:r>
            <w:r>
              <w:rPr>
                <w:spacing w:val="-1"/>
                <w:position w:val="1"/>
                <w:sz w:val="20"/>
              </w:rPr>
              <w:t>钢</w:t>
            </w:r>
          </w:p>
          <w:p>
            <w:pPr>
              <w:spacing w:line="239" w:lineRule="exact"/>
              <w:ind w:left="107"/>
            </w:pPr>
            <w:r>
              <w:rPr>
                <w:spacing w:val="-1"/>
                <w:sz w:val="20"/>
              </w:rPr>
              <w:t>筋混凝土盖板涵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51" w:lineRule="exact"/>
              <w:ind w:left="457"/>
            </w:pPr>
            <w:r>
              <w:rPr>
                <w:rFonts w:ascii="Times New Roman" w:hAnsi="Times New Roman" w:cs="Times New Roman"/>
                <w:sz w:val="20"/>
              </w:rPr>
              <w:t>m</w:t>
            </w:r>
          </w:p>
        </w:tc>
        <w:tc>
          <w:tcPr>
            <w:tcW w:w="248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605" w:lineRule="exact"/>
              <w:ind w:left="282"/>
            </w:pPr>
            <w:r>
              <w:rPr>
                <w:spacing w:val="-1"/>
                <w:sz w:val="20"/>
              </w:rPr>
              <w:t>依据图纸所示，按不同</w:t>
            </w:r>
          </w:p>
          <w:p>
            <w:pPr>
              <w:spacing w:line="274" w:lineRule="exact"/>
              <w:ind w:left="109"/>
            </w:pPr>
            <w:r>
              <w:rPr>
                <w:spacing w:val="-1"/>
                <w:sz w:val="20"/>
              </w:rPr>
              <w:t>跨径的盖板涵长度以米</w:t>
            </w:r>
          </w:p>
          <w:p>
            <w:pPr>
              <w:spacing w:line="271" w:lineRule="exact"/>
              <w:ind w:left="109"/>
            </w:pPr>
            <w:r>
              <w:rPr>
                <w:spacing w:val="-1"/>
                <w:sz w:val="20"/>
              </w:rPr>
              <w:t>为单位计量</w:t>
            </w:r>
          </w:p>
        </w:tc>
        <w:tc>
          <w:tcPr>
            <w:tcW w:w="252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场地清理；</w:t>
            </w:r>
          </w:p>
          <w:p>
            <w:pPr>
              <w:spacing w:line="274" w:lineRule="exact"/>
              <w:ind w:left="281"/>
            </w:pPr>
            <w:r>
              <w:rPr>
                <w:rFonts w:ascii="Times New Roman" w:hAnsi="Times New Roman" w:cs="Times New Roman"/>
                <w:sz w:val="20"/>
              </w:rPr>
              <w:t>2.</w:t>
            </w:r>
            <w:r>
              <w:rPr>
                <w:spacing w:val="-1"/>
                <w:position w:val="1"/>
                <w:sz w:val="20"/>
              </w:rPr>
              <w:t>围堰、排水，基坑开</w:t>
            </w:r>
          </w:p>
          <w:p>
            <w:pPr>
              <w:spacing w:line="237" w:lineRule="exact"/>
              <w:ind w:left="108"/>
            </w:pPr>
            <w:r>
              <w:rPr>
                <w:spacing w:val="-1"/>
                <w:sz w:val="20"/>
              </w:rPr>
              <w:t>挖，基坑支护；</w:t>
            </w:r>
          </w:p>
          <w:p>
            <w:pPr>
              <w:spacing w:line="306" w:lineRule="exact"/>
              <w:ind w:left="281"/>
            </w:pPr>
            <w:r>
              <w:rPr>
                <w:rFonts w:ascii="Times New Roman" w:hAnsi="Times New Roman" w:cs="Times New Roman"/>
                <w:sz w:val="20"/>
              </w:rPr>
              <w:t>3.</w:t>
            </w:r>
            <w:r>
              <w:rPr>
                <w:spacing w:val="-1"/>
                <w:position w:val="1"/>
                <w:sz w:val="20"/>
              </w:rPr>
              <w:t>基础、地基处理、涵</w:t>
            </w:r>
          </w:p>
          <w:p>
            <w:pPr>
              <w:spacing w:line="237" w:lineRule="exact"/>
              <w:ind w:left="108"/>
            </w:pPr>
            <w:r>
              <w:rPr>
                <w:spacing w:val="-1"/>
                <w:sz w:val="20"/>
              </w:rPr>
              <w:t>台施工；</w:t>
            </w:r>
          </w:p>
          <w:p>
            <w:pPr>
              <w:spacing w:line="308" w:lineRule="exact"/>
              <w:ind w:left="281"/>
            </w:pPr>
            <w:r>
              <w:rPr>
                <w:rFonts w:ascii="Times New Roman" w:hAnsi="Times New Roman" w:cs="Times New Roman"/>
                <w:sz w:val="20"/>
              </w:rPr>
              <w:t>4.</w:t>
            </w:r>
            <w:r>
              <w:rPr>
                <w:spacing w:val="-1"/>
                <w:position w:val="1"/>
                <w:sz w:val="20"/>
              </w:rPr>
              <w:t>施工缝设置、处理；</w:t>
            </w:r>
          </w:p>
          <w:p>
            <w:pPr>
              <w:spacing w:line="271" w:lineRule="exact"/>
              <w:ind w:left="281"/>
            </w:pPr>
            <w:r>
              <w:rPr>
                <w:rFonts w:ascii="Times New Roman" w:hAnsi="Times New Roman" w:cs="Times New Roman"/>
                <w:sz w:val="20"/>
              </w:rPr>
              <w:t>5.</w:t>
            </w:r>
            <w:r>
              <w:rPr>
                <w:spacing w:val="-1"/>
                <w:position w:val="1"/>
                <w:sz w:val="20"/>
              </w:rPr>
              <w:t>盖板预制，运输，安</w:t>
            </w:r>
          </w:p>
          <w:p>
            <w:pPr>
              <w:spacing w:line="239" w:lineRule="exact"/>
              <w:ind w:left="108"/>
            </w:pPr>
            <w:r>
              <w:rPr>
                <w:spacing w:val="-1"/>
                <w:sz w:val="20"/>
              </w:rPr>
              <w:t>装；</w:t>
            </w:r>
          </w:p>
          <w:p>
            <w:pPr>
              <w:spacing w:line="308" w:lineRule="exact"/>
              <w:ind w:left="281"/>
            </w:pPr>
            <w:r>
              <w:rPr>
                <w:rFonts w:ascii="Times New Roman" w:hAnsi="Times New Roman" w:cs="Times New Roman"/>
                <w:sz w:val="20"/>
              </w:rPr>
              <w:t>6.</w:t>
            </w:r>
            <w:r>
              <w:rPr>
                <w:spacing w:val="-1"/>
                <w:position w:val="1"/>
                <w:sz w:val="20"/>
              </w:rPr>
              <w:t>砂浆制作、填缝；</w:t>
            </w:r>
          </w:p>
          <w:p>
            <w:pPr>
              <w:spacing w:line="271" w:lineRule="exact"/>
              <w:ind w:left="281"/>
            </w:pPr>
            <w:r>
              <w:rPr>
                <w:rFonts w:ascii="Times New Roman" w:hAnsi="Times New Roman" w:cs="Times New Roman"/>
                <w:sz w:val="20"/>
              </w:rPr>
              <w:t>7.</w:t>
            </w:r>
            <w:r>
              <w:rPr>
                <w:spacing w:val="-1"/>
                <w:position w:val="1"/>
                <w:sz w:val="20"/>
              </w:rPr>
              <w:t>防水、防冻、防腐措</w:t>
            </w:r>
          </w:p>
          <w:p>
            <w:pPr>
              <w:spacing w:line="237" w:lineRule="exact"/>
              <w:ind w:left="108"/>
            </w:pPr>
            <w:r>
              <w:rPr>
                <w:spacing w:val="-1"/>
                <w:sz w:val="20"/>
              </w:rPr>
              <w:t>施；</w:t>
            </w:r>
          </w:p>
          <w:p>
            <w:pPr>
              <w:spacing w:line="308" w:lineRule="exact"/>
              <w:ind w:left="281"/>
            </w:pPr>
            <w:r>
              <w:rPr>
                <w:rFonts w:ascii="Times New Roman" w:hAnsi="Times New Roman" w:cs="Times New Roman"/>
                <w:sz w:val="20"/>
              </w:rPr>
              <w:t>8.</w:t>
            </w:r>
            <w:r>
              <w:rPr>
                <w:spacing w:val="-1"/>
                <w:position w:val="1"/>
                <w:sz w:val="20"/>
              </w:rPr>
              <w:t>回填</w:t>
            </w:r>
          </w:p>
        </w:tc>
      </w:tr>
      <w:tr>
        <w:tblPrEx>
          <w:tblCellMar>
            <w:top w:w="0" w:type="dxa"/>
            <w:left w:w="108" w:type="dxa"/>
            <w:bottom w:w="0" w:type="dxa"/>
            <w:right w:w="108" w:type="dxa"/>
          </w:tblCellMar>
        </w:tblPrEx>
        <w:trPr>
          <w:trHeight w:val="1620"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60" w:lineRule="exact"/>
              <w:ind w:left="493"/>
            </w:pPr>
            <w:r>
              <w:rPr>
                <w:rFonts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6" w:lineRule="exact"/>
              <w:ind w:left="282"/>
            </w:pPr>
            <w:r>
              <w:rPr>
                <w:rFonts w:ascii="Times New Roman" w:hAnsi="Times New Roman" w:cs="Times New Roman"/>
                <w:spacing w:val="-1"/>
                <w:sz w:val="20"/>
              </w:rPr>
              <w:t>2-…m×…m</w:t>
            </w:r>
            <w:r>
              <w:rPr>
                <w:rFonts w:ascii="Calibri" w:hAnsi="Calibri" w:cs="Calibri"/>
                <w:sz w:val="20"/>
              </w:rPr>
              <w:t> </w:t>
            </w:r>
            <w:r>
              <w:rPr>
                <w:spacing w:val="-1"/>
                <w:position w:val="1"/>
                <w:sz w:val="20"/>
              </w:rPr>
              <w:t>钢</w:t>
            </w:r>
          </w:p>
          <w:p>
            <w:pPr>
              <w:spacing w:line="237" w:lineRule="exact"/>
              <w:ind w:left="107"/>
            </w:pPr>
            <w:r>
              <w:rPr>
                <w:spacing w:val="-1"/>
                <w:sz w:val="20"/>
              </w:rPr>
              <w:t>筋混凝土盖板涵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00" w:lineRule="exact"/>
              <w:ind w:left="457"/>
            </w:pPr>
            <w:r>
              <w:rPr>
                <w:rFonts w:ascii="Times New Roman" w:hAnsi="Times New Roman" w:cs="Times New Roman"/>
                <w:sz w:val="20"/>
              </w:rPr>
              <w:t>m</w:t>
            </w:r>
          </w:p>
        </w:tc>
        <w:tc>
          <w:tcPr>
            <w:tcW w:w="248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00" w:lineRule="exact"/>
            </w:pPr>
          </w:p>
        </w:tc>
        <w:tc>
          <w:tcPr>
            <w:tcW w:w="252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00" w:lineRule="exact"/>
            </w:pPr>
          </w:p>
        </w:tc>
      </w:tr>
      <w:tr>
        <w:tblPrEx>
          <w:tblCellMar>
            <w:top w:w="0" w:type="dxa"/>
            <w:left w:w="108" w:type="dxa"/>
            <w:bottom w:w="0" w:type="dxa"/>
            <w:right w:w="108" w:type="dxa"/>
          </w:tblCellMar>
        </w:tblPrEx>
        <w:trPr>
          <w:trHeight w:val="5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76" w:lineRule="exact"/>
              <w:ind w:left="337"/>
            </w:pPr>
            <w:r>
              <w:rPr>
                <w:rFonts w:ascii="Times New Roman" w:hAnsi="Times New Roman" w:cs="Times New Roman"/>
                <w:spacing w:val="-1"/>
                <w:sz w:val="20"/>
              </w:rPr>
              <w:t>507-1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spacing w:line="244" w:lineRule="exact"/>
              <w:jc w:val="center"/>
            </w:pPr>
            <w:r>
              <w:rPr>
                <w:spacing w:val="-1"/>
                <w:sz w:val="20"/>
              </w:rPr>
              <w:t>钢筋混凝土箱涵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pPr>
          </w:p>
        </w:tc>
      </w:tr>
      <w:tr>
        <w:tblPrEx>
          <w:tblCellMar>
            <w:top w:w="0" w:type="dxa"/>
            <w:left w:w="108" w:type="dxa"/>
            <w:bottom w:w="0" w:type="dxa"/>
            <w:right w:w="108" w:type="dxa"/>
          </w:tblCellMar>
        </w:tblPrEx>
        <w:trPr>
          <w:trHeight w:val="182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11" w:lineRule="exact"/>
              <w:ind w:left="500"/>
            </w:pPr>
            <w:r>
              <w:rPr>
                <w:rFonts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17" w:lineRule="exact"/>
              <w:ind w:left="282"/>
            </w:pPr>
            <w:r>
              <w:rPr>
                <w:rFonts w:ascii="Times New Roman" w:hAnsi="Times New Roman" w:cs="Times New Roman"/>
                <w:spacing w:val="-1"/>
                <w:sz w:val="20"/>
              </w:rPr>
              <w:t>1-…m×…m</w:t>
            </w:r>
            <w:r>
              <w:rPr>
                <w:rFonts w:ascii="Calibri" w:hAnsi="Calibri" w:cs="Calibri"/>
                <w:sz w:val="20"/>
              </w:rPr>
              <w:t> </w:t>
            </w:r>
            <w:r>
              <w:rPr>
                <w:spacing w:val="-1"/>
                <w:position w:val="1"/>
                <w:sz w:val="20"/>
              </w:rPr>
              <w:t>钢</w:t>
            </w:r>
          </w:p>
          <w:p>
            <w:pPr>
              <w:spacing w:line="237" w:lineRule="exact"/>
              <w:ind w:left="107"/>
            </w:pPr>
            <w:r>
              <w:rPr>
                <w:spacing w:val="-1"/>
                <w:sz w:val="20"/>
              </w:rPr>
              <w:t>筋混凝土箱涵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54" w:lineRule="exact"/>
              <w:ind w:left="457"/>
            </w:pPr>
            <w:r>
              <w:rPr>
                <w:rFonts w:ascii="Times New Roman" w:hAnsi="Times New Roman" w:cs="Times New Roman"/>
                <w:sz w:val="20"/>
              </w:rPr>
              <w:t>m</w:t>
            </w:r>
          </w:p>
        </w:tc>
        <w:tc>
          <w:tcPr>
            <w:tcW w:w="248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741" w:lineRule="exact"/>
              <w:ind w:left="282"/>
            </w:pPr>
            <w:r>
              <w:rPr>
                <w:spacing w:val="-1"/>
                <w:sz w:val="20"/>
              </w:rPr>
              <w:t>依据图纸所示，按不同</w:t>
            </w:r>
          </w:p>
          <w:p>
            <w:pPr>
              <w:spacing w:line="274" w:lineRule="exact"/>
              <w:ind w:left="109"/>
            </w:pPr>
            <w:r>
              <w:rPr>
                <w:spacing w:val="-1"/>
                <w:sz w:val="20"/>
              </w:rPr>
              <w:t>跨径的箱涵长度以米为</w:t>
            </w:r>
          </w:p>
          <w:p>
            <w:pPr>
              <w:spacing w:line="271" w:lineRule="exact"/>
              <w:ind w:left="109"/>
            </w:pPr>
            <w:r>
              <w:rPr>
                <w:spacing w:val="-1"/>
                <w:sz w:val="20"/>
              </w:rPr>
              <w:t>单位计量</w:t>
            </w:r>
          </w:p>
        </w:tc>
        <w:tc>
          <w:tcPr>
            <w:tcW w:w="252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pPr>
            <w:r>
              <w:rPr>
                <w:rFonts w:ascii="Times New Roman" w:hAnsi="Times New Roman" w:cs="Times New Roman"/>
                <w:sz w:val="20"/>
              </w:rPr>
              <w:t>1.</w:t>
            </w:r>
            <w:r>
              <w:rPr>
                <w:spacing w:val="-1"/>
                <w:position w:val="1"/>
                <w:sz w:val="20"/>
              </w:rPr>
              <w:t>围堰、排水，基坑开</w:t>
            </w:r>
            <w:r>
              <w:rPr>
                <w:spacing w:val="-1"/>
                <w:sz w:val="20"/>
              </w:rPr>
              <w:t>挖；</w:t>
            </w:r>
          </w:p>
          <w:p>
            <w:pPr>
              <w:spacing w:line="306" w:lineRule="exact"/>
            </w:pPr>
            <w:r>
              <w:rPr>
                <w:rFonts w:ascii="Times New Roman" w:hAnsi="Times New Roman" w:cs="Times New Roman"/>
                <w:sz w:val="20"/>
              </w:rPr>
              <w:t>2.</w:t>
            </w:r>
            <w:r>
              <w:rPr>
                <w:spacing w:val="-1"/>
                <w:position w:val="1"/>
                <w:sz w:val="20"/>
              </w:rPr>
              <w:t>垫层、基础施工；</w:t>
            </w:r>
          </w:p>
          <w:p>
            <w:pPr>
              <w:spacing w:line="274" w:lineRule="exact"/>
            </w:pPr>
            <w:r>
              <w:rPr>
                <w:rFonts w:ascii="Times New Roman" w:hAnsi="Times New Roman" w:cs="Times New Roman"/>
                <w:sz w:val="20"/>
              </w:rPr>
              <w:t>3.</w:t>
            </w:r>
            <w:r>
              <w:rPr>
                <w:spacing w:val="-1"/>
                <w:position w:val="1"/>
                <w:sz w:val="20"/>
              </w:rPr>
              <w:t>搭拆作业平台；</w:t>
            </w:r>
          </w:p>
          <w:p>
            <w:pPr>
              <w:spacing w:line="271" w:lineRule="exact"/>
            </w:pPr>
            <w:r>
              <w:rPr>
                <w:rFonts w:ascii="Times New Roman" w:hAnsi="Times New Roman" w:cs="Times New Roman"/>
                <w:sz w:val="20"/>
              </w:rPr>
              <w:t>4.</w:t>
            </w:r>
            <w:r>
              <w:rPr>
                <w:spacing w:val="-1"/>
                <w:position w:val="1"/>
                <w:sz w:val="20"/>
              </w:rPr>
              <w:t>模板安设、加固、检</w:t>
            </w:r>
            <w:r>
              <w:rPr>
                <w:spacing w:val="-1"/>
                <w:sz w:val="20"/>
              </w:rPr>
              <w:t>查；</w:t>
            </w:r>
          </w:p>
          <w:p>
            <w:pPr>
              <w:spacing w:line="308" w:lineRule="exact"/>
            </w:pPr>
            <w:r>
              <w:rPr>
                <w:rFonts w:ascii="Times New Roman" w:hAnsi="Times New Roman" w:cs="Times New Roman"/>
                <w:sz w:val="20"/>
              </w:rPr>
              <w:t>5.</w:t>
            </w:r>
            <w:r>
              <w:rPr>
                <w:spacing w:val="-1"/>
                <w:position w:val="1"/>
                <w:sz w:val="20"/>
              </w:rPr>
              <w:t>钢筋安设、支承及固</w:t>
            </w:r>
            <w:r>
              <w:rPr>
                <w:spacing w:val="-1"/>
                <w:sz w:val="20"/>
              </w:rPr>
              <w:t>定；</w:t>
            </w:r>
          </w:p>
          <w:p>
            <w:pPr>
              <w:spacing w:line="306" w:lineRule="exact"/>
            </w:pPr>
            <w:r>
              <w:rPr>
                <w:rFonts w:ascii="Times New Roman" w:hAnsi="Times New Roman" w:cs="Times New Roman"/>
                <w:sz w:val="20"/>
              </w:rPr>
              <w:t>6.</w:t>
            </w:r>
            <w:r>
              <w:rPr>
                <w:spacing w:val="-1"/>
                <w:position w:val="1"/>
                <w:sz w:val="20"/>
              </w:rPr>
              <w:t>混凝土配运料、拌和、</w:t>
            </w:r>
          </w:p>
          <w:p>
            <w:pPr>
              <w:spacing w:line="239" w:lineRule="exact"/>
              <w:ind w:left="108"/>
            </w:pPr>
            <w:r>
              <w:rPr>
                <w:spacing w:val="-1"/>
                <w:sz w:val="20"/>
              </w:rPr>
              <w:t>运输、浇筑、养护；</w:t>
            </w:r>
          </w:p>
          <w:p>
            <w:pPr>
              <w:spacing w:line="306" w:lineRule="exact"/>
            </w:pPr>
            <w:r>
              <w:rPr>
                <w:rFonts w:ascii="Times New Roman" w:hAnsi="Times New Roman" w:cs="Times New Roman"/>
                <w:sz w:val="20"/>
              </w:rPr>
              <w:t>7.</w:t>
            </w:r>
            <w:r>
              <w:rPr>
                <w:spacing w:val="-1"/>
                <w:position w:val="1"/>
                <w:sz w:val="20"/>
              </w:rPr>
              <w:t>施工缝设置、处理；</w:t>
            </w:r>
          </w:p>
          <w:p>
            <w:pPr>
              <w:spacing w:line="274" w:lineRule="exact"/>
            </w:pPr>
            <w:r>
              <w:rPr>
                <w:rFonts w:ascii="Times New Roman" w:hAnsi="Times New Roman" w:cs="Times New Roman"/>
                <w:sz w:val="20"/>
              </w:rPr>
              <w:t>8.</w:t>
            </w:r>
            <w:r>
              <w:rPr>
                <w:spacing w:val="-1"/>
                <w:position w:val="1"/>
                <w:sz w:val="20"/>
              </w:rPr>
              <w:t>防水、防冻、防腐措</w:t>
            </w:r>
            <w:r>
              <w:rPr>
                <w:spacing w:val="-1"/>
                <w:sz w:val="20"/>
              </w:rPr>
              <w:t>施；</w:t>
            </w:r>
          </w:p>
          <w:p>
            <w:pPr>
              <w:spacing w:line="308" w:lineRule="exact"/>
            </w:pPr>
            <w:r>
              <w:rPr>
                <w:rFonts w:ascii="Times New Roman" w:hAnsi="Times New Roman" w:cs="Times New Roman"/>
                <w:sz w:val="20"/>
              </w:rPr>
              <w:t>9.</w:t>
            </w:r>
            <w:r>
              <w:rPr>
                <w:spacing w:val="-1"/>
                <w:position w:val="1"/>
                <w:sz w:val="20"/>
              </w:rPr>
              <w:t>回填</w:t>
            </w:r>
          </w:p>
        </w:tc>
      </w:tr>
      <w:tr>
        <w:tblPrEx>
          <w:tblCellMar>
            <w:top w:w="0" w:type="dxa"/>
            <w:left w:w="108" w:type="dxa"/>
            <w:bottom w:w="0" w:type="dxa"/>
            <w:right w:w="108" w:type="dxa"/>
          </w:tblCellMar>
        </w:tblPrEx>
        <w:trPr>
          <w:trHeight w:val="123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96" w:lineRule="exact"/>
              <w:ind w:left="493"/>
            </w:pPr>
            <w:r>
              <w:rPr>
                <w:rFonts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99" w:lineRule="exact"/>
              <w:ind w:left="282"/>
            </w:pPr>
            <w:r>
              <w:rPr>
                <w:rFonts w:ascii="Times New Roman" w:hAnsi="Times New Roman" w:cs="Times New Roman"/>
                <w:spacing w:val="-1"/>
                <w:sz w:val="20"/>
              </w:rPr>
              <w:t>2-…m×…m</w:t>
            </w:r>
            <w:r>
              <w:rPr>
                <w:rFonts w:ascii="Calibri" w:hAnsi="Calibri" w:cs="Calibri"/>
                <w:sz w:val="20"/>
              </w:rPr>
              <w:t> </w:t>
            </w:r>
            <w:r>
              <w:rPr>
                <w:spacing w:val="-1"/>
                <w:position w:val="1"/>
                <w:sz w:val="20"/>
              </w:rPr>
              <w:t>钢</w:t>
            </w:r>
          </w:p>
          <w:p>
            <w:pPr>
              <w:spacing w:line="236" w:lineRule="exact"/>
              <w:ind w:left="107"/>
            </w:pPr>
            <w:r>
              <w:rPr>
                <w:spacing w:val="-1"/>
                <w:sz w:val="20"/>
              </w:rPr>
              <w:t>筋混凝土箱涵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36" w:lineRule="exact"/>
              <w:ind w:left="457"/>
            </w:pPr>
            <w:r>
              <w:rPr>
                <w:rFonts w:ascii="Times New Roman" w:hAnsi="Times New Roman" w:cs="Times New Roman"/>
                <w:sz w:val="20"/>
              </w:rPr>
              <w:t>m</w:t>
            </w:r>
          </w:p>
        </w:tc>
        <w:tc>
          <w:tcPr>
            <w:tcW w:w="248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36" w:lineRule="exact"/>
            </w:pPr>
          </w:p>
        </w:tc>
        <w:tc>
          <w:tcPr>
            <w:tcW w:w="252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36" w:lineRule="exact"/>
            </w:pPr>
          </w:p>
        </w:tc>
      </w:tr>
      <w:tr>
        <w:tblPrEx>
          <w:tblCellMar>
            <w:top w:w="0" w:type="dxa"/>
            <w:left w:w="108" w:type="dxa"/>
            <w:bottom w:w="0" w:type="dxa"/>
            <w:right w:w="108" w:type="dxa"/>
          </w:tblCellMar>
        </w:tblPrEx>
        <w:trPr>
          <w:trHeight w:val="300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699" w:lineRule="exact"/>
              <w:ind w:left="337"/>
            </w:pPr>
            <w:r>
              <w:rPr>
                <w:rFonts w:ascii="Times New Roman" w:hAnsi="Times New Roman" w:cs="Times New Roman"/>
                <w:spacing w:val="-1"/>
                <w:sz w:val="20"/>
              </w:rPr>
              <w:t>508-1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605" w:lineRule="exact"/>
              <w:ind w:left="282"/>
            </w:pPr>
            <w:r>
              <w:rPr>
                <w:spacing w:val="-1"/>
                <w:sz w:val="20"/>
              </w:rPr>
              <w:t>拱涵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639" w:lineRule="exact"/>
              <w:ind w:left="457"/>
            </w:pPr>
            <w:r>
              <w:rPr>
                <w:rFonts w:ascii="Times New Roman" w:hAnsi="Times New Roman" w:cs="Times New Roman"/>
                <w:sz w:val="20"/>
              </w:rPr>
              <w:t>m</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33" w:lineRule="exact"/>
              <w:ind w:left="282"/>
            </w:pPr>
            <w:r>
              <w:rPr>
                <w:spacing w:val="-1"/>
                <w:sz w:val="20"/>
              </w:rPr>
              <w:t>依据图纸所示，按不同</w:t>
            </w:r>
          </w:p>
          <w:p>
            <w:pPr>
              <w:spacing w:line="271" w:lineRule="exact"/>
              <w:ind w:left="109"/>
            </w:pPr>
            <w:r>
              <w:rPr>
                <w:spacing w:val="-1"/>
                <w:sz w:val="20"/>
              </w:rPr>
              <w:t>跨径的混凝土拱涵长度</w:t>
            </w:r>
          </w:p>
          <w:p>
            <w:pPr>
              <w:spacing w:line="271" w:lineRule="exact"/>
              <w:ind w:left="109"/>
            </w:pPr>
            <w:r>
              <w:rPr>
                <w:spacing w:val="-1"/>
                <w:sz w:val="20"/>
              </w:rPr>
              <w:t>以米为单位计量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场地清理；</w:t>
            </w:r>
          </w:p>
          <w:p>
            <w:pPr>
              <w:spacing w:line="274" w:lineRule="exact"/>
              <w:ind w:left="281"/>
            </w:pPr>
            <w:r>
              <w:rPr>
                <w:rFonts w:ascii="Times New Roman" w:hAnsi="Times New Roman" w:cs="Times New Roman"/>
                <w:sz w:val="20"/>
              </w:rPr>
              <w:t>2.</w:t>
            </w:r>
            <w:r>
              <w:rPr>
                <w:spacing w:val="-1"/>
                <w:position w:val="1"/>
                <w:sz w:val="20"/>
              </w:rPr>
              <w:t>围堰、排水，基坑开</w:t>
            </w:r>
          </w:p>
          <w:p>
            <w:pPr>
              <w:spacing w:line="236" w:lineRule="exact"/>
              <w:ind w:left="108"/>
            </w:pPr>
            <w:r>
              <w:rPr>
                <w:spacing w:val="-1"/>
                <w:sz w:val="20"/>
              </w:rPr>
              <w:t>挖，</w:t>
            </w:r>
          </w:p>
          <w:p>
            <w:pPr>
              <w:spacing w:line="274" w:lineRule="exact"/>
              <w:ind w:left="281"/>
            </w:pPr>
            <w:r>
              <w:rPr>
                <w:spacing w:val="-1"/>
                <w:sz w:val="20"/>
              </w:rPr>
              <w:t>基坑支护；</w:t>
            </w:r>
          </w:p>
          <w:p>
            <w:pPr>
              <w:spacing w:line="306" w:lineRule="exact"/>
              <w:ind w:left="281"/>
            </w:pPr>
            <w:r>
              <w:rPr>
                <w:rFonts w:ascii="Times New Roman" w:hAnsi="Times New Roman" w:cs="Times New Roman"/>
                <w:sz w:val="20"/>
              </w:rPr>
              <w:t>3.</w:t>
            </w:r>
            <w:r>
              <w:rPr>
                <w:spacing w:val="-1"/>
                <w:position w:val="1"/>
                <w:sz w:val="20"/>
              </w:rPr>
              <w:t>基础及涵台施工；</w:t>
            </w:r>
          </w:p>
          <w:p>
            <w:pPr>
              <w:spacing w:line="271" w:lineRule="exact"/>
              <w:ind w:left="281"/>
            </w:pPr>
            <w:r>
              <w:rPr>
                <w:rFonts w:ascii="Times New Roman" w:hAnsi="Times New Roman" w:cs="Times New Roman"/>
                <w:sz w:val="20"/>
              </w:rPr>
              <w:t>4.</w:t>
            </w:r>
            <w:r>
              <w:rPr>
                <w:spacing w:val="-1"/>
                <w:position w:val="1"/>
                <w:sz w:val="20"/>
              </w:rPr>
              <w:t>搭拆作业平台；</w:t>
            </w:r>
          </w:p>
          <w:p>
            <w:pPr>
              <w:spacing w:line="274" w:lineRule="exact"/>
              <w:ind w:left="281"/>
            </w:pPr>
            <w:r>
              <w:rPr>
                <w:rFonts w:ascii="Times New Roman" w:hAnsi="Times New Roman" w:cs="Times New Roman"/>
                <w:sz w:val="20"/>
              </w:rPr>
              <w:t>5.</w:t>
            </w:r>
            <w:r>
              <w:rPr>
                <w:spacing w:val="-1"/>
                <w:position w:val="1"/>
                <w:sz w:val="20"/>
              </w:rPr>
              <w:t>安拆支架、拱盔；</w:t>
            </w:r>
          </w:p>
          <w:p>
            <w:pPr>
              <w:spacing w:line="271" w:lineRule="exact"/>
              <w:ind w:left="281"/>
            </w:pPr>
            <w:r>
              <w:rPr>
                <w:rFonts w:ascii="Times New Roman" w:hAnsi="Times New Roman" w:cs="Times New Roman"/>
                <w:sz w:val="20"/>
              </w:rPr>
              <w:t>6.</w:t>
            </w:r>
            <w:r>
              <w:rPr>
                <w:spacing w:val="-1"/>
                <w:position w:val="1"/>
                <w:sz w:val="20"/>
              </w:rPr>
              <w:t>配、拌、运混凝土、</w:t>
            </w:r>
          </w:p>
          <w:p>
            <w:pPr>
              <w:spacing w:line="239" w:lineRule="exact"/>
              <w:ind w:left="108"/>
            </w:pPr>
            <w:r>
              <w:rPr>
                <w:spacing w:val="-1"/>
                <w:sz w:val="20"/>
              </w:rPr>
              <w:t>浇筑、养护；</w:t>
            </w:r>
          </w:p>
          <w:p>
            <w:pPr>
              <w:spacing w:line="306" w:lineRule="exact"/>
              <w:ind w:left="281"/>
            </w:pPr>
            <w:r>
              <w:rPr>
                <w:rFonts w:ascii="Times New Roman" w:hAnsi="Times New Roman" w:cs="Times New Roman"/>
                <w:sz w:val="20"/>
              </w:rPr>
              <w:t>7.</w:t>
            </w:r>
            <w:r>
              <w:rPr>
                <w:spacing w:val="-1"/>
                <w:position w:val="1"/>
                <w:sz w:val="20"/>
              </w:rPr>
              <w:t>防水、防冻、防腐措</w:t>
            </w:r>
          </w:p>
          <w:p>
            <w:pPr>
              <w:spacing w:line="239" w:lineRule="exact"/>
              <w:ind w:left="108"/>
            </w:pPr>
            <w:r>
              <w:rPr>
                <w:spacing w:val="-1"/>
                <w:sz w:val="20"/>
              </w:rPr>
              <w:t>施</w:t>
            </w:r>
          </w:p>
        </w:tc>
      </w:tr>
      <w:tr>
        <w:tblPrEx>
          <w:tblCellMar>
            <w:top w:w="0" w:type="dxa"/>
            <w:left w:w="108" w:type="dxa"/>
            <w:bottom w:w="0" w:type="dxa"/>
            <w:right w:w="108" w:type="dxa"/>
          </w:tblCellMar>
        </w:tblPrEx>
        <w:trPr>
          <w:trHeight w:val="35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spacing w:line="476" w:lineRule="exact"/>
              <w:ind w:left="337"/>
              <w:jc w:val="center"/>
              <w:rPr>
                <w:rFonts w:ascii="Times New Roman" w:hAnsi="Times New Roman" w:cs="Times New Roman" w:eastAsiaTheme="minorEastAsia"/>
                <w:spacing w:val="-1"/>
                <w:sz w:val="20"/>
                <w:lang w:val="en-US"/>
              </w:rPr>
            </w:pPr>
            <w:r>
              <w:rPr>
                <w:rFonts w:ascii="Times New Roman" w:hAnsi="Times New Roman" w:cs="Times New Roman"/>
                <w:spacing w:val="-1"/>
                <w:sz w:val="20"/>
              </w:rPr>
              <w:t>50</w:t>
            </w:r>
            <w:r>
              <w:rPr>
                <w:rFonts w:hint="eastAsia" w:ascii="Times New Roman" w:hAnsi="Times New Roman" w:cs="Times New Roman"/>
                <w:spacing w:val="-1"/>
                <w:sz w:val="20"/>
                <w:lang w:val="en-US"/>
              </w:rPr>
              <w:t>9</w:t>
            </w:r>
            <w:r>
              <w:rPr>
                <w:rFonts w:ascii="Times New Roman" w:hAnsi="Times New Roman" w:cs="Times New Roman"/>
                <w:spacing w:val="-1"/>
                <w:sz w:val="20"/>
              </w:rPr>
              <w:t>-1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spacing w:line="244" w:lineRule="exact"/>
              <w:jc w:val="center"/>
              <w:rPr>
                <w:rFonts w:eastAsiaTheme="minorEastAsia"/>
                <w:spacing w:val="-1"/>
                <w:sz w:val="20"/>
                <w:lang w:val="en-US"/>
              </w:rPr>
            </w:pPr>
            <w:r>
              <w:rPr>
                <w:rFonts w:hint="eastAsia"/>
                <w:spacing w:val="-1"/>
                <w:sz w:val="20"/>
                <w:lang w:val="en-US"/>
              </w:rPr>
              <w:t>钢管涵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spacing w:line="274" w:lineRule="exact"/>
              <w:jc w:val="center"/>
              <w:rPr>
                <w:rFonts w:ascii="Times New Roman" w:hAnsi="Times New Roman" w:cs="Times New Roman"/>
                <w:sz w:val="20"/>
              </w:rPr>
            </w:pPr>
            <w:r>
              <w:rPr>
                <w:rFonts w:hint="eastAsia" w:ascii="Times New Roman" w:hAnsi="Times New Roman" w:cs="Times New Roman"/>
                <w:position w:val="-4"/>
                <w:sz w:val="20"/>
                <w:lang w:val="en-US"/>
              </w:rPr>
              <w:t>m</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autoSpaceDE/>
              <w:autoSpaceDN/>
            </w:pPr>
            <w:r>
              <w:rPr>
                <w:spacing w:val="-1"/>
                <w:sz w:val="20"/>
              </w:rPr>
              <w:t>依据图纸所示，按不同</w:t>
            </w:r>
          </w:p>
          <w:p>
            <w:pPr>
              <w:spacing w:line="306" w:lineRule="exact"/>
              <w:ind w:left="109"/>
            </w:pPr>
            <w:r>
              <w:rPr>
                <w:spacing w:val="-1"/>
                <w:position w:val="1"/>
                <w:sz w:val="20"/>
              </w:rPr>
              <w:t>孔径的涵身长度</w:t>
            </w:r>
            <w:r>
              <w:rPr>
                <w:rFonts w:ascii="Times New Roman" w:hAnsi="Times New Roman" w:cs="Times New Roman"/>
                <w:spacing w:val="-1"/>
                <w:sz w:val="20"/>
              </w:rPr>
              <w:t>(</w:t>
            </w:r>
            <w:r>
              <w:rPr>
                <w:spacing w:val="-1"/>
                <w:position w:val="1"/>
                <w:sz w:val="20"/>
              </w:rPr>
              <w:t>进出口</w:t>
            </w:r>
          </w:p>
          <w:p>
            <w:pPr>
              <w:spacing w:line="274" w:lineRule="exact"/>
              <w:ind w:left="109"/>
            </w:pPr>
            <w:r>
              <w:rPr>
                <w:spacing w:val="-1"/>
                <w:position w:val="1"/>
                <w:sz w:val="20"/>
              </w:rPr>
              <w:t>端墙外侧间距离</w:t>
            </w:r>
            <w:r>
              <w:rPr>
                <w:rFonts w:ascii="Times New Roman" w:hAnsi="Times New Roman" w:cs="Times New Roman"/>
                <w:spacing w:val="-1"/>
                <w:sz w:val="20"/>
              </w:rPr>
              <w:t>)</w:t>
            </w:r>
            <w:r>
              <w:rPr>
                <w:spacing w:val="-1"/>
                <w:position w:val="1"/>
                <w:sz w:val="20"/>
              </w:rPr>
              <w:t>计算，</w:t>
            </w:r>
          </w:p>
          <w:p>
            <w:pPr>
              <w:spacing w:line="274" w:lineRule="exact"/>
              <w:rPr>
                <w:spacing w:val="-1"/>
                <w:sz w:val="20"/>
              </w:rPr>
            </w:pPr>
            <w:r>
              <w:rPr>
                <w:spacing w:val="-1"/>
                <w:sz w:val="20"/>
              </w:rPr>
              <w:t>以米为单位计量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autoSpaceDN/>
              <w:spacing w:line="240" w:lineRule="atLeast"/>
              <w:ind w:left="283"/>
            </w:pPr>
            <w:r>
              <w:rPr>
                <w:rFonts w:ascii="Times New Roman" w:hAnsi="Times New Roman" w:cs="Times New Roman"/>
                <w:sz w:val="20"/>
              </w:rPr>
              <w:t>1.</w:t>
            </w:r>
            <w:r>
              <w:rPr>
                <w:spacing w:val="-1"/>
                <w:position w:val="1"/>
                <w:sz w:val="20"/>
              </w:rPr>
              <w:t>挖基、基坑排水、基</w:t>
            </w:r>
          </w:p>
          <w:p>
            <w:pPr>
              <w:spacing w:line="237" w:lineRule="exact"/>
              <w:ind w:left="108"/>
            </w:pPr>
            <w:r>
              <w:rPr>
                <w:spacing w:val="-1"/>
                <w:sz w:val="20"/>
              </w:rPr>
              <w:t>底清理、地基处理；</w:t>
            </w:r>
          </w:p>
          <w:p>
            <w:pPr>
              <w:spacing w:line="306" w:lineRule="exact"/>
              <w:ind w:left="281"/>
            </w:pPr>
            <w:r>
              <w:rPr>
                <w:rFonts w:ascii="Times New Roman" w:hAnsi="Times New Roman" w:cs="Times New Roman"/>
                <w:sz w:val="20"/>
              </w:rPr>
              <w:t>2.</w:t>
            </w:r>
            <w:r>
              <w:rPr>
                <w:spacing w:val="-1"/>
                <w:position w:val="1"/>
                <w:sz w:val="20"/>
              </w:rPr>
              <w:t>基座砌筑或浇筑；</w:t>
            </w:r>
          </w:p>
          <w:p>
            <w:pPr>
              <w:spacing w:line="274" w:lineRule="exact"/>
              <w:ind w:left="281"/>
            </w:pPr>
            <w:r>
              <w:rPr>
                <w:rFonts w:ascii="Times New Roman" w:hAnsi="Times New Roman" w:cs="Times New Roman"/>
                <w:sz w:val="20"/>
              </w:rPr>
              <w:t>3.</w:t>
            </w:r>
            <w:r>
              <w:rPr>
                <w:spacing w:val="-1"/>
                <w:position w:val="1"/>
                <w:sz w:val="20"/>
              </w:rPr>
              <w:t>垫层材料铺筑；</w:t>
            </w:r>
          </w:p>
          <w:p>
            <w:pPr>
              <w:spacing w:line="271" w:lineRule="exact"/>
              <w:ind w:left="281"/>
            </w:pPr>
            <w:r>
              <w:rPr>
                <w:rFonts w:ascii="Times New Roman" w:hAnsi="Times New Roman" w:cs="Times New Roman"/>
                <w:sz w:val="20"/>
              </w:rPr>
              <w:t>4.</w:t>
            </w:r>
            <w:r>
              <w:rPr>
                <w:spacing w:val="-1"/>
                <w:position w:val="1"/>
                <w:sz w:val="20"/>
              </w:rPr>
              <w:t>钢筋制作安装；</w:t>
            </w:r>
          </w:p>
          <w:p>
            <w:pPr>
              <w:spacing w:line="237" w:lineRule="exact"/>
              <w:ind w:left="108" w:firstLine="200" w:firstLineChars="100"/>
            </w:pPr>
            <w:r>
              <w:rPr>
                <w:rFonts w:ascii="Times New Roman" w:hAnsi="Times New Roman" w:cs="Times New Roman"/>
                <w:sz w:val="20"/>
              </w:rPr>
              <w:t>5.</w:t>
            </w:r>
            <w:r>
              <w:rPr>
                <w:rFonts w:hint="eastAsia" w:ascii="Times New Roman" w:hAnsi="Times New Roman" w:cs="Times New Roman"/>
                <w:sz w:val="20"/>
                <w:lang w:val="en-US"/>
              </w:rPr>
              <w:t>制作钢管涵</w:t>
            </w:r>
            <w:r>
              <w:rPr>
                <w:spacing w:val="-1"/>
                <w:sz w:val="20"/>
              </w:rPr>
              <w:t>；</w:t>
            </w:r>
          </w:p>
          <w:p>
            <w:pPr>
              <w:spacing w:line="308" w:lineRule="exact"/>
              <w:ind w:left="281"/>
            </w:pPr>
            <w:r>
              <w:rPr>
                <w:rFonts w:ascii="Times New Roman" w:hAnsi="Times New Roman" w:cs="Times New Roman"/>
                <w:sz w:val="20"/>
              </w:rPr>
              <w:t>6.</w:t>
            </w:r>
            <w:r>
              <w:rPr>
                <w:spacing w:val="-1"/>
                <w:position w:val="1"/>
                <w:sz w:val="20"/>
              </w:rPr>
              <w:t>铺涂防水层；</w:t>
            </w:r>
          </w:p>
          <w:p>
            <w:pPr>
              <w:spacing w:line="271" w:lineRule="exact"/>
              <w:ind w:left="281"/>
            </w:pPr>
            <w:r>
              <w:rPr>
                <w:rFonts w:ascii="Times New Roman" w:hAnsi="Times New Roman" w:cs="Times New Roman"/>
                <w:sz w:val="20"/>
              </w:rPr>
              <w:t>7.</w:t>
            </w:r>
            <w:r>
              <w:rPr>
                <w:spacing w:val="-1"/>
                <w:position w:val="1"/>
                <w:sz w:val="20"/>
              </w:rPr>
              <w:t>安装、接缝；</w:t>
            </w:r>
          </w:p>
          <w:p>
            <w:pPr>
              <w:spacing w:line="274" w:lineRule="exact"/>
              <w:ind w:left="281"/>
            </w:pPr>
            <w:r>
              <w:rPr>
                <w:rFonts w:ascii="Times New Roman" w:hAnsi="Times New Roman" w:cs="Times New Roman"/>
                <w:sz w:val="20"/>
              </w:rPr>
              <w:t>8.</w:t>
            </w:r>
            <w:r>
              <w:rPr>
                <w:spacing w:val="-1"/>
                <w:position w:val="1"/>
                <w:sz w:val="20"/>
              </w:rPr>
              <w:t>砌筑进出口</w:t>
            </w:r>
            <w:r>
              <w:rPr>
                <w:rFonts w:ascii="Times New Roman" w:hAnsi="Times New Roman" w:cs="Times New Roman"/>
                <w:spacing w:val="-1"/>
                <w:sz w:val="20"/>
              </w:rPr>
              <w:t>(</w:t>
            </w:r>
            <w:r>
              <w:rPr>
                <w:spacing w:val="-1"/>
                <w:position w:val="1"/>
                <w:sz w:val="20"/>
              </w:rPr>
              <w:t>端墙、翼</w:t>
            </w:r>
          </w:p>
          <w:p>
            <w:pPr>
              <w:spacing w:line="271" w:lineRule="exact"/>
              <w:ind w:left="108"/>
            </w:pPr>
            <w:r>
              <w:rPr>
                <w:spacing w:val="-1"/>
                <w:position w:val="1"/>
                <w:sz w:val="20"/>
              </w:rPr>
              <w:t>墙、八字墙井口</w:t>
            </w:r>
            <w:r>
              <w:rPr>
                <w:rFonts w:ascii="Times New Roman" w:hAnsi="Times New Roman" w:cs="Times New Roman"/>
                <w:spacing w:val="-1"/>
                <w:sz w:val="20"/>
              </w:rPr>
              <w:t>)</w:t>
            </w:r>
            <w:r>
              <w:rPr>
                <w:spacing w:val="-1"/>
                <w:position w:val="1"/>
                <w:sz w:val="20"/>
              </w:rPr>
              <w:t>；</w:t>
            </w:r>
          </w:p>
          <w:p>
            <w:pPr>
              <w:spacing w:line="274" w:lineRule="exact"/>
              <w:ind w:left="281"/>
            </w:pPr>
            <w:r>
              <w:rPr>
                <w:rFonts w:ascii="Times New Roman" w:hAnsi="Times New Roman" w:cs="Times New Roman"/>
                <w:sz w:val="20"/>
              </w:rPr>
              <w:t>9.</w:t>
            </w:r>
            <w:r>
              <w:rPr>
                <w:spacing w:val="-1"/>
                <w:position w:val="1"/>
                <w:sz w:val="20"/>
              </w:rPr>
              <w:t>防水、防冻、防腐措</w:t>
            </w:r>
          </w:p>
          <w:p>
            <w:pPr>
              <w:spacing w:line="236" w:lineRule="exact"/>
              <w:ind w:left="108"/>
            </w:pPr>
            <w:r>
              <w:rPr>
                <w:spacing w:val="-1"/>
                <w:sz w:val="20"/>
              </w:rPr>
              <w:t>施；</w:t>
            </w:r>
          </w:p>
          <w:p>
            <w:pPr>
              <w:spacing w:line="274" w:lineRule="exact"/>
              <w:ind w:firstLine="200" w:firstLineChars="100"/>
              <w:rPr>
                <w:spacing w:val="-1"/>
                <w:sz w:val="20"/>
              </w:rPr>
            </w:pPr>
            <w:r>
              <w:rPr>
                <w:rFonts w:ascii="Times New Roman" w:hAnsi="Times New Roman" w:cs="Times New Roman"/>
                <w:sz w:val="20"/>
              </w:rPr>
              <w:t>10.</w:t>
            </w:r>
            <w:r>
              <w:rPr>
                <w:spacing w:val="-1"/>
                <w:position w:val="1"/>
                <w:sz w:val="20"/>
              </w:rPr>
              <w:t>回填</w:t>
            </w:r>
          </w:p>
        </w:tc>
      </w:tr>
    </w:tbl>
    <w:p>
      <w:pPr>
        <w:spacing w:line="252" w:lineRule="exact"/>
        <w:rPr>
          <w:sz w:val="21"/>
        </w:rPr>
        <w:sectPr>
          <w:pgSz w:w="11910" w:h="16840"/>
          <w:pgMar w:top="1440" w:right="1080" w:bottom="1040" w:left="1420" w:header="882" w:footer="847" w:gutter="0"/>
          <w:cols w:space="720" w:num="1"/>
        </w:sectPr>
      </w:pPr>
    </w:p>
    <w:p>
      <w:pPr>
        <w:spacing w:before="139"/>
        <w:ind w:left="86" w:right="194"/>
        <w:jc w:val="center"/>
        <w:rPr>
          <w:sz w:val="28"/>
        </w:rPr>
      </w:pPr>
      <w:r>
        <w:rPr>
          <w:rFonts w:hint="eastAsia"/>
          <w:sz w:val="28"/>
        </w:rPr>
        <w:t>第 600 章 防护</w:t>
      </w:r>
    </w:p>
    <w:p>
      <w:pPr>
        <w:pStyle w:val="10"/>
        <w:spacing w:before="1"/>
        <w:rPr>
          <w:sz w:val="18"/>
        </w:rPr>
      </w:pPr>
    </w:p>
    <w:tbl>
      <w:tblPr>
        <w:tblStyle w:val="18"/>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trPr>
          <w:trHeight w:val="52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7" w:lineRule="exact"/>
              <w:ind w:left="265"/>
            </w:pPr>
            <w:r>
              <w:rPr>
                <w:spacing w:val="-1"/>
                <w:sz w:val="20"/>
              </w:rPr>
              <w:t>子目号</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7" w:lineRule="exact"/>
              <w:ind w:left="464"/>
            </w:pPr>
            <w:r>
              <w:rPr>
                <w:spacing w:val="-1"/>
                <w:sz w:val="20"/>
              </w:rPr>
              <w:t>子目名称</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7" w:lineRule="exact"/>
              <w:ind w:left="330"/>
            </w:pPr>
            <w:r>
              <w:rPr>
                <w:spacing w:val="-1"/>
                <w:sz w:val="20"/>
              </w:rPr>
              <w:t>单位</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7" w:lineRule="exact"/>
              <w:ind w:left="716"/>
            </w:pPr>
            <w:r>
              <w:rPr>
                <w:spacing w:val="-1"/>
                <w:sz w:val="20"/>
              </w:rPr>
              <w:t>工程量计量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7" w:lineRule="exact"/>
              <w:ind w:left="840"/>
            </w:pPr>
            <w:r>
              <w:rPr>
                <w:spacing w:val="-1"/>
                <w:sz w:val="20"/>
              </w:rPr>
              <w:t>工程内容</w:t>
            </w:r>
          </w:p>
        </w:tc>
      </w:tr>
      <w:tr>
        <w:trPr>
          <w:trHeight w:val="52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03" w:lineRule="exact"/>
              <w:ind w:left="337"/>
            </w:pPr>
            <w:r>
              <w:rPr>
                <w:rFonts w:ascii="Times New Roman" w:hAnsi="Times New Roman" w:cs="Times New Roman"/>
                <w:spacing w:val="-1"/>
                <w:sz w:val="20"/>
              </w:rPr>
              <w:t>601-1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8" w:lineRule="exact"/>
              <w:ind w:left="282"/>
            </w:pPr>
            <w:r>
              <w:rPr>
                <w:spacing w:val="-1"/>
                <w:sz w:val="20"/>
              </w:rPr>
              <w:t>喷锚护面</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8" w:lineRule="exact"/>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8"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8" w:lineRule="exact"/>
            </w:pPr>
          </w:p>
        </w:tc>
      </w:tr>
      <w:tr>
        <w:trPr>
          <w:trHeight w:val="273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505" w:lineRule="exact"/>
              <w:ind w:left="500"/>
            </w:pPr>
            <w:r>
              <w:rPr>
                <w:rFonts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70" w:lineRule="exact"/>
              <w:ind w:left="282"/>
            </w:pPr>
            <w:r>
              <w:rPr>
                <w:spacing w:val="-1"/>
                <w:sz w:val="20"/>
              </w:rPr>
              <w:t>挂网喷锚</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14" w:lineRule="exact"/>
              <w:ind w:left="423"/>
            </w:pPr>
            <w:r>
              <w:rPr>
                <w:rFonts w:ascii="Times New Roman" w:hAnsi="Times New Roman" w:cs="Times New Roman"/>
                <w:position w:val="-4"/>
                <w:sz w:val="20"/>
              </w:rPr>
              <w:t>m</w:t>
            </w:r>
            <w:r>
              <w:rPr>
                <w:rFonts w:ascii="Times New Roman" w:hAnsi="Times New Roman" w:cs="Times New Roman"/>
                <w:spacing w:val="-4"/>
                <w:sz w:val="13"/>
              </w:rPr>
              <w:t>2</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6" w:lineRule="exact"/>
              <w:ind w:left="282"/>
            </w:pPr>
            <w:r>
              <w:rPr>
                <w:spacing w:val="-1"/>
                <w:sz w:val="20"/>
              </w:rPr>
              <w:t>依据图纸所示位置及</w:t>
            </w:r>
          </w:p>
          <w:p>
            <w:pPr>
              <w:spacing w:line="271" w:lineRule="exact"/>
              <w:ind w:left="109"/>
            </w:pPr>
            <w:r>
              <w:rPr>
                <w:spacing w:val="-1"/>
                <w:sz w:val="20"/>
              </w:rPr>
              <w:t>混凝土或砂浆强度等级，</w:t>
            </w:r>
          </w:p>
          <w:p>
            <w:pPr>
              <w:spacing w:line="274" w:lineRule="exact"/>
              <w:ind w:left="109"/>
            </w:pPr>
            <w:r>
              <w:rPr>
                <w:spacing w:val="-1"/>
                <w:sz w:val="20"/>
              </w:rPr>
              <w:t>按照不同厚度喷射混凝</w:t>
            </w:r>
          </w:p>
          <w:p>
            <w:pPr>
              <w:spacing w:line="271" w:lineRule="exact"/>
              <w:ind w:left="109"/>
            </w:pPr>
            <w:r>
              <w:rPr>
                <w:spacing w:val="-1"/>
                <w:sz w:val="20"/>
              </w:rPr>
              <w:t>土或砂浆防护面积，以平</w:t>
            </w:r>
          </w:p>
          <w:p>
            <w:pPr>
              <w:spacing w:line="274" w:lineRule="exact"/>
              <w:ind w:left="109"/>
            </w:pPr>
            <w:r>
              <w:rPr>
                <w:spacing w:val="-1"/>
                <w:sz w:val="20"/>
              </w:rPr>
              <w:t>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1"/>
            </w:pPr>
            <w:r>
              <w:rPr>
                <w:rFonts w:ascii="Times New Roman" w:hAnsi="Times New Roman" w:cs="Times New Roman"/>
                <w:sz w:val="20"/>
              </w:rPr>
              <w:t>1.</w:t>
            </w:r>
            <w:r>
              <w:rPr>
                <w:spacing w:val="-1"/>
                <w:position w:val="1"/>
                <w:sz w:val="20"/>
              </w:rPr>
              <w:t>坡面清理、修整；</w:t>
            </w:r>
          </w:p>
          <w:p>
            <w:pPr>
              <w:spacing w:line="271" w:lineRule="exact"/>
              <w:ind w:left="281"/>
            </w:pPr>
            <w:r>
              <w:rPr>
                <w:rFonts w:ascii="Times New Roman" w:hAnsi="Times New Roman" w:cs="Times New Roman"/>
                <w:sz w:val="20"/>
              </w:rPr>
              <w:t>2.</w:t>
            </w:r>
            <w:r>
              <w:rPr>
                <w:spacing w:val="-1"/>
                <w:position w:val="1"/>
                <w:sz w:val="20"/>
              </w:rPr>
              <w:t>钻孔，制作、安放、</w:t>
            </w:r>
          </w:p>
          <w:p>
            <w:pPr>
              <w:spacing w:line="237" w:lineRule="exact"/>
              <w:ind w:left="108"/>
            </w:pPr>
            <w:r>
              <w:rPr>
                <w:spacing w:val="-1"/>
                <w:sz w:val="20"/>
              </w:rPr>
              <w:t>固定锚杆；</w:t>
            </w:r>
          </w:p>
          <w:p>
            <w:pPr>
              <w:spacing w:line="308" w:lineRule="exact"/>
              <w:ind w:left="281"/>
            </w:pPr>
            <w:r>
              <w:rPr>
                <w:rFonts w:ascii="Times New Roman" w:hAnsi="Times New Roman" w:cs="Times New Roman"/>
                <w:sz w:val="20"/>
              </w:rPr>
              <w:t>3.</w:t>
            </w:r>
            <w:r>
              <w:rPr>
                <w:spacing w:val="-1"/>
                <w:position w:val="1"/>
                <w:sz w:val="20"/>
              </w:rPr>
              <w:t>挂网、支承及固定；</w:t>
            </w:r>
          </w:p>
          <w:p>
            <w:pPr>
              <w:spacing w:line="271" w:lineRule="exact"/>
              <w:ind w:left="281"/>
            </w:pPr>
            <w:r>
              <w:rPr>
                <w:rFonts w:ascii="Times New Roman" w:hAnsi="Times New Roman" w:cs="Times New Roman"/>
                <w:sz w:val="20"/>
              </w:rPr>
              <w:t>4.</w:t>
            </w:r>
            <w:r>
              <w:rPr>
                <w:spacing w:val="-1"/>
                <w:position w:val="1"/>
                <w:sz w:val="20"/>
              </w:rPr>
              <w:t>混凝土或砂浆拌制；</w:t>
            </w:r>
          </w:p>
          <w:p>
            <w:pPr>
              <w:spacing w:line="274" w:lineRule="exact"/>
              <w:ind w:left="281"/>
            </w:pPr>
            <w:r>
              <w:rPr>
                <w:rFonts w:ascii="Times New Roman" w:hAnsi="Times New Roman" w:cs="Times New Roman"/>
                <w:sz w:val="20"/>
              </w:rPr>
              <w:t>5.</w:t>
            </w:r>
            <w:r>
              <w:rPr>
                <w:spacing w:val="-1"/>
                <w:position w:val="1"/>
                <w:sz w:val="20"/>
              </w:rPr>
              <w:t>喷射；</w:t>
            </w:r>
          </w:p>
          <w:p>
            <w:pPr>
              <w:spacing w:line="271" w:lineRule="exact"/>
              <w:ind w:left="281"/>
            </w:pPr>
            <w:r>
              <w:rPr>
                <w:rFonts w:ascii="Times New Roman" w:hAnsi="Times New Roman" w:cs="Times New Roman"/>
                <w:sz w:val="20"/>
              </w:rPr>
              <w:t>6.</w:t>
            </w:r>
            <w:r>
              <w:rPr>
                <w:spacing w:val="-1"/>
                <w:position w:val="1"/>
                <w:sz w:val="20"/>
              </w:rPr>
              <w:t>沉降缝设置；</w:t>
            </w:r>
          </w:p>
          <w:p>
            <w:pPr>
              <w:spacing w:line="274" w:lineRule="exact"/>
              <w:ind w:left="281"/>
            </w:pPr>
            <w:r>
              <w:rPr>
                <w:rFonts w:ascii="Times New Roman" w:hAnsi="Times New Roman" w:cs="Times New Roman"/>
                <w:sz w:val="20"/>
              </w:rPr>
              <w:t>7.</w:t>
            </w:r>
            <w:r>
              <w:rPr>
                <w:spacing w:val="-1"/>
                <w:position w:val="1"/>
                <w:sz w:val="20"/>
              </w:rPr>
              <w:t>设备安装与拆除；</w:t>
            </w:r>
          </w:p>
          <w:p>
            <w:pPr>
              <w:spacing w:line="271" w:lineRule="exact"/>
              <w:ind w:left="281"/>
            </w:pPr>
            <w:r>
              <w:rPr>
                <w:rFonts w:ascii="Times New Roman" w:hAnsi="Times New Roman" w:cs="Times New Roman"/>
                <w:sz w:val="20"/>
              </w:rPr>
              <w:t>8.</w:t>
            </w:r>
            <w:r>
              <w:rPr>
                <w:spacing w:val="-1"/>
                <w:position w:val="1"/>
                <w:sz w:val="20"/>
              </w:rPr>
              <w:t>养护；</w:t>
            </w:r>
          </w:p>
          <w:p>
            <w:pPr>
              <w:spacing w:line="274" w:lineRule="exact"/>
              <w:ind w:left="281"/>
            </w:pPr>
            <w:r>
              <w:rPr>
                <w:rFonts w:ascii="Times New Roman" w:hAnsi="Times New Roman" w:cs="Times New Roman"/>
                <w:sz w:val="20"/>
              </w:rPr>
              <w:t>9.</w:t>
            </w:r>
            <w:r>
              <w:rPr>
                <w:spacing w:val="-1"/>
                <w:position w:val="1"/>
                <w:sz w:val="20"/>
              </w:rPr>
              <w:t>现场清理</w:t>
            </w:r>
          </w:p>
        </w:tc>
      </w:tr>
      <w:tr>
        <w:tblPrEx>
          <w:tblCellMar>
            <w:top w:w="0" w:type="dxa"/>
            <w:left w:w="108" w:type="dxa"/>
            <w:bottom w:w="0" w:type="dxa"/>
            <w:right w:w="108" w:type="dxa"/>
          </w:tblCellMar>
        </w:tblPrEx>
        <w:trPr>
          <w:trHeight w:val="218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31" w:lineRule="exact"/>
              <w:ind w:left="493"/>
            </w:pPr>
            <w:r>
              <w:rPr>
                <w:rFonts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96" w:lineRule="exact"/>
              <w:ind w:left="282"/>
            </w:pPr>
            <w:r>
              <w:rPr>
                <w:spacing w:val="-1"/>
                <w:sz w:val="20"/>
              </w:rPr>
              <w:t>素喷（不挂网）</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42" w:lineRule="exact"/>
              <w:ind w:left="423"/>
            </w:pPr>
            <w:r>
              <w:rPr>
                <w:rFonts w:ascii="Times New Roman" w:hAnsi="Times New Roman" w:cs="Times New Roman"/>
                <w:position w:val="-4"/>
                <w:sz w:val="20"/>
              </w:rPr>
              <w:t>m</w:t>
            </w:r>
            <w:r>
              <w:rPr>
                <w:rFonts w:ascii="Times New Roman" w:hAnsi="Times New Roman" w:cs="Times New Roman"/>
                <w:spacing w:val="-4"/>
                <w:sz w:val="13"/>
              </w:rPr>
              <w:t>2</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52" w:lineRule="exact"/>
              <w:ind w:left="282"/>
            </w:pPr>
            <w:r>
              <w:rPr>
                <w:spacing w:val="-1"/>
                <w:sz w:val="20"/>
              </w:rPr>
              <w:t>依据图纸所示位置及</w:t>
            </w:r>
          </w:p>
          <w:p>
            <w:pPr>
              <w:spacing w:line="274" w:lineRule="exact"/>
              <w:ind w:left="109"/>
            </w:pPr>
            <w:r>
              <w:rPr>
                <w:spacing w:val="-1"/>
                <w:sz w:val="20"/>
              </w:rPr>
              <w:t>混凝土或砂浆强度等级，</w:t>
            </w:r>
          </w:p>
          <w:p>
            <w:pPr>
              <w:spacing w:line="271" w:lineRule="exact"/>
              <w:ind w:left="109"/>
            </w:pPr>
            <w:r>
              <w:rPr>
                <w:spacing w:val="-1"/>
                <w:sz w:val="20"/>
              </w:rPr>
              <w:t>按照不同厚度喷射混凝</w:t>
            </w:r>
          </w:p>
          <w:p>
            <w:pPr>
              <w:spacing w:line="274" w:lineRule="exact"/>
              <w:ind w:left="109"/>
            </w:pPr>
            <w:r>
              <w:rPr>
                <w:spacing w:val="-1"/>
                <w:sz w:val="20"/>
              </w:rPr>
              <w:t>土或砂浆防护面积，以平</w:t>
            </w:r>
          </w:p>
          <w:p>
            <w:pPr>
              <w:spacing w:line="271" w:lineRule="exact"/>
              <w:ind w:left="109"/>
            </w:pPr>
            <w:r>
              <w:rPr>
                <w:spacing w:val="-1"/>
                <w:sz w:val="20"/>
              </w:rPr>
              <w:t>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8" w:lineRule="exact"/>
              <w:ind w:left="281"/>
            </w:pPr>
            <w:r>
              <w:rPr>
                <w:rFonts w:ascii="Times New Roman" w:hAnsi="Times New Roman" w:cs="Times New Roman"/>
                <w:sz w:val="20"/>
              </w:rPr>
              <w:t>1.</w:t>
            </w:r>
            <w:r>
              <w:rPr>
                <w:spacing w:val="-1"/>
                <w:position w:val="1"/>
                <w:sz w:val="20"/>
              </w:rPr>
              <w:t>坡面清理、修整；</w:t>
            </w:r>
          </w:p>
          <w:p>
            <w:pPr>
              <w:spacing w:line="274" w:lineRule="exact"/>
              <w:ind w:left="281"/>
            </w:pPr>
            <w:r>
              <w:rPr>
                <w:rFonts w:ascii="Times New Roman" w:hAnsi="Times New Roman" w:cs="Times New Roman"/>
                <w:sz w:val="20"/>
              </w:rPr>
              <w:t>2.</w:t>
            </w:r>
            <w:r>
              <w:rPr>
                <w:rFonts w:ascii="Calibri" w:hAnsi="Calibri" w:cs="Calibri"/>
                <w:sz w:val="20"/>
              </w:rPr>
              <w:t>  </w:t>
            </w:r>
            <w:r>
              <w:rPr>
                <w:spacing w:val="-1"/>
                <w:position w:val="1"/>
                <w:sz w:val="20"/>
              </w:rPr>
              <w:t>混凝土或水泥砂浆</w:t>
            </w:r>
          </w:p>
          <w:p>
            <w:pPr>
              <w:spacing w:line="237" w:lineRule="exact"/>
              <w:ind w:left="108"/>
            </w:pPr>
            <w:r>
              <w:rPr>
                <w:spacing w:val="-1"/>
                <w:sz w:val="20"/>
              </w:rPr>
              <w:t>拌制；</w:t>
            </w:r>
          </w:p>
          <w:p>
            <w:pPr>
              <w:spacing w:line="308" w:lineRule="exact"/>
              <w:ind w:left="281"/>
            </w:pPr>
            <w:r>
              <w:rPr>
                <w:rFonts w:ascii="Times New Roman" w:hAnsi="Times New Roman" w:cs="Times New Roman"/>
                <w:sz w:val="20"/>
              </w:rPr>
              <w:t>3.</w:t>
            </w:r>
            <w:r>
              <w:rPr>
                <w:spacing w:val="-1"/>
                <w:position w:val="1"/>
                <w:sz w:val="20"/>
              </w:rPr>
              <w:t>喷射；</w:t>
            </w:r>
          </w:p>
          <w:p>
            <w:pPr>
              <w:spacing w:line="271" w:lineRule="exact"/>
              <w:ind w:left="281"/>
            </w:pPr>
            <w:r>
              <w:rPr>
                <w:rFonts w:ascii="Times New Roman" w:hAnsi="Times New Roman" w:cs="Times New Roman"/>
                <w:sz w:val="20"/>
              </w:rPr>
              <w:t>4.</w:t>
            </w:r>
            <w:r>
              <w:rPr>
                <w:spacing w:val="-1"/>
                <w:position w:val="1"/>
                <w:sz w:val="20"/>
              </w:rPr>
              <w:t>沉降缝设置；</w:t>
            </w:r>
          </w:p>
          <w:p>
            <w:pPr>
              <w:spacing w:line="271" w:lineRule="exact"/>
              <w:ind w:left="281"/>
            </w:pPr>
            <w:r>
              <w:rPr>
                <w:rFonts w:ascii="Times New Roman" w:hAnsi="Times New Roman" w:cs="Times New Roman"/>
                <w:sz w:val="20"/>
              </w:rPr>
              <w:t>5.</w:t>
            </w:r>
            <w:r>
              <w:rPr>
                <w:spacing w:val="-1"/>
                <w:position w:val="1"/>
                <w:sz w:val="20"/>
              </w:rPr>
              <w:t>设备安装与拆除；</w:t>
            </w:r>
          </w:p>
          <w:p>
            <w:pPr>
              <w:spacing w:line="274" w:lineRule="exact"/>
              <w:ind w:left="281"/>
            </w:pPr>
            <w:r>
              <w:rPr>
                <w:rFonts w:ascii="Times New Roman" w:hAnsi="Times New Roman" w:cs="Times New Roman"/>
                <w:sz w:val="20"/>
              </w:rPr>
              <w:t>6.</w:t>
            </w:r>
            <w:r>
              <w:rPr>
                <w:spacing w:val="-1"/>
                <w:position w:val="1"/>
                <w:sz w:val="20"/>
              </w:rPr>
              <w:t>养护；</w:t>
            </w:r>
          </w:p>
          <w:p>
            <w:pPr>
              <w:spacing w:line="271" w:lineRule="exact"/>
              <w:ind w:left="281"/>
            </w:pPr>
            <w:r>
              <w:rPr>
                <w:rFonts w:ascii="Times New Roman" w:hAnsi="Times New Roman" w:cs="Times New Roman"/>
                <w:sz w:val="20"/>
              </w:rPr>
              <w:t>7.</w:t>
            </w:r>
            <w:r>
              <w:rPr>
                <w:spacing w:val="-1"/>
                <w:position w:val="1"/>
                <w:sz w:val="20"/>
              </w:rPr>
              <w:t>现场清理</w:t>
            </w:r>
          </w:p>
        </w:tc>
      </w:tr>
      <w:tr>
        <w:trPr>
          <w:trHeight w:val="51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4" w:lineRule="exact"/>
              <w:ind w:left="337"/>
            </w:pPr>
            <w:r>
              <w:rPr>
                <w:rFonts w:ascii="Times New Roman" w:hAnsi="Times New Roman" w:cs="Times New Roman"/>
                <w:spacing w:val="-1"/>
                <w:sz w:val="20"/>
              </w:rPr>
              <w:t>602-1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ind w:left="282"/>
            </w:pPr>
            <w:r>
              <w:rPr>
                <w:spacing w:val="-1"/>
                <w:sz w:val="20"/>
              </w:rPr>
              <w:t>护坡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r>
      <w:tr>
        <w:trPr>
          <w:trHeight w:val="51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5" w:lineRule="exact"/>
              <w:ind w:left="500"/>
            </w:pPr>
            <w:r>
              <w:rPr>
                <w:rFonts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ind w:left="282"/>
            </w:pPr>
            <w:r>
              <w:rPr>
                <w:spacing w:val="-1"/>
                <w:sz w:val="20"/>
              </w:rPr>
              <w:t>混凝土护坡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r>
      <w:tr>
        <w:tblPrEx>
          <w:tblCellMar>
            <w:top w:w="0" w:type="dxa"/>
            <w:left w:w="108" w:type="dxa"/>
            <w:bottom w:w="0" w:type="dxa"/>
            <w:right w:w="108" w:type="dxa"/>
          </w:tblCellMar>
        </w:tblPrEx>
        <w:trPr>
          <w:trHeight w:val="300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641" w:lineRule="exact"/>
              <w:ind w:left="411"/>
            </w:pPr>
            <w:r>
              <w:rPr>
                <w:rFonts w:ascii="Times New Roman" w:hAnsi="Times New Roman" w:cs="Times New Roman"/>
                <w:spacing w:val="-1"/>
                <w:sz w:val="20"/>
              </w:rPr>
              <w:t>-a-1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70" w:lineRule="exact"/>
              <w:ind w:left="282"/>
            </w:pPr>
            <w:r>
              <w:rPr>
                <w:spacing w:val="-1"/>
                <w:sz w:val="20"/>
              </w:rPr>
              <w:t>现浇混凝土护</w:t>
            </w:r>
          </w:p>
          <w:p>
            <w:pPr>
              <w:spacing w:line="274" w:lineRule="exact"/>
              <w:ind w:left="107"/>
            </w:pPr>
            <w:r>
              <w:rPr>
                <w:spacing w:val="-1"/>
                <w:sz w:val="20"/>
              </w:rPr>
              <w:t>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610" w:lineRule="exact"/>
              <w:ind w:left="423"/>
            </w:pPr>
            <w:r>
              <w:rPr>
                <w:rFonts w:ascii="Times New Roman" w:hAnsi="Times New Roman" w:cs="Times New Roman"/>
                <w:position w:val="-4"/>
                <w:sz w:val="20"/>
              </w:rPr>
              <w:t>m</w:t>
            </w:r>
            <w:r>
              <w:rPr>
                <w:rFonts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62" w:lineRule="exact"/>
              <w:ind w:left="282"/>
            </w:pPr>
            <w:r>
              <w:rPr>
                <w:spacing w:val="-1"/>
                <w:sz w:val="20"/>
              </w:rPr>
              <w:t>依据图纸所示位置及</w:t>
            </w:r>
          </w:p>
          <w:p>
            <w:pPr>
              <w:spacing w:line="271" w:lineRule="exact"/>
              <w:ind w:left="109"/>
            </w:pPr>
            <w:r>
              <w:rPr>
                <w:spacing w:val="-1"/>
                <w:sz w:val="20"/>
              </w:rPr>
              <w:t>断面尺寸，按照不同强度</w:t>
            </w:r>
          </w:p>
          <w:p>
            <w:pPr>
              <w:spacing w:line="274" w:lineRule="exact"/>
              <w:ind w:left="109"/>
            </w:pPr>
            <w:r>
              <w:rPr>
                <w:spacing w:val="-1"/>
                <w:sz w:val="20"/>
              </w:rPr>
              <w:t>等级混凝土浇筑的实体</w:t>
            </w:r>
          </w:p>
          <w:p>
            <w:pPr>
              <w:spacing w:line="271" w:lineRule="exact"/>
              <w:ind w:left="109"/>
            </w:pPr>
            <w:r>
              <w:rPr>
                <w:spacing w:val="-1"/>
                <w:sz w:val="20"/>
              </w:rPr>
              <w:t>体积以立方米为单位计</w:t>
            </w:r>
          </w:p>
          <w:p>
            <w:pPr>
              <w:spacing w:line="274" w:lineRule="exact"/>
              <w:ind w:left="109"/>
            </w:pPr>
            <w:r>
              <w:rPr>
                <w:spacing w:val="-1"/>
                <w:sz w:val="20"/>
              </w:rPr>
              <w:t>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清理边坡，坡面夯实，</w:t>
            </w:r>
          </w:p>
          <w:p>
            <w:pPr>
              <w:spacing w:line="237" w:lineRule="exact"/>
              <w:ind w:left="108"/>
            </w:pPr>
            <w:r>
              <w:rPr>
                <w:spacing w:val="-1"/>
                <w:sz w:val="20"/>
              </w:rPr>
              <w:t>基坑开挖；</w:t>
            </w:r>
          </w:p>
          <w:p>
            <w:pPr>
              <w:spacing w:line="308" w:lineRule="exact"/>
              <w:ind w:left="281"/>
            </w:pPr>
            <w:r>
              <w:rPr>
                <w:rFonts w:ascii="Times New Roman" w:hAnsi="Times New Roman" w:cs="Times New Roman"/>
                <w:sz w:val="20"/>
              </w:rPr>
              <w:t>2.</w:t>
            </w:r>
            <w:r>
              <w:rPr>
                <w:spacing w:val="-1"/>
                <w:position w:val="1"/>
                <w:sz w:val="20"/>
              </w:rPr>
              <w:t>铺筑砂砾垫层；</w:t>
            </w:r>
          </w:p>
          <w:p>
            <w:pPr>
              <w:spacing w:line="271" w:lineRule="exact"/>
              <w:ind w:left="281"/>
            </w:pPr>
            <w:r>
              <w:rPr>
                <w:rFonts w:ascii="Times New Roman" w:hAnsi="Times New Roman" w:cs="Times New Roman"/>
                <w:sz w:val="20"/>
              </w:rPr>
              <w:t>3.</w:t>
            </w:r>
            <w:r>
              <w:rPr>
                <w:spacing w:val="-1"/>
                <w:position w:val="1"/>
                <w:sz w:val="20"/>
              </w:rPr>
              <w:t>模板制作、安装、拆</w:t>
            </w:r>
          </w:p>
          <w:p>
            <w:pPr>
              <w:spacing w:line="239" w:lineRule="exact"/>
              <w:ind w:left="108"/>
            </w:pPr>
            <w:r>
              <w:rPr>
                <w:spacing w:val="-1"/>
                <w:sz w:val="20"/>
              </w:rPr>
              <w:t>除；</w:t>
            </w:r>
          </w:p>
          <w:p>
            <w:pPr>
              <w:spacing w:line="306" w:lineRule="exact"/>
              <w:ind w:left="281"/>
            </w:pPr>
            <w:r>
              <w:rPr>
                <w:rFonts w:ascii="Times New Roman" w:hAnsi="Times New Roman" w:cs="Times New Roman"/>
                <w:sz w:val="20"/>
              </w:rPr>
              <w:t>4.</w:t>
            </w:r>
            <w:r>
              <w:rPr>
                <w:spacing w:val="-1"/>
                <w:position w:val="1"/>
                <w:sz w:val="20"/>
              </w:rPr>
              <w:t>混凝土拌和、运输、</w:t>
            </w:r>
          </w:p>
          <w:p>
            <w:pPr>
              <w:spacing w:line="239" w:lineRule="exact"/>
              <w:ind w:left="108"/>
            </w:pPr>
            <w:r>
              <w:rPr>
                <w:spacing w:val="-1"/>
                <w:sz w:val="20"/>
              </w:rPr>
              <w:t>浇筑、养护；</w:t>
            </w:r>
          </w:p>
          <w:p>
            <w:pPr>
              <w:spacing w:line="306" w:lineRule="exact"/>
              <w:ind w:left="281"/>
            </w:pPr>
            <w:r>
              <w:rPr>
                <w:rFonts w:ascii="Times New Roman" w:hAnsi="Times New Roman" w:cs="Times New Roman"/>
                <w:sz w:val="20"/>
              </w:rPr>
              <w:t>5.</w:t>
            </w:r>
            <w:r>
              <w:rPr>
                <w:spacing w:val="-1"/>
                <w:position w:val="1"/>
                <w:sz w:val="20"/>
              </w:rPr>
              <w:t>勾缝、填缝、沉降缝、</w:t>
            </w:r>
          </w:p>
          <w:p>
            <w:pPr>
              <w:spacing w:line="237" w:lineRule="exact"/>
              <w:ind w:left="108"/>
            </w:pPr>
            <w:r>
              <w:rPr>
                <w:spacing w:val="-1"/>
                <w:sz w:val="20"/>
              </w:rPr>
              <w:t>泄水管；</w:t>
            </w:r>
          </w:p>
          <w:p>
            <w:pPr>
              <w:spacing w:line="308" w:lineRule="exact"/>
              <w:ind w:left="281"/>
            </w:pPr>
            <w:r>
              <w:rPr>
                <w:rFonts w:ascii="Times New Roman" w:hAnsi="Times New Roman" w:cs="Times New Roman"/>
                <w:sz w:val="20"/>
              </w:rPr>
              <w:t>6.</w:t>
            </w:r>
            <w:r>
              <w:rPr>
                <w:spacing w:val="-1"/>
                <w:position w:val="1"/>
                <w:sz w:val="20"/>
              </w:rPr>
              <w:t>回填；</w:t>
            </w:r>
          </w:p>
          <w:p>
            <w:pPr>
              <w:spacing w:line="271" w:lineRule="exact"/>
              <w:ind w:left="281"/>
            </w:pPr>
            <w:r>
              <w:rPr>
                <w:rFonts w:ascii="Times New Roman" w:hAnsi="Times New Roman" w:cs="Times New Roman"/>
                <w:sz w:val="20"/>
              </w:rPr>
              <w:t>7.</w:t>
            </w:r>
            <w:r>
              <w:rPr>
                <w:spacing w:val="-1"/>
                <w:position w:val="1"/>
                <w:sz w:val="20"/>
              </w:rPr>
              <w:t>清理现场</w:t>
            </w:r>
          </w:p>
        </w:tc>
      </w:tr>
      <w:tr>
        <w:trPr>
          <w:trHeight w:val="300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640" w:lineRule="exact"/>
              <w:ind w:left="411"/>
            </w:pPr>
            <w:r>
              <w:rPr>
                <w:rFonts w:ascii="Times New Roman" w:hAnsi="Times New Roman" w:cs="Times New Roman"/>
                <w:spacing w:val="-1"/>
                <w:sz w:val="20"/>
              </w:rPr>
              <w:t>-a-2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71" w:lineRule="exact"/>
              <w:ind w:left="282"/>
            </w:pPr>
            <w:r>
              <w:rPr>
                <w:spacing w:val="-1"/>
                <w:sz w:val="20"/>
              </w:rPr>
              <w:t>混凝土预制件</w:t>
            </w:r>
          </w:p>
          <w:p>
            <w:pPr>
              <w:spacing w:line="271" w:lineRule="exact"/>
              <w:ind w:left="107"/>
            </w:pPr>
            <w:r>
              <w:rPr>
                <w:spacing w:val="-1"/>
                <w:sz w:val="20"/>
              </w:rPr>
              <w:t>护坡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551" w:lineRule="exact"/>
              <w:ind w:left="423"/>
            </w:pPr>
            <w:r>
              <w:rPr>
                <w:rFonts w:ascii="Times New Roman" w:hAnsi="Times New Roman" w:cs="Times New Roman"/>
                <w:position w:val="-4"/>
                <w:sz w:val="20"/>
              </w:rPr>
              <w:t>m</w:t>
            </w:r>
            <w:r>
              <w:rPr>
                <w:rFonts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60" w:lineRule="exact"/>
              <w:ind w:left="282"/>
            </w:pPr>
            <w:r>
              <w:rPr>
                <w:spacing w:val="-1"/>
                <w:sz w:val="20"/>
              </w:rPr>
              <w:t>依据图纸所示位置和</w:t>
            </w:r>
          </w:p>
          <w:p>
            <w:pPr>
              <w:spacing w:line="274" w:lineRule="exact"/>
              <w:ind w:left="109"/>
            </w:pPr>
            <w:r>
              <w:rPr>
                <w:spacing w:val="-1"/>
                <w:sz w:val="20"/>
              </w:rPr>
              <w:t>构造尺寸，按照不同强度</w:t>
            </w:r>
          </w:p>
          <w:p>
            <w:pPr>
              <w:spacing w:line="271" w:lineRule="exact"/>
              <w:ind w:left="109"/>
            </w:pPr>
            <w:r>
              <w:rPr>
                <w:spacing w:val="-1"/>
                <w:sz w:val="20"/>
              </w:rPr>
              <w:t>等级混凝土预制件铺砌</w:t>
            </w:r>
          </w:p>
          <w:p>
            <w:pPr>
              <w:spacing w:line="274" w:lineRule="exact"/>
              <w:ind w:left="109"/>
            </w:pPr>
            <w:r>
              <w:rPr>
                <w:spacing w:val="-1"/>
                <w:sz w:val="20"/>
              </w:rPr>
              <w:t>坡面的实体体积以立方</w:t>
            </w:r>
          </w:p>
          <w:p>
            <w:pPr>
              <w:spacing w:line="271" w:lineRule="exact"/>
              <w:ind w:left="109"/>
            </w:pPr>
            <w:r>
              <w:rPr>
                <w:spacing w:val="-1"/>
                <w:sz w:val="20"/>
              </w:rPr>
              <w:t>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清理边坡，坡面夯实，</w:t>
            </w:r>
          </w:p>
          <w:p>
            <w:pPr>
              <w:spacing w:line="239" w:lineRule="exact"/>
              <w:ind w:left="108"/>
            </w:pPr>
            <w:r>
              <w:rPr>
                <w:spacing w:val="-1"/>
                <w:sz w:val="20"/>
              </w:rPr>
              <w:t>基坑开挖；</w:t>
            </w:r>
          </w:p>
          <w:p>
            <w:pPr>
              <w:spacing w:line="306" w:lineRule="exact"/>
              <w:ind w:left="281"/>
            </w:pPr>
            <w:r>
              <w:rPr>
                <w:rFonts w:ascii="Times New Roman" w:hAnsi="Times New Roman" w:cs="Times New Roman"/>
                <w:sz w:val="20"/>
              </w:rPr>
              <w:t>2.</w:t>
            </w:r>
            <w:r>
              <w:rPr>
                <w:spacing w:val="-1"/>
                <w:position w:val="1"/>
                <w:sz w:val="20"/>
              </w:rPr>
              <w:t>铺筑砂砾垫层；</w:t>
            </w:r>
          </w:p>
          <w:p>
            <w:pPr>
              <w:spacing w:line="274" w:lineRule="exact"/>
              <w:ind w:left="281"/>
            </w:pPr>
            <w:r>
              <w:rPr>
                <w:rFonts w:ascii="Times New Roman" w:hAnsi="Times New Roman" w:cs="Times New Roman"/>
                <w:sz w:val="20"/>
              </w:rPr>
              <w:t>3.</w:t>
            </w:r>
            <w:r>
              <w:rPr>
                <w:spacing w:val="-1"/>
                <w:position w:val="1"/>
                <w:sz w:val="20"/>
              </w:rPr>
              <w:t>预制场建设；</w:t>
            </w:r>
          </w:p>
          <w:p>
            <w:pPr>
              <w:spacing w:line="271" w:lineRule="exact"/>
              <w:ind w:left="281"/>
            </w:pPr>
            <w:r>
              <w:rPr>
                <w:rFonts w:ascii="Times New Roman" w:hAnsi="Times New Roman" w:cs="Times New Roman"/>
                <w:sz w:val="20"/>
              </w:rPr>
              <w:t>4.</w:t>
            </w:r>
            <w:r>
              <w:rPr>
                <w:spacing w:val="-1"/>
                <w:position w:val="1"/>
                <w:sz w:val="20"/>
              </w:rPr>
              <w:t>预制件预制、运输、</w:t>
            </w:r>
          </w:p>
          <w:p>
            <w:pPr>
              <w:spacing w:line="237" w:lineRule="exact"/>
              <w:ind w:left="108"/>
            </w:pPr>
            <w:r>
              <w:rPr>
                <w:spacing w:val="-1"/>
                <w:sz w:val="20"/>
              </w:rPr>
              <w:t>装卸；</w:t>
            </w:r>
          </w:p>
          <w:p>
            <w:pPr>
              <w:spacing w:line="308" w:lineRule="exact"/>
              <w:ind w:left="281"/>
            </w:pPr>
            <w:r>
              <w:rPr>
                <w:rFonts w:ascii="Times New Roman" w:hAnsi="Times New Roman" w:cs="Times New Roman"/>
                <w:sz w:val="20"/>
              </w:rPr>
              <w:t>5.</w:t>
            </w:r>
            <w:r>
              <w:rPr>
                <w:spacing w:val="-1"/>
                <w:position w:val="1"/>
                <w:sz w:val="20"/>
              </w:rPr>
              <w:t>预制件安装；</w:t>
            </w:r>
          </w:p>
          <w:p>
            <w:pPr>
              <w:spacing w:line="274" w:lineRule="exact"/>
              <w:ind w:left="281"/>
            </w:pPr>
            <w:r>
              <w:rPr>
                <w:rFonts w:ascii="Times New Roman" w:hAnsi="Times New Roman" w:cs="Times New Roman"/>
                <w:sz w:val="20"/>
              </w:rPr>
              <w:t>6.</w:t>
            </w:r>
            <w:r>
              <w:rPr>
                <w:spacing w:val="-1"/>
                <w:position w:val="1"/>
                <w:sz w:val="20"/>
              </w:rPr>
              <w:t>勾缝、填缝、沉降缝、</w:t>
            </w:r>
          </w:p>
          <w:p>
            <w:pPr>
              <w:spacing w:line="236" w:lineRule="exact"/>
              <w:ind w:left="108"/>
            </w:pPr>
            <w:r>
              <w:rPr>
                <w:spacing w:val="-1"/>
                <w:sz w:val="20"/>
              </w:rPr>
              <w:t>泄水管；</w:t>
            </w:r>
          </w:p>
          <w:p>
            <w:pPr>
              <w:spacing w:line="308" w:lineRule="exact"/>
              <w:ind w:left="281"/>
            </w:pPr>
            <w:r>
              <w:rPr>
                <w:rFonts w:ascii="Times New Roman" w:hAnsi="Times New Roman" w:cs="Times New Roman"/>
                <w:sz w:val="20"/>
              </w:rPr>
              <w:t>7.</w:t>
            </w:r>
            <w:r>
              <w:rPr>
                <w:spacing w:val="-1"/>
                <w:position w:val="1"/>
                <w:sz w:val="20"/>
              </w:rPr>
              <w:t>回填；</w:t>
            </w:r>
          </w:p>
          <w:p>
            <w:pPr>
              <w:spacing w:line="271" w:lineRule="exact"/>
              <w:ind w:left="281"/>
            </w:pPr>
            <w:r>
              <w:rPr>
                <w:rFonts w:ascii="Times New Roman" w:hAnsi="Times New Roman" w:cs="Times New Roman"/>
                <w:sz w:val="20"/>
              </w:rPr>
              <w:t>8.</w:t>
            </w:r>
            <w:r>
              <w:rPr>
                <w:spacing w:val="-1"/>
                <w:position w:val="1"/>
                <w:sz w:val="20"/>
              </w:rPr>
              <w:t>清理现场</w:t>
            </w:r>
          </w:p>
        </w:tc>
      </w:tr>
    </w:tbl>
    <w:p>
      <w:pPr>
        <w:spacing w:line="250" w:lineRule="exact"/>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161"/>
        <w:gridCol w:w="1769"/>
        <w:gridCol w:w="1080"/>
        <w:gridCol w:w="2130"/>
        <w:gridCol w:w="2875"/>
      </w:tblGrid>
      <w:tr>
        <w:tblPrEx>
          <w:tblCellMar>
            <w:top w:w="0" w:type="dxa"/>
            <w:left w:w="108" w:type="dxa"/>
            <w:bottom w:w="0" w:type="dxa"/>
            <w:right w:w="108" w:type="dxa"/>
          </w:tblCellMar>
        </w:tblPrEx>
        <w:trPr>
          <w:trHeight w:val="1701"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32" w:lineRule="exact"/>
              <w:ind w:left="493"/>
            </w:pPr>
            <w:r>
              <w:rPr>
                <w:rFonts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61" w:lineRule="exact"/>
              <w:ind w:left="282"/>
            </w:pPr>
            <w:r>
              <w:rPr>
                <w:spacing w:val="-1"/>
                <w:sz w:val="20"/>
              </w:rPr>
              <w:t>浆砌片（卵）石</w:t>
            </w:r>
          </w:p>
          <w:p>
            <w:pPr>
              <w:spacing w:line="274" w:lineRule="exact"/>
              <w:ind w:left="107"/>
            </w:pPr>
            <w:r>
              <w:rPr>
                <w:spacing w:val="-1"/>
                <w:sz w:val="20"/>
              </w:rPr>
              <w:t>护坡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43" w:lineRule="exact"/>
              <w:ind w:left="423"/>
            </w:pPr>
            <w:r>
              <w:rPr>
                <w:rFonts w:ascii="Times New Roman" w:hAnsi="Times New Roman" w:cs="Times New Roman"/>
                <w:position w:val="-4"/>
                <w:sz w:val="20"/>
              </w:rPr>
              <w:t>m</w:t>
            </w:r>
            <w:r>
              <w:rPr>
                <w:rFonts w:ascii="Times New Roman" w:hAnsi="Times New Roman" w:cs="Times New Roman"/>
                <w:spacing w:val="-4"/>
                <w:sz w:val="13"/>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89" w:lineRule="exact"/>
              <w:ind w:left="282"/>
            </w:pPr>
            <w:r>
              <w:rPr>
                <w:spacing w:val="-1"/>
                <w:sz w:val="20"/>
              </w:rPr>
              <w:t>依据图纸所示位置和</w:t>
            </w:r>
          </w:p>
          <w:p>
            <w:pPr>
              <w:spacing w:line="271" w:lineRule="exact"/>
              <w:ind w:left="109"/>
            </w:pPr>
            <w:r>
              <w:rPr>
                <w:spacing w:val="-1"/>
                <w:sz w:val="20"/>
              </w:rPr>
              <w:t>铺砌厚度、水泥砂浆强</w:t>
            </w:r>
          </w:p>
          <w:p>
            <w:pPr>
              <w:spacing w:line="274" w:lineRule="exact"/>
              <w:ind w:left="109"/>
            </w:pPr>
            <w:r>
              <w:rPr>
                <w:spacing w:val="-1"/>
                <w:sz w:val="20"/>
              </w:rPr>
              <w:t>度，按照铺砌体积以立方米为单位计量</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1.</w:t>
            </w:r>
            <w:r>
              <w:rPr>
                <w:spacing w:val="-1"/>
                <w:position w:val="1"/>
                <w:sz w:val="20"/>
              </w:rPr>
              <w:t>清理边坡，坡面夯实，</w:t>
            </w:r>
            <w:r>
              <w:rPr>
                <w:spacing w:val="-1"/>
                <w:sz w:val="20"/>
              </w:rPr>
              <w:t>基础开挖；</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2.</w:t>
            </w:r>
            <w:r>
              <w:rPr>
                <w:spacing w:val="-1"/>
                <w:position w:val="1"/>
                <w:sz w:val="20"/>
              </w:rPr>
              <w:t>铺筑砂砾垫层；</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3.</w:t>
            </w:r>
            <w:r>
              <w:rPr>
                <w:spacing w:val="-1"/>
                <w:position w:val="1"/>
                <w:sz w:val="20"/>
              </w:rPr>
              <w:t>浆砌片石；</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4.</w:t>
            </w:r>
            <w:r>
              <w:rPr>
                <w:spacing w:val="-1"/>
                <w:position w:val="1"/>
                <w:sz w:val="20"/>
              </w:rPr>
              <w:t>勾缝、抹面、泄水管、</w:t>
            </w:r>
            <w:r>
              <w:rPr>
                <w:spacing w:val="-1"/>
                <w:sz w:val="20"/>
              </w:rPr>
              <w:t>养护；</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5.</w:t>
            </w:r>
            <w:r>
              <w:rPr>
                <w:spacing w:val="-1"/>
                <w:position w:val="1"/>
                <w:sz w:val="20"/>
              </w:rPr>
              <w:t>回填；</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6.</w:t>
            </w:r>
            <w:r>
              <w:rPr>
                <w:spacing w:val="-1"/>
                <w:position w:val="1"/>
                <w:sz w:val="20"/>
              </w:rPr>
              <w:t>清理现场</w:t>
            </w:r>
          </w:p>
        </w:tc>
      </w:tr>
      <w:tr>
        <w:tblPrEx>
          <w:tblCellMar>
            <w:top w:w="0" w:type="dxa"/>
            <w:left w:w="108" w:type="dxa"/>
            <w:bottom w:w="0" w:type="dxa"/>
            <w:right w:w="108" w:type="dxa"/>
          </w:tblCellMar>
        </w:tblPrEx>
        <w:trPr>
          <w:trHeight w:val="170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32" w:lineRule="exact"/>
              <w:ind w:left="493"/>
              <w:rPr>
                <w:rFonts w:hint="default" w:ascii="Times New Roman" w:hAnsi="Times New Roman" w:eastAsia="宋体" w:cs="Times New Roman"/>
                <w:spacing w:val="-1"/>
                <w:sz w:val="20"/>
                <w:lang w:val="en-US" w:eastAsia="zh-CN"/>
              </w:rPr>
            </w:pPr>
            <w:r>
              <w:rPr>
                <w:rFonts w:hint="eastAsia" w:ascii="Times New Roman" w:hAnsi="Times New Roman" w:cs="Times New Roman"/>
                <w:spacing w:val="-1"/>
                <w:sz w:val="20"/>
                <w:lang w:val="en-US" w:eastAsia="zh-CN"/>
              </w:rPr>
              <w:t>-c</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spacing w:line="274" w:lineRule="exact"/>
              <w:ind w:left="107"/>
              <w:jc w:val="center"/>
              <w:rPr>
                <w:rFonts w:hint="eastAsia" w:eastAsia="宋体"/>
                <w:spacing w:val="-1"/>
                <w:sz w:val="20"/>
                <w:lang w:val="en-US" w:eastAsia="zh-CN"/>
              </w:rPr>
            </w:pPr>
            <w:r>
              <w:rPr>
                <w:rFonts w:hint="eastAsia"/>
                <w:spacing w:val="-1"/>
                <w:sz w:val="20"/>
                <w:lang w:val="en-US" w:eastAsia="zh-CN"/>
              </w:rPr>
              <w:t>铅丝石笼</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43" w:lineRule="exact"/>
              <w:ind w:left="423"/>
              <w:rPr>
                <w:rFonts w:ascii="Times New Roman" w:hAnsi="Times New Roman" w:cs="Times New Roman"/>
                <w:position w:val="-4"/>
                <w:sz w:val="20"/>
              </w:rPr>
            </w:pPr>
            <w:r>
              <w:rPr>
                <w:rFonts w:ascii="Times New Roman" w:hAnsi="Times New Roman" w:cs="Times New Roman"/>
                <w:position w:val="-4"/>
                <w:sz w:val="20"/>
              </w:rPr>
              <w:t>m</w:t>
            </w:r>
            <w:r>
              <w:rPr>
                <w:rFonts w:ascii="Times New Roman" w:hAnsi="Times New Roman" w:cs="Times New Roman"/>
                <w:spacing w:val="-4"/>
                <w:sz w:val="13"/>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89" w:lineRule="exact"/>
              <w:ind w:left="282"/>
            </w:pPr>
            <w:r>
              <w:rPr>
                <w:spacing w:val="-1"/>
                <w:sz w:val="20"/>
              </w:rPr>
              <w:t>依据图纸所示位置和</w:t>
            </w:r>
          </w:p>
          <w:p>
            <w:pPr>
              <w:spacing w:line="271" w:lineRule="exact"/>
              <w:ind w:left="109"/>
            </w:pPr>
            <w:r>
              <w:rPr>
                <w:spacing w:val="-1"/>
                <w:sz w:val="20"/>
              </w:rPr>
              <w:t>铺砌厚度、水泥砂浆强</w:t>
            </w:r>
          </w:p>
          <w:p>
            <w:pPr>
              <w:spacing w:line="274" w:lineRule="exact"/>
              <w:ind w:left="109"/>
              <w:rPr>
                <w:spacing w:val="-1"/>
                <w:sz w:val="20"/>
              </w:rPr>
            </w:pPr>
            <w:r>
              <w:rPr>
                <w:spacing w:val="-1"/>
                <w:sz w:val="20"/>
              </w:rPr>
              <w:t>度，按照铺砌体积以立方米为单位计量</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1.</w:t>
            </w:r>
            <w:r>
              <w:rPr>
                <w:spacing w:val="-1"/>
                <w:position w:val="1"/>
                <w:sz w:val="20"/>
              </w:rPr>
              <w:t>清理边坡，坡面夯实，</w:t>
            </w:r>
            <w:r>
              <w:rPr>
                <w:spacing w:val="-1"/>
                <w:sz w:val="20"/>
              </w:rPr>
              <w:t>基础开挖；</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2.铺设钢筋镀锌铁丝网；</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3.</w:t>
            </w:r>
            <w:r>
              <w:rPr>
                <w:rFonts w:hint="eastAsia"/>
                <w:spacing w:val="-1"/>
                <w:position w:val="1"/>
                <w:sz w:val="20"/>
                <w:lang w:val="en-US" w:eastAsia="zh-CN"/>
              </w:rPr>
              <w:t>填装卵石</w:t>
            </w:r>
            <w:r>
              <w:rPr>
                <w:spacing w:val="-1"/>
                <w:position w:val="1"/>
                <w:sz w:val="20"/>
              </w:rPr>
              <w:t>；</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4.</w:t>
            </w:r>
            <w:r>
              <w:rPr>
                <w:rFonts w:hint="eastAsia"/>
                <w:spacing w:val="-1"/>
                <w:position w:val="1"/>
                <w:sz w:val="20"/>
                <w:lang w:val="en-US" w:eastAsia="zh-CN"/>
              </w:rPr>
              <w:t>铅丝笼捆扎及连接</w:t>
            </w:r>
            <w:r>
              <w:rPr>
                <w:spacing w:val="-1"/>
                <w:sz w:val="20"/>
              </w:rPr>
              <w:t>；</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5.</w:t>
            </w:r>
            <w:r>
              <w:rPr>
                <w:rFonts w:hint="eastAsia" w:ascii="Times New Roman" w:hAnsi="Times New Roman" w:cs="Times New Roman"/>
                <w:sz w:val="20"/>
                <w:lang w:val="en-US" w:eastAsia="zh-CN"/>
              </w:rPr>
              <w:t>石笼四周</w:t>
            </w:r>
            <w:r>
              <w:rPr>
                <w:spacing w:val="-1"/>
                <w:position w:val="1"/>
                <w:sz w:val="20"/>
              </w:rPr>
              <w:t>回填；</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sz w:val="20"/>
                <w:lang w:val="en-US" w:eastAsia="zh-CN"/>
              </w:rPr>
            </w:pPr>
            <w:r>
              <w:rPr>
                <w:rFonts w:ascii="Times New Roman" w:hAnsi="Times New Roman" w:cs="Times New Roman"/>
                <w:sz w:val="20"/>
              </w:rPr>
              <w:t>6.</w:t>
            </w:r>
            <w:r>
              <w:rPr>
                <w:spacing w:val="-1"/>
                <w:position w:val="1"/>
                <w:sz w:val="20"/>
              </w:rPr>
              <w:t>清理现场</w:t>
            </w:r>
          </w:p>
        </w:tc>
      </w:tr>
      <w:tr>
        <w:tblPrEx>
          <w:tblCellMar>
            <w:top w:w="0" w:type="dxa"/>
            <w:left w:w="108" w:type="dxa"/>
            <w:bottom w:w="0" w:type="dxa"/>
            <w:right w:w="108" w:type="dxa"/>
          </w:tblCellMar>
        </w:tblPrEx>
        <w:trPr>
          <w:trHeight w:val="173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32" w:lineRule="exact"/>
              <w:ind w:left="493"/>
              <w:rPr>
                <w:rFonts w:hint="default" w:ascii="Times New Roman" w:hAnsi="Times New Roman" w:eastAsia="宋体" w:cs="Times New Roman"/>
                <w:spacing w:val="-1"/>
                <w:sz w:val="20"/>
                <w:lang w:val="en-US" w:eastAsia="zh-CN"/>
              </w:rPr>
            </w:pPr>
            <w:r>
              <w:rPr>
                <w:rFonts w:hint="eastAsia" w:ascii="Times New Roman" w:hAnsi="Times New Roman" w:cs="Times New Roman"/>
                <w:spacing w:val="-1"/>
                <w:sz w:val="20"/>
                <w:lang w:val="en-US" w:eastAsia="zh-CN"/>
              </w:rPr>
              <w:t>-d</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spacing w:line="274" w:lineRule="exact"/>
              <w:ind w:left="107"/>
              <w:jc w:val="center"/>
              <w:rPr>
                <w:rFonts w:hint="default" w:eastAsia="宋体"/>
                <w:spacing w:val="-1"/>
                <w:sz w:val="20"/>
                <w:lang w:val="en-US" w:eastAsia="zh-CN"/>
              </w:rPr>
            </w:pPr>
            <w:r>
              <w:rPr>
                <w:rFonts w:hint="eastAsia"/>
                <w:spacing w:val="-1"/>
                <w:sz w:val="20"/>
                <w:lang w:val="en-US" w:eastAsia="zh-CN"/>
              </w:rPr>
              <w:t>干砌卵石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43" w:lineRule="exact"/>
              <w:ind w:left="423"/>
              <w:rPr>
                <w:rFonts w:ascii="Times New Roman" w:hAnsi="Times New Roman" w:cs="Times New Roman"/>
                <w:position w:val="-4"/>
                <w:sz w:val="20"/>
              </w:rPr>
            </w:pPr>
            <w:r>
              <w:rPr>
                <w:rFonts w:ascii="Times New Roman" w:hAnsi="Times New Roman" w:cs="Times New Roman"/>
                <w:position w:val="-4"/>
                <w:sz w:val="20"/>
              </w:rPr>
              <w:t>m</w:t>
            </w:r>
            <w:r>
              <w:rPr>
                <w:rFonts w:ascii="Times New Roman" w:hAnsi="Times New Roman" w:cs="Times New Roman"/>
                <w:spacing w:val="-4"/>
                <w:sz w:val="13"/>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89" w:lineRule="exact"/>
              <w:ind w:left="282"/>
            </w:pPr>
            <w:r>
              <w:rPr>
                <w:spacing w:val="-1"/>
                <w:sz w:val="20"/>
              </w:rPr>
              <w:t>依据图纸所示位置和</w:t>
            </w:r>
          </w:p>
          <w:p>
            <w:pPr>
              <w:spacing w:line="274" w:lineRule="exact"/>
              <w:ind w:left="109"/>
              <w:rPr>
                <w:spacing w:val="-1"/>
                <w:sz w:val="20"/>
              </w:rPr>
            </w:pPr>
            <w:r>
              <w:rPr>
                <w:rFonts w:hint="eastAsia"/>
                <w:spacing w:val="-1"/>
                <w:sz w:val="20"/>
                <w:lang w:val="en-US" w:eastAsia="zh-CN"/>
              </w:rPr>
              <w:t>断面尺度</w:t>
            </w:r>
            <w:r>
              <w:rPr>
                <w:spacing w:val="-1"/>
                <w:sz w:val="20"/>
              </w:rPr>
              <w:t>，按</w:t>
            </w:r>
            <w:r>
              <w:rPr>
                <w:rFonts w:hint="eastAsia"/>
                <w:spacing w:val="-1"/>
                <w:sz w:val="20"/>
                <w:lang w:val="en-US" w:eastAsia="zh-CN"/>
              </w:rPr>
              <w:t>图示</w:t>
            </w:r>
            <w:r>
              <w:rPr>
                <w:spacing w:val="-1"/>
                <w:sz w:val="20"/>
              </w:rPr>
              <w:t>以立方米为单位计量</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1.</w:t>
            </w:r>
            <w:r>
              <w:rPr>
                <w:spacing w:val="-1"/>
                <w:position w:val="1"/>
                <w:sz w:val="20"/>
              </w:rPr>
              <w:t>基坑开挖、清理、平</w:t>
            </w:r>
            <w:r>
              <w:rPr>
                <w:spacing w:val="-1"/>
                <w:sz w:val="20"/>
              </w:rPr>
              <w:t>整、夯实；</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2.</w:t>
            </w:r>
            <w:r>
              <w:rPr>
                <w:spacing w:val="-1"/>
                <w:position w:val="1"/>
                <w:sz w:val="20"/>
              </w:rPr>
              <w:t>临时排水、铺筑垫层；</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3.</w:t>
            </w:r>
            <w:r>
              <w:rPr>
                <w:rFonts w:hint="eastAsia"/>
                <w:spacing w:val="-1"/>
                <w:sz w:val="20"/>
                <w:lang w:val="en-US" w:eastAsia="zh-CN"/>
              </w:rPr>
              <w:t>干</w:t>
            </w:r>
            <w:r>
              <w:rPr>
                <w:spacing w:val="-1"/>
                <w:position w:val="1"/>
                <w:sz w:val="20"/>
              </w:rPr>
              <w:t>砌片（块）石，设</w:t>
            </w:r>
            <w:r>
              <w:rPr>
                <w:spacing w:val="-1"/>
                <w:sz w:val="20"/>
              </w:rPr>
              <w:t>泄水孔及其滤水层；</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4.</w:t>
            </w:r>
            <w:r>
              <w:rPr>
                <w:spacing w:val="-1"/>
                <w:sz w:val="20"/>
              </w:rPr>
              <w:t>墙背填料分层填筑；</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ascii="Times New Roman" w:hAnsi="Times New Roman" w:cs="Times New Roman"/>
                <w:sz w:val="20"/>
              </w:rPr>
            </w:pPr>
            <w:r>
              <w:rPr>
                <w:rFonts w:ascii="Times New Roman" w:hAnsi="Times New Roman" w:cs="Times New Roman"/>
                <w:sz w:val="20"/>
              </w:rPr>
              <w:t>6.</w:t>
            </w:r>
            <w:r>
              <w:rPr>
                <w:spacing w:val="-1"/>
                <w:position w:val="1"/>
                <w:sz w:val="20"/>
              </w:rPr>
              <w:t>清理场地、废方弃运</w:t>
            </w:r>
          </w:p>
        </w:tc>
      </w:tr>
      <w:tr>
        <w:trPr>
          <w:trHeight w:val="341"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337"/>
            </w:pPr>
            <w:r>
              <w:rPr>
                <w:rFonts w:ascii="Times New Roman" w:hAnsi="Times New Roman" w:cs="Times New Roman"/>
                <w:spacing w:val="-1"/>
                <w:sz w:val="20"/>
              </w:rPr>
              <w:t>603-1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52" w:lineRule="exact"/>
              <w:ind w:left="282"/>
            </w:pPr>
            <w:r>
              <w:rPr>
                <w:spacing w:val="-1"/>
                <w:sz w:val="20"/>
              </w:rPr>
              <w:t>挡土墙</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52" w:lineRule="exact"/>
            </w:pP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52" w:lineRule="exact"/>
            </w:pP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52" w:lineRule="exact"/>
            </w:pPr>
          </w:p>
        </w:tc>
      </w:tr>
      <w:tr>
        <w:trPr>
          <w:trHeight w:val="219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504" w:lineRule="exact"/>
              <w:ind w:left="500"/>
            </w:pPr>
            <w:r>
              <w:rPr>
                <w:rFonts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32" w:lineRule="exact"/>
              <w:ind w:left="282"/>
            </w:pPr>
            <w:r>
              <w:rPr>
                <w:spacing w:val="-1"/>
                <w:sz w:val="20"/>
              </w:rPr>
              <w:t>砌片（块、卵）</w:t>
            </w:r>
          </w:p>
          <w:p>
            <w:pPr>
              <w:spacing w:line="274" w:lineRule="exact"/>
              <w:ind w:left="107"/>
            </w:pPr>
            <w:r>
              <w:rPr>
                <w:spacing w:val="-1"/>
                <w:sz w:val="20"/>
              </w:rPr>
              <w:t>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12" w:lineRule="exact"/>
              <w:ind w:left="423"/>
            </w:pPr>
            <w:r>
              <w:rPr>
                <w:rFonts w:ascii="Times New Roman" w:hAnsi="Times New Roman" w:cs="Times New Roman"/>
                <w:position w:val="-4"/>
                <w:sz w:val="20"/>
              </w:rPr>
              <w:t>m</w:t>
            </w:r>
            <w:r>
              <w:rPr>
                <w:rFonts w:ascii="Times New Roman" w:hAnsi="Times New Roman" w:cs="Times New Roman"/>
                <w:spacing w:val="-4"/>
                <w:sz w:val="13"/>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ind w:left="109"/>
              <w:rPr>
                <w:rFonts w:hint="eastAsia"/>
                <w:spacing w:val="-1"/>
                <w:sz w:val="20"/>
              </w:rPr>
            </w:pPr>
            <w:r>
              <w:rPr>
                <w:rFonts w:hint="eastAsia"/>
                <w:spacing w:val="-1"/>
                <w:sz w:val="20"/>
              </w:rPr>
              <w:t>1.依据图纸所示位置和</w:t>
            </w:r>
          </w:p>
          <w:p>
            <w:pPr>
              <w:spacing w:line="271" w:lineRule="exact"/>
              <w:ind w:left="109"/>
              <w:rPr>
                <w:rFonts w:hint="eastAsia"/>
                <w:spacing w:val="-1"/>
                <w:sz w:val="20"/>
              </w:rPr>
            </w:pPr>
            <w:r>
              <w:rPr>
                <w:rFonts w:hint="eastAsia"/>
                <w:spacing w:val="-1"/>
                <w:sz w:val="20"/>
              </w:rPr>
              <w:t>断面尺寸，按图示不同强度等级水泥砂浆砌石体积以立方米为单位计量；</w:t>
            </w:r>
          </w:p>
          <w:p>
            <w:pPr>
              <w:spacing w:line="271" w:lineRule="exact"/>
              <w:ind w:left="109"/>
              <w:rPr>
                <w:rFonts w:hint="eastAsia"/>
                <w:spacing w:val="-1"/>
                <w:sz w:val="20"/>
              </w:rPr>
            </w:pPr>
            <w:r>
              <w:rPr>
                <w:rFonts w:hint="eastAsia"/>
                <w:spacing w:val="-1"/>
                <w:sz w:val="20"/>
              </w:rPr>
              <w:t>2.不扣除沉降缝、泄水</w:t>
            </w:r>
          </w:p>
          <w:p>
            <w:pPr>
              <w:spacing w:line="271" w:lineRule="exact"/>
              <w:ind w:left="109"/>
            </w:pPr>
            <w:r>
              <w:rPr>
                <w:rFonts w:hint="eastAsia"/>
                <w:spacing w:val="-1"/>
                <w:sz w:val="20"/>
              </w:rPr>
              <w:t>孔、预埋件所占体</w:t>
            </w:r>
            <w:r>
              <w:rPr>
                <w:rFonts w:hint="eastAsia"/>
              </w:rPr>
              <w:t>积</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1.</w:t>
            </w:r>
            <w:r>
              <w:rPr>
                <w:spacing w:val="-1"/>
                <w:position w:val="1"/>
                <w:sz w:val="20"/>
              </w:rPr>
              <w:t>基坑开挖、清理、平</w:t>
            </w:r>
            <w:r>
              <w:rPr>
                <w:spacing w:val="-1"/>
                <w:sz w:val="20"/>
              </w:rPr>
              <w:t>整、夯实；</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2.</w:t>
            </w:r>
            <w:r>
              <w:rPr>
                <w:spacing w:val="-1"/>
                <w:position w:val="1"/>
                <w:sz w:val="20"/>
              </w:rPr>
              <w:t>临时排水、铺筑垫层；</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3.</w:t>
            </w:r>
            <w:r>
              <w:rPr>
                <w:spacing w:val="-1"/>
                <w:position w:val="1"/>
                <w:sz w:val="20"/>
              </w:rPr>
              <w:t>浆砌片（块）石，设</w:t>
            </w:r>
            <w:r>
              <w:rPr>
                <w:spacing w:val="-1"/>
                <w:sz w:val="20"/>
              </w:rPr>
              <w:t>泄水孔及其滤水层；</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4.</w:t>
            </w:r>
            <w:r>
              <w:rPr>
                <w:spacing w:val="-1"/>
                <w:position w:val="1"/>
                <w:sz w:val="20"/>
              </w:rPr>
              <w:t>接缝处理；</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5.</w:t>
            </w:r>
            <w:r>
              <w:rPr>
                <w:spacing w:val="-1"/>
                <w:position w:val="1"/>
                <w:sz w:val="20"/>
              </w:rPr>
              <w:t>勾缝、抹面、墙背排</w:t>
            </w:r>
            <w:r>
              <w:rPr>
                <w:spacing w:val="-1"/>
                <w:sz w:val="20"/>
              </w:rPr>
              <w:t>水设施设置、墙背填料分层填筑；</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6.</w:t>
            </w:r>
            <w:r>
              <w:rPr>
                <w:spacing w:val="-1"/>
                <w:position w:val="1"/>
                <w:sz w:val="20"/>
              </w:rPr>
              <w:t>清理场地、废方弃运</w:t>
            </w:r>
          </w:p>
        </w:tc>
      </w:tr>
      <w:tr>
        <w:tblPrEx>
          <w:tblCellMar>
            <w:top w:w="0" w:type="dxa"/>
            <w:left w:w="108" w:type="dxa"/>
            <w:bottom w:w="0" w:type="dxa"/>
            <w:right w:w="108" w:type="dxa"/>
          </w:tblCellMar>
        </w:tblPrEx>
        <w:trPr>
          <w:trHeight w:val="293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049" w:lineRule="exact"/>
              <w:ind w:left="493"/>
            </w:pPr>
            <w:r>
              <w:rPr>
                <w:rFonts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014" w:lineRule="exact"/>
              <w:ind w:left="282"/>
            </w:pPr>
            <w:r>
              <w:rPr>
                <w:spacing w:val="-1"/>
                <w:sz w:val="20"/>
              </w:rPr>
              <w:t>混凝土挡土墙</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960" w:lineRule="exact"/>
              <w:ind w:left="423"/>
            </w:pPr>
            <w:r>
              <w:rPr>
                <w:rFonts w:ascii="Times New Roman" w:hAnsi="Times New Roman" w:cs="Times New Roman"/>
                <w:position w:val="-4"/>
                <w:sz w:val="20"/>
              </w:rPr>
              <w:t>m</w:t>
            </w:r>
            <w:r>
              <w:rPr>
                <w:rFonts w:ascii="Times New Roman" w:hAnsi="Times New Roman" w:cs="Times New Roman"/>
                <w:spacing w:val="-4"/>
                <w:sz w:val="13"/>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ind w:left="109"/>
              <w:rPr>
                <w:rFonts w:hint="eastAsia"/>
                <w:spacing w:val="-1"/>
                <w:sz w:val="20"/>
              </w:rPr>
            </w:pPr>
            <w:r>
              <w:rPr>
                <w:rFonts w:hint="eastAsia"/>
                <w:spacing w:val="-1"/>
                <w:sz w:val="20"/>
              </w:rPr>
              <w:t>1.依据图纸所示位置和</w:t>
            </w:r>
          </w:p>
          <w:p>
            <w:pPr>
              <w:spacing w:line="271" w:lineRule="exact"/>
              <w:ind w:left="109"/>
              <w:rPr>
                <w:rFonts w:hint="eastAsia"/>
                <w:spacing w:val="-1"/>
                <w:sz w:val="20"/>
              </w:rPr>
            </w:pPr>
            <w:r>
              <w:rPr>
                <w:rFonts w:hint="eastAsia"/>
                <w:spacing w:val="-1"/>
                <w:sz w:val="20"/>
              </w:rPr>
              <w:t>断面尺寸，按图示不同强度等级混凝土体积以立方米为单位计量；</w:t>
            </w:r>
          </w:p>
          <w:p>
            <w:pPr>
              <w:spacing w:line="271" w:lineRule="exact"/>
              <w:ind w:left="109"/>
              <w:rPr>
                <w:rFonts w:hint="eastAsia"/>
                <w:spacing w:val="-1"/>
                <w:sz w:val="20"/>
              </w:rPr>
            </w:pPr>
            <w:r>
              <w:rPr>
                <w:rFonts w:hint="eastAsia"/>
                <w:spacing w:val="-1"/>
                <w:sz w:val="20"/>
              </w:rPr>
              <w:t>2.不扣除沉降缝、泄水</w:t>
            </w:r>
          </w:p>
          <w:p>
            <w:pPr>
              <w:spacing w:line="271" w:lineRule="exact"/>
              <w:ind w:left="109"/>
            </w:pPr>
            <w:r>
              <w:rPr>
                <w:rFonts w:hint="eastAsia"/>
                <w:spacing w:val="-1"/>
                <w:sz w:val="20"/>
              </w:rPr>
              <w:t>孔、预埋件所占体积</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1.</w:t>
            </w:r>
            <w:r>
              <w:rPr>
                <w:spacing w:val="-1"/>
                <w:position w:val="1"/>
                <w:sz w:val="20"/>
              </w:rPr>
              <w:t>基坑开挖、清理、平</w:t>
            </w:r>
            <w:r>
              <w:rPr>
                <w:spacing w:val="-1"/>
                <w:sz w:val="20"/>
              </w:rPr>
              <w:t>整、夯实；</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2.</w:t>
            </w:r>
            <w:r>
              <w:rPr>
                <w:spacing w:val="-1"/>
                <w:position w:val="1"/>
                <w:sz w:val="20"/>
              </w:rPr>
              <w:t>临时排水、铺筑垫层；</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3.</w:t>
            </w:r>
            <w:r>
              <w:rPr>
                <w:spacing w:val="-1"/>
                <w:position w:val="1"/>
                <w:sz w:val="20"/>
              </w:rPr>
              <w:t>钢筋的运输、保护、</w:t>
            </w:r>
            <w:r>
              <w:rPr>
                <w:sz w:val="20"/>
              </w:rPr>
              <w:t>存储、加工及安设、支承、</w:t>
            </w:r>
            <w:r>
              <w:rPr>
                <w:spacing w:val="-1"/>
                <w:sz w:val="20"/>
              </w:rPr>
              <w:t>固定；</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4.</w:t>
            </w:r>
            <w:r>
              <w:rPr>
                <w:spacing w:val="-1"/>
                <w:position w:val="1"/>
                <w:sz w:val="20"/>
              </w:rPr>
              <w:t>模板制作、安装、拆</w:t>
            </w:r>
            <w:r>
              <w:rPr>
                <w:spacing w:val="-1"/>
                <w:sz w:val="20"/>
              </w:rPr>
              <w:t>除；</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5.</w:t>
            </w:r>
            <w:r>
              <w:rPr>
                <w:spacing w:val="-1"/>
                <w:position w:val="1"/>
                <w:sz w:val="20"/>
              </w:rPr>
              <w:t>混凝土拌和、运输、</w:t>
            </w:r>
            <w:r>
              <w:rPr>
                <w:spacing w:val="-1"/>
                <w:sz w:val="20"/>
              </w:rPr>
              <w:t>浇筑、养护；</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6.</w:t>
            </w:r>
            <w:r>
              <w:rPr>
                <w:spacing w:val="-1"/>
                <w:position w:val="1"/>
                <w:sz w:val="20"/>
              </w:rPr>
              <w:t>泄水孔及其滤水层、</w:t>
            </w:r>
            <w:r>
              <w:rPr>
                <w:spacing w:val="-1"/>
                <w:sz w:val="20"/>
              </w:rPr>
              <w:t>沉降缝设置；</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7.</w:t>
            </w:r>
            <w:r>
              <w:rPr>
                <w:spacing w:val="-1"/>
                <w:position w:val="1"/>
                <w:sz w:val="20"/>
              </w:rPr>
              <w:t>墙背填料分层填筑；</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8.</w:t>
            </w:r>
            <w:r>
              <w:rPr>
                <w:spacing w:val="-1"/>
                <w:position w:val="1"/>
                <w:sz w:val="20"/>
              </w:rPr>
              <w:t>清理场地，废方弃运</w:t>
            </w:r>
          </w:p>
        </w:tc>
      </w:tr>
      <w:tr>
        <w:tblPrEx>
          <w:tblCellMar>
            <w:top w:w="0" w:type="dxa"/>
            <w:left w:w="108" w:type="dxa"/>
            <w:bottom w:w="0" w:type="dxa"/>
            <w:right w:w="108" w:type="dxa"/>
          </w:tblCellMar>
        </w:tblPrEx>
        <w:trPr>
          <w:trHeight w:val="38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01" w:lineRule="exact"/>
              <w:ind w:left="500"/>
            </w:pPr>
            <w:r>
              <w:rPr>
                <w:rFonts w:ascii="Times New Roman" w:hAnsi="Times New Roman" w:cs="Times New Roman"/>
                <w:spacing w:val="-1"/>
                <w:sz w:val="20"/>
              </w:rPr>
              <w:t>-c</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6" w:lineRule="exact"/>
              <w:ind w:left="282"/>
            </w:pPr>
            <w:r>
              <w:rPr>
                <w:spacing w:val="-1"/>
                <w:sz w:val="20"/>
              </w:rPr>
              <w:t>加筋土挡土墙</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6" w:lineRule="exact"/>
            </w:pP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6" w:lineRule="exact"/>
            </w:pP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6" w:lineRule="exact"/>
            </w:pPr>
          </w:p>
        </w:tc>
      </w:tr>
      <w:tr>
        <w:trPr>
          <w:trHeight w:val="195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642" w:lineRule="exact"/>
              <w:ind w:left="411"/>
            </w:pPr>
            <w:r>
              <w:rPr>
                <w:rFonts w:ascii="Times New Roman" w:hAnsi="Times New Roman" w:cs="Times New Roman"/>
                <w:spacing w:val="-1"/>
                <w:sz w:val="20"/>
              </w:rPr>
              <w:t>-c-1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607" w:lineRule="exact"/>
              <w:ind w:left="282"/>
            </w:pPr>
            <w:r>
              <w:rPr>
                <w:spacing w:val="-1"/>
                <w:sz w:val="20"/>
              </w:rPr>
              <w:t>基础及帽石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550" w:lineRule="exact"/>
              <w:ind w:left="423"/>
            </w:pPr>
            <w:r>
              <w:rPr>
                <w:rFonts w:ascii="Times New Roman" w:hAnsi="Times New Roman" w:cs="Times New Roman"/>
                <w:position w:val="-4"/>
                <w:sz w:val="20"/>
              </w:rPr>
              <w:t>m</w:t>
            </w:r>
            <w:r>
              <w:rPr>
                <w:rFonts w:ascii="Times New Roman" w:hAnsi="Times New Roman" w:cs="Times New Roman"/>
                <w:spacing w:val="-4"/>
                <w:sz w:val="13"/>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ind w:left="109"/>
              <w:rPr>
                <w:rFonts w:hint="eastAsia"/>
                <w:spacing w:val="-1"/>
                <w:sz w:val="20"/>
              </w:rPr>
            </w:pPr>
            <w:r>
              <w:rPr>
                <w:rFonts w:hint="eastAsia"/>
                <w:spacing w:val="-1"/>
                <w:sz w:val="20"/>
              </w:rPr>
              <w:t>根据图纸所示位置和</w:t>
            </w:r>
          </w:p>
          <w:p>
            <w:pPr>
              <w:spacing w:line="271" w:lineRule="exact"/>
              <w:ind w:left="109"/>
            </w:pPr>
            <w:r>
              <w:rPr>
                <w:rFonts w:hint="eastAsia"/>
                <w:spacing w:val="-1"/>
                <w:sz w:val="20"/>
              </w:rPr>
              <w:t>断面尺寸，按图示不同强度等级水泥砂浆砌体或混凝土体积，以立方米为单位计量</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1.</w:t>
            </w:r>
            <w:r>
              <w:rPr>
                <w:spacing w:val="-1"/>
                <w:position w:val="1"/>
                <w:sz w:val="20"/>
              </w:rPr>
              <w:t>基坑开挖、清理、平</w:t>
            </w:r>
            <w:r>
              <w:rPr>
                <w:spacing w:val="-1"/>
                <w:sz w:val="20"/>
              </w:rPr>
              <w:t>整、夯实，废方弃运；</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2.</w:t>
            </w:r>
            <w:r>
              <w:rPr>
                <w:spacing w:val="-1"/>
                <w:position w:val="1"/>
                <w:sz w:val="20"/>
              </w:rPr>
              <w:t>混凝土或砂浆制作、</w:t>
            </w:r>
            <w:r>
              <w:rPr>
                <w:spacing w:val="-1"/>
                <w:sz w:val="20"/>
              </w:rPr>
              <w:t>运输；</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3.</w:t>
            </w:r>
            <w:r>
              <w:rPr>
                <w:spacing w:val="-1"/>
                <w:position w:val="1"/>
                <w:sz w:val="20"/>
              </w:rPr>
              <w:t>模板制作、安装、拆</w:t>
            </w:r>
            <w:r>
              <w:rPr>
                <w:spacing w:val="-1"/>
                <w:sz w:val="20"/>
              </w:rPr>
              <w:t>除；</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4.</w:t>
            </w:r>
            <w:r>
              <w:rPr>
                <w:spacing w:val="-1"/>
                <w:position w:val="1"/>
                <w:sz w:val="20"/>
              </w:rPr>
              <w:t>砌筑片石或振捣浇筑</w:t>
            </w:r>
            <w:r>
              <w:rPr>
                <w:spacing w:val="-1"/>
                <w:sz w:val="20"/>
              </w:rPr>
              <w:t>混凝土；</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5.</w:t>
            </w:r>
            <w:r>
              <w:rPr>
                <w:spacing w:val="-1"/>
                <w:position w:val="1"/>
                <w:sz w:val="20"/>
              </w:rPr>
              <w:t>养护；</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6.</w:t>
            </w:r>
            <w:r>
              <w:rPr>
                <w:spacing w:val="-1"/>
                <w:position w:val="1"/>
                <w:sz w:val="20"/>
              </w:rPr>
              <w:t>回填、夯实；</w:t>
            </w:r>
          </w:p>
          <w:p>
            <w:pPr>
              <w:keepNext w:val="0"/>
              <w:keepLines w:val="0"/>
              <w:pageBreakBefore w:val="0"/>
              <w:widowControl w:val="0"/>
              <w:kinsoku/>
              <w:wordWrap/>
              <w:overflowPunct/>
              <w:topLinePunct w:val="0"/>
              <w:autoSpaceDE w:val="0"/>
              <w:autoSpaceDN w:val="0"/>
              <w:bidi w:val="0"/>
              <w:adjustRightInd/>
              <w:snapToGrid/>
              <w:spacing w:line="240" w:lineRule="exact"/>
              <w:textAlignment w:val="auto"/>
            </w:pPr>
            <w:r>
              <w:rPr>
                <w:rFonts w:ascii="Times New Roman" w:hAnsi="Times New Roman" w:cs="Times New Roman"/>
                <w:sz w:val="20"/>
              </w:rPr>
              <w:t>7.</w:t>
            </w:r>
            <w:r>
              <w:rPr>
                <w:spacing w:val="-1"/>
                <w:position w:val="1"/>
                <w:sz w:val="20"/>
              </w:rPr>
              <w:t>清理现场，废方弃运</w:t>
            </w:r>
          </w:p>
        </w:tc>
      </w:tr>
      <w:tr>
        <w:tblPrEx>
          <w:tblCellMar>
            <w:top w:w="0" w:type="dxa"/>
            <w:left w:w="108" w:type="dxa"/>
            <w:bottom w:w="0" w:type="dxa"/>
            <w:right w:w="108" w:type="dxa"/>
          </w:tblCellMar>
        </w:tblPrEx>
        <w:trPr>
          <w:trHeight w:val="1030"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51" w:lineRule="exact"/>
              <w:ind w:left="411"/>
            </w:pPr>
            <w:r>
              <w:rPr>
                <w:rFonts w:ascii="Times New Roman" w:hAnsi="Times New Roman" w:cs="Times New Roman"/>
                <w:spacing w:val="-1"/>
                <w:sz w:val="20"/>
              </w:rPr>
              <w:t>-c-2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0" w:lineRule="exact"/>
              <w:ind w:left="282"/>
            </w:pPr>
            <w:r>
              <w:rPr>
                <w:spacing w:val="-1"/>
                <w:sz w:val="20"/>
              </w:rPr>
              <w:t>预制安装混凝</w:t>
            </w:r>
          </w:p>
          <w:p>
            <w:pPr>
              <w:spacing w:line="274" w:lineRule="exact"/>
              <w:ind w:left="107"/>
            </w:pPr>
            <w:r>
              <w:rPr>
                <w:spacing w:val="-1"/>
                <w:sz w:val="20"/>
              </w:rPr>
              <w:t>土墙面板</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60" w:lineRule="exact"/>
              <w:ind w:left="423"/>
            </w:pPr>
            <w:r>
              <w:rPr>
                <w:rFonts w:ascii="Times New Roman" w:hAnsi="Times New Roman" w:cs="Times New Roman"/>
                <w:position w:val="-4"/>
                <w:sz w:val="20"/>
              </w:rPr>
              <w:t>m</w:t>
            </w:r>
            <w:r>
              <w:rPr>
                <w:rFonts w:ascii="Times New Roman" w:hAnsi="Times New Roman" w:cs="Times New Roman"/>
                <w:spacing w:val="-4"/>
                <w:sz w:val="13"/>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pPr>
            <w:r>
              <w:rPr>
                <w:rFonts w:ascii="Times New Roman" w:hAnsi="Times New Roman" w:cs="Times New Roman"/>
                <w:sz w:val="20"/>
              </w:rPr>
              <w:t>1.</w:t>
            </w:r>
            <w:r>
              <w:rPr>
                <w:spacing w:val="-1"/>
                <w:position w:val="1"/>
                <w:sz w:val="20"/>
              </w:rPr>
              <w:t>根据图纸所示位置及</w:t>
            </w:r>
          </w:p>
          <w:p>
            <w:pPr>
              <w:spacing w:line="237" w:lineRule="exact"/>
              <w:ind w:left="109"/>
              <w:rPr>
                <w:rFonts w:hint="eastAsia" w:eastAsia="宋体"/>
                <w:lang w:val="en-US" w:eastAsia="zh-CN"/>
              </w:rPr>
            </w:pPr>
            <w:r>
              <w:rPr>
                <w:spacing w:val="-1"/>
                <w:sz w:val="20"/>
              </w:rPr>
              <w:t>断面尺寸，按照不同强度等级混凝土体积，以立方</w:t>
            </w:r>
            <w:r>
              <w:rPr>
                <w:rFonts w:hint="eastAsia"/>
                <w:spacing w:val="-1"/>
                <w:sz w:val="20"/>
                <w:lang w:val="en-US"/>
              </w:rPr>
              <w:t>米为单位计量</w:t>
            </w:r>
            <w:r>
              <w:rPr>
                <w:rFonts w:hint="eastAsia"/>
                <w:spacing w:val="-1"/>
                <w:sz w:val="20"/>
                <w:lang w:val="en-US" w:eastAsia="zh-CN"/>
              </w:rPr>
              <w:t>；</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沟槽开挖；</w:t>
            </w:r>
          </w:p>
          <w:p>
            <w:pPr>
              <w:spacing w:line="271" w:lineRule="exact"/>
              <w:ind w:left="281"/>
            </w:pPr>
            <w:r>
              <w:rPr>
                <w:rFonts w:ascii="Times New Roman" w:hAnsi="Times New Roman" w:cs="Times New Roman"/>
                <w:sz w:val="20"/>
              </w:rPr>
              <w:t>2.</w:t>
            </w:r>
            <w:r>
              <w:rPr>
                <w:spacing w:val="-1"/>
                <w:position w:val="1"/>
                <w:sz w:val="20"/>
              </w:rPr>
              <w:t>预制场建设；</w:t>
            </w:r>
          </w:p>
          <w:p>
            <w:pPr>
              <w:spacing w:line="271" w:lineRule="exact"/>
              <w:ind w:left="281"/>
            </w:pPr>
            <w:r>
              <w:rPr>
                <w:rFonts w:ascii="Times New Roman" w:hAnsi="Times New Roman" w:cs="Times New Roman"/>
                <w:sz w:val="20"/>
              </w:rPr>
              <w:t>3.</w:t>
            </w:r>
            <w:r>
              <w:rPr>
                <w:spacing w:val="-1"/>
                <w:position w:val="1"/>
                <w:sz w:val="20"/>
              </w:rPr>
              <w:t>预制件预制、运输、</w:t>
            </w:r>
          </w:p>
        </w:tc>
      </w:tr>
    </w:tbl>
    <w:p>
      <w:pPr>
        <w:spacing w:line="252" w:lineRule="exact"/>
        <w:rPr>
          <w:sz w:val="21"/>
        </w:rPr>
        <w:sectPr>
          <w:footerReference r:id="rId22" w:type="default"/>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tblPrEx>
          <w:tblCellMar>
            <w:top w:w="0" w:type="dxa"/>
            <w:left w:w="108" w:type="dxa"/>
            <w:bottom w:w="0" w:type="dxa"/>
            <w:right w:w="108" w:type="dxa"/>
          </w:tblCellMar>
        </w:tblPrEx>
        <w:trPr>
          <w:trHeight w:val="323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pP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pP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08" w:lineRule="exact"/>
              <w:ind w:left="282"/>
            </w:pPr>
            <w:r>
              <w:rPr>
                <w:rFonts w:ascii="Times New Roman" w:hAnsi="Times New Roman" w:cs="Times New Roman"/>
                <w:sz w:val="20"/>
              </w:rPr>
              <w:t>2.</w:t>
            </w:r>
            <w:r>
              <w:rPr>
                <w:spacing w:val="-1"/>
                <w:position w:val="1"/>
                <w:sz w:val="20"/>
              </w:rPr>
              <w:t>加筋挡土墙的路堤填</w:t>
            </w:r>
          </w:p>
          <w:p>
            <w:pPr>
              <w:spacing w:line="271" w:lineRule="exact"/>
              <w:ind w:left="109"/>
            </w:pPr>
            <w:r>
              <w:rPr>
                <w:spacing w:val="-1"/>
                <w:position w:val="1"/>
                <w:sz w:val="20"/>
              </w:rPr>
              <w:t>料在</w:t>
            </w:r>
            <w:r>
              <w:rPr>
                <w:rFonts w:ascii="Calibri" w:hAnsi="Calibri" w:cs="Calibri"/>
                <w:sz w:val="20"/>
              </w:rPr>
              <w:t> </w:t>
            </w:r>
            <w:r>
              <w:rPr>
                <w:rFonts w:ascii="Times New Roman" w:hAnsi="Times New Roman" w:cs="Times New Roman"/>
                <w:spacing w:val="-1"/>
                <w:sz w:val="20"/>
              </w:rPr>
              <w:t>204-1</w:t>
            </w:r>
            <w:r>
              <w:rPr>
                <w:rFonts w:ascii="Calibri" w:hAnsi="Calibri" w:cs="Calibri"/>
                <w:sz w:val="20"/>
              </w:rPr>
              <w:t> </w:t>
            </w:r>
            <w:r>
              <w:rPr>
                <w:spacing w:val="-1"/>
                <w:position w:val="1"/>
                <w:sz w:val="20"/>
              </w:rPr>
              <w:t>中计量；</w:t>
            </w:r>
          </w:p>
          <w:p>
            <w:pPr>
              <w:spacing w:line="274" w:lineRule="exact"/>
              <w:ind w:left="282"/>
            </w:pPr>
            <w:r>
              <w:rPr>
                <w:rFonts w:ascii="Times New Roman" w:hAnsi="Times New Roman" w:cs="Times New Roman"/>
                <w:sz w:val="20"/>
              </w:rPr>
              <w:t>3.</w:t>
            </w:r>
            <w:r>
              <w:rPr>
                <w:spacing w:val="-1"/>
                <w:position w:val="1"/>
                <w:sz w:val="20"/>
              </w:rPr>
              <w:t>钢筋、加筋带等不单</w:t>
            </w:r>
          </w:p>
          <w:p>
            <w:pPr>
              <w:spacing w:line="237" w:lineRule="exact"/>
              <w:ind w:left="109"/>
            </w:pPr>
            <w:r>
              <w:rPr>
                <w:spacing w:val="-1"/>
                <w:sz w:val="20"/>
              </w:rPr>
              <w:t>独计量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108"/>
            </w:pPr>
            <w:r>
              <w:rPr>
                <w:spacing w:val="-1"/>
                <w:sz w:val="20"/>
              </w:rPr>
              <w:t>装卸；</w:t>
            </w:r>
          </w:p>
          <w:p>
            <w:pPr>
              <w:spacing w:line="308" w:lineRule="exact"/>
              <w:ind w:left="281"/>
            </w:pPr>
            <w:r>
              <w:rPr>
                <w:rFonts w:ascii="Times New Roman" w:hAnsi="Times New Roman" w:cs="Times New Roman"/>
                <w:sz w:val="20"/>
              </w:rPr>
              <w:t>4.</w:t>
            </w:r>
            <w:r>
              <w:rPr>
                <w:spacing w:val="-1"/>
                <w:position w:val="1"/>
                <w:sz w:val="20"/>
              </w:rPr>
              <w:t>预制件安装；</w:t>
            </w:r>
          </w:p>
          <w:p>
            <w:pPr>
              <w:spacing w:line="271" w:lineRule="exact"/>
              <w:ind w:left="281"/>
            </w:pPr>
            <w:r>
              <w:rPr>
                <w:rFonts w:ascii="Times New Roman" w:hAnsi="Times New Roman" w:cs="Times New Roman"/>
                <w:sz w:val="20"/>
              </w:rPr>
              <w:t>5.</w:t>
            </w:r>
            <w:r>
              <w:rPr>
                <w:spacing w:val="-1"/>
                <w:position w:val="1"/>
                <w:sz w:val="20"/>
              </w:rPr>
              <w:t>钢筋的运输、保护、</w:t>
            </w:r>
          </w:p>
          <w:p>
            <w:pPr>
              <w:spacing w:line="239" w:lineRule="exact"/>
              <w:ind w:left="108"/>
            </w:pPr>
            <w:r>
              <w:rPr>
                <w:sz w:val="20"/>
              </w:rPr>
              <w:t>存储、加工及安设、支承、</w:t>
            </w:r>
          </w:p>
          <w:p>
            <w:pPr>
              <w:spacing w:line="271" w:lineRule="exact"/>
              <w:ind w:left="108"/>
            </w:pPr>
            <w:r>
              <w:rPr>
                <w:spacing w:val="-1"/>
                <w:sz w:val="20"/>
              </w:rPr>
              <w:t>固定；</w:t>
            </w:r>
          </w:p>
          <w:p>
            <w:pPr>
              <w:spacing w:line="306" w:lineRule="exact"/>
              <w:ind w:left="281"/>
            </w:pPr>
            <w:r>
              <w:rPr>
                <w:rFonts w:ascii="Times New Roman" w:hAnsi="Times New Roman" w:cs="Times New Roman"/>
                <w:sz w:val="20"/>
              </w:rPr>
              <w:t>6.</w:t>
            </w:r>
            <w:r>
              <w:rPr>
                <w:spacing w:val="-1"/>
                <w:position w:val="1"/>
                <w:sz w:val="20"/>
              </w:rPr>
              <w:t>铺设加筋带、填料摊</w:t>
            </w:r>
          </w:p>
          <w:p>
            <w:pPr>
              <w:spacing w:line="239" w:lineRule="exact"/>
              <w:ind w:left="108"/>
            </w:pPr>
            <w:r>
              <w:rPr>
                <w:spacing w:val="-1"/>
                <w:sz w:val="20"/>
              </w:rPr>
              <w:t>平及分层压实；</w:t>
            </w:r>
          </w:p>
          <w:p>
            <w:pPr>
              <w:spacing w:line="306" w:lineRule="exact"/>
              <w:ind w:left="281"/>
            </w:pPr>
            <w:r>
              <w:rPr>
                <w:rFonts w:ascii="Times New Roman" w:hAnsi="Times New Roman" w:cs="Times New Roman"/>
                <w:sz w:val="20"/>
              </w:rPr>
              <w:t>7.</w:t>
            </w:r>
            <w:r>
              <w:rPr>
                <w:spacing w:val="-1"/>
                <w:position w:val="1"/>
                <w:sz w:val="20"/>
              </w:rPr>
              <w:t>墙背回填（不含路堤</w:t>
            </w:r>
          </w:p>
          <w:p>
            <w:pPr>
              <w:spacing w:line="239" w:lineRule="exact"/>
              <w:ind w:left="108"/>
            </w:pPr>
            <w:r>
              <w:rPr>
                <w:spacing w:val="-1"/>
                <w:sz w:val="20"/>
              </w:rPr>
              <w:t>填料回填）及排水系统施</w:t>
            </w:r>
          </w:p>
          <w:p>
            <w:pPr>
              <w:spacing w:line="274" w:lineRule="exact"/>
              <w:ind w:left="108"/>
            </w:pPr>
            <w:r>
              <w:rPr>
                <w:spacing w:val="-1"/>
                <w:sz w:val="20"/>
              </w:rPr>
              <w:t>工；</w:t>
            </w:r>
          </w:p>
          <w:p>
            <w:pPr>
              <w:spacing w:line="306" w:lineRule="exact"/>
              <w:ind w:left="281"/>
            </w:pPr>
            <w:r>
              <w:rPr>
                <w:rFonts w:ascii="Times New Roman" w:hAnsi="Times New Roman" w:cs="Times New Roman"/>
                <w:sz w:val="20"/>
              </w:rPr>
              <w:t>8.</w:t>
            </w:r>
            <w:r>
              <w:rPr>
                <w:spacing w:val="-1"/>
                <w:position w:val="1"/>
                <w:sz w:val="20"/>
              </w:rPr>
              <w:t>清理现场、废方弃运</w:t>
            </w:r>
          </w:p>
        </w:tc>
      </w:tr>
      <w:tr>
        <w:tblPrEx>
          <w:tblCellMar>
            <w:top w:w="0" w:type="dxa"/>
            <w:left w:w="108" w:type="dxa"/>
            <w:bottom w:w="0" w:type="dxa"/>
            <w:right w:w="108" w:type="dxa"/>
          </w:tblCellMar>
        </w:tblPrEx>
        <w:trPr>
          <w:trHeight w:val="54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68" w:lineRule="exact"/>
              <w:ind w:left="337"/>
            </w:pPr>
            <w:r>
              <w:rPr>
                <w:rFonts w:ascii="Times New Roman" w:hAnsi="Times New Roman" w:cs="Times New Roman"/>
                <w:spacing w:val="-1"/>
                <w:sz w:val="20"/>
              </w:rPr>
              <w:t>604-1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9" w:lineRule="exact"/>
              <w:ind w:left="282"/>
            </w:pPr>
            <w:r>
              <w:rPr>
                <w:spacing w:val="-1"/>
                <w:sz w:val="20"/>
              </w:rPr>
              <w:t>河道防护</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9" w:lineRule="exact"/>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9"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9" w:lineRule="exact"/>
            </w:pPr>
          </w:p>
        </w:tc>
      </w:tr>
      <w:tr>
        <w:tblPrEx>
          <w:tblCellMar>
            <w:top w:w="0" w:type="dxa"/>
            <w:left w:w="108" w:type="dxa"/>
            <w:bottom w:w="0" w:type="dxa"/>
            <w:right w:w="108" w:type="dxa"/>
          </w:tblCellMar>
        </w:tblPrEx>
        <w:trPr>
          <w:trHeight w:val="54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68" w:lineRule="exact"/>
              <w:ind w:left="500"/>
            </w:pPr>
            <w:r>
              <w:rPr>
                <w:rFonts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9" w:lineRule="exact"/>
              <w:ind w:left="282"/>
            </w:pPr>
            <w:r>
              <w:rPr>
                <w:spacing w:val="-1"/>
                <w:sz w:val="20"/>
              </w:rPr>
              <w:t>河床铺砌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9" w:lineRule="exact"/>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9"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9" w:lineRule="exact"/>
            </w:pPr>
          </w:p>
        </w:tc>
      </w:tr>
      <w:tr>
        <w:tblPrEx>
          <w:tblCellMar>
            <w:top w:w="0" w:type="dxa"/>
            <w:left w:w="108" w:type="dxa"/>
            <w:bottom w:w="0" w:type="dxa"/>
            <w:right w:w="108" w:type="dxa"/>
          </w:tblCellMar>
        </w:tblPrEx>
        <w:trPr>
          <w:trHeight w:val="164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18" w:lineRule="exact"/>
              <w:ind w:left="411"/>
            </w:pPr>
            <w:r>
              <w:rPr>
                <w:rFonts w:ascii="Times New Roman" w:hAnsi="Times New Roman" w:cs="Times New Roman"/>
                <w:spacing w:val="-1"/>
                <w:sz w:val="20"/>
              </w:rPr>
              <w:t>-a-1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9" w:lineRule="exact"/>
              <w:ind w:left="282"/>
            </w:pPr>
            <w:r>
              <w:rPr>
                <w:spacing w:val="-1"/>
                <w:sz w:val="20"/>
              </w:rPr>
              <w:t>浆砌片石铺砌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9" w:lineRule="exact"/>
              <w:ind w:left="423"/>
            </w:pPr>
            <w:r>
              <w:rPr>
                <w:rFonts w:ascii="Times New Roman" w:hAnsi="Times New Roman" w:cs="Times New Roman"/>
                <w:position w:val="-4"/>
                <w:sz w:val="20"/>
              </w:rPr>
              <w:t>m</w:t>
            </w:r>
            <w:r>
              <w:rPr>
                <w:rFonts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5" w:lineRule="exact"/>
              <w:ind w:left="282"/>
            </w:pPr>
            <w:r>
              <w:rPr>
                <w:spacing w:val="-1"/>
                <w:sz w:val="20"/>
              </w:rPr>
              <w:t>依据图纸所示位置和</w:t>
            </w:r>
          </w:p>
          <w:p>
            <w:pPr>
              <w:spacing w:line="274" w:lineRule="exact"/>
              <w:ind w:left="109"/>
            </w:pPr>
            <w:r>
              <w:rPr>
                <w:spacing w:val="-1"/>
                <w:sz w:val="20"/>
              </w:rPr>
              <w:t>断面尺寸，按图示不同强</w:t>
            </w:r>
          </w:p>
          <w:p>
            <w:pPr>
              <w:spacing w:line="271" w:lineRule="exact"/>
              <w:ind w:left="109"/>
            </w:pPr>
            <w:r>
              <w:rPr>
                <w:spacing w:val="-1"/>
                <w:sz w:val="20"/>
              </w:rPr>
              <w:t>度等级水泥砂浆铺砌体</w:t>
            </w:r>
          </w:p>
          <w:p>
            <w:pPr>
              <w:spacing w:line="274" w:lineRule="exact"/>
              <w:ind w:left="109"/>
            </w:pPr>
            <w:r>
              <w:rPr>
                <w:spacing w:val="-1"/>
                <w:sz w:val="20"/>
              </w:rPr>
              <w:t>积以立方米为单位计量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临时排水；</w:t>
            </w:r>
          </w:p>
          <w:p>
            <w:pPr>
              <w:spacing w:line="271" w:lineRule="exact"/>
              <w:ind w:left="281"/>
            </w:pPr>
            <w:r>
              <w:rPr>
                <w:rFonts w:ascii="Times New Roman" w:hAnsi="Times New Roman" w:cs="Times New Roman"/>
                <w:sz w:val="20"/>
              </w:rPr>
              <w:t>2.</w:t>
            </w:r>
            <w:r>
              <w:rPr>
                <w:spacing w:val="-1"/>
                <w:position w:val="1"/>
                <w:sz w:val="20"/>
              </w:rPr>
              <w:t>基坑开挖；</w:t>
            </w:r>
          </w:p>
          <w:p>
            <w:pPr>
              <w:spacing w:line="274" w:lineRule="exact"/>
              <w:ind w:left="281"/>
            </w:pPr>
            <w:r>
              <w:rPr>
                <w:rFonts w:ascii="Times New Roman" w:hAnsi="Times New Roman" w:cs="Times New Roman"/>
                <w:sz w:val="20"/>
              </w:rPr>
              <w:t>3.</w:t>
            </w:r>
            <w:r>
              <w:rPr>
                <w:spacing w:val="-1"/>
                <w:position w:val="1"/>
                <w:sz w:val="20"/>
              </w:rPr>
              <w:t>拌、运砂浆；</w:t>
            </w:r>
          </w:p>
          <w:p>
            <w:pPr>
              <w:spacing w:line="271" w:lineRule="exact"/>
              <w:ind w:left="281"/>
            </w:pPr>
            <w:r>
              <w:rPr>
                <w:rFonts w:ascii="Times New Roman" w:hAnsi="Times New Roman" w:cs="Times New Roman"/>
                <w:sz w:val="20"/>
              </w:rPr>
              <w:t>4.</w:t>
            </w:r>
            <w:r>
              <w:rPr>
                <w:spacing w:val="-1"/>
                <w:position w:val="1"/>
                <w:sz w:val="20"/>
              </w:rPr>
              <w:t>砌筑；</w:t>
            </w:r>
          </w:p>
          <w:p>
            <w:pPr>
              <w:spacing w:line="274" w:lineRule="exact"/>
              <w:ind w:left="281"/>
            </w:pPr>
            <w:r>
              <w:rPr>
                <w:rFonts w:ascii="Times New Roman" w:hAnsi="Times New Roman" w:cs="Times New Roman"/>
                <w:sz w:val="20"/>
              </w:rPr>
              <w:t>5.</w:t>
            </w:r>
            <w:r>
              <w:rPr>
                <w:spacing w:val="-1"/>
                <w:position w:val="1"/>
                <w:sz w:val="20"/>
              </w:rPr>
              <w:t>养护；</w:t>
            </w:r>
          </w:p>
          <w:p>
            <w:pPr>
              <w:spacing w:line="271" w:lineRule="exact"/>
              <w:ind w:left="281"/>
            </w:pPr>
            <w:r>
              <w:rPr>
                <w:rFonts w:ascii="Times New Roman" w:hAnsi="Times New Roman" w:cs="Times New Roman"/>
                <w:sz w:val="20"/>
              </w:rPr>
              <w:t>6.</w:t>
            </w:r>
            <w:r>
              <w:rPr>
                <w:spacing w:val="-1"/>
                <w:position w:val="1"/>
                <w:sz w:val="20"/>
              </w:rPr>
              <w:t>清理现场</w:t>
            </w:r>
          </w:p>
        </w:tc>
      </w:tr>
      <w:tr>
        <w:tblPrEx>
          <w:tblCellMar>
            <w:top w:w="0" w:type="dxa"/>
            <w:left w:w="108" w:type="dxa"/>
            <w:bottom w:w="0" w:type="dxa"/>
            <w:right w:w="108" w:type="dxa"/>
          </w:tblCellMar>
        </w:tblPrEx>
        <w:trPr>
          <w:trHeight w:val="191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55" w:lineRule="exact"/>
              <w:ind w:left="411"/>
            </w:pPr>
            <w:r>
              <w:rPr>
                <w:rFonts w:ascii="Times New Roman" w:hAnsi="Times New Roman" w:cs="Times New Roman"/>
                <w:spacing w:val="-1"/>
                <w:sz w:val="20"/>
              </w:rPr>
              <w:t>-a-2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06" w:lineRule="exact"/>
              <w:ind w:left="282"/>
            </w:pPr>
            <w:r>
              <w:rPr>
                <w:spacing w:val="-1"/>
                <w:sz w:val="20"/>
              </w:rPr>
              <w:t>混凝土铺砌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63" w:lineRule="exact"/>
              <w:ind w:left="423"/>
            </w:pPr>
            <w:r>
              <w:rPr>
                <w:rFonts w:ascii="Times New Roman" w:hAnsi="Times New Roman" w:cs="Times New Roman"/>
                <w:position w:val="-4"/>
                <w:sz w:val="20"/>
              </w:rPr>
              <w:t>m</w:t>
            </w:r>
            <w:r>
              <w:rPr>
                <w:rFonts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52" w:lineRule="exact"/>
              <w:ind w:left="282"/>
            </w:pPr>
            <w:r>
              <w:rPr>
                <w:spacing w:val="-1"/>
                <w:sz w:val="20"/>
              </w:rPr>
              <w:t>依据图纸所示位置及</w:t>
            </w:r>
          </w:p>
          <w:p>
            <w:pPr>
              <w:spacing w:line="271" w:lineRule="exact"/>
              <w:ind w:left="109"/>
            </w:pPr>
            <w:r>
              <w:rPr>
                <w:spacing w:val="-1"/>
                <w:sz w:val="20"/>
              </w:rPr>
              <w:t>断面尺寸，按照不同强度</w:t>
            </w:r>
          </w:p>
          <w:p>
            <w:pPr>
              <w:spacing w:line="274" w:lineRule="exact"/>
              <w:ind w:left="109"/>
            </w:pPr>
            <w:r>
              <w:rPr>
                <w:spacing w:val="-1"/>
                <w:sz w:val="20"/>
              </w:rPr>
              <w:t>等级混凝土铺筑体积以</w:t>
            </w:r>
          </w:p>
          <w:p>
            <w:pPr>
              <w:spacing w:line="271" w:lineRule="exact"/>
              <w:ind w:left="109"/>
            </w:pPr>
            <w:r>
              <w:rPr>
                <w:spacing w:val="-1"/>
                <w:sz w:val="20"/>
              </w:rPr>
              <w:t>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临时排水；</w:t>
            </w:r>
          </w:p>
          <w:p>
            <w:pPr>
              <w:spacing w:line="271" w:lineRule="exact"/>
              <w:ind w:left="281"/>
            </w:pPr>
            <w:r>
              <w:rPr>
                <w:rFonts w:ascii="Times New Roman" w:hAnsi="Times New Roman" w:cs="Times New Roman"/>
                <w:sz w:val="20"/>
              </w:rPr>
              <w:t>2.</w:t>
            </w:r>
            <w:r>
              <w:rPr>
                <w:spacing w:val="-1"/>
                <w:position w:val="1"/>
                <w:sz w:val="20"/>
              </w:rPr>
              <w:t>基坑开挖；</w:t>
            </w:r>
          </w:p>
          <w:p>
            <w:pPr>
              <w:spacing w:line="274" w:lineRule="exact"/>
              <w:ind w:left="281"/>
            </w:pPr>
            <w:r>
              <w:rPr>
                <w:rFonts w:ascii="Times New Roman" w:hAnsi="Times New Roman" w:cs="Times New Roman"/>
                <w:sz w:val="20"/>
              </w:rPr>
              <w:t>3.</w:t>
            </w:r>
            <w:r>
              <w:rPr>
                <w:spacing w:val="-1"/>
                <w:position w:val="1"/>
                <w:sz w:val="20"/>
              </w:rPr>
              <w:t>模板制作、安装、拆</w:t>
            </w:r>
          </w:p>
          <w:p>
            <w:pPr>
              <w:spacing w:line="237" w:lineRule="exact"/>
              <w:ind w:left="108"/>
            </w:pPr>
            <w:r>
              <w:rPr>
                <w:spacing w:val="-1"/>
                <w:sz w:val="20"/>
              </w:rPr>
              <w:t>除；</w:t>
            </w:r>
          </w:p>
          <w:p>
            <w:pPr>
              <w:spacing w:line="308" w:lineRule="exact"/>
              <w:ind w:left="281"/>
            </w:pPr>
            <w:r>
              <w:rPr>
                <w:rFonts w:ascii="Times New Roman" w:hAnsi="Times New Roman" w:cs="Times New Roman"/>
                <w:sz w:val="20"/>
              </w:rPr>
              <w:t>4.</w:t>
            </w:r>
            <w:r>
              <w:rPr>
                <w:spacing w:val="-1"/>
                <w:position w:val="1"/>
                <w:sz w:val="20"/>
              </w:rPr>
              <w:t>混凝土拌和、运输、</w:t>
            </w:r>
          </w:p>
          <w:p>
            <w:pPr>
              <w:spacing w:line="237" w:lineRule="exact"/>
              <w:ind w:left="108"/>
            </w:pPr>
            <w:r>
              <w:rPr>
                <w:spacing w:val="-1"/>
                <w:sz w:val="20"/>
              </w:rPr>
              <w:t>浇筑、养护；</w:t>
            </w:r>
          </w:p>
          <w:p>
            <w:pPr>
              <w:spacing w:line="308" w:lineRule="exact"/>
              <w:ind w:left="281"/>
            </w:pPr>
            <w:r>
              <w:rPr>
                <w:rFonts w:ascii="Times New Roman" w:hAnsi="Times New Roman" w:cs="Times New Roman"/>
                <w:sz w:val="20"/>
              </w:rPr>
              <w:t>5.</w:t>
            </w:r>
            <w:r>
              <w:rPr>
                <w:spacing w:val="-1"/>
                <w:position w:val="1"/>
                <w:sz w:val="20"/>
              </w:rPr>
              <w:t>清理现场</w:t>
            </w:r>
          </w:p>
        </w:tc>
      </w:tr>
      <w:tr>
        <w:tblPrEx>
          <w:tblCellMar>
            <w:top w:w="0" w:type="dxa"/>
            <w:left w:w="108" w:type="dxa"/>
            <w:bottom w:w="0" w:type="dxa"/>
            <w:right w:w="108" w:type="dxa"/>
          </w:tblCellMar>
        </w:tblPrEx>
        <w:trPr>
          <w:trHeight w:val="1090"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44" w:lineRule="exact"/>
              <w:ind w:left="493"/>
            </w:pPr>
            <w:r>
              <w:rPr>
                <w:rFonts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32" w:lineRule="exact"/>
              <w:ind w:left="282"/>
            </w:pPr>
            <w:r>
              <w:rPr>
                <w:spacing w:val="-1"/>
                <w:sz w:val="20"/>
              </w:rPr>
              <w:t>导流设施（护岸</w:t>
            </w:r>
          </w:p>
          <w:p>
            <w:pPr>
              <w:spacing w:line="360" w:lineRule="exact"/>
              <w:ind w:left="107"/>
            </w:pPr>
            <w:r>
              <w:rPr>
                <w:spacing w:val="-1"/>
                <w:sz w:val="20"/>
              </w:rPr>
              <w:t>墙、顺坝、丁坝、</w:t>
            </w:r>
          </w:p>
          <w:p>
            <w:pPr>
              <w:spacing w:line="360" w:lineRule="exact"/>
              <w:ind w:left="107"/>
            </w:pPr>
            <w:r>
              <w:rPr>
                <w:spacing w:val="-1"/>
                <w:sz w:val="20"/>
              </w:rPr>
              <w:t>调水坝、锥坡）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60" w:lineRule="exact"/>
            </w:pPr>
          </w:p>
        </w:tc>
      </w:tr>
      <w:tr>
        <w:tblPrEx>
          <w:tblCellMar>
            <w:top w:w="0" w:type="dxa"/>
            <w:left w:w="108" w:type="dxa"/>
            <w:bottom w:w="0" w:type="dxa"/>
            <w:right w:w="108" w:type="dxa"/>
          </w:tblCellMar>
        </w:tblPrEx>
        <w:trPr>
          <w:trHeight w:val="218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93" w:lineRule="exact"/>
              <w:ind w:left="406"/>
            </w:pPr>
            <w:r>
              <w:rPr>
                <w:rFonts w:ascii="Times New Roman" w:hAnsi="Times New Roman" w:cs="Times New Roman"/>
                <w:spacing w:val="-1"/>
                <w:sz w:val="20"/>
              </w:rPr>
              <w:t>-b-1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41" w:lineRule="exact"/>
              <w:ind w:left="282"/>
            </w:pPr>
            <w:r>
              <w:rPr>
                <w:spacing w:val="-1"/>
                <w:sz w:val="20"/>
              </w:rPr>
              <w:t>浆砌片石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201" w:lineRule="exact"/>
              <w:ind w:left="423"/>
            </w:pPr>
            <w:r>
              <w:rPr>
                <w:rFonts w:ascii="Times New Roman" w:hAnsi="Times New Roman" w:cs="Times New Roman"/>
                <w:position w:val="-4"/>
                <w:sz w:val="20"/>
              </w:rPr>
              <w:t>m</w:t>
            </w:r>
            <w:r>
              <w:rPr>
                <w:rFonts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90" w:lineRule="exact"/>
              <w:ind w:left="282"/>
            </w:pPr>
            <w:r>
              <w:rPr>
                <w:spacing w:val="-1"/>
                <w:sz w:val="20"/>
              </w:rPr>
              <w:t>图纸所示位置和断面</w:t>
            </w:r>
          </w:p>
          <w:p>
            <w:pPr>
              <w:spacing w:line="271" w:lineRule="exact"/>
              <w:ind w:left="109"/>
            </w:pPr>
            <w:r>
              <w:rPr>
                <w:spacing w:val="-1"/>
                <w:sz w:val="20"/>
              </w:rPr>
              <w:t>尺寸，按图示不同强度等</w:t>
            </w:r>
          </w:p>
          <w:p>
            <w:pPr>
              <w:spacing w:line="271" w:lineRule="exact"/>
              <w:ind w:left="109"/>
            </w:pPr>
            <w:r>
              <w:rPr>
                <w:spacing w:val="-1"/>
                <w:sz w:val="20"/>
              </w:rPr>
              <w:t>级水泥砂浆砌石体积以</w:t>
            </w:r>
          </w:p>
          <w:p>
            <w:pPr>
              <w:spacing w:line="274" w:lineRule="exact"/>
              <w:ind w:left="109"/>
            </w:pPr>
            <w:r>
              <w:rPr>
                <w:spacing w:val="-1"/>
                <w:sz w:val="20"/>
              </w:rPr>
              <w:t>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围堰、临时排水工程</w:t>
            </w:r>
          </w:p>
          <w:p>
            <w:pPr>
              <w:spacing w:line="236" w:lineRule="exact"/>
              <w:ind w:left="108"/>
            </w:pPr>
            <w:r>
              <w:rPr>
                <w:spacing w:val="-1"/>
                <w:sz w:val="20"/>
              </w:rPr>
              <w:t>施工；</w:t>
            </w:r>
          </w:p>
          <w:p>
            <w:pPr>
              <w:spacing w:line="308" w:lineRule="exact"/>
              <w:ind w:left="281"/>
            </w:pPr>
            <w:r>
              <w:rPr>
                <w:rFonts w:ascii="Times New Roman" w:hAnsi="Times New Roman" w:cs="Times New Roman"/>
                <w:sz w:val="20"/>
              </w:rPr>
              <w:t>2.</w:t>
            </w:r>
            <w:r>
              <w:rPr>
                <w:spacing w:val="-1"/>
                <w:position w:val="1"/>
                <w:sz w:val="20"/>
              </w:rPr>
              <w:t>基坑修整、清理夯实，</w:t>
            </w:r>
          </w:p>
          <w:p>
            <w:pPr>
              <w:spacing w:line="237" w:lineRule="exact"/>
              <w:ind w:left="108"/>
            </w:pPr>
            <w:r>
              <w:rPr>
                <w:spacing w:val="-1"/>
                <w:sz w:val="20"/>
              </w:rPr>
              <w:t>废方弃运；</w:t>
            </w:r>
          </w:p>
          <w:p>
            <w:pPr>
              <w:spacing w:line="308" w:lineRule="exact"/>
              <w:ind w:left="281"/>
            </w:pPr>
            <w:r>
              <w:rPr>
                <w:rFonts w:ascii="Times New Roman" w:hAnsi="Times New Roman" w:cs="Times New Roman"/>
                <w:sz w:val="20"/>
              </w:rPr>
              <w:t>3.</w:t>
            </w:r>
            <w:r>
              <w:rPr>
                <w:spacing w:val="-1"/>
                <w:position w:val="1"/>
                <w:sz w:val="20"/>
              </w:rPr>
              <w:t>拌、运砂浆；</w:t>
            </w:r>
          </w:p>
          <w:p>
            <w:pPr>
              <w:spacing w:line="271" w:lineRule="exact"/>
              <w:ind w:left="281"/>
            </w:pPr>
            <w:r>
              <w:rPr>
                <w:rFonts w:ascii="Times New Roman" w:hAnsi="Times New Roman" w:cs="Times New Roman"/>
                <w:sz w:val="20"/>
              </w:rPr>
              <w:t>4.</w:t>
            </w:r>
            <w:r>
              <w:rPr>
                <w:spacing w:val="-1"/>
                <w:position w:val="1"/>
                <w:sz w:val="20"/>
              </w:rPr>
              <w:t>砌筑、勾缝、抹面、</w:t>
            </w:r>
          </w:p>
          <w:p>
            <w:pPr>
              <w:spacing w:line="239" w:lineRule="exact"/>
              <w:ind w:left="108"/>
            </w:pPr>
            <w:r>
              <w:rPr>
                <w:spacing w:val="-1"/>
                <w:sz w:val="20"/>
              </w:rPr>
              <w:t>养护；</w:t>
            </w:r>
          </w:p>
          <w:p>
            <w:pPr>
              <w:spacing w:line="306" w:lineRule="exact"/>
              <w:ind w:left="281"/>
            </w:pPr>
            <w:r>
              <w:rPr>
                <w:rFonts w:ascii="Times New Roman" w:hAnsi="Times New Roman" w:cs="Times New Roman"/>
                <w:sz w:val="20"/>
              </w:rPr>
              <w:t>5.</w:t>
            </w:r>
            <w:r>
              <w:rPr>
                <w:spacing w:val="-1"/>
                <w:position w:val="1"/>
                <w:sz w:val="20"/>
              </w:rPr>
              <w:t>墙背回填、夯实</w:t>
            </w:r>
          </w:p>
        </w:tc>
      </w:tr>
      <w:tr>
        <w:tblPrEx>
          <w:tblCellMar>
            <w:top w:w="0" w:type="dxa"/>
            <w:left w:w="108" w:type="dxa"/>
            <w:bottom w:w="0" w:type="dxa"/>
            <w:right w:w="108" w:type="dxa"/>
          </w:tblCellMar>
        </w:tblPrEx>
        <w:trPr>
          <w:trHeight w:val="245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27" w:lineRule="exact"/>
              <w:ind w:left="406"/>
            </w:pPr>
            <w:r>
              <w:rPr>
                <w:rFonts w:ascii="Times New Roman" w:hAnsi="Times New Roman" w:cs="Times New Roman"/>
                <w:spacing w:val="-1"/>
                <w:sz w:val="20"/>
              </w:rPr>
              <w:t>-b-2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78" w:lineRule="exact"/>
              <w:ind w:left="282"/>
            </w:pPr>
            <w:r>
              <w:rPr>
                <w:spacing w:val="-1"/>
                <w:sz w:val="20"/>
              </w:rPr>
              <w:t>混凝土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38" w:lineRule="exact"/>
              <w:ind w:left="423"/>
            </w:pPr>
            <w:r>
              <w:rPr>
                <w:rFonts w:ascii="Times New Roman" w:hAnsi="Times New Roman" w:cs="Times New Roman"/>
                <w:position w:val="-4"/>
                <w:sz w:val="20"/>
              </w:rPr>
              <w:t>m</w:t>
            </w:r>
            <w:r>
              <w:rPr>
                <w:rFonts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4" w:lineRule="exact"/>
              <w:ind w:left="282"/>
            </w:pPr>
            <w:r>
              <w:rPr>
                <w:spacing w:val="-1"/>
                <w:sz w:val="20"/>
              </w:rPr>
              <w:t>依据图纸所示位置及</w:t>
            </w:r>
          </w:p>
          <w:p>
            <w:pPr>
              <w:spacing w:line="274" w:lineRule="exact"/>
              <w:ind w:left="109"/>
            </w:pPr>
            <w:r>
              <w:rPr>
                <w:spacing w:val="-1"/>
                <w:sz w:val="20"/>
              </w:rPr>
              <w:t>断面尺寸，按照不同强度</w:t>
            </w:r>
          </w:p>
          <w:p>
            <w:pPr>
              <w:spacing w:line="271" w:lineRule="exact"/>
              <w:ind w:left="109"/>
            </w:pPr>
            <w:r>
              <w:rPr>
                <w:spacing w:val="-1"/>
                <w:sz w:val="20"/>
              </w:rPr>
              <w:t>等级混凝土浇筑体积以</w:t>
            </w:r>
          </w:p>
          <w:p>
            <w:pPr>
              <w:spacing w:line="274" w:lineRule="exact"/>
              <w:ind w:left="109"/>
            </w:pPr>
            <w:r>
              <w:rPr>
                <w:spacing w:val="-1"/>
                <w:sz w:val="20"/>
              </w:rPr>
              <w:t>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围堰、临时排水工程</w:t>
            </w:r>
          </w:p>
          <w:p>
            <w:pPr>
              <w:spacing w:line="237" w:lineRule="exact"/>
              <w:ind w:left="108"/>
            </w:pPr>
            <w:r>
              <w:rPr>
                <w:spacing w:val="-1"/>
                <w:sz w:val="20"/>
              </w:rPr>
              <w:t>施工；</w:t>
            </w:r>
          </w:p>
          <w:p>
            <w:pPr>
              <w:spacing w:line="308" w:lineRule="exact"/>
              <w:ind w:left="281"/>
            </w:pPr>
            <w:r>
              <w:rPr>
                <w:rFonts w:ascii="Times New Roman" w:hAnsi="Times New Roman" w:cs="Times New Roman"/>
                <w:sz w:val="20"/>
              </w:rPr>
              <w:t>2.</w:t>
            </w:r>
            <w:r>
              <w:rPr>
                <w:spacing w:val="-1"/>
                <w:position w:val="1"/>
                <w:sz w:val="20"/>
              </w:rPr>
              <w:t>基坑修整、清理夯实，</w:t>
            </w:r>
          </w:p>
          <w:p>
            <w:pPr>
              <w:spacing w:line="237" w:lineRule="exact"/>
              <w:ind w:left="108"/>
            </w:pPr>
            <w:r>
              <w:rPr>
                <w:spacing w:val="-1"/>
                <w:sz w:val="20"/>
              </w:rPr>
              <w:t>废方弃运；</w:t>
            </w:r>
          </w:p>
          <w:p>
            <w:pPr>
              <w:spacing w:line="308" w:lineRule="exact"/>
              <w:ind w:left="281"/>
            </w:pPr>
            <w:r>
              <w:rPr>
                <w:rFonts w:ascii="Times New Roman" w:hAnsi="Times New Roman" w:cs="Times New Roman"/>
                <w:sz w:val="20"/>
              </w:rPr>
              <w:t>3.</w:t>
            </w:r>
            <w:r>
              <w:rPr>
                <w:spacing w:val="-1"/>
                <w:position w:val="1"/>
                <w:sz w:val="20"/>
              </w:rPr>
              <w:t>模板制作、安装、拆</w:t>
            </w:r>
          </w:p>
          <w:p>
            <w:pPr>
              <w:spacing w:line="237" w:lineRule="exact"/>
              <w:ind w:left="108"/>
            </w:pPr>
            <w:r>
              <w:rPr>
                <w:spacing w:val="-1"/>
                <w:sz w:val="20"/>
              </w:rPr>
              <w:t>除、修理及保养；</w:t>
            </w:r>
          </w:p>
          <w:p>
            <w:pPr>
              <w:spacing w:line="308" w:lineRule="exact"/>
              <w:ind w:left="281"/>
            </w:pPr>
            <w:r>
              <w:rPr>
                <w:rFonts w:ascii="Times New Roman" w:hAnsi="Times New Roman" w:cs="Times New Roman"/>
                <w:sz w:val="20"/>
              </w:rPr>
              <w:t>4.</w:t>
            </w:r>
            <w:r>
              <w:rPr>
                <w:spacing w:val="-1"/>
                <w:position w:val="1"/>
                <w:sz w:val="20"/>
              </w:rPr>
              <w:t>混凝土制作、运输、</w:t>
            </w:r>
          </w:p>
          <w:p>
            <w:pPr>
              <w:spacing w:line="237" w:lineRule="exact"/>
              <w:ind w:left="108"/>
            </w:pPr>
            <w:r>
              <w:rPr>
                <w:spacing w:val="-1"/>
                <w:sz w:val="20"/>
              </w:rPr>
              <w:t>浇筑、振捣、养护；</w:t>
            </w:r>
          </w:p>
          <w:p>
            <w:pPr>
              <w:spacing w:line="308" w:lineRule="exact"/>
              <w:ind w:left="281"/>
            </w:pPr>
            <w:r>
              <w:rPr>
                <w:rFonts w:ascii="Times New Roman" w:hAnsi="Times New Roman" w:cs="Times New Roman"/>
                <w:sz w:val="20"/>
              </w:rPr>
              <w:t>5.</w:t>
            </w:r>
            <w:r>
              <w:rPr>
                <w:spacing w:val="-1"/>
                <w:position w:val="1"/>
                <w:sz w:val="20"/>
              </w:rPr>
              <w:t>墙背回填、夯实</w:t>
            </w:r>
          </w:p>
        </w:tc>
      </w:tr>
    </w:tbl>
    <w:p>
      <w:pPr>
        <w:spacing w:line="249" w:lineRule="exact"/>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tblPrEx>
          <w:tblCellMar>
            <w:top w:w="0" w:type="dxa"/>
            <w:left w:w="108" w:type="dxa"/>
            <w:bottom w:w="0" w:type="dxa"/>
            <w:right w:w="108" w:type="dxa"/>
          </w:tblCellMar>
        </w:tblPrEx>
        <w:trPr>
          <w:trHeight w:val="46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33" w:lineRule="exact"/>
              <w:ind w:left="337"/>
            </w:pPr>
            <w:r>
              <w:rPr>
                <w:rFonts w:ascii="Times New Roman" w:hAnsi="Times New Roman" w:cs="Times New Roman"/>
                <w:spacing w:val="-1"/>
                <w:sz w:val="20"/>
              </w:rPr>
              <w:t>605-1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1" w:lineRule="exact"/>
              <w:ind w:left="282"/>
            </w:pPr>
            <w:r>
              <w:rPr>
                <w:spacing w:val="-1"/>
                <w:sz w:val="20"/>
              </w:rPr>
              <w:t>防风固沙设施</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1" w:lineRule="exact"/>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1"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1" w:lineRule="exact"/>
            </w:pPr>
          </w:p>
        </w:tc>
      </w:tr>
      <w:tr>
        <w:tblPrEx>
          <w:tblCellMar>
            <w:top w:w="0" w:type="dxa"/>
            <w:left w:w="108" w:type="dxa"/>
            <w:bottom w:w="0" w:type="dxa"/>
            <w:right w:w="108" w:type="dxa"/>
          </w:tblCellMar>
        </w:tblPrEx>
        <w:trPr>
          <w:trHeight w:val="164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20" w:lineRule="exact"/>
              <w:ind w:left="500"/>
            </w:pPr>
            <w:r>
              <w:rPr>
                <w:rFonts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71" w:lineRule="exact"/>
              <w:ind w:left="282"/>
            </w:pPr>
            <w:r>
              <w:rPr>
                <w:spacing w:val="-1"/>
                <w:sz w:val="20"/>
              </w:rPr>
              <w:t>芦苇栅栏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20" w:lineRule="exact"/>
              <w:ind w:left="457"/>
            </w:pPr>
            <w:r>
              <w:rPr>
                <w:rFonts w:ascii="Times New Roman" w:hAnsi="Times New Roman" w:cs="Times New Roman"/>
                <w:sz w:val="20"/>
              </w:rPr>
              <w:t>m</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7" w:lineRule="exact"/>
              <w:ind w:left="282"/>
            </w:pPr>
            <w:r>
              <w:rPr>
                <w:spacing w:val="-1"/>
                <w:sz w:val="20"/>
              </w:rPr>
              <w:t>依据图纸所示位置及</w:t>
            </w:r>
          </w:p>
          <w:p>
            <w:pPr>
              <w:spacing w:line="271" w:lineRule="exact"/>
              <w:ind w:left="109"/>
            </w:pPr>
            <w:r>
              <w:rPr>
                <w:spacing w:val="-1"/>
                <w:sz w:val="20"/>
              </w:rPr>
              <w:t>尺寸，设置芦苇栅栏，按</w:t>
            </w:r>
          </w:p>
          <w:p>
            <w:pPr>
              <w:spacing w:line="274" w:lineRule="exact"/>
              <w:ind w:left="109"/>
            </w:pPr>
            <w:r>
              <w:rPr>
                <w:spacing w:val="-1"/>
                <w:sz w:val="20"/>
              </w:rPr>
              <w:t>单排长度以米为单位计</w:t>
            </w:r>
          </w:p>
          <w:p>
            <w:pPr>
              <w:spacing w:line="271" w:lineRule="exact"/>
              <w:ind w:left="109"/>
            </w:pPr>
            <w:r>
              <w:rPr>
                <w:spacing w:val="-1"/>
                <w:sz w:val="20"/>
              </w:rPr>
              <w:t>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1"/>
            </w:pPr>
            <w:r>
              <w:rPr>
                <w:rFonts w:ascii="Times New Roman" w:hAnsi="Times New Roman" w:cs="Times New Roman"/>
                <w:sz w:val="20"/>
              </w:rPr>
              <w:t>1.</w:t>
            </w:r>
            <w:r>
              <w:rPr>
                <w:spacing w:val="-1"/>
                <w:position w:val="1"/>
                <w:sz w:val="20"/>
              </w:rPr>
              <w:t>放样、挖沟槽、准备</w:t>
            </w:r>
          </w:p>
          <w:p>
            <w:pPr>
              <w:spacing w:line="237" w:lineRule="exact"/>
              <w:ind w:left="108"/>
            </w:pPr>
            <w:r>
              <w:rPr>
                <w:spacing w:val="-1"/>
                <w:sz w:val="20"/>
              </w:rPr>
              <w:t>芦苇；</w:t>
            </w:r>
          </w:p>
          <w:p>
            <w:pPr>
              <w:spacing w:line="306" w:lineRule="exact"/>
              <w:ind w:left="281"/>
            </w:pPr>
            <w:r>
              <w:rPr>
                <w:rFonts w:ascii="Times New Roman" w:hAnsi="Times New Roman" w:cs="Times New Roman"/>
                <w:sz w:val="20"/>
              </w:rPr>
              <w:t>2.</w:t>
            </w:r>
            <w:r>
              <w:rPr>
                <w:spacing w:val="-1"/>
                <w:position w:val="1"/>
                <w:sz w:val="20"/>
              </w:rPr>
              <w:t>设置木桩；</w:t>
            </w:r>
          </w:p>
          <w:p>
            <w:pPr>
              <w:spacing w:line="274" w:lineRule="exact"/>
              <w:ind w:left="281"/>
            </w:pPr>
            <w:r>
              <w:rPr>
                <w:rFonts w:ascii="Times New Roman" w:hAnsi="Times New Roman" w:cs="Times New Roman"/>
                <w:sz w:val="20"/>
              </w:rPr>
              <w:t>3.</w:t>
            </w:r>
            <w:r>
              <w:rPr>
                <w:spacing w:val="-1"/>
                <w:position w:val="1"/>
                <w:sz w:val="20"/>
              </w:rPr>
              <w:t>埋设芦苇；</w:t>
            </w:r>
          </w:p>
          <w:p>
            <w:pPr>
              <w:spacing w:line="271" w:lineRule="exact"/>
              <w:ind w:left="281"/>
            </w:pPr>
            <w:r>
              <w:rPr>
                <w:rFonts w:ascii="Times New Roman" w:hAnsi="Times New Roman" w:cs="Times New Roman"/>
                <w:sz w:val="20"/>
              </w:rPr>
              <w:t>4.</w:t>
            </w:r>
            <w:r>
              <w:rPr>
                <w:spacing w:val="-1"/>
                <w:position w:val="1"/>
                <w:sz w:val="20"/>
              </w:rPr>
              <w:t>夯实、整平、固定；</w:t>
            </w:r>
          </w:p>
          <w:p>
            <w:pPr>
              <w:spacing w:line="274" w:lineRule="exact"/>
              <w:ind w:left="281"/>
            </w:pPr>
            <w:r>
              <w:rPr>
                <w:rFonts w:ascii="Times New Roman" w:hAnsi="Times New Roman" w:cs="Times New Roman"/>
                <w:sz w:val="20"/>
              </w:rPr>
              <w:t>5.</w:t>
            </w:r>
            <w:r>
              <w:rPr>
                <w:spacing w:val="-1"/>
                <w:position w:val="1"/>
                <w:sz w:val="20"/>
              </w:rPr>
              <w:t>清理现场</w:t>
            </w:r>
          </w:p>
        </w:tc>
      </w:tr>
      <w:tr>
        <w:tblPrEx>
          <w:tblCellMar>
            <w:top w:w="0" w:type="dxa"/>
            <w:left w:w="108" w:type="dxa"/>
            <w:bottom w:w="0" w:type="dxa"/>
            <w:right w:w="108" w:type="dxa"/>
          </w:tblCellMar>
        </w:tblPrEx>
        <w:trPr>
          <w:trHeight w:val="137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83" w:lineRule="exact"/>
              <w:ind w:left="493"/>
            </w:pPr>
            <w:r>
              <w:rPr>
                <w:rFonts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34" w:lineRule="exact"/>
              <w:ind w:left="282"/>
            </w:pPr>
            <w:r>
              <w:rPr>
                <w:spacing w:val="-1"/>
                <w:sz w:val="20"/>
              </w:rPr>
              <w:t>芦苇草方格</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92" w:lineRule="exact"/>
              <w:ind w:left="423"/>
            </w:pPr>
            <w:r>
              <w:rPr>
                <w:rFonts w:ascii="Times New Roman" w:hAnsi="Times New Roman" w:cs="Times New Roman"/>
                <w:position w:val="-4"/>
                <w:sz w:val="20"/>
              </w:rPr>
              <w:t>m</w:t>
            </w:r>
            <w:r>
              <w:rPr>
                <w:rFonts w:ascii="Times New Roman" w:hAnsi="Times New Roman" w:cs="Times New Roman"/>
                <w:spacing w:val="-4"/>
                <w:sz w:val="13"/>
              </w:rPr>
              <w:t>2</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7" w:lineRule="exact"/>
              <w:ind w:left="282"/>
            </w:pPr>
            <w:r>
              <w:rPr>
                <w:spacing w:val="-1"/>
                <w:sz w:val="20"/>
              </w:rPr>
              <w:t>依据图纸所示位置及</w:t>
            </w:r>
          </w:p>
          <w:p>
            <w:pPr>
              <w:spacing w:line="271" w:lineRule="exact"/>
              <w:ind w:left="109"/>
            </w:pPr>
            <w:r>
              <w:rPr>
                <w:spacing w:val="-1"/>
                <w:sz w:val="20"/>
              </w:rPr>
              <w:t>尺寸，设置芦苇草方格，</w:t>
            </w:r>
          </w:p>
          <w:p>
            <w:pPr>
              <w:spacing w:line="271" w:lineRule="exact"/>
              <w:ind w:left="109"/>
            </w:pPr>
            <w:r>
              <w:rPr>
                <w:spacing w:val="-1"/>
                <w:sz w:val="20"/>
              </w:rPr>
              <w:t>以平方米为单位计量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1"/>
            </w:pPr>
            <w:r>
              <w:rPr>
                <w:rFonts w:ascii="Times New Roman" w:hAnsi="Times New Roman" w:cs="Times New Roman"/>
                <w:sz w:val="20"/>
              </w:rPr>
              <w:t>1.</w:t>
            </w:r>
            <w:r>
              <w:rPr>
                <w:spacing w:val="-1"/>
                <w:position w:val="1"/>
                <w:sz w:val="20"/>
              </w:rPr>
              <w:t>放样、挖沟槽、准备</w:t>
            </w:r>
          </w:p>
          <w:p>
            <w:pPr>
              <w:spacing w:line="237" w:lineRule="exact"/>
              <w:ind w:left="108"/>
            </w:pPr>
            <w:r>
              <w:rPr>
                <w:spacing w:val="-1"/>
                <w:sz w:val="20"/>
              </w:rPr>
              <w:t>芦苇；</w:t>
            </w:r>
          </w:p>
          <w:p>
            <w:pPr>
              <w:spacing w:line="306" w:lineRule="exact"/>
              <w:ind w:left="281"/>
            </w:pPr>
            <w:r>
              <w:rPr>
                <w:rFonts w:ascii="Times New Roman" w:hAnsi="Times New Roman" w:cs="Times New Roman"/>
                <w:sz w:val="20"/>
              </w:rPr>
              <w:t>2.</w:t>
            </w:r>
            <w:r>
              <w:rPr>
                <w:spacing w:val="-1"/>
                <w:position w:val="1"/>
                <w:sz w:val="20"/>
              </w:rPr>
              <w:t>埋设芦苇；</w:t>
            </w:r>
          </w:p>
          <w:p>
            <w:pPr>
              <w:spacing w:line="274" w:lineRule="exact"/>
              <w:ind w:left="281"/>
            </w:pPr>
            <w:r>
              <w:rPr>
                <w:rFonts w:ascii="Times New Roman" w:hAnsi="Times New Roman" w:cs="Times New Roman"/>
                <w:sz w:val="20"/>
              </w:rPr>
              <w:t>3.</w:t>
            </w:r>
            <w:r>
              <w:rPr>
                <w:spacing w:val="-1"/>
                <w:position w:val="1"/>
                <w:sz w:val="20"/>
              </w:rPr>
              <w:t>整形、封砂、夯实；</w:t>
            </w:r>
          </w:p>
          <w:p>
            <w:pPr>
              <w:spacing w:line="271" w:lineRule="exact"/>
              <w:ind w:left="281"/>
            </w:pPr>
            <w:r>
              <w:rPr>
                <w:rFonts w:ascii="Times New Roman" w:hAnsi="Times New Roman" w:cs="Times New Roman"/>
                <w:sz w:val="20"/>
              </w:rPr>
              <w:t>4.</w:t>
            </w:r>
            <w:r>
              <w:rPr>
                <w:spacing w:val="-1"/>
                <w:position w:val="1"/>
                <w:sz w:val="20"/>
              </w:rPr>
              <w:t>清理现场</w:t>
            </w:r>
          </w:p>
        </w:tc>
      </w:tr>
      <w:tr>
        <w:tblPrEx>
          <w:tblCellMar>
            <w:top w:w="0" w:type="dxa"/>
            <w:left w:w="108" w:type="dxa"/>
            <w:bottom w:w="0" w:type="dxa"/>
            <w:right w:w="108" w:type="dxa"/>
          </w:tblCellMar>
        </w:tblPrEx>
        <w:trPr>
          <w:trHeight w:val="109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47" w:lineRule="exact"/>
              <w:ind w:left="500"/>
            </w:pPr>
            <w:r>
              <w:rPr>
                <w:rFonts w:ascii="Times New Roman" w:hAnsi="Times New Roman" w:cs="Times New Roman"/>
                <w:spacing w:val="-1"/>
                <w:sz w:val="20"/>
              </w:rPr>
              <w:t>-c</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96" w:lineRule="exact"/>
              <w:ind w:left="282"/>
            </w:pPr>
            <w:r>
              <w:rPr>
                <w:spacing w:val="-1"/>
                <w:sz w:val="20"/>
              </w:rPr>
              <w:t>边坡覆盖</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56" w:lineRule="exact"/>
              <w:ind w:left="423"/>
            </w:pPr>
            <w:r>
              <w:rPr>
                <w:rFonts w:ascii="Times New Roman" w:hAnsi="Times New Roman" w:cs="Times New Roman"/>
                <w:position w:val="-4"/>
                <w:sz w:val="20"/>
              </w:rPr>
              <w:t>m</w:t>
            </w:r>
            <w:r>
              <w:rPr>
                <w:rFonts w:ascii="Times New Roman" w:hAnsi="Times New Roman" w:cs="Times New Roman"/>
                <w:spacing w:val="-4"/>
                <w:sz w:val="13"/>
              </w:rPr>
              <w:t>2</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4" w:lineRule="exact"/>
              <w:ind w:left="282"/>
            </w:pPr>
            <w:r>
              <w:rPr>
                <w:spacing w:val="-1"/>
                <w:sz w:val="20"/>
              </w:rPr>
              <w:t>根据图纸所示位置及</w:t>
            </w:r>
          </w:p>
          <w:p>
            <w:pPr>
              <w:spacing w:line="271" w:lineRule="exact"/>
              <w:ind w:left="109"/>
            </w:pPr>
            <w:r>
              <w:rPr>
                <w:spacing w:val="-1"/>
                <w:sz w:val="20"/>
              </w:rPr>
              <w:t>断面尺寸，按照边坡覆盖</w:t>
            </w:r>
          </w:p>
          <w:p>
            <w:pPr>
              <w:spacing w:line="274" w:lineRule="exact"/>
              <w:ind w:left="109"/>
            </w:pPr>
            <w:r>
              <w:rPr>
                <w:spacing w:val="-1"/>
                <w:sz w:val="20"/>
              </w:rPr>
              <w:t>的面积，以平方米为单位</w:t>
            </w:r>
          </w:p>
          <w:p>
            <w:pPr>
              <w:spacing w:line="271" w:lineRule="exact"/>
              <w:ind w:left="109"/>
            </w:pPr>
            <w:r>
              <w:rPr>
                <w:spacing w:val="-1"/>
                <w:sz w:val="20"/>
              </w:rPr>
              <w:t>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修整路基表层；</w:t>
            </w:r>
          </w:p>
          <w:p>
            <w:pPr>
              <w:spacing w:line="271" w:lineRule="exact"/>
              <w:ind w:left="281"/>
            </w:pPr>
            <w:r>
              <w:rPr>
                <w:rFonts w:ascii="Times New Roman" w:hAnsi="Times New Roman" w:cs="Times New Roman"/>
                <w:sz w:val="20"/>
              </w:rPr>
              <w:t>2.</w:t>
            </w:r>
            <w:r>
              <w:rPr>
                <w:spacing w:val="-1"/>
                <w:position w:val="1"/>
                <w:sz w:val="20"/>
              </w:rPr>
              <w:t>覆盖砂砾、片石等并</w:t>
            </w:r>
          </w:p>
          <w:p>
            <w:pPr>
              <w:spacing w:line="239" w:lineRule="exact"/>
              <w:ind w:left="108"/>
            </w:pPr>
            <w:r>
              <w:rPr>
                <w:spacing w:val="-1"/>
                <w:sz w:val="20"/>
              </w:rPr>
              <w:t>进行整形；</w:t>
            </w:r>
          </w:p>
          <w:p>
            <w:pPr>
              <w:spacing w:line="306" w:lineRule="exact"/>
              <w:ind w:left="281"/>
            </w:pPr>
            <w:r>
              <w:rPr>
                <w:rFonts w:ascii="Times New Roman" w:hAnsi="Times New Roman" w:cs="Times New Roman"/>
                <w:sz w:val="20"/>
              </w:rPr>
              <w:t>3.</w:t>
            </w:r>
            <w:r>
              <w:rPr>
                <w:spacing w:val="-1"/>
                <w:position w:val="1"/>
                <w:sz w:val="20"/>
              </w:rPr>
              <w:t>清理现场</w:t>
            </w:r>
          </w:p>
        </w:tc>
      </w:tr>
    </w:tbl>
    <w:p>
      <w:pPr>
        <w:spacing w:line="249" w:lineRule="exact"/>
        <w:rPr>
          <w:sz w:val="21"/>
        </w:rPr>
        <w:sectPr>
          <w:pgSz w:w="11910" w:h="16840"/>
          <w:pgMar w:top="1440" w:right="1080" w:bottom="1040" w:left="1420" w:header="882" w:footer="847" w:gutter="0"/>
          <w:cols w:space="720" w:num="1"/>
        </w:sectPr>
      </w:pPr>
    </w:p>
    <w:p>
      <w:pPr>
        <w:spacing w:before="139"/>
        <w:ind w:left="86" w:right="196"/>
        <w:jc w:val="center"/>
        <w:rPr>
          <w:sz w:val="28"/>
        </w:rPr>
      </w:pPr>
      <w:r>
        <w:rPr>
          <w:rFonts w:hint="eastAsia"/>
          <w:sz w:val="28"/>
        </w:rPr>
        <w:t>第 700 章 安全设施</w:t>
      </w:r>
    </w:p>
    <w:p>
      <w:pPr>
        <w:pStyle w:val="10"/>
        <w:spacing w:before="1"/>
        <w:rPr>
          <w:sz w:val="18"/>
        </w:rPr>
      </w:pPr>
    </w:p>
    <w:tbl>
      <w:tblPr>
        <w:tblStyle w:val="18"/>
        <w:tblW w:w="9087" w:type="dxa"/>
        <w:tblInd w:w="0" w:type="dxa"/>
        <w:tblLayout w:type="fixed"/>
        <w:tblCellMar>
          <w:top w:w="0" w:type="dxa"/>
          <w:left w:w="108" w:type="dxa"/>
          <w:bottom w:w="0" w:type="dxa"/>
          <w:right w:w="108" w:type="dxa"/>
        </w:tblCellMar>
      </w:tblPr>
      <w:tblGrid>
        <w:gridCol w:w="1120"/>
        <w:gridCol w:w="1775"/>
        <w:gridCol w:w="1080"/>
        <w:gridCol w:w="2520"/>
        <w:gridCol w:w="2592"/>
      </w:tblGrid>
      <w:tr>
        <w:tblPrEx>
          <w:tblCellMar>
            <w:top w:w="0" w:type="dxa"/>
            <w:left w:w="108" w:type="dxa"/>
            <w:bottom w:w="0" w:type="dxa"/>
            <w:right w:w="108" w:type="dxa"/>
          </w:tblCellMar>
        </w:tblPrEx>
        <w:trPr>
          <w:trHeight w:val="62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5" w:lineRule="exact"/>
              <w:ind w:left="245"/>
            </w:pPr>
            <w:r>
              <w:rPr>
                <w:spacing w:val="-1"/>
                <w:sz w:val="20"/>
              </w:rPr>
              <w:t>子目号</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5" w:lineRule="exact"/>
              <w:ind w:left="467"/>
            </w:pPr>
            <w:r>
              <w:rPr>
                <w:spacing w:val="-1"/>
                <w:sz w:val="20"/>
              </w:rPr>
              <w:t>子目名称</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5" w:lineRule="exact"/>
              <w:ind w:left="329"/>
            </w:pPr>
            <w:r>
              <w:rPr>
                <w:spacing w:val="-1"/>
                <w:sz w:val="20"/>
              </w:rPr>
              <w:t>单位</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5" w:lineRule="exact"/>
              <w:ind w:left="734"/>
            </w:pPr>
            <w:r>
              <w:rPr>
                <w:spacing w:val="-1"/>
                <w:sz w:val="20"/>
              </w:rPr>
              <w:t>工程量计量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15" w:lineRule="exact"/>
              <w:ind w:left="876"/>
            </w:pPr>
            <w:r>
              <w:rPr>
                <w:spacing w:val="-1"/>
                <w:sz w:val="20"/>
              </w:rPr>
              <w:t>工程内容</w:t>
            </w:r>
          </w:p>
        </w:tc>
      </w:tr>
      <w:tr>
        <w:tblPrEx>
          <w:tblCellMar>
            <w:top w:w="0" w:type="dxa"/>
            <w:left w:w="108" w:type="dxa"/>
            <w:bottom w:w="0" w:type="dxa"/>
            <w:right w:w="108" w:type="dxa"/>
          </w:tblCellMar>
        </w:tblPrEx>
        <w:trPr>
          <w:trHeight w:val="24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69" w:lineRule="exact"/>
              <w:ind w:left="315"/>
            </w:pPr>
            <w:r>
              <w:rPr>
                <w:rFonts w:ascii="Times New Roman" w:hAnsi="Times New Roman" w:cs="Times New Roman"/>
                <w:spacing w:val="-1"/>
                <w:sz w:val="20"/>
              </w:rPr>
              <w:t>701-1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97" w:lineRule="exact"/>
              <w:ind w:left="282"/>
            </w:pPr>
            <w:r>
              <w:rPr>
                <w:spacing w:val="-1"/>
                <w:sz w:val="20"/>
              </w:rPr>
              <w:t>钢筋混凝土柱</w:t>
            </w:r>
          </w:p>
          <w:p>
            <w:pPr>
              <w:spacing w:line="274" w:lineRule="exact"/>
              <w:ind w:left="107"/>
            </w:pPr>
            <w:r>
              <w:rPr>
                <w:spacing w:val="-1"/>
                <w:sz w:val="20"/>
              </w:rPr>
              <w:t>式护栏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34" w:lineRule="exact"/>
              <w:ind w:left="434"/>
            </w:pPr>
            <w:r>
              <w:rPr>
                <w:spacing w:val="-1"/>
                <w:sz w:val="20"/>
              </w:rPr>
              <w:t>根</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60" w:lineRule="exact"/>
              <w:ind w:left="281"/>
            </w:pPr>
            <w:r>
              <w:rPr>
                <w:spacing w:val="-1"/>
                <w:sz w:val="20"/>
              </w:rPr>
              <w:t>按图示预制并依据图纸</w:t>
            </w:r>
          </w:p>
          <w:p>
            <w:pPr>
              <w:spacing w:line="274" w:lineRule="exact"/>
              <w:ind w:left="108"/>
            </w:pPr>
            <w:r>
              <w:rPr>
                <w:spacing w:val="-1"/>
                <w:sz w:val="20"/>
              </w:rPr>
              <w:t>所示位置施工，以根为单</w:t>
            </w:r>
          </w:p>
          <w:p>
            <w:pPr>
              <w:spacing w:line="271" w:lineRule="exact"/>
              <w:ind w:left="108"/>
            </w:pPr>
            <w:r>
              <w:rPr>
                <w:spacing w:val="-1"/>
                <w:sz w:val="20"/>
              </w:rPr>
              <w:t>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钢筋的运输、存储、加</w:t>
            </w:r>
          </w:p>
          <w:p>
            <w:pPr>
              <w:spacing w:line="239" w:lineRule="exact"/>
              <w:ind w:left="108"/>
            </w:pPr>
            <w:r>
              <w:rPr>
                <w:spacing w:val="-1"/>
                <w:sz w:val="20"/>
              </w:rPr>
              <w:t>工、安设；</w:t>
            </w:r>
          </w:p>
          <w:p>
            <w:pPr>
              <w:spacing w:line="306" w:lineRule="exact"/>
              <w:ind w:left="281"/>
            </w:pPr>
            <w:r>
              <w:rPr>
                <w:rFonts w:ascii="Times New Roman" w:hAnsi="Times New Roman" w:cs="Times New Roman"/>
                <w:sz w:val="20"/>
              </w:rPr>
              <w:t>2.</w:t>
            </w:r>
            <w:r>
              <w:rPr>
                <w:spacing w:val="-1"/>
                <w:position w:val="1"/>
                <w:sz w:val="20"/>
              </w:rPr>
              <w:t>钢筋混凝土护栏的预</w:t>
            </w:r>
          </w:p>
          <w:p>
            <w:pPr>
              <w:spacing w:line="239" w:lineRule="exact"/>
              <w:ind w:left="108"/>
            </w:pPr>
            <w:r>
              <w:rPr>
                <w:spacing w:val="-1"/>
                <w:sz w:val="20"/>
              </w:rPr>
              <w:t>制、运输；</w:t>
            </w:r>
          </w:p>
          <w:p>
            <w:pPr>
              <w:spacing w:line="306" w:lineRule="exact"/>
              <w:ind w:left="281"/>
            </w:pPr>
            <w:r>
              <w:rPr>
                <w:rFonts w:ascii="Times New Roman" w:hAnsi="Times New Roman" w:cs="Times New Roman"/>
                <w:sz w:val="20"/>
              </w:rPr>
              <w:t>3.</w:t>
            </w:r>
            <w:r>
              <w:rPr>
                <w:spacing w:val="-1"/>
                <w:position w:val="1"/>
                <w:sz w:val="20"/>
              </w:rPr>
              <w:t>基槽开挖；</w:t>
            </w:r>
          </w:p>
          <w:p>
            <w:pPr>
              <w:spacing w:line="271" w:lineRule="exact"/>
              <w:ind w:left="281"/>
            </w:pPr>
            <w:r>
              <w:rPr>
                <w:rFonts w:ascii="Times New Roman" w:hAnsi="Times New Roman" w:cs="Times New Roman"/>
                <w:sz w:val="20"/>
              </w:rPr>
              <w:t>4.</w:t>
            </w:r>
            <w:r>
              <w:rPr>
                <w:spacing w:val="-1"/>
                <w:position w:val="1"/>
                <w:sz w:val="20"/>
              </w:rPr>
              <w:t>钢筋混凝土护栏安装；</w:t>
            </w:r>
          </w:p>
          <w:p>
            <w:pPr>
              <w:spacing w:line="274" w:lineRule="exact"/>
              <w:ind w:left="281"/>
            </w:pPr>
            <w:r>
              <w:rPr>
                <w:rFonts w:ascii="Times New Roman" w:hAnsi="Times New Roman" w:cs="Times New Roman"/>
                <w:sz w:val="20"/>
              </w:rPr>
              <w:t>5.</w:t>
            </w:r>
            <w:r>
              <w:rPr>
                <w:spacing w:val="-1"/>
                <w:position w:val="1"/>
                <w:sz w:val="20"/>
              </w:rPr>
              <w:t>基坑回填，夯实；</w:t>
            </w:r>
          </w:p>
          <w:p>
            <w:pPr>
              <w:spacing w:line="274" w:lineRule="exact"/>
              <w:ind w:left="281"/>
            </w:pPr>
            <w:r>
              <w:rPr>
                <w:rFonts w:ascii="Times New Roman" w:hAnsi="Times New Roman" w:cs="Times New Roman"/>
                <w:sz w:val="20"/>
              </w:rPr>
              <w:t>6.</w:t>
            </w:r>
            <w:r>
              <w:rPr>
                <w:spacing w:val="-1"/>
                <w:position w:val="1"/>
                <w:sz w:val="20"/>
              </w:rPr>
              <w:t>清理场地，弃方处理</w:t>
            </w:r>
          </w:p>
          <w:p>
            <w:pPr>
              <w:spacing w:line="271" w:lineRule="exact"/>
              <w:ind w:left="281"/>
            </w:pPr>
            <w:r>
              <w:rPr>
                <w:rFonts w:ascii="Times New Roman" w:hAnsi="Times New Roman" w:cs="Times New Roman"/>
                <w:sz w:val="20"/>
              </w:rPr>
              <w:t>7.</w:t>
            </w:r>
            <w:r>
              <w:rPr>
                <w:spacing w:val="-1"/>
                <w:position w:val="1"/>
                <w:sz w:val="20"/>
              </w:rPr>
              <w:t>油漆保护处理</w:t>
            </w:r>
          </w:p>
        </w:tc>
      </w:tr>
      <w:tr>
        <w:tblPrEx>
          <w:tblCellMar>
            <w:top w:w="0" w:type="dxa"/>
            <w:left w:w="108" w:type="dxa"/>
            <w:bottom w:w="0" w:type="dxa"/>
            <w:right w:w="108" w:type="dxa"/>
          </w:tblCellMar>
        </w:tblPrEx>
        <w:trPr>
          <w:trHeight w:val="24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28" w:lineRule="exact"/>
              <w:ind w:left="315"/>
            </w:pPr>
            <w:r>
              <w:rPr>
                <w:rFonts w:ascii="Times New Roman" w:hAnsi="Times New Roman" w:cs="Times New Roman"/>
                <w:spacing w:val="-1"/>
                <w:sz w:val="20"/>
              </w:rPr>
              <w:t>702-1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79" w:lineRule="exact"/>
              <w:ind w:left="282"/>
            </w:pPr>
            <w:r>
              <w:rPr>
                <w:spacing w:val="-1"/>
                <w:sz w:val="20"/>
              </w:rPr>
              <w:t>墙式护栏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336" w:lineRule="exact"/>
              <w:ind w:left="425"/>
            </w:pPr>
            <w:r>
              <w:rPr>
                <w:rFonts w:ascii="Times New Roman" w:hAnsi="Times New Roman" w:cs="Times New Roman"/>
                <w:position w:val="-4"/>
                <w:sz w:val="20"/>
              </w:rPr>
              <w:t>m</w:t>
            </w:r>
            <w:r>
              <w:rPr>
                <w:rFonts w:ascii="Times New Roman" w:hAnsi="Times New Roman" w:cs="Times New Roman"/>
                <w:spacing w:val="-4"/>
                <w:sz w:val="13"/>
              </w:rPr>
              <w:t>3</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25" w:lineRule="exact"/>
              <w:ind w:left="281"/>
            </w:pPr>
            <w:r>
              <w:rPr>
                <w:spacing w:val="-1"/>
                <w:sz w:val="20"/>
              </w:rPr>
              <w:t>依据图纸所示位置和断</w:t>
            </w:r>
          </w:p>
          <w:p>
            <w:pPr>
              <w:spacing w:line="271" w:lineRule="exact"/>
              <w:ind w:left="108"/>
            </w:pPr>
            <w:r>
              <w:rPr>
                <w:spacing w:val="-1"/>
                <w:sz w:val="20"/>
              </w:rPr>
              <w:t>面尺寸，按图示浇筑的不</w:t>
            </w:r>
          </w:p>
          <w:p>
            <w:pPr>
              <w:spacing w:line="274" w:lineRule="exact"/>
              <w:ind w:left="108"/>
            </w:pPr>
            <w:r>
              <w:rPr>
                <w:spacing w:val="-1"/>
                <w:sz w:val="20"/>
              </w:rPr>
              <w:t>同强度的混凝土体积，以</w:t>
            </w:r>
          </w:p>
          <w:p>
            <w:pPr>
              <w:spacing w:line="274" w:lineRule="exact"/>
              <w:ind w:left="108"/>
            </w:pPr>
            <w:r>
              <w:rPr>
                <w:spacing w:val="-1"/>
                <w:sz w:val="20"/>
              </w:rPr>
              <w:t>立方米为单位计量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1"/>
            </w:pPr>
            <w:r>
              <w:rPr>
                <w:rFonts w:ascii="Times New Roman" w:hAnsi="Times New Roman" w:cs="Times New Roman"/>
                <w:sz w:val="20"/>
              </w:rPr>
              <w:t>1.</w:t>
            </w:r>
            <w:r>
              <w:rPr>
                <w:spacing w:val="-1"/>
                <w:position w:val="1"/>
                <w:sz w:val="20"/>
              </w:rPr>
              <w:t>基槽开挖、基底清理；</w:t>
            </w:r>
          </w:p>
          <w:p>
            <w:pPr>
              <w:spacing w:line="271" w:lineRule="exact"/>
              <w:ind w:left="281"/>
            </w:pPr>
            <w:r>
              <w:rPr>
                <w:rFonts w:ascii="Times New Roman" w:hAnsi="Times New Roman" w:cs="Times New Roman"/>
                <w:sz w:val="20"/>
              </w:rPr>
              <w:t>2.</w:t>
            </w:r>
            <w:r>
              <w:rPr>
                <w:spacing w:val="-1"/>
                <w:position w:val="1"/>
                <w:sz w:val="20"/>
              </w:rPr>
              <w:t>铺筑碎（砾）石垫层；</w:t>
            </w:r>
          </w:p>
          <w:p>
            <w:pPr>
              <w:spacing w:line="271" w:lineRule="exact"/>
              <w:ind w:left="281"/>
            </w:pPr>
            <w:r>
              <w:rPr>
                <w:rFonts w:ascii="Times New Roman" w:hAnsi="Times New Roman" w:cs="Times New Roman"/>
                <w:sz w:val="20"/>
              </w:rPr>
              <w:t>3.</w:t>
            </w:r>
            <w:r>
              <w:rPr>
                <w:spacing w:val="-1"/>
                <w:position w:val="1"/>
                <w:sz w:val="20"/>
              </w:rPr>
              <w:t>模板架立，钢筋的运</w:t>
            </w:r>
          </w:p>
          <w:p>
            <w:pPr>
              <w:spacing w:line="239" w:lineRule="exact"/>
              <w:ind w:left="108"/>
            </w:pPr>
            <w:r>
              <w:rPr>
                <w:spacing w:val="-1"/>
                <w:sz w:val="20"/>
              </w:rPr>
              <w:t>输、存储、加工、安设；</w:t>
            </w:r>
          </w:p>
          <w:p>
            <w:pPr>
              <w:spacing w:line="308" w:lineRule="exact"/>
              <w:ind w:left="281"/>
            </w:pPr>
            <w:r>
              <w:rPr>
                <w:rFonts w:ascii="Times New Roman" w:hAnsi="Times New Roman" w:cs="Times New Roman"/>
                <w:sz w:val="20"/>
              </w:rPr>
              <w:t>4.</w:t>
            </w:r>
            <w:r>
              <w:rPr>
                <w:spacing w:val="-1"/>
                <w:position w:val="1"/>
                <w:sz w:val="20"/>
              </w:rPr>
              <w:t>混凝土浇筑、养护；</w:t>
            </w:r>
          </w:p>
          <w:p>
            <w:pPr>
              <w:spacing w:line="271" w:lineRule="exact"/>
              <w:ind w:left="281"/>
            </w:pPr>
            <w:r>
              <w:rPr>
                <w:rFonts w:ascii="Times New Roman" w:hAnsi="Times New Roman" w:cs="Times New Roman"/>
                <w:sz w:val="20"/>
              </w:rPr>
              <w:t>5.</w:t>
            </w:r>
            <w:r>
              <w:rPr>
                <w:spacing w:val="-1"/>
                <w:position w:val="1"/>
                <w:sz w:val="20"/>
              </w:rPr>
              <w:t>灌缝处理，勾缝抹面；</w:t>
            </w:r>
          </w:p>
          <w:p>
            <w:pPr>
              <w:spacing w:line="274" w:lineRule="exact"/>
              <w:ind w:left="281"/>
            </w:pPr>
            <w:r>
              <w:rPr>
                <w:rFonts w:ascii="Times New Roman" w:hAnsi="Times New Roman" w:cs="Times New Roman"/>
                <w:sz w:val="20"/>
              </w:rPr>
              <w:t>6.</w:t>
            </w:r>
            <w:r>
              <w:rPr>
                <w:spacing w:val="-1"/>
                <w:position w:val="1"/>
                <w:sz w:val="20"/>
              </w:rPr>
              <w:t>基坑回填，夯实；</w:t>
            </w:r>
          </w:p>
          <w:p>
            <w:pPr>
              <w:spacing w:line="271" w:lineRule="exact"/>
              <w:ind w:left="281"/>
            </w:pPr>
            <w:r>
              <w:rPr>
                <w:rFonts w:ascii="Times New Roman" w:hAnsi="Times New Roman" w:cs="Times New Roman"/>
                <w:sz w:val="20"/>
              </w:rPr>
              <w:t>7.</w:t>
            </w:r>
            <w:r>
              <w:rPr>
                <w:spacing w:val="-1"/>
                <w:position w:val="1"/>
                <w:sz w:val="20"/>
              </w:rPr>
              <w:t>清理场地，弃方处理；</w:t>
            </w:r>
          </w:p>
          <w:p>
            <w:pPr>
              <w:spacing w:line="271" w:lineRule="exact"/>
              <w:ind w:left="281"/>
            </w:pPr>
            <w:r>
              <w:rPr>
                <w:rFonts w:ascii="Times New Roman" w:hAnsi="Times New Roman" w:cs="Times New Roman"/>
                <w:sz w:val="20"/>
              </w:rPr>
              <w:t>8.</w:t>
            </w:r>
            <w:r>
              <w:rPr>
                <w:spacing w:val="-1"/>
                <w:position w:val="1"/>
                <w:sz w:val="20"/>
              </w:rPr>
              <w:t>油漆保护处理</w:t>
            </w:r>
          </w:p>
        </w:tc>
      </w:tr>
      <w:tr>
        <w:tblPrEx>
          <w:tblCellMar>
            <w:top w:w="0" w:type="dxa"/>
            <w:left w:w="108" w:type="dxa"/>
            <w:bottom w:w="0" w:type="dxa"/>
            <w:right w:w="108" w:type="dxa"/>
          </w:tblCellMar>
        </w:tblPrEx>
        <w:trPr>
          <w:trHeight w:val="300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700" w:lineRule="exact"/>
              <w:ind w:left="315"/>
            </w:pPr>
            <w:r>
              <w:rPr>
                <w:rFonts w:ascii="Times New Roman" w:hAnsi="Times New Roman" w:cs="Times New Roman"/>
                <w:spacing w:val="-1"/>
                <w:sz w:val="20"/>
              </w:rPr>
              <w:t>703-1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471" w:lineRule="exact"/>
              <w:ind w:left="282"/>
            </w:pPr>
            <w:r>
              <w:rPr>
                <w:spacing w:val="-1"/>
                <w:sz w:val="20"/>
              </w:rPr>
              <w:t>钢筋混凝土标</w:t>
            </w:r>
          </w:p>
          <w:p>
            <w:pPr>
              <w:spacing w:line="360" w:lineRule="exact"/>
              <w:ind w:left="107"/>
            </w:pPr>
            <w:r>
              <w:rPr>
                <w:spacing w:val="-1"/>
                <w:sz w:val="20"/>
              </w:rPr>
              <w:t>志牌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651" w:lineRule="exact"/>
              <w:ind w:left="434"/>
            </w:pPr>
            <w:r>
              <w:rPr>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198" w:lineRule="exact"/>
              <w:ind w:left="281"/>
            </w:pPr>
            <w:r>
              <w:rPr>
                <w:spacing w:val="-1"/>
                <w:sz w:val="20"/>
              </w:rPr>
              <w:t>依据图纸所示位置和断</w:t>
            </w:r>
          </w:p>
          <w:p>
            <w:pPr>
              <w:spacing w:line="271" w:lineRule="exact"/>
              <w:ind w:left="108"/>
            </w:pPr>
            <w:r>
              <w:rPr>
                <w:spacing w:val="-1"/>
                <w:sz w:val="20"/>
              </w:rPr>
              <w:t>面尺寸，分不同规格的标</w:t>
            </w:r>
          </w:p>
          <w:p>
            <w:pPr>
              <w:spacing w:line="274" w:lineRule="exact"/>
              <w:ind w:left="108"/>
            </w:pPr>
            <w:r>
              <w:rPr>
                <w:spacing w:val="-1"/>
                <w:sz w:val="20"/>
              </w:rPr>
              <w:t>志板面，按安装就位的标</w:t>
            </w:r>
          </w:p>
          <w:p>
            <w:pPr>
              <w:spacing w:line="271" w:lineRule="exact"/>
              <w:ind w:left="108"/>
            </w:pPr>
            <w:r>
              <w:rPr>
                <w:spacing w:val="-1"/>
                <w:sz w:val="20"/>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ind w:left="281"/>
            </w:pPr>
            <w:r>
              <w:rPr>
                <w:rFonts w:ascii="Times New Roman" w:hAnsi="Times New Roman" w:cs="Times New Roman"/>
                <w:sz w:val="20"/>
              </w:rPr>
              <w:t>1.</w:t>
            </w:r>
            <w:r>
              <w:rPr>
                <w:spacing w:val="-1"/>
                <w:position w:val="1"/>
                <w:sz w:val="20"/>
              </w:rPr>
              <w:t>钢筋的运输、存储、加</w:t>
            </w:r>
          </w:p>
          <w:p>
            <w:pPr>
              <w:spacing w:line="239" w:lineRule="exact"/>
              <w:ind w:left="108"/>
            </w:pPr>
            <w:r>
              <w:rPr>
                <w:spacing w:val="-1"/>
                <w:sz w:val="20"/>
              </w:rPr>
              <w:t>工、安设；</w:t>
            </w:r>
          </w:p>
          <w:p>
            <w:pPr>
              <w:spacing w:line="306" w:lineRule="exact"/>
              <w:ind w:left="281"/>
            </w:pPr>
            <w:r>
              <w:rPr>
                <w:rFonts w:ascii="Times New Roman" w:hAnsi="Times New Roman" w:cs="Times New Roman"/>
                <w:sz w:val="20"/>
              </w:rPr>
              <w:t>2.</w:t>
            </w:r>
            <w:r>
              <w:rPr>
                <w:spacing w:val="-1"/>
                <w:position w:val="1"/>
                <w:sz w:val="20"/>
              </w:rPr>
              <w:t>钢筋混凝土立柱、板面</w:t>
            </w:r>
          </w:p>
          <w:p>
            <w:pPr>
              <w:spacing w:line="239" w:lineRule="exact"/>
              <w:ind w:left="108"/>
            </w:pPr>
            <w:r>
              <w:rPr>
                <w:spacing w:val="-1"/>
                <w:sz w:val="20"/>
              </w:rPr>
              <w:t>的预制、运输；</w:t>
            </w:r>
          </w:p>
          <w:p>
            <w:pPr>
              <w:spacing w:line="306" w:lineRule="exact"/>
              <w:ind w:left="281"/>
            </w:pPr>
            <w:r>
              <w:rPr>
                <w:rFonts w:ascii="Times New Roman" w:hAnsi="Times New Roman" w:cs="Times New Roman"/>
                <w:sz w:val="20"/>
              </w:rPr>
              <w:t>3.</w:t>
            </w:r>
            <w:r>
              <w:rPr>
                <w:spacing w:val="-1"/>
                <w:position w:val="1"/>
                <w:sz w:val="20"/>
              </w:rPr>
              <w:t>基槽开挖；</w:t>
            </w:r>
          </w:p>
          <w:p>
            <w:pPr>
              <w:spacing w:line="271" w:lineRule="exact"/>
              <w:ind w:left="281"/>
            </w:pPr>
            <w:r>
              <w:rPr>
                <w:rFonts w:ascii="Times New Roman" w:hAnsi="Times New Roman" w:cs="Times New Roman"/>
                <w:sz w:val="20"/>
              </w:rPr>
              <w:t>4.</w:t>
            </w:r>
            <w:r>
              <w:rPr>
                <w:spacing w:val="-1"/>
                <w:position w:val="1"/>
                <w:sz w:val="20"/>
              </w:rPr>
              <w:t>钢筋混凝土立柱、板面</w:t>
            </w:r>
          </w:p>
          <w:p>
            <w:pPr>
              <w:spacing w:line="239" w:lineRule="exact"/>
              <w:ind w:left="108"/>
            </w:pPr>
            <w:r>
              <w:rPr>
                <w:spacing w:val="-1"/>
                <w:sz w:val="20"/>
              </w:rPr>
              <w:t>安装；</w:t>
            </w:r>
          </w:p>
          <w:p>
            <w:pPr>
              <w:spacing w:line="306" w:lineRule="exact"/>
              <w:ind w:left="281"/>
            </w:pPr>
            <w:r>
              <w:rPr>
                <w:rFonts w:ascii="Times New Roman" w:hAnsi="Times New Roman" w:cs="Times New Roman"/>
                <w:sz w:val="20"/>
              </w:rPr>
              <w:t>5.</w:t>
            </w:r>
            <w:r>
              <w:rPr>
                <w:spacing w:val="-1"/>
                <w:position w:val="1"/>
                <w:sz w:val="20"/>
              </w:rPr>
              <w:t>基坑回填，夯实；</w:t>
            </w:r>
          </w:p>
          <w:p>
            <w:pPr>
              <w:spacing w:line="274" w:lineRule="exact"/>
              <w:ind w:left="281"/>
            </w:pPr>
            <w:r>
              <w:rPr>
                <w:rFonts w:ascii="Times New Roman" w:hAnsi="Times New Roman" w:cs="Times New Roman"/>
                <w:sz w:val="20"/>
              </w:rPr>
              <w:t>6.</w:t>
            </w:r>
            <w:r>
              <w:rPr>
                <w:spacing w:val="-1"/>
                <w:position w:val="1"/>
                <w:sz w:val="20"/>
              </w:rPr>
              <w:t>清理场地，弃方处理</w:t>
            </w:r>
          </w:p>
          <w:p>
            <w:pPr>
              <w:spacing w:line="271" w:lineRule="exact"/>
              <w:ind w:left="281"/>
            </w:pPr>
            <w:r>
              <w:rPr>
                <w:rFonts w:ascii="Times New Roman" w:hAnsi="Times New Roman" w:cs="Times New Roman"/>
                <w:sz w:val="20"/>
              </w:rPr>
              <w:t>7.</w:t>
            </w:r>
            <w:r>
              <w:rPr>
                <w:spacing w:val="-1"/>
                <w:position w:val="1"/>
                <w:sz w:val="20"/>
              </w:rPr>
              <w:t>标志板面涂漆、印字处</w:t>
            </w:r>
          </w:p>
          <w:p>
            <w:pPr>
              <w:spacing w:line="239" w:lineRule="exact"/>
              <w:ind w:left="108"/>
            </w:pPr>
            <w:r>
              <w:rPr>
                <w:spacing w:val="-1"/>
                <w:sz w:val="20"/>
              </w:rPr>
              <w:t>理</w:t>
            </w:r>
          </w:p>
        </w:tc>
      </w:tr>
      <w:tr>
        <w:tblPrEx>
          <w:tblCellMar>
            <w:top w:w="0" w:type="dxa"/>
            <w:left w:w="108" w:type="dxa"/>
            <w:bottom w:w="0" w:type="dxa"/>
            <w:right w:w="108" w:type="dxa"/>
          </w:tblCellMar>
        </w:tblPrEx>
        <w:trPr>
          <w:trHeight w:val="55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75" w:lineRule="exact"/>
              <w:ind w:left="315"/>
            </w:pPr>
            <w:r>
              <w:rPr>
                <w:rFonts w:ascii="Times New Roman" w:hAnsi="Times New Roman" w:cs="Times New Roman"/>
                <w:spacing w:val="-1"/>
                <w:sz w:val="20"/>
              </w:rPr>
              <w:t>704-1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26" w:lineRule="exact"/>
              <w:ind w:left="282"/>
            </w:pPr>
            <w:r>
              <w:rPr>
                <w:spacing w:val="-1"/>
                <w:sz w:val="20"/>
              </w:rPr>
              <w:t>钢板标志牌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26"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26" w:lineRule="exact"/>
            </w:pP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26" w:lineRule="exact"/>
            </w:pPr>
          </w:p>
        </w:tc>
      </w:tr>
      <w:tr>
        <w:tblPrEx>
          <w:tblCellMar>
            <w:top w:w="0" w:type="dxa"/>
            <w:left w:w="108" w:type="dxa"/>
            <w:bottom w:w="0" w:type="dxa"/>
            <w:right w:w="108" w:type="dxa"/>
          </w:tblCellMar>
        </w:tblPrEx>
        <w:trPr>
          <w:trHeight w:val="164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20" w:lineRule="exact"/>
              <w:ind w:left="478"/>
            </w:pPr>
            <w:r>
              <w:rPr>
                <w:rFonts w:ascii="Times New Roman" w:hAnsi="Times New Roman" w:cs="Times New Roman"/>
                <w:spacing w:val="-1"/>
                <w:sz w:val="20"/>
              </w:rPr>
              <w:t>-a</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71" w:lineRule="exact"/>
              <w:ind w:left="282"/>
            </w:pPr>
            <w:r>
              <w:rPr>
                <w:spacing w:val="-1"/>
                <w:sz w:val="20"/>
              </w:rPr>
              <w:t>单柱式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71" w:lineRule="exact"/>
              <w:ind w:left="434"/>
            </w:pPr>
            <w:r>
              <w:rPr>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8" w:lineRule="exact"/>
              <w:ind w:left="281"/>
            </w:pPr>
            <w:r>
              <w:rPr>
                <w:spacing w:val="-1"/>
                <w:sz w:val="20"/>
              </w:rPr>
              <w:t>依据图纸所示位置和断</w:t>
            </w:r>
          </w:p>
          <w:p>
            <w:pPr>
              <w:spacing w:line="271" w:lineRule="exact"/>
              <w:ind w:left="108"/>
            </w:pPr>
            <w:r>
              <w:rPr>
                <w:spacing w:val="-1"/>
                <w:sz w:val="20"/>
              </w:rPr>
              <w:t>面尺寸，分不同规格的标</w:t>
            </w:r>
          </w:p>
          <w:p>
            <w:pPr>
              <w:spacing w:line="274" w:lineRule="exact"/>
              <w:ind w:left="108"/>
            </w:pPr>
            <w:r>
              <w:rPr>
                <w:spacing w:val="-1"/>
                <w:sz w:val="20"/>
              </w:rPr>
              <w:t>志板面，按安装就位的标</w:t>
            </w:r>
          </w:p>
          <w:p>
            <w:pPr>
              <w:spacing w:line="271" w:lineRule="exact"/>
              <w:ind w:left="108"/>
            </w:pPr>
            <w:r>
              <w:rPr>
                <w:spacing w:val="-1"/>
                <w:sz w:val="20"/>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1"/>
            </w:pPr>
            <w:r>
              <w:rPr>
                <w:rFonts w:ascii="Times New Roman" w:hAnsi="Times New Roman" w:cs="Times New Roman"/>
                <w:sz w:val="20"/>
              </w:rPr>
              <w:t>1.</w:t>
            </w:r>
            <w:r>
              <w:rPr>
                <w:spacing w:val="-1"/>
                <w:position w:val="1"/>
                <w:sz w:val="20"/>
              </w:rPr>
              <w:t>基槽开挖；</w:t>
            </w:r>
          </w:p>
          <w:p>
            <w:pPr>
              <w:spacing w:line="271" w:lineRule="exact"/>
              <w:ind w:left="281"/>
            </w:pPr>
            <w:r>
              <w:rPr>
                <w:rFonts w:ascii="Times New Roman" w:hAnsi="Times New Roman" w:cs="Times New Roman"/>
                <w:sz w:val="20"/>
              </w:rPr>
              <w:t>2.</w:t>
            </w:r>
            <w:r>
              <w:rPr>
                <w:spacing w:val="-1"/>
                <w:position w:val="1"/>
                <w:sz w:val="20"/>
              </w:rPr>
              <w:t>基础施工（钢筋与预埋</w:t>
            </w:r>
          </w:p>
          <w:p>
            <w:pPr>
              <w:spacing w:line="237" w:lineRule="exact"/>
              <w:ind w:left="108"/>
            </w:pPr>
            <w:r>
              <w:rPr>
                <w:spacing w:val="-1"/>
                <w:sz w:val="20"/>
              </w:rPr>
              <w:t>件安装、混凝土浇筑等）；</w:t>
            </w:r>
          </w:p>
          <w:p>
            <w:pPr>
              <w:spacing w:line="308" w:lineRule="exact"/>
              <w:ind w:left="281"/>
            </w:pPr>
            <w:r>
              <w:rPr>
                <w:rFonts w:ascii="Times New Roman" w:hAnsi="Times New Roman" w:cs="Times New Roman"/>
                <w:sz w:val="20"/>
              </w:rPr>
              <w:t>3.</w:t>
            </w:r>
            <w:r>
              <w:rPr>
                <w:spacing w:val="-1"/>
                <w:position w:val="1"/>
                <w:sz w:val="20"/>
              </w:rPr>
              <w:t>立柱、标志板及各种匹</w:t>
            </w:r>
          </w:p>
          <w:p>
            <w:pPr>
              <w:spacing w:line="236" w:lineRule="exact"/>
              <w:ind w:left="108"/>
            </w:pPr>
            <w:r>
              <w:rPr>
                <w:spacing w:val="-1"/>
                <w:sz w:val="20"/>
              </w:rPr>
              <w:t>配件制作与安装；</w:t>
            </w:r>
          </w:p>
          <w:p>
            <w:pPr>
              <w:spacing w:line="308" w:lineRule="exact"/>
              <w:ind w:left="281"/>
            </w:pPr>
            <w:r>
              <w:rPr>
                <w:rFonts w:ascii="Times New Roman" w:hAnsi="Times New Roman" w:cs="Times New Roman"/>
                <w:sz w:val="20"/>
              </w:rPr>
              <w:t>4.</w:t>
            </w:r>
            <w:r>
              <w:rPr>
                <w:spacing w:val="-1"/>
                <w:position w:val="1"/>
                <w:sz w:val="20"/>
              </w:rPr>
              <w:t>清理，弃方处理</w:t>
            </w:r>
          </w:p>
        </w:tc>
      </w:tr>
      <w:tr>
        <w:tblPrEx>
          <w:tblCellMar>
            <w:top w:w="0" w:type="dxa"/>
            <w:left w:w="108" w:type="dxa"/>
            <w:bottom w:w="0" w:type="dxa"/>
            <w:right w:w="108" w:type="dxa"/>
          </w:tblCellMar>
        </w:tblPrEx>
        <w:trPr>
          <w:trHeight w:val="164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20" w:lineRule="exact"/>
              <w:ind w:left="473"/>
            </w:pPr>
            <w:r>
              <w:rPr>
                <w:rFonts w:ascii="Times New Roman" w:hAnsi="Times New Roman" w:cs="Times New Roman"/>
                <w:spacing w:val="-1"/>
                <w:sz w:val="20"/>
              </w:rPr>
              <w:t>-b</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71" w:lineRule="exact"/>
              <w:ind w:left="282"/>
            </w:pPr>
            <w:r>
              <w:rPr>
                <w:spacing w:val="-1"/>
                <w:sz w:val="20"/>
              </w:rPr>
              <w:t>双柱式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71" w:lineRule="exact"/>
              <w:ind w:left="434"/>
            </w:pPr>
            <w:r>
              <w:rPr>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8" w:lineRule="exact"/>
              <w:ind w:left="281"/>
            </w:pPr>
            <w:r>
              <w:rPr>
                <w:spacing w:val="-1"/>
                <w:sz w:val="20"/>
              </w:rPr>
              <w:t>依据图纸所示位置和断</w:t>
            </w:r>
          </w:p>
          <w:p>
            <w:pPr>
              <w:spacing w:line="271" w:lineRule="exact"/>
              <w:ind w:left="108"/>
            </w:pPr>
            <w:r>
              <w:rPr>
                <w:spacing w:val="-1"/>
                <w:sz w:val="20"/>
              </w:rPr>
              <w:t>面尺寸，分不同规格的标</w:t>
            </w:r>
          </w:p>
          <w:p>
            <w:pPr>
              <w:spacing w:line="274" w:lineRule="exact"/>
              <w:ind w:left="108"/>
            </w:pPr>
            <w:r>
              <w:rPr>
                <w:spacing w:val="-1"/>
                <w:sz w:val="20"/>
              </w:rPr>
              <w:t>志板面，按安装就位的标</w:t>
            </w:r>
          </w:p>
          <w:p>
            <w:pPr>
              <w:spacing w:line="271" w:lineRule="exact"/>
              <w:ind w:left="108"/>
            </w:pPr>
            <w:r>
              <w:rPr>
                <w:spacing w:val="-1"/>
                <w:sz w:val="20"/>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1"/>
            </w:pPr>
            <w:r>
              <w:rPr>
                <w:rFonts w:ascii="Times New Roman" w:hAnsi="Times New Roman" w:cs="Times New Roman"/>
                <w:sz w:val="20"/>
              </w:rPr>
              <w:t>1.</w:t>
            </w:r>
            <w:r>
              <w:rPr>
                <w:spacing w:val="-1"/>
                <w:position w:val="1"/>
                <w:sz w:val="20"/>
              </w:rPr>
              <w:t>基槽开挖；</w:t>
            </w:r>
          </w:p>
          <w:p>
            <w:pPr>
              <w:spacing w:line="271" w:lineRule="exact"/>
              <w:ind w:left="281"/>
            </w:pPr>
            <w:r>
              <w:rPr>
                <w:rFonts w:ascii="Times New Roman" w:hAnsi="Times New Roman" w:cs="Times New Roman"/>
                <w:sz w:val="20"/>
              </w:rPr>
              <w:t>2.</w:t>
            </w:r>
            <w:r>
              <w:rPr>
                <w:spacing w:val="-1"/>
                <w:position w:val="1"/>
                <w:sz w:val="20"/>
              </w:rPr>
              <w:t>基础施工（钢筋与预埋</w:t>
            </w:r>
          </w:p>
          <w:p>
            <w:pPr>
              <w:spacing w:line="237" w:lineRule="exact"/>
              <w:ind w:left="108"/>
            </w:pPr>
            <w:r>
              <w:rPr>
                <w:spacing w:val="-1"/>
                <w:sz w:val="20"/>
              </w:rPr>
              <w:t>件安装、混凝土浇筑等）；</w:t>
            </w:r>
          </w:p>
          <w:p>
            <w:pPr>
              <w:spacing w:line="308" w:lineRule="exact"/>
              <w:ind w:left="281"/>
            </w:pPr>
            <w:r>
              <w:rPr>
                <w:rFonts w:ascii="Times New Roman" w:hAnsi="Times New Roman" w:cs="Times New Roman"/>
                <w:sz w:val="20"/>
              </w:rPr>
              <w:t>3.</w:t>
            </w:r>
            <w:r>
              <w:rPr>
                <w:spacing w:val="-1"/>
                <w:position w:val="1"/>
                <w:sz w:val="20"/>
              </w:rPr>
              <w:t>立柱、标志板及各种匹</w:t>
            </w:r>
          </w:p>
          <w:p>
            <w:pPr>
              <w:spacing w:line="236" w:lineRule="exact"/>
              <w:ind w:left="108"/>
            </w:pPr>
            <w:r>
              <w:rPr>
                <w:spacing w:val="-1"/>
                <w:sz w:val="20"/>
              </w:rPr>
              <w:t>配件制作与安装；</w:t>
            </w:r>
          </w:p>
          <w:p>
            <w:pPr>
              <w:spacing w:line="308" w:lineRule="exact"/>
              <w:ind w:left="281"/>
            </w:pPr>
            <w:r>
              <w:rPr>
                <w:rFonts w:ascii="Times New Roman" w:hAnsi="Times New Roman" w:cs="Times New Roman"/>
                <w:sz w:val="20"/>
              </w:rPr>
              <w:t>4.</w:t>
            </w:r>
            <w:r>
              <w:rPr>
                <w:spacing w:val="-1"/>
                <w:position w:val="1"/>
                <w:sz w:val="20"/>
              </w:rPr>
              <w:t>清理，弃方处理</w:t>
            </w:r>
          </w:p>
        </w:tc>
      </w:tr>
      <w:tr>
        <w:tblPrEx>
          <w:tblCellMar>
            <w:top w:w="0" w:type="dxa"/>
            <w:left w:w="108" w:type="dxa"/>
            <w:bottom w:w="0" w:type="dxa"/>
            <w:right w:w="108" w:type="dxa"/>
          </w:tblCellMar>
        </w:tblPrEx>
        <w:trPr>
          <w:trHeight w:val="55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76" w:lineRule="exact"/>
              <w:ind w:left="478"/>
            </w:pPr>
            <w:r>
              <w:rPr>
                <w:rFonts w:ascii="Times New Roman" w:hAnsi="Times New Roman" w:cs="Times New Roman"/>
                <w:spacing w:val="-1"/>
                <w:sz w:val="20"/>
              </w:rPr>
              <w:t>-c</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26" w:lineRule="exact"/>
              <w:ind w:left="282"/>
            </w:pPr>
            <w:r>
              <w:rPr>
                <w:spacing w:val="-1"/>
                <w:sz w:val="20"/>
              </w:rPr>
              <w:t>门架式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26" w:lineRule="exact"/>
              <w:ind w:left="434"/>
            </w:pPr>
            <w:r>
              <w:rPr>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6" w:lineRule="exact"/>
              <w:ind w:left="281"/>
            </w:pPr>
            <w:r>
              <w:rPr>
                <w:spacing w:val="-1"/>
                <w:sz w:val="20"/>
              </w:rPr>
              <w:t>依据图纸所示位置和断</w:t>
            </w:r>
          </w:p>
          <w:p>
            <w:pPr>
              <w:spacing w:line="271" w:lineRule="exact"/>
              <w:ind w:left="108"/>
            </w:pPr>
            <w:r>
              <w:rPr>
                <w:spacing w:val="-1"/>
                <w:sz w:val="20"/>
              </w:rPr>
              <w:t>面尺寸，分不同规格的标</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1"/>
            </w:pPr>
            <w:r>
              <w:rPr>
                <w:rFonts w:ascii="Times New Roman" w:hAnsi="Times New Roman" w:cs="Times New Roman"/>
                <w:sz w:val="20"/>
              </w:rPr>
              <w:t>1.</w:t>
            </w:r>
            <w:r>
              <w:rPr>
                <w:spacing w:val="-1"/>
                <w:position w:val="1"/>
                <w:sz w:val="20"/>
              </w:rPr>
              <w:t>基槽开挖；</w:t>
            </w:r>
          </w:p>
          <w:p>
            <w:pPr>
              <w:spacing w:line="271" w:lineRule="exact"/>
              <w:ind w:left="281"/>
            </w:pPr>
            <w:r>
              <w:rPr>
                <w:rFonts w:ascii="Times New Roman" w:hAnsi="Times New Roman" w:cs="Times New Roman"/>
                <w:sz w:val="20"/>
              </w:rPr>
              <w:t>2.</w:t>
            </w:r>
            <w:r>
              <w:rPr>
                <w:spacing w:val="-1"/>
                <w:position w:val="1"/>
                <w:sz w:val="20"/>
              </w:rPr>
              <w:t>基础施工（钢筋与预埋</w:t>
            </w:r>
          </w:p>
        </w:tc>
      </w:tr>
    </w:tbl>
    <w:p>
      <w:pPr>
        <w:spacing w:line="250" w:lineRule="exact"/>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87" w:type="dxa"/>
        <w:tblInd w:w="0" w:type="dxa"/>
        <w:tblLayout w:type="fixed"/>
        <w:tblCellMar>
          <w:top w:w="0" w:type="dxa"/>
          <w:left w:w="108" w:type="dxa"/>
          <w:bottom w:w="0" w:type="dxa"/>
          <w:right w:w="108" w:type="dxa"/>
        </w:tblCellMar>
      </w:tblPr>
      <w:tblGrid>
        <w:gridCol w:w="1120"/>
        <w:gridCol w:w="1775"/>
        <w:gridCol w:w="1080"/>
        <w:gridCol w:w="2520"/>
        <w:gridCol w:w="2592"/>
      </w:tblGrid>
      <w:tr>
        <w:tblPrEx>
          <w:tblCellMar>
            <w:top w:w="0" w:type="dxa"/>
            <w:left w:w="108" w:type="dxa"/>
            <w:bottom w:w="0" w:type="dxa"/>
            <w:right w:w="108" w:type="dxa"/>
          </w:tblCellMar>
        </w:tblPrEx>
        <w:trPr>
          <w:trHeight w:val="109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pP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pP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108"/>
            </w:pPr>
            <w:r>
              <w:rPr>
                <w:spacing w:val="-1"/>
                <w:sz w:val="20"/>
              </w:rPr>
              <w:t>志板面，按安装就位的标</w:t>
            </w:r>
          </w:p>
          <w:p>
            <w:pPr>
              <w:spacing w:line="274" w:lineRule="exact"/>
              <w:ind w:left="108"/>
            </w:pPr>
            <w:r>
              <w:rPr>
                <w:spacing w:val="-1"/>
                <w:sz w:val="20"/>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108"/>
            </w:pPr>
            <w:r>
              <w:rPr>
                <w:spacing w:val="-1"/>
                <w:sz w:val="20"/>
              </w:rPr>
              <w:t>件安装、混凝土浇筑等）；</w:t>
            </w:r>
          </w:p>
          <w:p>
            <w:pPr>
              <w:spacing w:line="308" w:lineRule="exact"/>
              <w:ind w:left="281"/>
            </w:pPr>
            <w:r>
              <w:rPr>
                <w:rFonts w:ascii="Times New Roman" w:hAnsi="Times New Roman" w:cs="Times New Roman"/>
                <w:sz w:val="20"/>
              </w:rPr>
              <w:t>3.</w:t>
            </w:r>
            <w:r>
              <w:rPr>
                <w:spacing w:val="-1"/>
                <w:position w:val="1"/>
                <w:sz w:val="20"/>
              </w:rPr>
              <w:t>门架构件、标志板及各</w:t>
            </w:r>
          </w:p>
          <w:p>
            <w:pPr>
              <w:spacing w:line="237" w:lineRule="exact"/>
              <w:ind w:left="108"/>
            </w:pPr>
            <w:r>
              <w:rPr>
                <w:spacing w:val="-1"/>
                <w:sz w:val="20"/>
              </w:rPr>
              <w:t>种匹配件制作与安装；</w:t>
            </w:r>
          </w:p>
          <w:p>
            <w:pPr>
              <w:spacing w:line="308" w:lineRule="exact"/>
              <w:ind w:left="281"/>
            </w:pPr>
            <w:r>
              <w:rPr>
                <w:rFonts w:ascii="Times New Roman" w:hAnsi="Times New Roman" w:cs="Times New Roman"/>
                <w:sz w:val="20"/>
              </w:rPr>
              <w:t>4.</w:t>
            </w:r>
            <w:r>
              <w:rPr>
                <w:spacing w:val="-1"/>
                <w:position w:val="1"/>
                <w:sz w:val="20"/>
              </w:rPr>
              <w:t>清理，弃方处理</w:t>
            </w:r>
          </w:p>
        </w:tc>
      </w:tr>
      <w:tr>
        <w:tblPrEx>
          <w:tblCellMar>
            <w:top w:w="0" w:type="dxa"/>
            <w:left w:w="108" w:type="dxa"/>
            <w:bottom w:w="0" w:type="dxa"/>
            <w:right w:w="108" w:type="dxa"/>
          </w:tblCellMar>
        </w:tblPrEx>
        <w:trPr>
          <w:trHeight w:val="47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433" w:lineRule="exact"/>
              <w:ind w:left="315"/>
            </w:pPr>
            <w:r>
              <w:rPr>
                <w:rFonts w:ascii="Times New Roman" w:hAnsi="Times New Roman" w:cs="Times New Roman"/>
                <w:spacing w:val="-1"/>
                <w:sz w:val="20"/>
              </w:rPr>
              <w:t>705-1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4" w:lineRule="exact"/>
              <w:ind w:left="282"/>
            </w:pPr>
            <w:r>
              <w:rPr>
                <w:spacing w:val="-1"/>
                <w:sz w:val="20"/>
              </w:rPr>
              <w:t>铝合金标志牌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4" w:lineRule="exact"/>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4" w:lineRule="exact"/>
            </w:pP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4" w:lineRule="exact"/>
            </w:pPr>
          </w:p>
        </w:tc>
      </w:tr>
      <w:tr>
        <w:tblPrEx>
          <w:tblCellMar>
            <w:top w:w="0" w:type="dxa"/>
            <w:left w:w="108" w:type="dxa"/>
            <w:bottom w:w="0" w:type="dxa"/>
            <w:right w:w="108" w:type="dxa"/>
          </w:tblCellMar>
        </w:tblPrEx>
        <w:trPr>
          <w:trHeight w:val="164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21" w:lineRule="exact"/>
              <w:ind w:left="478"/>
            </w:pPr>
            <w:r>
              <w:rPr>
                <w:rFonts w:ascii="Times New Roman" w:hAnsi="Times New Roman" w:cs="Times New Roman"/>
                <w:spacing w:val="-1"/>
                <w:sz w:val="20"/>
              </w:rPr>
              <w:t>-a</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9" w:lineRule="exact"/>
              <w:ind w:left="282"/>
            </w:pPr>
            <w:r>
              <w:rPr>
                <w:spacing w:val="-1"/>
                <w:sz w:val="20"/>
              </w:rPr>
              <w:t>单柱式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9" w:lineRule="exact"/>
              <w:ind w:left="434"/>
            </w:pPr>
            <w:r>
              <w:rPr>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8" w:lineRule="exact"/>
              <w:ind w:left="281"/>
            </w:pPr>
            <w:r>
              <w:rPr>
                <w:spacing w:val="-1"/>
                <w:sz w:val="20"/>
              </w:rPr>
              <w:t>依据图纸所示位置和断</w:t>
            </w:r>
          </w:p>
          <w:p>
            <w:pPr>
              <w:spacing w:line="271" w:lineRule="exact"/>
              <w:ind w:left="108"/>
            </w:pPr>
            <w:r>
              <w:rPr>
                <w:spacing w:val="-1"/>
                <w:sz w:val="20"/>
              </w:rPr>
              <w:t>面尺寸，分不同规格的标</w:t>
            </w:r>
          </w:p>
          <w:p>
            <w:pPr>
              <w:spacing w:line="271" w:lineRule="exact"/>
              <w:ind w:left="108"/>
            </w:pPr>
            <w:r>
              <w:rPr>
                <w:spacing w:val="-1"/>
                <w:sz w:val="20"/>
              </w:rPr>
              <w:t>志板面，按安装就位的标</w:t>
            </w:r>
          </w:p>
          <w:p>
            <w:pPr>
              <w:spacing w:line="274" w:lineRule="exact"/>
              <w:ind w:left="108"/>
            </w:pPr>
            <w:r>
              <w:rPr>
                <w:spacing w:val="-1"/>
                <w:sz w:val="20"/>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基槽开挖；</w:t>
            </w:r>
          </w:p>
          <w:p>
            <w:pPr>
              <w:spacing w:line="274" w:lineRule="exact"/>
              <w:ind w:left="281"/>
            </w:pPr>
            <w:r>
              <w:rPr>
                <w:rFonts w:ascii="Times New Roman" w:hAnsi="Times New Roman" w:cs="Times New Roman"/>
                <w:sz w:val="20"/>
              </w:rPr>
              <w:t>2.</w:t>
            </w:r>
            <w:r>
              <w:rPr>
                <w:spacing w:val="-1"/>
                <w:position w:val="1"/>
                <w:sz w:val="20"/>
              </w:rPr>
              <w:t>基础施工（钢筋与预埋</w:t>
            </w:r>
          </w:p>
          <w:p>
            <w:pPr>
              <w:spacing w:line="237" w:lineRule="exact"/>
              <w:ind w:left="108"/>
            </w:pPr>
            <w:r>
              <w:rPr>
                <w:spacing w:val="-1"/>
                <w:sz w:val="20"/>
              </w:rPr>
              <w:t>件安装、混凝土浇筑等）；</w:t>
            </w:r>
          </w:p>
          <w:p>
            <w:pPr>
              <w:spacing w:line="308" w:lineRule="exact"/>
              <w:ind w:left="281"/>
            </w:pPr>
            <w:r>
              <w:rPr>
                <w:rFonts w:ascii="Times New Roman" w:hAnsi="Times New Roman" w:cs="Times New Roman"/>
                <w:sz w:val="20"/>
              </w:rPr>
              <w:t>3.</w:t>
            </w:r>
            <w:r>
              <w:rPr>
                <w:spacing w:val="-1"/>
                <w:position w:val="1"/>
                <w:sz w:val="20"/>
              </w:rPr>
              <w:t>立柱、标志板及各种匹</w:t>
            </w:r>
          </w:p>
          <w:p>
            <w:pPr>
              <w:spacing w:line="237" w:lineRule="exact"/>
              <w:ind w:left="108"/>
            </w:pPr>
            <w:r>
              <w:rPr>
                <w:spacing w:val="-1"/>
                <w:sz w:val="20"/>
              </w:rPr>
              <w:t>配件制作与安装；</w:t>
            </w:r>
          </w:p>
          <w:p>
            <w:pPr>
              <w:spacing w:line="306" w:lineRule="exact"/>
              <w:ind w:left="281"/>
            </w:pPr>
            <w:r>
              <w:rPr>
                <w:rFonts w:ascii="Times New Roman" w:hAnsi="Times New Roman" w:cs="Times New Roman"/>
                <w:sz w:val="20"/>
              </w:rPr>
              <w:t>4.</w:t>
            </w:r>
            <w:r>
              <w:rPr>
                <w:spacing w:val="-1"/>
                <w:position w:val="1"/>
                <w:sz w:val="20"/>
              </w:rPr>
              <w:t>清理，弃方处理</w:t>
            </w:r>
          </w:p>
        </w:tc>
      </w:tr>
      <w:tr>
        <w:tblPrEx>
          <w:tblCellMar>
            <w:top w:w="0" w:type="dxa"/>
            <w:left w:w="108" w:type="dxa"/>
            <w:bottom w:w="0" w:type="dxa"/>
            <w:right w:w="108" w:type="dxa"/>
          </w:tblCellMar>
        </w:tblPrEx>
        <w:trPr>
          <w:trHeight w:val="1645"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21" w:lineRule="exact"/>
              <w:ind w:left="473"/>
            </w:pPr>
            <w:r>
              <w:rPr>
                <w:rFonts w:ascii="Times New Roman" w:hAnsi="Times New Roman" w:cs="Times New Roman"/>
                <w:spacing w:val="-1"/>
                <w:sz w:val="20"/>
              </w:rPr>
              <w:t>-b</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9" w:lineRule="exact"/>
              <w:ind w:left="282"/>
            </w:pPr>
            <w:r>
              <w:rPr>
                <w:spacing w:val="-1"/>
                <w:sz w:val="20"/>
              </w:rPr>
              <w:t>双柱式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9" w:lineRule="exact"/>
              <w:ind w:left="434"/>
            </w:pPr>
            <w:r>
              <w:rPr>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8" w:lineRule="exact"/>
              <w:ind w:left="281"/>
            </w:pPr>
            <w:r>
              <w:rPr>
                <w:spacing w:val="-1"/>
                <w:sz w:val="20"/>
              </w:rPr>
              <w:t>依据图纸所示位置和断</w:t>
            </w:r>
          </w:p>
          <w:p>
            <w:pPr>
              <w:spacing w:line="271" w:lineRule="exact"/>
              <w:ind w:left="108"/>
            </w:pPr>
            <w:r>
              <w:rPr>
                <w:spacing w:val="-1"/>
                <w:sz w:val="20"/>
              </w:rPr>
              <w:t>面尺寸，分不同规格的标</w:t>
            </w:r>
          </w:p>
          <w:p>
            <w:pPr>
              <w:spacing w:line="271" w:lineRule="exact"/>
              <w:ind w:left="108"/>
            </w:pPr>
            <w:r>
              <w:rPr>
                <w:spacing w:val="-1"/>
                <w:sz w:val="20"/>
              </w:rPr>
              <w:t>志板面，按安装就位的标</w:t>
            </w:r>
          </w:p>
          <w:p>
            <w:pPr>
              <w:spacing w:line="274" w:lineRule="exact"/>
              <w:ind w:left="108"/>
            </w:pPr>
            <w:r>
              <w:rPr>
                <w:spacing w:val="-1"/>
                <w:sz w:val="20"/>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9" w:lineRule="exact"/>
              <w:ind w:left="281"/>
            </w:pPr>
            <w:r>
              <w:rPr>
                <w:rFonts w:ascii="Times New Roman" w:hAnsi="Times New Roman" w:cs="Times New Roman"/>
                <w:sz w:val="20"/>
              </w:rPr>
              <w:t>1.</w:t>
            </w:r>
            <w:r>
              <w:rPr>
                <w:spacing w:val="-1"/>
                <w:position w:val="1"/>
                <w:sz w:val="20"/>
              </w:rPr>
              <w:t>基槽开挖；</w:t>
            </w:r>
          </w:p>
          <w:p>
            <w:pPr>
              <w:spacing w:line="274" w:lineRule="exact"/>
              <w:ind w:left="281"/>
            </w:pPr>
            <w:r>
              <w:rPr>
                <w:rFonts w:ascii="Times New Roman" w:hAnsi="Times New Roman" w:cs="Times New Roman"/>
                <w:sz w:val="20"/>
              </w:rPr>
              <w:t>2.</w:t>
            </w:r>
            <w:r>
              <w:rPr>
                <w:spacing w:val="-1"/>
                <w:position w:val="1"/>
                <w:sz w:val="20"/>
              </w:rPr>
              <w:t>基础施工（钢筋与预埋</w:t>
            </w:r>
          </w:p>
          <w:p>
            <w:pPr>
              <w:spacing w:line="237" w:lineRule="exact"/>
              <w:ind w:left="108"/>
            </w:pPr>
            <w:r>
              <w:rPr>
                <w:spacing w:val="-1"/>
                <w:sz w:val="20"/>
              </w:rPr>
              <w:t>件安装、混凝土浇筑等）；</w:t>
            </w:r>
          </w:p>
          <w:p>
            <w:pPr>
              <w:spacing w:line="308" w:lineRule="exact"/>
              <w:ind w:left="281"/>
            </w:pPr>
            <w:r>
              <w:rPr>
                <w:rFonts w:ascii="Times New Roman" w:hAnsi="Times New Roman" w:cs="Times New Roman"/>
                <w:sz w:val="20"/>
              </w:rPr>
              <w:t>3.</w:t>
            </w:r>
            <w:r>
              <w:rPr>
                <w:spacing w:val="-1"/>
                <w:position w:val="1"/>
                <w:sz w:val="20"/>
              </w:rPr>
              <w:t>立柱、标志板及各种匹</w:t>
            </w:r>
          </w:p>
          <w:p>
            <w:pPr>
              <w:spacing w:line="237" w:lineRule="exact"/>
              <w:ind w:left="108"/>
            </w:pPr>
            <w:r>
              <w:rPr>
                <w:spacing w:val="-1"/>
                <w:sz w:val="20"/>
              </w:rPr>
              <w:t>配件制作与安装；</w:t>
            </w:r>
          </w:p>
          <w:p>
            <w:pPr>
              <w:spacing w:line="306" w:lineRule="exact"/>
              <w:ind w:left="281"/>
            </w:pPr>
            <w:r>
              <w:rPr>
                <w:rFonts w:ascii="Times New Roman" w:hAnsi="Times New Roman" w:cs="Times New Roman"/>
                <w:sz w:val="20"/>
              </w:rPr>
              <w:t>4.</w:t>
            </w:r>
            <w:r>
              <w:rPr>
                <w:spacing w:val="-1"/>
                <w:position w:val="1"/>
                <w:sz w:val="20"/>
              </w:rPr>
              <w:t>清理，弃方处理</w:t>
            </w:r>
          </w:p>
        </w:tc>
      </w:tr>
      <w:tr>
        <w:tblPrEx>
          <w:tblCellMar>
            <w:top w:w="0" w:type="dxa"/>
            <w:left w:w="108" w:type="dxa"/>
            <w:bottom w:w="0" w:type="dxa"/>
            <w:right w:w="108" w:type="dxa"/>
          </w:tblCellMar>
        </w:tblPrEx>
        <w:trPr>
          <w:trHeight w:val="164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1020" w:lineRule="exact"/>
              <w:ind w:left="478"/>
            </w:pPr>
            <w:r>
              <w:rPr>
                <w:rFonts w:ascii="Times New Roman" w:hAnsi="Times New Roman" w:cs="Times New Roman"/>
                <w:spacing w:val="-1"/>
                <w:sz w:val="20"/>
              </w:rPr>
              <w:t>-c</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8" w:lineRule="exact"/>
              <w:ind w:left="282"/>
            </w:pPr>
            <w:r>
              <w:rPr>
                <w:spacing w:val="-1"/>
                <w:sz w:val="20"/>
              </w:rPr>
              <w:t>门架式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968" w:lineRule="exact"/>
              <w:ind w:left="434"/>
            </w:pPr>
            <w:r>
              <w:rPr>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7" w:lineRule="exact"/>
              <w:ind w:left="281"/>
            </w:pPr>
            <w:r>
              <w:rPr>
                <w:spacing w:val="-1"/>
                <w:sz w:val="20"/>
              </w:rPr>
              <w:t>依据图纸所示位置和断</w:t>
            </w:r>
          </w:p>
          <w:p>
            <w:pPr>
              <w:spacing w:line="271" w:lineRule="exact"/>
              <w:ind w:left="108"/>
            </w:pPr>
            <w:r>
              <w:rPr>
                <w:spacing w:val="-1"/>
                <w:sz w:val="20"/>
              </w:rPr>
              <w:t>面尺寸，分不同规格的标</w:t>
            </w:r>
          </w:p>
          <w:p>
            <w:pPr>
              <w:spacing w:line="271" w:lineRule="exact"/>
              <w:ind w:left="108"/>
            </w:pPr>
            <w:r>
              <w:rPr>
                <w:spacing w:val="-1"/>
                <w:sz w:val="20"/>
              </w:rPr>
              <w:t>志板面，按安装就位的标</w:t>
            </w:r>
          </w:p>
          <w:p>
            <w:pPr>
              <w:spacing w:line="274" w:lineRule="exact"/>
              <w:ind w:left="108"/>
            </w:pPr>
            <w:r>
              <w:rPr>
                <w:spacing w:val="-1"/>
                <w:sz w:val="20"/>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8" w:lineRule="exact"/>
              <w:ind w:left="281"/>
            </w:pPr>
            <w:r>
              <w:rPr>
                <w:rFonts w:ascii="Times New Roman" w:hAnsi="Times New Roman" w:cs="Times New Roman"/>
                <w:sz w:val="20"/>
              </w:rPr>
              <w:t>1.</w:t>
            </w:r>
            <w:r>
              <w:rPr>
                <w:spacing w:val="-1"/>
                <w:position w:val="1"/>
                <w:sz w:val="20"/>
              </w:rPr>
              <w:t>基槽开挖；</w:t>
            </w:r>
          </w:p>
          <w:p>
            <w:pPr>
              <w:spacing w:line="274" w:lineRule="exact"/>
              <w:ind w:left="281"/>
            </w:pPr>
            <w:r>
              <w:rPr>
                <w:rFonts w:ascii="Times New Roman" w:hAnsi="Times New Roman" w:cs="Times New Roman"/>
                <w:sz w:val="20"/>
              </w:rPr>
              <w:t>2.</w:t>
            </w:r>
            <w:r>
              <w:rPr>
                <w:spacing w:val="-1"/>
                <w:position w:val="1"/>
                <w:sz w:val="20"/>
              </w:rPr>
              <w:t>基础施工（钢筋与预埋</w:t>
            </w:r>
          </w:p>
          <w:p>
            <w:pPr>
              <w:spacing w:line="237" w:lineRule="exact"/>
              <w:ind w:left="108"/>
            </w:pPr>
            <w:r>
              <w:rPr>
                <w:spacing w:val="-1"/>
                <w:sz w:val="20"/>
              </w:rPr>
              <w:t>件安装、混凝土浇筑等）；</w:t>
            </w:r>
          </w:p>
          <w:p>
            <w:pPr>
              <w:spacing w:line="308" w:lineRule="exact"/>
              <w:ind w:left="281"/>
            </w:pPr>
            <w:r>
              <w:rPr>
                <w:rFonts w:ascii="Times New Roman" w:hAnsi="Times New Roman" w:cs="Times New Roman"/>
                <w:sz w:val="20"/>
              </w:rPr>
              <w:t>3.</w:t>
            </w:r>
            <w:r>
              <w:rPr>
                <w:spacing w:val="-1"/>
                <w:position w:val="1"/>
                <w:sz w:val="20"/>
              </w:rPr>
              <w:t>门架构件、标志板及各</w:t>
            </w:r>
          </w:p>
          <w:p>
            <w:pPr>
              <w:spacing w:line="237" w:lineRule="exact"/>
              <w:ind w:left="108"/>
            </w:pPr>
            <w:r>
              <w:rPr>
                <w:spacing w:val="-1"/>
                <w:sz w:val="20"/>
              </w:rPr>
              <w:t>种匹配件制作与安装；</w:t>
            </w:r>
          </w:p>
          <w:p>
            <w:pPr>
              <w:spacing w:line="306" w:lineRule="exact"/>
              <w:ind w:left="281"/>
            </w:pPr>
            <w:r>
              <w:rPr>
                <w:rFonts w:ascii="Times New Roman" w:hAnsi="Times New Roman" w:cs="Times New Roman"/>
                <w:sz w:val="20"/>
              </w:rPr>
              <w:t>4.</w:t>
            </w:r>
            <w:r>
              <w:rPr>
                <w:spacing w:val="-1"/>
                <w:position w:val="1"/>
                <w:sz w:val="20"/>
              </w:rPr>
              <w:t>清理，弃方处理</w:t>
            </w:r>
          </w:p>
        </w:tc>
      </w:tr>
      <w:tr>
        <w:tblPrEx>
          <w:tblCellMar>
            <w:top w:w="0" w:type="dxa"/>
            <w:left w:w="108" w:type="dxa"/>
            <w:bottom w:w="0" w:type="dxa"/>
            <w:right w:w="108" w:type="dxa"/>
          </w:tblCellMar>
        </w:tblPrEx>
        <w:trPr>
          <w:trHeight w:val="137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83" w:lineRule="exact"/>
              <w:ind w:left="315"/>
            </w:pPr>
            <w:r>
              <w:rPr>
                <w:rFonts w:ascii="Times New Roman" w:hAnsi="Times New Roman" w:cs="Times New Roman"/>
                <w:spacing w:val="-1"/>
                <w:sz w:val="20"/>
              </w:rPr>
              <w:t>706-1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32" w:lineRule="exact"/>
              <w:ind w:left="282"/>
            </w:pPr>
            <w:r>
              <w:rPr>
                <w:spacing w:val="-1"/>
                <w:sz w:val="20"/>
              </w:rPr>
              <w:t>路面标线</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92" w:lineRule="exact"/>
              <w:ind w:left="425"/>
            </w:pPr>
            <w:r>
              <w:rPr>
                <w:rFonts w:ascii="Times New Roman" w:hAnsi="Times New Roman" w:cs="Times New Roman"/>
                <w:position w:val="-4"/>
                <w:sz w:val="20"/>
              </w:rPr>
              <w:t>m</w:t>
            </w:r>
            <w:r>
              <w:rPr>
                <w:rFonts w:ascii="Times New Roman" w:hAnsi="Times New Roman" w:cs="Times New Roman"/>
                <w:spacing w:val="-4"/>
                <w:sz w:val="13"/>
              </w:rPr>
              <w:t>2</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0" w:lineRule="exact"/>
              <w:ind w:left="281"/>
            </w:pPr>
            <w:r>
              <w:rPr>
                <w:spacing w:val="-1"/>
                <w:sz w:val="20"/>
              </w:rPr>
              <w:t>依据图纸所示位置和断</w:t>
            </w:r>
          </w:p>
          <w:p>
            <w:pPr>
              <w:spacing w:line="271" w:lineRule="exact"/>
              <w:ind w:left="108"/>
            </w:pPr>
            <w:r>
              <w:rPr>
                <w:spacing w:val="-1"/>
                <w:sz w:val="20"/>
              </w:rPr>
              <w:t>面尺寸，分不同类型，按</w:t>
            </w:r>
          </w:p>
          <w:p>
            <w:pPr>
              <w:spacing w:line="271" w:lineRule="exact"/>
              <w:ind w:left="108"/>
            </w:pPr>
            <w:r>
              <w:rPr>
                <w:spacing w:val="-1"/>
                <w:sz w:val="20"/>
              </w:rPr>
              <w:t>图示标线面积以平方米</w:t>
            </w:r>
          </w:p>
          <w:p>
            <w:pPr>
              <w:spacing w:line="274" w:lineRule="exact"/>
              <w:ind w:left="108"/>
            </w:pPr>
            <w:r>
              <w:rPr>
                <w:spacing w:val="-1"/>
                <w:sz w:val="20"/>
              </w:rPr>
              <w:t>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8" w:lineRule="exact"/>
              <w:ind w:left="281"/>
            </w:pPr>
            <w:r>
              <w:rPr>
                <w:rFonts w:ascii="Times New Roman" w:hAnsi="Times New Roman" w:cs="Times New Roman"/>
                <w:sz w:val="20"/>
              </w:rPr>
              <w:t>1.</w:t>
            </w:r>
            <w:r>
              <w:rPr>
                <w:spacing w:val="-1"/>
                <w:position w:val="1"/>
                <w:sz w:val="20"/>
              </w:rPr>
              <w:t>路面清扫；</w:t>
            </w:r>
          </w:p>
          <w:p>
            <w:pPr>
              <w:spacing w:line="274" w:lineRule="exact"/>
              <w:ind w:left="281"/>
            </w:pPr>
            <w:r>
              <w:rPr>
                <w:rFonts w:ascii="Times New Roman" w:hAnsi="Times New Roman" w:cs="Times New Roman"/>
                <w:sz w:val="20"/>
              </w:rPr>
              <w:t>2.</w:t>
            </w:r>
            <w:r>
              <w:rPr>
                <w:spacing w:val="-1"/>
                <w:position w:val="1"/>
                <w:sz w:val="20"/>
              </w:rPr>
              <w:t>刮涂底油，涂料加热溶</w:t>
            </w:r>
          </w:p>
          <w:p>
            <w:pPr>
              <w:spacing w:line="237" w:lineRule="exact"/>
              <w:ind w:left="108"/>
            </w:pPr>
            <w:r>
              <w:rPr>
                <w:spacing w:val="-1"/>
                <w:sz w:val="20"/>
              </w:rPr>
              <w:t>解，喷（刮）标线，撒布</w:t>
            </w:r>
          </w:p>
          <w:p>
            <w:pPr>
              <w:spacing w:line="274" w:lineRule="exact"/>
              <w:ind w:left="108"/>
            </w:pPr>
            <w:r>
              <w:rPr>
                <w:spacing w:val="-1"/>
                <w:sz w:val="20"/>
              </w:rPr>
              <w:t>玻璃珠（反光标线），初</w:t>
            </w:r>
          </w:p>
          <w:p>
            <w:pPr>
              <w:spacing w:line="271" w:lineRule="exact"/>
              <w:ind w:left="108"/>
            </w:pPr>
            <w:r>
              <w:rPr>
                <w:spacing w:val="-1"/>
                <w:sz w:val="20"/>
              </w:rPr>
              <w:t>期养护</w:t>
            </w:r>
          </w:p>
        </w:tc>
      </w:tr>
      <w:tr>
        <w:tblPrEx>
          <w:tblCellMar>
            <w:top w:w="0" w:type="dxa"/>
            <w:left w:w="108" w:type="dxa"/>
            <w:bottom w:w="0" w:type="dxa"/>
            <w:right w:w="108" w:type="dxa"/>
          </w:tblCellMar>
        </w:tblPrEx>
        <w:trPr>
          <w:trHeight w:val="827"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11" w:lineRule="exact"/>
              <w:ind w:left="315"/>
            </w:pPr>
            <w:r>
              <w:rPr>
                <w:rFonts w:ascii="Times New Roman" w:hAnsi="Times New Roman" w:cs="Times New Roman"/>
                <w:spacing w:val="-1"/>
                <w:sz w:val="20"/>
              </w:rPr>
              <w:t>707-1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62" w:lineRule="exact"/>
              <w:ind w:left="282"/>
            </w:pPr>
            <w:r>
              <w:rPr>
                <w:spacing w:val="-1"/>
                <w:sz w:val="20"/>
              </w:rPr>
              <w:t>里程碑</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62" w:lineRule="exact"/>
              <w:ind w:left="434"/>
            </w:pPr>
            <w:r>
              <w:rPr>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281"/>
            </w:pPr>
            <w:r>
              <w:rPr>
                <w:spacing w:val="-1"/>
                <w:sz w:val="20"/>
              </w:rPr>
              <w:t>依据图纸所示位置和断</w:t>
            </w:r>
          </w:p>
          <w:p>
            <w:pPr>
              <w:spacing w:line="271" w:lineRule="exact"/>
              <w:ind w:left="108"/>
            </w:pPr>
            <w:r>
              <w:rPr>
                <w:spacing w:val="-1"/>
                <w:sz w:val="20"/>
              </w:rPr>
              <w:t>面尺寸，按图示里程碑数</w:t>
            </w:r>
          </w:p>
          <w:p>
            <w:pPr>
              <w:spacing w:line="274" w:lineRule="exact"/>
              <w:ind w:left="108"/>
            </w:pPr>
            <w:r>
              <w:rPr>
                <w:spacing w:val="-1"/>
                <w:sz w:val="20"/>
              </w:rPr>
              <w:t>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0" w:lineRule="exact"/>
            </w:pPr>
            <w:r>
              <w:rPr>
                <w:rFonts w:ascii="Times New Roman" w:hAnsi="Times New Roman" w:cs="Times New Roman"/>
                <w:sz w:val="20"/>
              </w:rPr>
              <w:t>1.</w:t>
            </w:r>
            <w:r>
              <w:rPr>
                <w:spacing w:val="-1"/>
                <w:position w:val="1"/>
                <w:sz w:val="20"/>
              </w:rPr>
              <w:t>基础施工或设置连接</w:t>
            </w:r>
            <w:r>
              <w:rPr>
                <w:spacing w:val="-1"/>
                <w:sz w:val="20"/>
              </w:rPr>
              <w:t>件；</w:t>
            </w:r>
          </w:p>
          <w:p>
            <w:pPr>
              <w:spacing w:line="308" w:lineRule="exact"/>
              <w:ind w:left="281"/>
            </w:pPr>
            <w:r>
              <w:rPr>
                <w:rFonts w:ascii="Times New Roman" w:hAnsi="Times New Roman" w:cs="Times New Roman"/>
                <w:sz w:val="20"/>
              </w:rPr>
              <w:t>2.</w:t>
            </w:r>
            <w:r>
              <w:rPr>
                <w:spacing w:val="-1"/>
                <w:position w:val="1"/>
                <w:sz w:val="20"/>
              </w:rPr>
              <w:t>里程碑制作与安装</w:t>
            </w:r>
          </w:p>
        </w:tc>
      </w:tr>
      <w:tr>
        <w:tblPrEx>
          <w:tblCellMar>
            <w:top w:w="0" w:type="dxa"/>
            <w:left w:w="108" w:type="dxa"/>
            <w:bottom w:w="0" w:type="dxa"/>
            <w:right w:w="108" w:type="dxa"/>
          </w:tblCellMar>
        </w:tblPrEx>
        <w:trPr>
          <w:trHeight w:val="137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84" w:lineRule="exact"/>
              <w:ind w:left="315"/>
            </w:pPr>
            <w:r>
              <w:rPr>
                <w:rFonts w:ascii="Times New Roman" w:hAnsi="Times New Roman" w:cs="Times New Roman"/>
                <w:spacing w:val="-1"/>
                <w:sz w:val="20"/>
              </w:rPr>
              <w:t>708-1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34" w:lineRule="exact"/>
              <w:ind w:left="282"/>
            </w:pPr>
            <w:r>
              <w:rPr>
                <w:spacing w:val="-1"/>
                <w:sz w:val="20"/>
              </w:rPr>
              <w:t>公路界碑</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834" w:lineRule="exact"/>
              <w:ind w:left="434"/>
            </w:pPr>
            <w:r>
              <w:rPr>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6" w:lineRule="exact"/>
              <w:ind w:left="281"/>
            </w:pPr>
            <w:r>
              <w:rPr>
                <w:spacing w:val="-1"/>
                <w:sz w:val="20"/>
              </w:rPr>
              <w:t>依据图纸所示位置和断</w:t>
            </w:r>
          </w:p>
          <w:p>
            <w:pPr>
              <w:spacing w:line="271" w:lineRule="exact"/>
              <w:ind w:left="108"/>
            </w:pPr>
            <w:r>
              <w:rPr>
                <w:spacing w:val="-1"/>
                <w:sz w:val="20"/>
              </w:rPr>
              <w:t>面尺寸，按图示公路界碑</w:t>
            </w:r>
          </w:p>
          <w:p>
            <w:pPr>
              <w:spacing w:line="271" w:lineRule="exact"/>
              <w:ind w:left="108"/>
            </w:pPr>
            <w:r>
              <w:rPr>
                <w:spacing w:val="-1"/>
                <w:sz w:val="20"/>
              </w:rPr>
              <w:t>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81" w:lineRule="exact"/>
              <w:ind w:left="281"/>
            </w:pPr>
            <w:r>
              <w:rPr>
                <w:rFonts w:ascii="Times New Roman" w:hAnsi="Times New Roman" w:cs="Times New Roman"/>
                <w:sz w:val="20"/>
              </w:rPr>
              <w:t>1.</w:t>
            </w:r>
            <w:r>
              <w:rPr>
                <w:spacing w:val="-1"/>
                <w:position w:val="1"/>
                <w:sz w:val="20"/>
              </w:rPr>
              <w:t>界碑制作；</w:t>
            </w:r>
          </w:p>
          <w:p>
            <w:pPr>
              <w:spacing w:line="271" w:lineRule="exact"/>
              <w:ind w:left="281"/>
            </w:pPr>
            <w:r>
              <w:rPr>
                <w:rFonts w:ascii="Times New Roman" w:hAnsi="Times New Roman" w:cs="Times New Roman"/>
                <w:sz w:val="20"/>
              </w:rPr>
              <w:t>2.</w:t>
            </w:r>
            <w:r>
              <w:rPr>
                <w:spacing w:val="-1"/>
                <w:position w:val="1"/>
                <w:sz w:val="20"/>
              </w:rPr>
              <w:t>基槽开挖、基槽混凝土</w:t>
            </w:r>
          </w:p>
          <w:p>
            <w:pPr>
              <w:spacing w:line="237" w:lineRule="exact"/>
              <w:ind w:left="108"/>
            </w:pPr>
            <w:r>
              <w:rPr>
                <w:spacing w:val="-1"/>
                <w:sz w:val="20"/>
              </w:rPr>
              <w:t>浇筑、界碑埋设；</w:t>
            </w:r>
          </w:p>
          <w:p>
            <w:pPr>
              <w:spacing w:line="308" w:lineRule="exact"/>
              <w:ind w:left="281"/>
            </w:pPr>
            <w:r>
              <w:rPr>
                <w:rFonts w:ascii="Times New Roman" w:hAnsi="Times New Roman" w:cs="Times New Roman"/>
                <w:sz w:val="20"/>
              </w:rPr>
              <w:t>3.</w:t>
            </w:r>
            <w:r>
              <w:rPr>
                <w:spacing w:val="-1"/>
                <w:position w:val="1"/>
                <w:sz w:val="20"/>
              </w:rPr>
              <w:t>基坑回填、夯实；</w:t>
            </w:r>
          </w:p>
          <w:p>
            <w:pPr>
              <w:spacing w:line="271" w:lineRule="exact"/>
              <w:ind w:left="281"/>
            </w:pPr>
            <w:r>
              <w:rPr>
                <w:rFonts w:ascii="Times New Roman" w:hAnsi="Times New Roman" w:cs="Times New Roman"/>
                <w:sz w:val="20"/>
              </w:rPr>
              <w:t>4.</w:t>
            </w:r>
            <w:r>
              <w:rPr>
                <w:spacing w:val="-1"/>
                <w:position w:val="1"/>
                <w:sz w:val="20"/>
              </w:rPr>
              <w:t>清理，弃方处理</w:t>
            </w:r>
          </w:p>
        </w:tc>
      </w:tr>
      <w:tr>
        <w:tblPrEx>
          <w:tblCellMar>
            <w:top w:w="0" w:type="dxa"/>
            <w:left w:w="108" w:type="dxa"/>
            <w:bottom w:w="0" w:type="dxa"/>
            <w:right w:w="108" w:type="dxa"/>
          </w:tblCellMar>
        </w:tblPrEx>
        <w:trPr>
          <w:trHeight w:val="109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48" w:lineRule="exact"/>
              <w:ind w:left="315"/>
            </w:pPr>
            <w:r>
              <w:rPr>
                <w:rFonts w:ascii="Times New Roman" w:hAnsi="Times New Roman" w:cs="Times New Roman"/>
                <w:spacing w:val="-1"/>
                <w:sz w:val="20"/>
              </w:rPr>
              <w:t>709-1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98" w:lineRule="exact"/>
              <w:ind w:left="282"/>
            </w:pPr>
            <w:r>
              <w:rPr>
                <w:spacing w:val="-1"/>
                <w:sz w:val="20"/>
              </w:rPr>
              <w:t>百米桩</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98" w:lineRule="exact"/>
              <w:ind w:left="434"/>
            </w:pPr>
            <w:r>
              <w:rPr>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5" w:lineRule="exact"/>
              <w:ind w:left="281"/>
            </w:pPr>
            <w:r>
              <w:rPr>
                <w:spacing w:val="-1"/>
                <w:sz w:val="20"/>
              </w:rPr>
              <w:t>依据图纸所示位置和断</w:t>
            </w:r>
          </w:p>
          <w:p>
            <w:pPr>
              <w:spacing w:line="274" w:lineRule="exact"/>
              <w:ind w:left="108"/>
            </w:pPr>
            <w:r>
              <w:rPr>
                <w:spacing w:val="-1"/>
                <w:sz w:val="20"/>
              </w:rPr>
              <w:t>面尺寸，分不同类型，按</w:t>
            </w:r>
          </w:p>
          <w:p>
            <w:pPr>
              <w:spacing w:line="271" w:lineRule="exact"/>
              <w:ind w:left="108"/>
            </w:pPr>
            <w:r>
              <w:rPr>
                <w:spacing w:val="-1"/>
                <w:sz w:val="20"/>
              </w:rPr>
              <w:t>图示百米桩数量以个为</w:t>
            </w:r>
          </w:p>
          <w:p>
            <w:pPr>
              <w:spacing w:line="274" w:lineRule="exact"/>
              <w:ind w:left="108"/>
            </w:pPr>
            <w:r>
              <w:rPr>
                <w:spacing w:val="-1"/>
                <w:sz w:val="20"/>
              </w:rPr>
              <w:t>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518" w:lineRule="exact"/>
              <w:ind w:left="281"/>
            </w:pPr>
            <w:r>
              <w:rPr>
                <w:spacing w:val="-1"/>
                <w:sz w:val="20"/>
              </w:rPr>
              <w:t>百米桩制作、运输、安</w:t>
            </w:r>
          </w:p>
          <w:p>
            <w:pPr>
              <w:spacing w:line="271" w:lineRule="exact"/>
              <w:ind w:left="108"/>
            </w:pPr>
            <w:r>
              <w:rPr>
                <w:spacing w:val="-1"/>
                <w:sz w:val="20"/>
              </w:rPr>
              <w:t>装</w:t>
            </w:r>
          </w:p>
        </w:tc>
      </w:tr>
      <w:tr>
        <w:tblPrEx>
          <w:tblCellMar>
            <w:top w:w="0" w:type="dxa"/>
            <w:left w:w="108" w:type="dxa"/>
            <w:bottom w:w="0" w:type="dxa"/>
            <w:right w:w="108" w:type="dxa"/>
          </w:tblCellMar>
        </w:tblPrEx>
        <w:trPr>
          <w:trHeight w:val="87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48" w:lineRule="exact"/>
              <w:ind w:left="315"/>
              <w:rPr>
                <w:rFonts w:ascii="Times New Roman" w:hAnsi="Times New Roman" w:cs="Times New Roman" w:eastAsiaTheme="minorEastAsia"/>
                <w:spacing w:val="-1"/>
                <w:sz w:val="20"/>
                <w:lang w:val="en-US"/>
              </w:rPr>
            </w:pPr>
            <w:r>
              <w:rPr>
                <w:rFonts w:hint="eastAsia" w:ascii="Times New Roman" w:hAnsi="Times New Roman" w:cs="Times New Roman"/>
                <w:spacing w:val="-1"/>
                <w:sz w:val="20"/>
                <w:lang w:val="en-US"/>
              </w:rPr>
              <w:t>710-1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98" w:lineRule="exact"/>
              <w:ind w:left="282"/>
              <w:rPr>
                <w:spacing w:val="-1"/>
                <w:sz w:val="20"/>
              </w:rPr>
            </w:pPr>
            <w:r>
              <w:rPr>
                <w:rFonts w:hint="eastAsia"/>
                <w:spacing w:val="-1"/>
                <w:sz w:val="20"/>
              </w:rPr>
              <w:t>减速垄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98" w:lineRule="exact"/>
              <w:ind w:left="434"/>
              <w:rPr>
                <w:rFonts w:eastAsiaTheme="minorEastAsia"/>
                <w:spacing w:val="-1"/>
                <w:sz w:val="20"/>
                <w:lang w:val="en-US"/>
              </w:rPr>
            </w:pPr>
            <w:r>
              <w:rPr>
                <w:rFonts w:hint="eastAsia"/>
                <w:spacing w:val="-1"/>
                <w:sz w:val="20"/>
                <w:lang w:val="en-US"/>
              </w:rPr>
              <w:t>m</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ind w:left="108"/>
              <w:rPr>
                <w:rFonts w:eastAsiaTheme="minorEastAsia"/>
                <w:spacing w:val="-1"/>
                <w:sz w:val="20"/>
                <w:lang w:val="en-US"/>
              </w:rPr>
            </w:pPr>
            <w:r>
              <w:rPr>
                <w:rFonts w:hint="eastAsia"/>
                <w:spacing w:val="-1"/>
                <w:sz w:val="20"/>
                <w:lang w:val="en-US"/>
              </w:rPr>
              <w:t>依据图纸所示位置和断面尺寸，按图示以长度为单位计量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1" w:lineRule="exact"/>
              <w:ind w:left="108"/>
              <w:rPr>
                <w:rFonts w:eastAsiaTheme="minorEastAsia"/>
                <w:spacing w:val="-1"/>
                <w:sz w:val="20"/>
                <w:lang w:val="en-US"/>
              </w:rPr>
            </w:pPr>
            <w:r>
              <w:rPr>
                <w:rFonts w:hint="eastAsia"/>
                <w:spacing w:val="-1"/>
                <w:sz w:val="20"/>
                <w:lang w:val="en-US"/>
              </w:rPr>
              <w:t>减速垄的制作，运输、安装</w:t>
            </w:r>
          </w:p>
        </w:tc>
      </w:tr>
      <w:tr>
        <w:tblPrEx>
          <w:tblCellMar>
            <w:top w:w="0" w:type="dxa"/>
            <w:left w:w="108" w:type="dxa"/>
            <w:bottom w:w="0" w:type="dxa"/>
            <w:right w:w="108" w:type="dxa"/>
          </w:tblCellMar>
        </w:tblPrEx>
        <w:trPr>
          <w:trHeight w:val="1640"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748" w:lineRule="exact"/>
              <w:ind w:left="315"/>
              <w:rPr>
                <w:rFonts w:ascii="Times New Roman" w:hAnsi="Times New Roman" w:cs="Times New Roman"/>
                <w:spacing w:val="-1"/>
                <w:sz w:val="20"/>
                <w:lang w:val="en-US"/>
              </w:rPr>
            </w:pPr>
            <w:r>
              <w:rPr>
                <w:rFonts w:hint="eastAsia" w:ascii="Times New Roman" w:hAnsi="Times New Roman" w:cs="Times New Roman"/>
                <w:spacing w:val="-1"/>
                <w:sz w:val="20"/>
                <w:lang w:val="en-US"/>
              </w:rPr>
              <w:t>711-1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widowControl/>
              <w:jc w:val="center"/>
              <w:textAlignment w:val="center"/>
              <w:rPr>
                <w:kern w:val="2"/>
                <w:sz w:val="20"/>
                <w:szCs w:val="20"/>
                <w:lang w:val="en-US" w:bidi="ar-SA"/>
              </w:rPr>
            </w:pPr>
            <w:r>
              <w:rPr>
                <w:rFonts w:hint="eastAsia"/>
                <w:sz w:val="20"/>
                <w:szCs w:val="20"/>
                <w:lang w:val="en-US" w:bidi="ar"/>
              </w:rPr>
              <w:t>波形梁护栏（含端头）</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698" w:lineRule="exact"/>
              <w:ind w:left="434"/>
              <w:rPr>
                <w:spacing w:val="-1"/>
                <w:sz w:val="20"/>
                <w:lang w:val="en-US"/>
              </w:rPr>
            </w:pPr>
            <w:r>
              <w:rPr>
                <w:rFonts w:hint="eastAsia"/>
                <w:spacing w:val="-1"/>
                <w:sz w:val="20"/>
                <w:lang w:val="en-US"/>
              </w:rPr>
              <w:t>m</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ind w:left="108"/>
              <w:rPr>
                <w:spacing w:val="-1"/>
                <w:sz w:val="20"/>
                <w:lang w:val="en-US"/>
              </w:rPr>
            </w:pPr>
            <w:r>
              <w:rPr>
                <w:rFonts w:hint="eastAsia"/>
                <w:spacing w:val="-1"/>
                <w:sz w:val="20"/>
                <w:lang w:val="en-US"/>
              </w:rPr>
              <w:t xml:space="preserve">依据图纸所示位置、防撞 </w:t>
            </w:r>
          </w:p>
          <w:p>
            <w:pPr>
              <w:spacing w:line="274" w:lineRule="exact"/>
              <w:ind w:left="108"/>
              <w:rPr>
                <w:spacing w:val="-1"/>
                <w:sz w:val="20"/>
                <w:lang w:val="en-US"/>
              </w:rPr>
            </w:pPr>
            <w:r>
              <w:rPr>
                <w:rFonts w:hint="eastAsia"/>
                <w:spacing w:val="-1"/>
                <w:sz w:val="20"/>
                <w:lang w:val="en-US"/>
              </w:rPr>
              <w:t xml:space="preserve">等级、构造形式代号，按 </w:t>
            </w:r>
          </w:p>
          <w:p>
            <w:pPr>
              <w:spacing w:line="274" w:lineRule="exact"/>
              <w:ind w:left="108"/>
              <w:rPr>
                <w:spacing w:val="-1"/>
                <w:sz w:val="20"/>
                <w:lang w:val="en-US"/>
              </w:rPr>
            </w:pPr>
            <w:r>
              <w:rPr>
                <w:rFonts w:hint="eastAsia"/>
                <w:spacing w:val="-1"/>
                <w:sz w:val="20"/>
                <w:lang w:val="en-US"/>
              </w:rPr>
              <w:t xml:space="preserve">图示长度以米为单位计量 </w:t>
            </w:r>
          </w:p>
          <w:p>
            <w:pPr>
              <w:spacing w:line="274" w:lineRule="exact"/>
              <w:rPr>
                <w:spacing w:val="-1"/>
                <w:sz w:val="20"/>
                <w:lang w:val="en-US"/>
              </w:rPr>
            </w:pPr>
          </w:p>
          <w:p>
            <w:pPr>
              <w:spacing w:line="274" w:lineRule="exact"/>
              <w:ind w:left="108"/>
              <w:rPr>
                <w:spacing w:val="-1"/>
                <w:sz w:val="20"/>
                <w:lang w:val="en-US"/>
              </w:rPr>
            </w:pP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74" w:lineRule="exact"/>
              <w:ind w:left="108"/>
              <w:rPr>
                <w:spacing w:val="-1"/>
                <w:sz w:val="20"/>
                <w:lang w:val="en-US"/>
              </w:rPr>
            </w:pPr>
            <w:r>
              <w:rPr>
                <w:spacing w:val="-1"/>
                <w:sz w:val="20"/>
                <w:lang w:val="en-US"/>
              </w:rPr>
              <w:t>1.</w:t>
            </w:r>
            <w:r>
              <w:rPr>
                <w:rFonts w:hint="eastAsia"/>
                <w:spacing w:val="-1"/>
                <w:sz w:val="20"/>
                <w:lang w:val="en-US"/>
              </w:rPr>
              <w:t xml:space="preserve">基础施工（成孔、埋入 </w:t>
            </w:r>
          </w:p>
          <w:p>
            <w:pPr>
              <w:spacing w:line="274" w:lineRule="exact"/>
              <w:ind w:left="108"/>
              <w:rPr>
                <w:spacing w:val="-1"/>
                <w:sz w:val="20"/>
                <w:lang w:val="en-US"/>
              </w:rPr>
            </w:pPr>
            <w:r>
              <w:rPr>
                <w:rFonts w:hint="eastAsia"/>
                <w:spacing w:val="-1"/>
                <w:sz w:val="20"/>
                <w:lang w:val="en-US"/>
              </w:rPr>
              <w:t xml:space="preserve">或预埋套筒或预埋地脚 </w:t>
            </w:r>
          </w:p>
          <w:p>
            <w:pPr>
              <w:spacing w:line="274" w:lineRule="exact"/>
              <w:ind w:left="108"/>
              <w:rPr>
                <w:spacing w:val="-1"/>
                <w:sz w:val="20"/>
                <w:lang w:val="en-US"/>
              </w:rPr>
            </w:pPr>
            <w:r>
              <w:rPr>
                <w:rFonts w:hint="eastAsia"/>
                <w:spacing w:val="-1"/>
                <w:sz w:val="20"/>
                <w:lang w:val="en-US"/>
              </w:rPr>
              <w:t xml:space="preserve">螺栓等）； </w:t>
            </w:r>
          </w:p>
          <w:p>
            <w:pPr>
              <w:spacing w:line="274" w:lineRule="exact"/>
              <w:ind w:left="108"/>
              <w:rPr>
                <w:spacing w:val="-1"/>
                <w:sz w:val="20"/>
                <w:lang w:val="en-US"/>
              </w:rPr>
            </w:pPr>
            <w:r>
              <w:rPr>
                <w:spacing w:val="-1"/>
                <w:sz w:val="20"/>
                <w:lang w:val="en-US"/>
              </w:rPr>
              <w:t>2.</w:t>
            </w:r>
            <w:r>
              <w:rPr>
                <w:rFonts w:hint="eastAsia"/>
                <w:spacing w:val="-1"/>
                <w:sz w:val="20"/>
                <w:lang w:val="en-US"/>
              </w:rPr>
              <w:t xml:space="preserve">波形梁及其匹配件安装； </w:t>
            </w:r>
          </w:p>
          <w:p>
            <w:pPr>
              <w:spacing w:line="274" w:lineRule="exact"/>
              <w:ind w:left="108"/>
              <w:rPr>
                <w:spacing w:val="-1"/>
                <w:sz w:val="20"/>
                <w:lang w:val="en-US"/>
              </w:rPr>
            </w:pPr>
            <w:r>
              <w:rPr>
                <w:spacing w:val="-1"/>
                <w:sz w:val="20"/>
                <w:lang w:val="en-US"/>
              </w:rPr>
              <w:t>3.</w:t>
            </w:r>
            <w:r>
              <w:rPr>
                <w:rFonts w:hint="eastAsia"/>
                <w:spacing w:val="-1"/>
                <w:sz w:val="20"/>
                <w:lang w:val="en-US"/>
              </w:rPr>
              <w:t xml:space="preserve">场地清理，弃方处理； </w:t>
            </w:r>
          </w:p>
          <w:p>
            <w:pPr>
              <w:spacing w:line="274" w:lineRule="exact"/>
              <w:ind w:left="108"/>
              <w:rPr>
                <w:spacing w:val="-1"/>
                <w:sz w:val="20"/>
                <w:lang w:val="en-US"/>
              </w:rPr>
            </w:pPr>
            <w:r>
              <w:rPr>
                <w:spacing w:val="-1"/>
                <w:sz w:val="20"/>
                <w:lang w:val="en-US"/>
              </w:rPr>
              <w:t>4.</w:t>
            </w:r>
            <w:r>
              <w:rPr>
                <w:rFonts w:hint="eastAsia"/>
                <w:spacing w:val="-1"/>
                <w:sz w:val="20"/>
                <w:lang w:val="en-US"/>
              </w:rPr>
              <w:t>补涂防腐涂装</w:t>
            </w:r>
          </w:p>
          <w:p>
            <w:pPr>
              <w:spacing w:line="274" w:lineRule="exact"/>
              <w:ind w:left="108"/>
              <w:rPr>
                <w:spacing w:val="-1"/>
                <w:sz w:val="20"/>
                <w:lang w:val="en-US"/>
              </w:rPr>
            </w:pPr>
          </w:p>
        </w:tc>
      </w:tr>
    </w:tbl>
    <w:p>
      <w:pPr>
        <w:pStyle w:val="17"/>
        <w:rPr>
          <w:sz w:val="30"/>
          <w:szCs w:val="30"/>
        </w:rPr>
        <w:sectPr>
          <w:headerReference r:id="rId23" w:type="default"/>
          <w:pgSz w:w="11910" w:h="16840"/>
          <w:pgMar w:top="1440" w:right="1079" w:bottom="1040" w:left="1420" w:header="882" w:footer="845" w:gutter="0"/>
          <w:cols w:space="720" w:num="1"/>
        </w:sectPr>
      </w:pPr>
    </w:p>
    <w:p>
      <w:pPr>
        <w:tabs>
          <w:tab w:val="left" w:pos="1840"/>
        </w:tabs>
        <w:spacing w:before="38"/>
        <w:ind w:left="81"/>
        <w:jc w:val="center"/>
        <w:rPr>
          <w:rFonts w:hint="eastAsia"/>
          <w:b/>
          <w:bCs/>
          <w:sz w:val="32"/>
          <w:szCs w:val="32"/>
        </w:rPr>
      </w:pPr>
    </w:p>
    <w:p>
      <w:pPr>
        <w:tabs>
          <w:tab w:val="left" w:pos="1840"/>
        </w:tabs>
        <w:spacing w:before="38"/>
        <w:ind w:left="81"/>
        <w:jc w:val="center"/>
        <w:rPr>
          <w:rFonts w:hint="eastAsia"/>
          <w:b/>
          <w:bCs/>
          <w:sz w:val="32"/>
          <w:szCs w:val="32"/>
        </w:rPr>
      </w:pPr>
    </w:p>
    <w:p>
      <w:pPr>
        <w:tabs>
          <w:tab w:val="left" w:pos="1840"/>
        </w:tabs>
        <w:spacing w:before="38"/>
        <w:ind w:left="81"/>
        <w:jc w:val="center"/>
        <w:rPr>
          <w:b/>
          <w:bCs/>
          <w:sz w:val="32"/>
          <w:szCs w:val="32"/>
        </w:rPr>
      </w:pPr>
      <w:r>
        <w:rPr>
          <w:rFonts w:hint="eastAsia"/>
          <w:b/>
          <w:bCs/>
          <w:sz w:val="32"/>
          <w:szCs w:val="32"/>
        </w:rPr>
        <w:t>第</w:t>
      </w:r>
      <w:r>
        <w:rPr>
          <w:rFonts w:hint="eastAsia"/>
          <w:b/>
          <w:bCs/>
          <w:sz w:val="32"/>
          <w:szCs w:val="32"/>
          <w:lang w:eastAsia="zh-CN"/>
        </w:rPr>
        <w:t>七</w:t>
      </w:r>
      <w:r>
        <w:rPr>
          <w:rFonts w:hint="eastAsia"/>
          <w:b/>
          <w:bCs/>
          <w:sz w:val="32"/>
          <w:szCs w:val="32"/>
        </w:rPr>
        <w:t>章</w:t>
      </w:r>
      <w:r>
        <w:rPr>
          <w:rFonts w:hint="eastAsia"/>
          <w:b/>
          <w:bCs/>
          <w:sz w:val="32"/>
          <w:szCs w:val="32"/>
          <w:lang w:val="en-US" w:eastAsia="zh-CN"/>
        </w:rPr>
        <w:t xml:space="preserve">  </w:t>
      </w:r>
      <w:r>
        <w:rPr>
          <w:rFonts w:hint="eastAsia"/>
          <w:b/>
          <w:bCs/>
          <w:sz w:val="32"/>
          <w:szCs w:val="32"/>
          <w:lang w:eastAsia="zh-CN"/>
        </w:rPr>
        <w:t>响应</w:t>
      </w:r>
      <w:r>
        <w:rPr>
          <w:rFonts w:hint="eastAsia"/>
          <w:b/>
          <w:bCs/>
          <w:sz w:val="32"/>
          <w:szCs w:val="32"/>
        </w:rPr>
        <w:t>文件格式</w:t>
      </w:r>
    </w:p>
    <w:p>
      <w:pPr>
        <w:jc w:val="center"/>
        <w:rPr>
          <w:b/>
          <w:bCs/>
          <w:sz w:val="32"/>
          <w:szCs w:val="32"/>
        </w:rPr>
        <w:sectPr>
          <w:headerReference r:id="rId24" w:type="default"/>
          <w:pgSz w:w="11910" w:h="16840"/>
          <w:pgMar w:top="1440" w:right="1080" w:bottom="1040" w:left="1420" w:header="882" w:footer="847" w:gutter="0"/>
          <w:cols w:space="720" w:num="1"/>
        </w:sectPr>
      </w:pPr>
    </w:p>
    <w:p>
      <w:pPr>
        <w:pStyle w:val="10"/>
        <w:rPr>
          <w:sz w:val="20"/>
        </w:rPr>
      </w:pPr>
    </w:p>
    <w:p>
      <w:pPr>
        <w:pStyle w:val="10"/>
        <w:rPr>
          <w:sz w:val="20"/>
        </w:rPr>
      </w:pPr>
    </w:p>
    <w:p>
      <w:pPr>
        <w:pStyle w:val="10"/>
        <w:rPr>
          <w:sz w:val="20"/>
        </w:rPr>
      </w:pPr>
    </w:p>
    <w:p>
      <w:pPr>
        <w:pStyle w:val="10"/>
        <w:rPr>
          <w:sz w:val="20"/>
        </w:rPr>
      </w:pPr>
    </w:p>
    <w:p>
      <w:pPr>
        <w:pStyle w:val="10"/>
        <w:tabs>
          <w:tab w:val="left" w:pos="3821"/>
          <w:tab w:val="left" w:pos="5981"/>
        </w:tabs>
        <w:spacing w:before="74"/>
        <w:ind w:firstLine="2880" w:firstLineChars="900"/>
        <w:rPr>
          <w:sz w:val="32"/>
          <w:szCs w:val="32"/>
        </w:rPr>
      </w:pPr>
      <w:r>
        <w:rPr>
          <w:rFonts w:hint="eastAsia"/>
          <w:sz w:val="32"/>
          <w:szCs w:val="32"/>
          <w:u w:val="single"/>
        </w:rPr>
        <w:t xml:space="preserve"> </w:t>
      </w:r>
      <w:r>
        <w:rPr>
          <w:rFonts w:hint="eastAsia"/>
          <w:sz w:val="32"/>
          <w:szCs w:val="32"/>
          <w:u w:val="single"/>
        </w:rPr>
        <w:tab/>
      </w:r>
      <w:r>
        <w:rPr>
          <w:rFonts w:hint="eastAsia"/>
          <w:sz w:val="32"/>
          <w:szCs w:val="32"/>
          <w:u w:val="single"/>
          <w:lang w:val="en-US" w:eastAsia="zh-CN"/>
        </w:rPr>
        <w:t xml:space="preserve">      </w:t>
      </w:r>
      <w:r>
        <w:rPr>
          <w:rFonts w:hint="eastAsia"/>
          <w:sz w:val="32"/>
          <w:szCs w:val="32"/>
        </w:rPr>
        <w:t>（项目名称）</w:t>
      </w:r>
    </w:p>
    <w:p>
      <w:pPr>
        <w:pStyle w:val="10"/>
        <w:rPr>
          <w:sz w:val="32"/>
          <w:szCs w:val="32"/>
        </w:rPr>
      </w:pPr>
    </w:p>
    <w:p>
      <w:pPr>
        <w:pStyle w:val="10"/>
        <w:rPr>
          <w:sz w:val="26"/>
        </w:rPr>
      </w:pPr>
    </w:p>
    <w:p>
      <w:pPr>
        <w:pStyle w:val="10"/>
        <w:rPr>
          <w:sz w:val="26"/>
        </w:rPr>
      </w:pPr>
    </w:p>
    <w:p>
      <w:pPr>
        <w:pStyle w:val="10"/>
        <w:rPr>
          <w:sz w:val="26"/>
        </w:rPr>
      </w:pPr>
    </w:p>
    <w:p>
      <w:pPr>
        <w:pStyle w:val="10"/>
        <w:rPr>
          <w:sz w:val="26"/>
        </w:rPr>
      </w:pPr>
    </w:p>
    <w:p>
      <w:pPr>
        <w:pStyle w:val="10"/>
        <w:spacing w:before="3"/>
        <w:rPr>
          <w:sz w:val="20"/>
        </w:rPr>
      </w:pPr>
    </w:p>
    <w:p>
      <w:pPr>
        <w:tabs>
          <w:tab w:val="left" w:pos="3648"/>
          <w:tab w:val="left" w:pos="5328"/>
          <w:tab w:val="left" w:pos="7008"/>
        </w:tabs>
        <w:ind w:firstLine="2520" w:firstLineChars="300"/>
        <w:rPr>
          <w:sz w:val="84"/>
        </w:rPr>
      </w:pPr>
      <w:r>
        <w:rPr>
          <w:rFonts w:hint="eastAsia"/>
          <w:sz w:val="84"/>
          <w:lang w:eastAsia="zh-CN"/>
        </w:rPr>
        <w:t>响</w:t>
      </w:r>
      <w:r>
        <w:rPr>
          <w:rFonts w:hint="eastAsia"/>
          <w:sz w:val="84"/>
          <w:lang w:val="en-US" w:eastAsia="zh-CN"/>
        </w:rPr>
        <w:t xml:space="preserve"> </w:t>
      </w:r>
      <w:r>
        <w:rPr>
          <w:rFonts w:hint="eastAsia"/>
          <w:sz w:val="84"/>
          <w:lang w:eastAsia="zh-CN"/>
        </w:rPr>
        <w:t>应</w:t>
      </w:r>
      <w:r>
        <w:rPr>
          <w:rFonts w:hint="eastAsia"/>
          <w:sz w:val="84"/>
          <w:lang w:val="en-US" w:eastAsia="zh-CN"/>
        </w:rPr>
        <w:t xml:space="preserve"> </w:t>
      </w:r>
      <w:r>
        <w:rPr>
          <w:rFonts w:hint="eastAsia"/>
          <w:sz w:val="84"/>
        </w:rPr>
        <w:t>文</w:t>
      </w:r>
      <w:r>
        <w:rPr>
          <w:rFonts w:hint="eastAsia"/>
          <w:sz w:val="84"/>
          <w:lang w:val="en-US" w:eastAsia="zh-CN"/>
        </w:rPr>
        <w:t xml:space="preserve"> </w:t>
      </w:r>
      <w:r>
        <w:rPr>
          <w:rFonts w:hint="eastAsia"/>
          <w:sz w:val="84"/>
        </w:rPr>
        <w:t>件</w:t>
      </w:r>
    </w:p>
    <w:p>
      <w:pPr>
        <w:spacing w:before="332"/>
        <w:ind w:left="36" w:right="50"/>
        <w:jc w:val="center"/>
        <w:rPr>
          <w:b/>
          <w:sz w:val="44"/>
          <w:szCs w:val="44"/>
        </w:rPr>
      </w:pPr>
      <w:bookmarkStart w:id="86" w:name="_TOC_250017"/>
      <w:bookmarkEnd w:id="86"/>
      <w:r>
        <w:rPr>
          <w:rFonts w:hint="eastAsia"/>
          <w:b/>
          <w:sz w:val="44"/>
          <w:szCs w:val="44"/>
        </w:rPr>
        <w:t>（商务及技术文件）</w:t>
      </w:r>
    </w:p>
    <w:p>
      <w:pPr>
        <w:pStyle w:val="10"/>
        <w:rPr>
          <w:b/>
          <w:sz w:val="44"/>
          <w:szCs w:val="44"/>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spacing w:line="480" w:lineRule="auto"/>
        <w:ind w:firstLine="2380" w:firstLineChars="850"/>
        <w:rPr>
          <w:rFonts w:eastAsia="Times New Roman"/>
          <w:sz w:val="28"/>
          <w:u w:val="single"/>
        </w:rPr>
      </w:pPr>
      <w:r>
        <w:rPr>
          <w:rFonts w:hint="eastAsia" w:ascii="宋体" w:hAnsi="宋体"/>
          <w:sz w:val="28"/>
        </w:rPr>
        <w:t>供应商名称：（盖章）</w:t>
      </w:r>
    </w:p>
    <w:p>
      <w:pPr>
        <w:spacing w:line="480" w:lineRule="auto"/>
        <w:jc w:val="center"/>
        <w:rPr>
          <w:rFonts w:eastAsiaTheme="minorEastAsia"/>
          <w:sz w:val="28"/>
        </w:rPr>
      </w:pPr>
      <w:r>
        <w:rPr>
          <w:rFonts w:hint="eastAsia" w:ascii="宋体" w:hAnsi="宋体"/>
          <w:sz w:val="28"/>
        </w:rPr>
        <w:t xml:space="preserve">    </w:t>
      </w:r>
      <w:r>
        <w:rPr>
          <w:rFonts w:hint="eastAsia" w:ascii="宋体" w:hAnsi="宋体"/>
          <w:sz w:val="28"/>
          <w:lang w:val="en-US" w:eastAsia="zh-CN"/>
        </w:rPr>
        <w:t xml:space="preserve">  </w:t>
      </w:r>
      <w:r>
        <w:rPr>
          <w:rFonts w:hint="eastAsia" w:ascii="宋体" w:hAnsi="宋体"/>
          <w:sz w:val="28"/>
        </w:rPr>
        <w:t>法定代表人或其委托代理人：（签字或盖章）</w:t>
      </w:r>
    </w:p>
    <w:p>
      <w:pPr>
        <w:spacing w:line="480" w:lineRule="auto"/>
        <w:ind w:firstLine="2380" w:firstLineChars="850"/>
        <w:rPr>
          <w:rFonts w:ascii="宋体" w:hAnsi="宋体"/>
          <w:sz w:val="28"/>
        </w:rPr>
      </w:pPr>
      <w:r>
        <w:rPr>
          <w:rFonts w:hint="eastAsia" w:ascii="宋体" w:hAnsi="宋体"/>
          <w:sz w:val="28"/>
        </w:rPr>
        <w:t>日期：年</w:t>
      </w:r>
      <w:r>
        <w:rPr>
          <w:rFonts w:hint="eastAsia"/>
          <w:sz w:val="28"/>
          <w:lang w:val="en-US" w:eastAsia="zh-CN"/>
        </w:rPr>
        <w:t xml:space="preserve">  </w:t>
      </w:r>
      <w:r>
        <w:rPr>
          <w:rFonts w:hint="eastAsia" w:ascii="宋体" w:hAnsi="宋体"/>
          <w:sz w:val="28"/>
        </w:rPr>
        <w:t>月</w:t>
      </w:r>
      <w:r>
        <w:rPr>
          <w:rFonts w:hint="eastAsia"/>
          <w:sz w:val="28"/>
          <w:lang w:val="en-US" w:eastAsia="zh-CN"/>
        </w:rPr>
        <w:t xml:space="preserve">  </w:t>
      </w:r>
      <w:r>
        <w:rPr>
          <w:rFonts w:hint="eastAsia" w:ascii="宋体" w:hAnsi="宋体"/>
          <w:sz w:val="28"/>
        </w:rPr>
        <w:t>日</w:t>
      </w:r>
    </w:p>
    <w:p>
      <w:pPr>
        <w:pStyle w:val="10"/>
        <w:rPr>
          <w:sz w:val="20"/>
        </w:rPr>
      </w:pPr>
    </w:p>
    <w:p>
      <w:pPr>
        <w:pStyle w:val="11"/>
        <w:rPr>
          <w:sz w:val="20"/>
        </w:rPr>
      </w:pPr>
    </w:p>
    <w:p>
      <w:pPr>
        <w:rPr>
          <w:sz w:val="20"/>
        </w:rPr>
      </w:pPr>
    </w:p>
    <w:p>
      <w:pPr>
        <w:pStyle w:val="17"/>
      </w:pPr>
    </w:p>
    <w:p>
      <w:pPr>
        <w:pStyle w:val="10"/>
        <w:rPr>
          <w:sz w:val="20"/>
        </w:rPr>
      </w:pPr>
    </w:p>
    <w:p>
      <w:pPr>
        <w:pStyle w:val="10"/>
        <w:spacing w:before="10"/>
        <w:rPr>
          <w:sz w:val="15"/>
        </w:rPr>
      </w:pPr>
    </w:p>
    <w:p>
      <w:pPr>
        <w:tabs>
          <w:tab w:val="left" w:pos="1048"/>
        </w:tabs>
        <w:spacing w:before="58"/>
        <w:ind w:right="33"/>
        <w:jc w:val="center"/>
        <w:rPr>
          <w:sz w:val="30"/>
        </w:rPr>
      </w:pPr>
      <w:bookmarkStart w:id="87" w:name="_TOC_250016"/>
      <w:bookmarkEnd w:id="87"/>
      <w:r>
        <w:rPr>
          <w:rFonts w:hint="eastAsia"/>
          <w:sz w:val="30"/>
        </w:rPr>
        <w:t>目</w:t>
      </w:r>
      <w:r>
        <w:rPr>
          <w:rFonts w:hint="eastAsia"/>
          <w:sz w:val="30"/>
        </w:rPr>
        <w:tab/>
      </w:r>
      <w:r>
        <w:rPr>
          <w:rFonts w:hint="eastAsia"/>
          <w:sz w:val="30"/>
        </w:rPr>
        <w:t>录</w:t>
      </w:r>
    </w:p>
    <w:p>
      <w:pPr>
        <w:pStyle w:val="10"/>
        <w:rPr>
          <w:sz w:val="30"/>
        </w:rPr>
      </w:pPr>
    </w:p>
    <w:p>
      <w:pPr>
        <w:pStyle w:val="10"/>
        <w:spacing w:before="3"/>
        <w:rPr>
          <w:sz w:val="31"/>
        </w:rPr>
      </w:pPr>
    </w:p>
    <w:p>
      <w:pPr>
        <w:pStyle w:val="10"/>
        <w:ind w:left="1963"/>
      </w:pPr>
      <w:r>
        <w:rPr>
          <w:rFonts w:hint="eastAsia"/>
        </w:rPr>
        <w:t>一、</w:t>
      </w:r>
      <w:r>
        <w:rPr>
          <w:rFonts w:hint="eastAsia"/>
          <w:color w:val="auto"/>
        </w:rPr>
        <w:t>投标函及投标函附录</w:t>
      </w:r>
    </w:p>
    <w:p>
      <w:pPr>
        <w:pStyle w:val="10"/>
        <w:spacing w:before="132" w:line="343" w:lineRule="auto"/>
        <w:ind w:left="1963" w:right="3362"/>
      </w:pPr>
      <w:r>
        <w:rPr>
          <w:rFonts w:hint="eastAsia"/>
        </w:rPr>
        <w:t>二、授权委托书或法定代表人身份证明三、投标保证金</w:t>
      </w:r>
    </w:p>
    <w:p>
      <w:pPr>
        <w:pStyle w:val="10"/>
        <w:spacing w:before="1" w:line="343" w:lineRule="auto"/>
        <w:ind w:left="1963" w:right="5522"/>
      </w:pPr>
      <w:r>
        <w:rPr>
          <w:rFonts w:hint="eastAsia"/>
          <w:spacing w:val="-3"/>
        </w:rPr>
        <w:t>四、施工组织设计五、项目管理机构</w:t>
      </w:r>
    </w:p>
    <w:p>
      <w:pPr>
        <w:pStyle w:val="10"/>
        <w:spacing w:line="345" w:lineRule="auto"/>
        <w:ind w:left="1963" w:right="5042"/>
      </w:pPr>
      <w:r>
        <w:rPr>
          <w:rFonts w:hint="eastAsia"/>
          <w:spacing w:val="-2"/>
        </w:rPr>
        <w:t>六、拟分包项目情况表</w:t>
      </w:r>
      <w:r>
        <w:rPr>
          <w:rFonts w:hint="eastAsia"/>
        </w:rPr>
        <w:t>七、资格审查资料</w:t>
      </w:r>
    </w:p>
    <w:p>
      <w:pPr>
        <w:pStyle w:val="10"/>
        <w:spacing w:line="303" w:lineRule="exact"/>
        <w:ind w:left="1963"/>
      </w:pPr>
      <w:r>
        <w:rPr>
          <w:rFonts w:hint="eastAsia"/>
        </w:rPr>
        <w:t>八、其他资料</w:t>
      </w:r>
    </w:p>
    <w:p>
      <w:pPr>
        <w:spacing w:line="303" w:lineRule="exact"/>
        <w:sectPr>
          <w:pgSz w:w="11910" w:h="16840"/>
          <w:pgMar w:top="1440" w:right="1080" w:bottom="1040" w:left="1420" w:header="882" w:footer="847" w:gutter="0"/>
          <w:cols w:space="720" w:num="1"/>
        </w:sectPr>
      </w:pPr>
    </w:p>
    <w:p>
      <w:pPr>
        <w:spacing w:before="130"/>
        <w:ind w:left="86" w:right="369"/>
        <w:jc w:val="center"/>
        <w:rPr>
          <w:sz w:val="32"/>
        </w:rPr>
      </w:pPr>
      <w:r>
        <w:rPr>
          <w:rFonts w:hint="eastAsia"/>
          <w:sz w:val="32"/>
        </w:rPr>
        <w:t>一、投标函及投标函附录</w:t>
      </w:r>
    </w:p>
    <w:p>
      <w:pPr>
        <w:pStyle w:val="10"/>
        <w:spacing w:before="3"/>
        <w:rPr>
          <w:sz w:val="29"/>
        </w:rPr>
      </w:pPr>
    </w:p>
    <w:p>
      <w:pPr>
        <w:ind w:left="86" w:right="138"/>
        <w:jc w:val="center"/>
        <w:rPr>
          <w:sz w:val="28"/>
        </w:rPr>
      </w:pPr>
      <w:bookmarkStart w:id="88" w:name="_TOC_250015"/>
      <w:bookmarkEnd w:id="88"/>
      <w:r>
        <w:rPr>
          <w:rFonts w:hint="eastAsia"/>
          <w:sz w:val="28"/>
        </w:rPr>
        <w:t>（一）投标函</w:t>
      </w:r>
    </w:p>
    <w:p>
      <w:pPr>
        <w:pStyle w:val="10"/>
        <w:spacing w:before="7"/>
        <w:rPr>
          <w:sz w:val="16"/>
        </w:rPr>
      </w:pPr>
    </w:p>
    <w:p>
      <w:pPr>
        <w:pStyle w:val="10"/>
        <w:tabs>
          <w:tab w:val="left" w:pos="3303"/>
        </w:tabs>
        <w:spacing w:before="74"/>
        <w:ind w:left="423"/>
      </w:pPr>
      <w:r>
        <w:rPr>
          <w:rFonts w:hint="eastAsia"/>
          <w:u w:val="single"/>
        </w:rPr>
        <w:t xml:space="preserve"> </w:t>
      </w:r>
      <w:r>
        <w:rPr>
          <w:rFonts w:hint="eastAsia"/>
          <w:u w:val="single"/>
        </w:rPr>
        <w:tab/>
      </w:r>
      <w:r>
        <w:rPr>
          <w:rFonts w:hint="eastAsia"/>
        </w:rPr>
        <w:t>（招标人名称）：</w:t>
      </w:r>
    </w:p>
    <w:p>
      <w:pPr>
        <w:pStyle w:val="20"/>
        <w:numPr>
          <w:ilvl w:val="0"/>
          <w:numId w:val="70"/>
        </w:numPr>
        <w:tabs>
          <w:tab w:val="left" w:pos="1065"/>
          <w:tab w:val="left" w:pos="4903"/>
          <w:tab w:val="left" w:pos="7423"/>
        </w:tabs>
        <w:spacing w:before="172" w:line="280" w:lineRule="auto"/>
        <w:ind w:right="542" w:firstLine="480"/>
        <w:jc w:val="both"/>
        <w:rPr>
          <w:sz w:val="24"/>
        </w:rPr>
      </w:pPr>
      <w:r>
        <w:rPr>
          <w:rFonts w:hint="eastAsia"/>
          <w:sz w:val="24"/>
        </w:rPr>
        <w:t>我方已仔细研究</w:t>
      </w:r>
      <w:r>
        <w:rPr>
          <w:rFonts w:hint="eastAsia"/>
          <w:sz w:val="24"/>
          <w:u w:val="single"/>
        </w:rPr>
        <w:t xml:space="preserve"> </w:t>
      </w:r>
      <w:r>
        <w:rPr>
          <w:rFonts w:hint="eastAsia"/>
          <w:sz w:val="24"/>
          <w:u w:val="single"/>
        </w:rPr>
        <w:tab/>
      </w:r>
      <w:r>
        <w:rPr>
          <w:rFonts w:hint="eastAsia"/>
          <w:sz w:val="24"/>
        </w:rPr>
        <w:t>（项目名称）施工招</w:t>
      </w:r>
      <w:r>
        <w:rPr>
          <w:rFonts w:hint="eastAsia"/>
          <w:spacing w:val="-18"/>
          <w:sz w:val="24"/>
        </w:rPr>
        <w:t>标</w:t>
      </w:r>
      <w:r>
        <w:rPr>
          <w:rFonts w:hint="eastAsia"/>
          <w:spacing w:val="-18"/>
          <w:sz w:val="24"/>
          <w:lang w:eastAsia="zh-CN"/>
        </w:rPr>
        <w:t>竞争性磋商</w:t>
      </w:r>
      <w:r>
        <w:rPr>
          <w:rFonts w:hint="eastAsia"/>
          <w:sz w:val="24"/>
        </w:rPr>
        <w:t>文件的全部内容（含补遗书），在考察工程现场后，愿意以报价文件中的投标总报价，按合同约定实施和完成承包工程，修补工</w:t>
      </w:r>
      <w:r>
        <w:rPr>
          <w:rFonts w:hint="eastAsia"/>
          <w:spacing w:val="-19"/>
          <w:sz w:val="24"/>
        </w:rPr>
        <w:t>程</w:t>
      </w:r>
      <w:r>
        <w:rPr>
          <w:rFonts w:hint="eastAsia"/>
          <w:sz w:val="24"/>
        </w:rPr>
        <w:t>中的任何缺陷。</w:t>
      </w:r>
    </w:p>
    <w:p>
      <w:pPr>
        <w:pStyle w:val="20"/>
        <w:numPr>
          <w:ilvl w:val="0"/>
          <w:numId w:val="70"/>
        </w:numPr>
        <w:tabs>
          <w:tab w:val="left" w:pos="1065"/>
        </w:tabs>
        <w:spacing w:before="1"/>
        <w:ind w:left="1065"/>
        <w:rPr>
          <w:sz w:val="24"/>
        </w:rPr>
      </w:pPr>
      <w:r>
        <w:rPr>
          <w:rFonts w:hint="eastAsia"/>
          <w:sz w:val="24"/>
        </w:rPr>
        <w:t>我方承诺在</w:t>
      </w:r>
      <w:r>
        <w:rPr>
          <w:rFonts w:hint="eastAsia"/>
          <w:sz w:val="24"/>
          <w:lang w:eastAsia="zh-CN"/>
        </w:rPr>
        <w:t>磋商</w:t>
      </w:r>
      <w:r>
        <w:rPr>
          <w:rFonts w:hint="eastAsia"/>
          <w:sz w:val="24"/>
        </w:rPr>
        <w:t>文件规定的投标有效期内不撤销</w:t>
      </w:r>
      <w:r>
        <w:rPr>
          <w:rFonts w:hint="eastAsia"/>
          <w:sz w:val="24"/>
          <w:lang w:eastAsia="zh-CN"/>
        </w:rPr>
        <w:t>响应</w:t>
      </w:r>
      <w:r>
        <w:rPr>
          <w:rFonts w:hint="eastAsia"/>
          <w:sz w:val="24"/>
        </w:rPr>
        <w:t>文件。</w:t>
      </w:r>
    </w:p>
    <w:p>
      <w:pPr>
        <w:pStyle w:val="20"/>
        <w:numPr>
          <w:ilvl w:val="0"/>
          <w:numId w:val="70"/>
        </w:numPr>
        <w:tabs>
          <w:tab w:val="left" w:pos="1065"/>
          <w:tab w:val="left" w:pos="3583"/>
          <w:tab w:val="left" w:pos="6343"/>
          <w:tab w:val="left" w:pos="7783"/>
        </w:tabs>
        <w:spacing w:before="53"/>
        <w:ind w:left="1065"/>
        <w:rPr>
          <w:sz w:val="24"/>
        </w:rPr>
      </w:pPr>
      <w:r>
        <w:rPr>
          <w:rFonts w:hint="eastAsia"/>
          <w:sz w:val="24"/>
        </w:rPr>
        <w:t>工程质量：</w:t>
      </w:r>
      <w:r>
        <w:rPr>
          <w:rFonts w:hint="eastAsia"/>
          <w:sz w:val="24"/>
          <w:u w:val="single"/>
        </w:rPr>
        <w:t xml:space="preserve"> </w:t>
      </w:r>
      <w:r>
        <w:rPr>
          <w:rFonts w:hint="eastAsia"/>
          <w:sz w:val="24"/>
          <w:u w:val="single"/>
        </w:rPr>
        <w:tab/>
      </w:r>
      <w:r>
        <w:rPr>
          <w:rFonts w:hint="eastAsia"/>
          <w:sz w:val="24"/>
        </w:rPr>
        <w:t>，安全目标：</w:t>
      </w:r>
      <w:r>
        <w:rPr>
          <w:rFonts w:hint="eastAsia"/>
          <w:sz w:val="24"/>
          <w:u w:val="single"/>
        </w:rPr>
        <w:t xml:space="preserve"> </w:t>
      </w:r>
      <w:r>
        <w:rPr>
          <w:rFonts w:hint="eastAsia"/>
          <w:sz w:val="24"/>
          <w:u w:val="single"/>
        </w:rPr>
        <w:tab/>
      </w:r>
      <w:r>
        <w:rPr>
          <w:rFonts w:hint="eastAsia"/>
          <w:sz w:val="24"/>
        </w:rPr>
        <w:t>，工期：</w:t>
      </w:r>
      <w:r>
        <w:rPr>
          <w:rFonts w:hint="eastAsia"/>
          <w:sz w:val="24"/>
          <w:u w:val="single"/>
        </w:rPr>
        <w:t xml:space="preserve"> </w:t>
      </w:r>
      <w:r>
        <w:rPr>
          <w:rFonts w:hint="eastAsia"/>
          <w:sz w:val="24"/>
          <w:u w:val="single"/>
        </w:rPr>
        <w:tab/>
      </w:r>
      <w:r>
        <w:rPr>
          <w:rFonts w:hint="eastAsia"/>
          <w:sz w:val="24"/>
        </w:rPr>
        <w:t>日历天。</w:t>
      </w:r>
    </w:p>
    <w:p>
      <w:pPr>
        <w:pStyle w:val="20"/>
        <w:numPr>
          <w:ilvl w:val="0"/>
          <w:numId w:val="70"/>
        </w:numPr>
        <w:tabs>
          <w:tab w:val="left" w:pos="1065"/>
        </w:tabs>
        <w:spacing w:before="52"/>
        <w:ind w:left="1065"/>
        <w:rPr>
          <w:sz w:val="24"/>
        </w:rPr>
      </w:pPr>
      <w:r>
        <w:rPr>
          <w:rFonts w:hint="eastAsia"/>
          <w:sz w:val="24"/>
        </w:rPr>
        <w:t>如我方中标，我方承诺：</w:t>
      </w:r>
    </w:p>
    <w:p>
      <w:pPr>
        <w:pStyle w:val="20"/>
        <w:numPr>
          <w:ilvl w:val="0"/>
          <w:numId w:val="71"/>
        </w:numPr>
        <w:tabs>
          <w:tab w:val="left" w:pos="1305"/>
        </w:tabs>
        <w:spacing w:before="53"/>
        <w:rPr>
          <w:sz w:val="24"/>
        </w:rPr>
      </w:pPr>
      <w:r>
        <w:rPr>
          <w:rFonts w:hint="eastAsia"/>
          <w:sz w:val="24"/>
        </w:rPr>
        <w:t>在收到中标通知书后，在中标通知书规定的期限内与你方签订合同；</w:t>
      </w:r>
    </w:p>
    <w:p>
      <w:pPr>
        <w:pStyle w:val="20"/>
        <w:numPr>
          <w:ilvl w:val="0"/>
          <w:numId w:val="71"/>
        </w:numPr>
        <w:tabs>
          <w:tab w:val="left" w:pos="1305"/>
        </w:tabs>
        <w:spacing w:before="52"/>
        <w:rPr>
          <w:sz w:val="24"/>
        </w:rPr>
      </w:pPr>
      <w:r>
        <w:rPr>
          <w:rFonts w:hint="eastAsia"/>
          <w:sz w:val="24"/>
        </w:rPr>
        <w:t>在签订合同时不向你方提出附加条件；</w:t>
      </w:r>
    </w:p>
    <w:p>
      <w:pPr>
        <w:pStyle w:val="20"/>
        <w:numPr>
          <w:ilvl w:val="0"/>
          <w:numId w:val="71"/>
        </w:numPr>
        <w:tabs>
          <w:tab w:val="left" w:pos="1305"/>
        </w:tabs>
        <w:spacing w:before="53"/>
        <w:rPr>
          <w:sz w:val="24"/>
        </w:rPr>
      </w:pPr>
      <w:r>
        <w:rPr>
          <w:rFonts w:hint="eastAsia"/>
          <w:sz w:val="24"/>
        </w:rPr>
        <w:t>按照</w:t>
      </w:r>
      <w:r>
        <w:rPr>
          <w:rFonts w:hint="eastAsia"/>
          <w:sz w:val="24"/>
          <w:lang w:val="en-US" w:eastAsia="zh-CN"/>
        </w:rPr>
        <w:t>磋商</w:t>
      </w:r>
      <w:r>
        <w:rPr>
          <w:rFonts w:hint="eastAsia"/>
          <w:sz w:val="24"/>
        </w:rPr>
        <w:t>文件要求提交履约保证金</w:t>
      </w:r>
      <w:r>
        <w:rPr>
          <w:rFonts w:hint="eastAsia"/>
          <w:sz w:val="24"/>
          <w:lang w:val="en-US" w:eastAsia="zh-CN"/>
        </w:rPr>
        <w:t>和农民工工资保证金</w:t>
      </w:r>
      <w:r>
        <w:rPr>
          <w:rFonts w:hint="eastAsia"/>
          <w:sz w:val="24"/>
        </w:rPr>
        <w:t>；</w:t>
      </w:r>
    </w:p>
    <w:p>
      <w:pPr>
        <w:pStyle w:val="20"/>
        <w:numPr>
          <w:ilvl w:val="0"/>
          <w:numId w:val="71"/>
        </w:numPr>
        <w:tabs>
          <w:tab w:val="left" w:pos="1305"/>
        </w:tabs>
        <w:spacing w:before="52"/>
        <w:rPr>
          <w:sz w:val="24"/>
        </w:rPr>
      </w:pPr>
      <w:r>
        <w:rPr>
          <w:rFonts w:hint="eastAsia"/>
          <w:sz w:val="24"/>
        </w:rPr>
        <w:t>在合同约定的期限内完成合同规定的全部义务；</w:t>
      </w:r>
    </w:p>
    <w:p>
      <w:pPr>
        <w:pStyle w:val="20"/>
        <w:numPr>
          <w:ilvl w:val="0"/>
          <w:numId w:val="71"/>
        </w:numPr>
        <w:tabs>
          <w:tab w:val="left" w:pos="1305"/>
        </w:tabs>
        <w:spacing w:before="53" w:line="280" w:lineRule="auto"/>
        <w:ind w:left="224" w:right="506" w:firstLine="480"/>
        <w:jc w:val="both"/>
        <w:rPr>
          <w:sz w:val="24"/>
        </w:rPr>
      </w:pPr>
      <w:r>
        <w:rPr>
          <w:rFonts w:hint="eastAsia"/>
          <w:spacing w:val="-3"/>
          <w:sz w:val="24"/>
        </w:rPr>
        <w:t>在你方和我方进行合同谈判之前，我方将按照合同附件提出的最低要求</w:t>
      </w:r>
      <w:r>
        <w:rPr>
          <w:rFonts w:hint="eastAsia"/>
          <w:spacing w:val="-5"/>
          <w:sz w:val="24"/>
        </w:rPr>
        <w:t>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中标资格。</w:t>
      </w:r>
    </w:p>
    <w:p>
      <w:pPr>
        <w:pStyle w:val="20"/>
        <w:numPr>
          <w:ilvl w:val="0"/>
          <w:numId w:val="70"/>
        </w:numPr>
        <w:tabs>
          <w:tab w:val="left" w:pos="1065"/>
        </w:tabs>
        <w:spacing w:before="1" w:line="280" w:lineRule="auto"/>
        <w:ind w:right="506" w:firstLine="480"/>
        <w:jc w:val="both"/>
        <w:rPr>
          <w:sz w:val="24"/>
        </w:rPr>
      </w:pPr>
      <w:r>
        <w:rPr>
          <w:rFonts w:hint="eastAsia"/>
          <w:spacing w:val="-7"/>
          <w:sz w:val="24"/>
        </w:rPr>
        <w:t>我方在此声明，所递交的</w:t>
      </w:r>
      <w:r>
        <w:rPr>
          <w:rFonts w:hint="eastAsia"/>
          <w:spacing w:val="-7"/>
          <w:sz w:val="24"/>
          <w:lang w:eastAsia="zh-CN"/>
        </w:rPr>
        <w:t>响应</w:t>
      </w:r>
      <w:r>
        <w:rPr>
          <w:rFonts w:hint="eastAsia"/>
          <w:spacing w:val="-7"/>
          <w:sz w:val="24"/>
        </w:rPr>
        <w:t>文件及有关资料内容完整、真实和准确</w:t>
      </w:r>
      <w:r>
        <w:rPr>
          <w:rFonts w:hint="eastAsia"/>
          <w:sz w:val="24"/>
        </w:rPr>
        <w:t>。</w:t>
      </w:r>
    </w:p>
    <w:p>
      <w:pPr>
        <w:pStyle w:val="20"/>
        <w:numPr>
          <w:ilvl w:val="0"/>
          <w:numId w:val="70"/>
        </w:numPr>
        <w:tabs>
          <w:tab w:val="left" w:pos="1065"/>
        </w:tabs>
        <w:spacing w:line="280" w:lineRule="auto"/>
        <w:ind w:right="506" w:firstLine="480"/>
        <w:rPr>
          <w:sz w:val="24"/>
        </w:rPr>
      </w:pPr>
      <w:r>
        <w:rPr>
          <w:rFonts w:hint="eastAsia"/>
          <w:spacing w:val="-3"/>
          <w:sz w:val="24"/>
        </w:rPr>
        <w:t>在合同协议书正式签署生效之前，本投标函连同你方的中标通知书将构成</w:t>
      </w:r>
      <w:r>
        <w:rPr>
          <w:rFonts w:hint="eastAsia"/>
          <w:spacing w:val="-5"/>
          <w:sz w:val="24"/>
        </w:rPr>
        <w:t>我们双方之间共同遵守的文件，对双方具有约束力。</w:t>
      </w:r>
    </w:p>
    <w:p>
      <w:pPr>
        <w:pStyle w:val="20"/>
        <w:numPr>
          <w:ilvl w:val="0"/>
          <w:numId w:val="70"/>
        </w:numPr>
        <w:tabs>
          <w:tab w:val="left" w:pos="1065"/>
          <w:tab w:val="left" w:pos="5743"/>
        </w:tabs>
        <w:spacing w:before="1"/>
        <w:ind w:left="1065"/>
        <w:rPr>
          <w:sz w:val="24"/>
        </w:rPr>
      </w:pPr>
      <w:r>
        <w:rPr>
          <w:rFonts w:hint="eastAsia"/>
          <w:sz w:val="24"/>
          <w:u w:val="single"/>
        </w:rPr>
        <w:t xml:space="preserve"> </w:t>
      </w:r>
      <w:r>
        <w:rPr>
          <w:rFonts w:hint="eastAsia"/>
          <w:sz w:val="24"/>
          <w:u w:val="single"/>
        </w:rPr>
        <w:tab/>
      </w:r>
      <w:r>
        <w:rPr>
          <w:rFonts w:hint="eastAsia"/>
          <w:sz w:val="24"/>
        </w:rPr>
        <w:t>（其他补充说明）。</w:t>
      </w:r>
    </w:p>
    <w:p>
      <w:pPr>
        <w:pStyle w:val="10"/>
        <w:spacing w:before="2"/>
        <w:rPr>
          <w:sz w:val="32"/>
        </w:rPr>
      </w:pPr>
    </w:p>
    <w:p>
      <w:pPr>
        <w:pStyle w:val="29"/>
        <w:keepNext w:val="0"/>
        <w:keepLines w:val="0"/>
        <w:pageBreakBefore w:val="0"/>
        <w:widowControl w:val="0"/>
        <w:kinsoku/>
        <w:wordWrap/>
        <w:overflowPunct/>
        <w:topLinePunct w:val="0"/>
        <w:autoSpaceDE w:val="0"/>
        <w:autoSpaceDN w:val="0"/>
        <w:bidi w:val="0"/>
        <w:adjustRightInd w:val="0"/>
        <w:snapToGrid/>
        <w:spacing w:after="0" w:line="500" w:lineRule="exact"/>
        <w:textAlignment w:val="auto"/>
        <w:rPr>
          <w:rFonts w:hint="eastAsia" w:ascii="宋体" w:hAnsi="宋体" w:eastAsia="宋体" w:cs="宋体"/>
          <w:sz w:val="24"/>
          <w:szCs w:val="24"/>
          <w:u w:val="single"/>
        </w:rPr>
      </w:pPr>
      <w:r>
        <w:rPr>
          <w:rFonts w:hint="eastAsia" w:ascii="PQPMNW+ËÎÌå" w:hAnsi="PQPMNW+ËÎÌå" w:cs="PQPMNW+ËÎÌå"/>
          <w:spacing w:val="-1"/>
        </w:rPr>
        <w:t>竞争性磋商响应人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r>
        <w:rPr>
          <w:rFonts w:hint="eastAsia" w:ascii="宋体" w:hAnsi="宋体" w:eastAsia="宋体" w:cs="宋体"/>
          <w:sz w:val="24"/>
          <w:szCs w:val="24"/>
        </w:rPr>
        <w:br w:type="textWrapping"/>
      </w: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hAnsi="宋体" w:cs="宋体"/>
          <w:sz w:val="24"/>
          <w:szCs w:val="24"/>
          <w:lang w:eastAsia="zh-CN"/>
        </w:rPr>
        <w:t>或盖章</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t>网址：</w:t>
      </w:r>
      <w:r>
        <w:rPr>
          <w:rFonts w:hint="eastAsia" w:ascii="宋体" w:hAnsi="宋体" w:eastAsia="宋体" w:cs="宋体"/>
          <w:sz w:val="24"/>
          <w:szCs w:val="24"/>
          <w:u w:val="single"/>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t>传真：</w:t>
      </w:r>
      <w:r>
        <w:rPr>
          <w:rFonts w:hint="eastAsia" w:ascii="宋体" w:hAnsi="宋体" w:eastAsia="宋体" w:cs="宋体"/>
          <w:color w:val="FFFFFF"/>
          <w:sz w:val="24"/>
          <w:szCs w:val="24"/>
          <w:u w:val="single"/>
        </w:rPr>
        <w:t xml:space="preserve"> 。</w:t>
      </w:r>
      <w:r>
        <w:rPr>
          <w:rFonts w:hint="eastAsia" w:ascii="宋体" w:hAnsi="宋体" w:eastAsia="宋体" w:cs="宋体"/>
          <w:sz w:val="24"/>
          <w:szCs w:val="24"/>
          <w:u w:val="single"/>
        </w:rPr>
        <w:t xml:space="preserve">                                    </w:t>
      </w:r>
    </w:p>
    <w:p>
      <w:pPr>
        <w:pStyle w:val="29"/>
        <w:keepNext w:val="0"/>
        <w:keepLines w:val="0"/>
        <w:pageBreakBefore w:val="0"/>
        <w:widowControl w:val="0"/>
        <w:kinsoku/>
        <w:wordWrap/>
        <w:overflowPunct/>
        <w:topLinePunct w:val="0"/>
        <w:autoSpaceDE w:val="0"/>
        <w:autoSpaceDN w:val="0"/>
        <w:bidi w:val="0"/>
        <w:adjustRightInd w:val="0"/>
        <w:snapToGrid/>
        <w:spacing w:after="0" w:line="5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邮政编码：</w:t>
      </w:r>
      <w:r>
        <w:rPr>
          <w:rFonts w:hint="eastAsia" w:ascii="宋体" w:hAnsi="宋体" w:eastAsia="宋体" w:cs="宋体"/>
          <w:color w:val="FFFFFF"/>
          <w:sz w:val="24"/>
          <w:szCs w:val="24"/>
          <w:u w:val="single"/>
        </w:rPr>
        <w:t xml:space="preserve">。 </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 xml:space="preserve">               </w:t>
      </w:r>
    </w:p>
    <w:p>
      <w:pPr>
        <w:pStyle w:val="30"/>
        <w:keepNext w:val="0"/>
        <w:keepLines w:val="0"/>
        <w:pageBreakBefore w:val="0"/>
        <w:widowControl w:val="0"/>
        <w:kinsoku/>
        <w:wordWrap/>
        <w:overflowPunct/>
        <w:topLinePunct w:val="0"/>
        <w:autoSpaceDE w:val="0"/>
        <w:autoSpaceDN w:val="0"/>
        <w:bidi w:val="0"/>
        <w:adjustRightInd w:val="0"/>
        <w:snapToGrid/>
        <w:spacing w:line="500" w:lineRule="exact"/>
        <w:ind w:firstLine="6120" w:firstLineChars="2550"/>
        <w:textAlignment w:val="auto"/>
        <w:rPr>
          <w:rFonts w:hint="eastAsia" w:ascii="宋体" w:hAnsi="宋体" w:eastAsia="宋体" w:cs="宋体"/>
          <w:sz w:val="24"/>
          <w:szCs w:val="24"/>
        </w:rPr>
      </w:pPr>
      <w:r>
        <w:rPr>
          <w:rFonts w:hint="eastAsia" w:ascii="宋体" w:hAnsi="宋体" w:eastAsia="宋体" w:cs="宋体"/>
          <w:sz w:val="24"/>
          <w:szCs w:val="24"/>
        </w:rPr>
        <w:t>年      月       日</w:t>
      </w:r>
    </w:p>
    <w:p>
      <w:pPr>
        <w:pStyle w:val="10"/>
        <w:rPr>
          <w:sz w:val="20"/>
        </w:rPr>
      </w:pPr>
    </w:p>
    <w:p>
      <w:pPr>
        <w:pStyle w:val="10"/>
        <w:rPr>
          <w:sz w:val="20"/>
        </w:rPr>
      </w:pPr>
    </w:p>
    <w:p>
      <w:pPr>
        <w:pStyle w:val="10"/>
        <w:rPr>
          <w:sz w:val="20"/>
        </w:rPr>
      </w:pPr>
    </w:p>
    <w:p>
      <w:pPr>
        <w:pStyle w:val="10"/>
        <w:spacing w:before="3"/>
        <w:rPr>
          <w:sz w:val="18"/>
        </w:rPr>
      </w:pPr>
    </w:p>
    <w:p>
      <w:pPr>
        <w:pStyle w:val="10"/>
        <w:spacing w:before="8"/>
        <w:rPr>
          <w:sz w:val="5"/>
        </w:rPr>
      </w:pPr>
    </w:p>
    <w:p>
      <w:pPr>
        <w:spacing w:before="161"/>
        <w:ind w:left="2" w:right="50"/>
        <w:jc w:val="center"/>
        <w:rPr>
          <w:rFonts w:hint="eastAsia"/>
          <w:sz w:val="28"/>
        </w:rPr>
      </w:pPr>
      <w:bookmarkStart w:id="89" w:name="_TOC_250014"/>
      <w:bookmarkEnd w:id="89"/>
    </w:p>
    <w:p>
      <w:pPr>
        <w:spacing w:before="161"/>
        <w:ind w:left="2" w:right="50"/>
        <w:jc w:val="center"/>
        <w:rPr>
          <w:sz w:val="28"/>
        </w:rPr>
      </w:pPr>
      <w:r>
        <w:rPr>
          <w:rFonts w:hint="eastAsia"/>
          <w:sz w:val="28"/>
        </w:rPr>
        <w:t>（二）投标函附录</w:t>
      </w:r>
    </w:p>
    <w:p>
      <w:pPr>
        <w:pStyle w:val="10"/>
        <w:rPr>
          <w:sz w:val="20"/>
        </w:rPr>
      </w:pPr>
    </w:p>
    <w:p>
      <w:pPr>
        <w:pStyle w:val="10"/>
        <w:spacing w:before="1"/>
        <w:rPr>
          <w:sz w:val="29"/>
        </w:rPr>
      </w:pPr>
    </w:p>
    <w:tbl>
      <w:tblPr>
        <w:tblStyle w:val="18"/>
        <w:tblW w:w="9039"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2835"/>
        <w:gridCol w:w="1276"/>
        <w:gridCol w:w="3118"/>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 w:hRule="atLeast"/>
        </w:trPr>
        <w:tc>
          <w:tcPr>
            <w:tcW w:w="817" w:type="dxa"/>
          </w:tcPr>
          <w:p>
            <w:pPr>
              <w:pStyle w:val="21"/>
              <w:spacing w:before="128"/>
              <w:ind w:left="187" w:right="179"/>
              <w:jc w:val="center"/>
              <w:rPr>
                <w:sz w:val="20"/>
              </w:rPr>
            </w:pPr>
            <w:r>
              <w:rPr>
                <w:rFonts w:hint="eastAsia"/>
                <w:sz w:val="20"/>
              </w:rPr>
              <w:t>序号</w:t>
            </w:r>
          </w:p>
        </w:tc>
        <w:tc>
          <w:tcPr>
            <w:tcW w:w="2835" w:type="dxa"/>
          </w:tcPr>
          <w:p>
            <w:pPr>
              <w:pStyle w:val="21"/>
              <w:spacing w:before="128"/>
              <w:ind w:left="995" w:right="989"/>
              <w:jc w:val="center"/>
              <w:rPr>
                <w:sz w:val="20"/>
              </w:rPr>
            </w:pPr>
            <w:r>
              <w:rPr>
                <w:rFonts w:hint="eastAsia"/>
                <w:sz w:val="20"/>
              </w:rPr>
              <w:t>条款名称</w:t>
            </w:r>
          </w:p>
        </w:tc>
        <w:tc>
          <w:tcPr>
            <w:tcW w:w="1276" w:type="dxa"/>
          </w:tcPr>
          <w:p>
            <w:pPr>
              <w:pStyle w:val="21"/>
              <w:spacing w:before="128"/>
              <w:ind w:left="116" w:right="110"/>
              <w:jc w:val="center"/>
              <w:rPr>
                <w:sz w:val="20"/>
              </w:rPr>
            </w:pPr>
            <w:r>
              <w:rPr>
                <w:rFonts w:hint="eastAsia"/>
                <w:sz w:val="20"/>
              </w:rPr>
              <w:t>合同条目号</w:t>
            </w:r>
          </w:p>
        </w:tc>
        <w:tc>
          <w:tcPr>
            <w:tcW w:w="3118" w:type="dxa"/>
          </w:tcPr>
          <w:p>
            <w:pPr>
              <w:pStyle w:val="21"/>
              <w:spacing w:before="128"/>
              <w:ind w:right="1148"/>
              <w:jc w:val="right"/>
              <w:rPr>
                <w:sz w:val="20"/>
              </w:rPr>
            </w:pPr>
            <w:r>
              <w:rPr>
                <w:rFonts w:hint="eastAsia"/>
                <w:w w:val="95"/>
                <w:sz w:val="20"/>
              </w:rPr>
              <w:t>约定内容</w:t>
            </w:r>
          </w:p>
        </w:tc>
        <w:tc>
          <w:tcPr>
            <w:tcW w:w="993" w:type="dxa"/>
          </w:tcPr>
          <w:p>
            <w:pPr>
              <w:pStyle w:val="21"/>
              <w:spacing w:before="128"/>
              <w:ind w:left="296"/>
              <w:rPr>
                <w:sz w:val="20"/>
              </w:rPr>
            </w:pPr>
            <w:r>
              <w:rPr>
                <w:rFonts w:hint="eastAsia"/>
                <w:sz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17" w:type="dxa"/>
          </w:tcPr>
          <w:p>
            <w:pPr>
              <w:pStyle w:val="21"/>
              <w:spacing w:before="141"/>
              <w:ind w:left="7"/>
              <w:jc w:val="center"/>
              <w:rPr>
                <w:sz w:val="20"/>
              </w:rPr>
            </w:pPr>
            <w:r>
              <w:rPr>
                <w:rFonts w:hint="eastAsia"/>
                <w:w w:val="99"/>
                <w:sz w:val="20"/>
              </w:rPr>
              <w:t>1</w:t>
            </w:r>
          </w:p>
        </w:tc>
        <w:tc>
          <w:tcPr>
            <w:tcW w:w="2835" w:type="dxa"/>
          </w:tcPr>
          <w:p>
            <w:pPr>
              <w:pStyle w:val="21"/>
              <w:spacing w:before="127"/>
              <w:ind w:left="106"/>
              <w:rPr>
                <w:sz w:val="20"/>
              </w:rPr>
            </w:pPr>
            <w:r>
              <w:rPr>
                <w:rFonts w:hint="eastAsia"/>
                <w:sz w:val="20"/>
              </w:rPr>
              <w:t>缺陷责任期</w:t>
            </w:r>
          </w:p>
        </w:tc>
        <w:tc>
          <w:tcPr>
            <w:tcW w:w="1276" w:type="dxa"/>
          </w:tcPr>
          <w:p>
            <w:pPr>
              <w:pStyle w:val="21"/>
              <w:spacing w:before="141"/>
              <w:ind w:left="116" w:right="106"/>
              <w:jc w:val="center"/>
              <w:rPr>
                <w:sz w:val="20"/>
              </w:rPr>
            </w:pPr>
            <w:r>
              <w:rPr>
                <w:rFonts w:hint="eastAsia"/>
                <w:sz w:val="20"/>
              </w:rPr>
              <w:t>21.1</w:t>
            </w:r>
          </w:p>
        </w:tc>
        <w:tc>
          <w:tcPr>
            <w:tcW w:w="3118" w:type="dxa"/>
          </w:tcPr>
          <w:p>
            <w:pPr>
              <w:pStyle w:val="21"/>
              <w:spacing w:before="75" w:line="130" w:lineRule="exact"/>
              <w:ind w:right="258"/>
              <w:jc w:val="right"/>
              <w:rPr>
                <w:color w:val="000000" w:themeColor="text1"/>
                <w:sz w:val="14"/>
                <w14:textFill>
                  <w14:solidFill>
                    <w14:schemeClr w14:val="tx1"/>
                  </w14:solidFill>
                </w14:textFill>
              </w:rPr>
            </w:pPr>
          </w:p>
          <w:p>
            <w:pPr>
              <w:pStyle w:val="21"/>
              <w:tabs>
                <w:tab w:val="left" w:pos="2506"/>
              </w:tabs>
              <w:spacing w:line="207" w:lineRule="exact"/>
              <w:ind w:left="106"/>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自实际交工日期起计算</w:t>
            </w:r>
            <w:r>
              <w:rPr>
                <w:rFonts w:hint="eastAsia"/>
                <w:color w:val="000000" w:themeColor="text1"/>
                <w:sz w:val="20"/>
                <w:u w:val="single"/>
                <w14:textFill>
                  <w14:solidFill>
                    <w14:schemeClr w14:val="tx1"/>
                  </w14:solidFill>
                </w14:textFill>
              </w:rPr>
              <w:t xml:space="preserve"> </w:t>
            </w:r>
            <w:r>
              <w:rPr>
                <w:rFonts w:hint="eastAsia"/>
                <w:color w:val="000000" w:themeColor="text1"/>
                <w:sz w:val="20"/>
                <w:u w:val="single"/>
                <w:lang w:val="en-US"/>
                <w14:textFill>
                  <w14:solidFill>
                    <w14:schemeClr w14:val="tx1"/>
                  </w14:solidFill>
                </w14:textFill>
              </w:rPr>
              <w:t xml:space="preserve">1 </w:t>
            </w:r>
            <w:r>
              <w:rPr>
                <w:rFonts w:hint="eastAsia"/>
                <w:color w:val="000000" w:themeColor="text1"/>
                <w:sz w:val="20"/>
                <w14:textFill>
                  <w14:solidFill>
                    <w14:schemeClr w14:val="tx1"/>
                  </w14:solidFill>
                </w14:textFill>
              </w:rPr>
              <w:t>年</w:t>
            </w:r>
          </w:p>
        </w:tc>
        <w:tc>
          <w:tcPr>
            <w:tcW w:w="993"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817" w:type="dxa"/>
          </w:tcPr>
          <w:p>
            <w:pPr>
              <w:pStyle w:val="21"/>
              <w:spacing w:before="142"/>
              <w:ind w:left="7"/>
              <w:jc w:val="center"/>
              <w:rPr>
                <w:sz w:val="20"/>
              </w:rPr>
            </w:pPr>
            <w:r>
              <w:rPr>
                <w:rFonts w:hint="eastAsia"/>
                <w:w w:val="99"/>
                <w:sz w:val="20"/>
              </w:rPr>
              <w:t>2</w:t>
            </w:r>
          </w:p>
        </w:tc>
        <w:tc>
          <w:tcPr>
            <w:tcW w:w="2835" w:type="dxa"/>
          </w:tcPr>
          <w:p>
            <w:pPr>
              <w:pStyle w:val="21"/>
              <w:spacing w:before="129"/>
              <w:ind w:left="106"/>
              <w:rPr>
                <w:sz w:val="20"/>
              </w:rPr>
            </w:pPr>
            <w:r>
              <w:rPr>
                <w:rFonts w:hint="eastAsia"/>
                <w:sz w:val="20"/>
              </w:rPr>
              <w:t>逾期交工违约金</w:t>
            </w:r>
          </w:p>
        </w:tc>
        <w:tc>
          <w:tcPr>
            <w:tcW w:w="1276" w:type="dxa"/>
          </w:tcPr>
          <w:p>
            <w:pPr>
              <w:pStyle w:val="21"/>
              <w:spacing w:before="142"/>
              <w:ind w:left="116" w:right="108"/>
              <w:jc w:val="center"/>
              <w:rPr>
                <w:sz w:val="20"/>
              </w:rPr>
            </w:pPr>
            <w:r>
              <w:rPr>
                <w:rFonts w:hint="eastAsia"/>
                <w:sz w:val="20"/>
              </w:rPr>
              <w:t>8.4</w:t>
            </w:r>
          </w:p>
        </w:tc>
        <w:tc>
          <w:tcPr>
            <w:tcW w:w="3118" w:type="dxa"/>
          </w:tcPr>
          <w:p>
            <w:pPr>
              <w:pStyle w:val="21"/>
              <w:tabs>
                <w:tab w:val="left" w:pos="400"/>
              </w:tabs>
              <w:spacing w:before="129"/>
              <w:ind w:right="1177"/>
              <w:jc w:val="right"/>
              <w:rPr>
                <w:color w:val="000000" w:themeColor="text1"/>
                <w:sz w:val="20"/>
                <w14:textFill>
                  <w14:solidFill>
                    <w14:schemeClr w14:val="tx1"/>
                  </w14:solidFill>
                </w14:textFill>
              </w:rPr>
            </w:pPr>
            <w:r>
              <w:rPr>
                <w:rFonts w:hint="eastAsia"/>
                <w:color w:val="000000" w:themeColor="text1"/>
                <w:sz w:val="20"/>
                <w:u w:val="single"/>
                <w:lang w:val="en-US"/>
                <w14:textFill>
                  <w14:solidFill>
                    <w14:schemeClr w14:val="tx1"/>
                  </w14:solidFill>
                </w14:textFill>
              </w:rPr>
              <w:t>0.</w:t>
            </w:r>
            <w:r>
              <w:rPr>
                <w:rFonts w:hint="eastAsia"/>
                <w:color w:val="000000" w:themeColor="text1"/>
                <w:sz w:val="20"/>
                <w:u w:val="single"/>
                <w:lang w:val="en-US" w:eastAsia="zh-CN"/>
                <w14:textFill>
                  <w14:solidFill>
                    <w14:schemeClr w14:val="tx1"/>
                  </w14:solidFill>
                </w14:textFill>
              </w:rPr>
              <w:t>3</w:t>
            </w:r>
            <w:r>
              <w:rPr>
                <w:rFonts w:hint="eastAsia"/>
                <w:color w:val="000000" w:themeColor="text1"/>
                <w:w w:val="95"/>
                <w:sz w:val="20"/>
                <w14:textFill>
                  <w14:solidFill>
                    <w14:schemeClr w14:val="tx1"/>
                  </w14:solidFill>
                </w14:textFill>
              </w:rPr>
              <w:t>%签约合同价/天</w:t>
            </w:r>
          </w:p>
        </w:tc>
        <w:tc>
          <w:tcPr>
            <w:tcW w:w="993"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17" w:type="dxa"/>
          </w:tcPr>
          <w:p>
            <w:pPr>
              <w:pStyle w:val="21"/>
              <w:spacing w:before="141"/>
              <w:ind w:left="7"/>
              <w:jc w:val="center"/>
              <w:rPr>
                <w:sz w:val="20"/>
              </w:rPr>
            </w:pPr>
            <w:r>
              <w:rPr>
                <w:rFonts w:hint="eastAsia"/>
                <w:w w:val="99"/>
                <w:sz w:val="20"/>
              </w:rPr>
              <w:t>3</w:t>
            </w:r>
          </w:p>
        </w:tc>
        <w:tc>
          <w:tcPr>
            <w:tcW w:w="2835" w:type="dxa"/>
          </w:tcPr>
          <w:p>
            <w:pPr>
              <w:pStyle w:val="21"/>
              <w:spacing w:before="127"/>
              <w:ind w:left="106"/>
              <w:rPr>
                <w:sz w:val="20"/>
              </w:rPr>
            </w:pPr>
            <w:r>
              <w:rPr>
                <w:rFonts w:hint="eastAsia"/>
                <w:sz w:val="20"/>
              </w:rPr>
              <w:t>逾期交工违约金限额</w:t>
            </w:r>
          </w:p>
        </w:tc>
        <w:tc>
          <w:tcPr>
            <w:tcW w:w="1276" w:type="dxa"/>
          </w:tcPr>
          <w:p>
            <w:pPr>
              <w:pStyle w:val="21"/>
              <w:spacing w:before="141"/>
              <w:ind w:left="116" w:right="108"/>
              <w:jc w:val="center"/>
              <w:rPr>
                <w:sz w:val="20"/>
              </w:rPr>
            </w:pPr>
            <w:r>
              <w:rPr>
                <w:rFonts w:hint="eastAsia"/>
                <w:sz w:val="20"/>
              </w:rPr>
              <w:t>8.4</w:t>
            </w:r>
          </w:p>
        </w:tc>
        <w:tc>
          <w:tcPr>
            <w:tcW w:w="3118" w:type="dxa"/>
          </w:tcPr>
          <w:p>
            <w:pPr>
              <w:pStyle w:val="21"/>
              <w:spacing w:before="75" w:line="130" w:lineRule="exact"/>
              <w:ind w:left="379"/>
              <w:jc w:val="center"/>
              <w:rPr>
                <w:color w:val="000000" w:themeColor="text1"/>
                <w:sz w:val="14"/>
                <w14:textFill>
                  <w14:solidFill>
                    <w14:schemeClr w14:val="tx1"/>
                  </w14:solidFill>
                </w14:textFill>
              </w:rPr>
            </w:pPr>
          </w:p>
          <w:p>
            <w:pPr>
              <w:pStyle w:val="21"/>
              <w:tabs>
                <w:tab w:val="left" w:pos="507"/>
              </w:tabs>
              <w:spacing w:line="207" w:lineRule="exact"/>
              <w:ind w:left="106" w:firstLine="200" w:firstLineChars="100"/>
              <w:rPr>
                <w:color w:val="000000" w:themeColor="text1"/>
                <w:sz w:val="20"/>
                <w14:textFill>
                  <w14:solidFill>
                    <w14:schemeClr w14:val="tx1"/>
                  </w14:solidFill>
                </w14:textFill>
              </w:rPr>
            </w:pPr>
            <w:r>
              <w:rPr>
                <w:rFonts w:hint="eastAsia"/>
                <w:color w:val="000000" w:themeColor="text1"/>
                <w:sz w:val="20"/>
                <w:u w:val="single"/>
                <w:lang w:val="en-US"/>
                <w14:textFill>
                  <w14:solidFill>
                    <w14:schemeClr w14:val="tx1"/>
                  </w14:solidFill>
                </w14:textFill>
              </w:rPr>
              <w:t>10</w:t>
            </w:r>
            <w:r>
              <w:rPr>
                <w:rFonts w:hint="eastAsia"/>
                <w:color w:val="000000" w:themeColor="text1"/>
                <w:sz w:val="20"/>
                <w14:textFill>
                  <w14:solidFill>
                    <w14:schemeClr w14:val="tx1"/>
                  </w14:solidFill>
                </w14:textFill>
              </w:rPr>
              <w:t>%签约合同价</w:t>
            </w:r>
          </w:p>
        </w:tc>
        <w:tc>
          <w:tcPr>
            <w:tcW w:w="993"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17" w:type="dxa"/>
          </w:tcPr>
          <w:p>
            <w:pPr>
              <w:pStyle w:val="21"/>
              <w:spacing w:before="142"/>
              <w:ind w:left="7"/>
              <w:jc w:val="center"/>
              <w:rPr>
                <w:sz w:val="20"/>
              </w:rPr>
            </w:pPr>
            <w:r>
              <w:rPr>
                <w:rFonts w:hint="eastAsia"/>
                <w:w w:val="99"/>
                <w:sz w:val="20"/>
              </w:rPr>
              <w:t>4</w:t>
            </w:r>
          </w:p>
        </w:tc>
        <w:tc>
          <w:tcPr>
            <w:tcW w:w="2835" w:type="dxa"/>
          </w:tcPr>
          <w:p>
            <w:pPr>
              <w:pStyle w:val="21"/>
              <w:spacing w:before="129"/>
              <w:ind w:left="106"/>
              <w:rPr>
                <w:sz w:val="20"/>
              </w:rPr>
            </w:pPr>
            <w:r>
              <w:rPr>
                <w:rFonts w:hint="eastAsia"/>
                <w:sz w:val="20"/>
              </w:rPr>
              <w:t>开工预付款金额</w:t>
            </w:r>
          </w:p>
        </w:tc>
        <w:tc>
          <w:tcPr>
            <w:tcW w:w="1276" w:type="dxa"/>
          </w:tcPr>
          <w:p>
            <w:pPr>
              <w:pStyle w:val="21"/>
              <w:spacing w:before="142"/>
              <w:ind w:left="116" w:right="108"/>
              <w:jc w:val="center"/>
              <w:rPr>
                <w:sz w:val="20"/>
              </w:rPr>
            </w:pPr>
            <w:r>
              <w:rPr>
                <w:rFonts w:hint="eastAsia"/>
                <w:sz w:val="20"/>
              </w:rPr>
              <w:t>5.6</w:t>
            </w:r>
          </w:p>
        </w:tc>
        <w:tc>
          <w:tcPr>
            <w:tcW w:w="3118" w:type="dxa"/>
          </w:tcPr>
          <w:p>
            <w:pPr>
              <w:pStyle w:val="21"/>
              <w:spacing w:before="73" w:line="132" w:lineRule="exact"/>
              <w:ind w:left="379"/>
              <w:jc w:val="center"/>
              <w:rPr>
                <w:color w:val="000000" w:themeColor="text1"/>
                <w:sz w:val="14"/>
                <w14:textFill>
                  <w14:solidFill>
                    <w14:schemeClr w14:val="tx1"/>
                  </w14:solidFill>
                </w14:textFill>
              </w:rPr>
            </w:pPr>
          </w:p>
          <w:p>
            <w:pPr>
              <w:pStyle w:val="21"/>
              <w:tabs>
                <w:tab w:val="left" w:pos="507"/>
              </w:tabs>
              <w:spacing w:line="209" w:lineRule="exact"/>
              <w:ind w:firstLine="396" w:firstLineChars="200"/>
              <w:rPr>
                <w:color w:val="000000" w:themeColor="text1"/>
                <w:sz w:val="20"/>
                <w14:textFill>
                  <w14:solidFill>
                    <w14:schemeClr w14:val="tx1"/>
                  </w14:solidFill>
                </w14:textFill>
              </w:rPr>
            </w:pPr>
            <w:r>
              <w:rPr>
                <w:rFonts w:hint="eastAsia"/>
                <w:color w:val="000000" w:themeColor="text1"/>
                <w:w w:val="99"/>
                <w:sz w:val="20"/>
                <w:u w:val="single"/>
                <w14:textFill>
                  <w14:solidFill>
                    <w14:schemeClr w14:val="tx1"/>
                  </w14:solidFill>
                </w14:textFill>
              </w:rPr>
              <w:t xml:space="preserve"> </w:t>
            </w:r>
            <w:r>
              <w:rPr>
                <w:rFonts w:hint="eastAsia"/>
                <w:color w:val="000000" w:themeColor="text1"/>
                <w:w w:val="99"/>
                <w:sz w:val="20"/>
                <w:u w:val="single"/>
                <w:lang w:val="en-US" w:eastAsia="zh-CN"/>
                <w14:textFill>
                  <w14:solidFill>
                    <w14:schemeClr w14:val="tx1"/>
                  </w14:solidFill>
                </w14:textFill>
              </w:rPr>
              <w:t>10</w:t>
            </w:r>
            <w:r>
              <w:rPr>
                <w:rFonts w:hint="eastAsia"/>
                <w:color w:val="000000" w:themeColor="text1"/>
                <w:sz w:val="20"/>
                <w14:textFill>
                  <w14:solidFill>
                    <w14:schemeClr w14:val="tx1"/>
                  </w14:solidFill>
                </w14:textFill>
              </w:rPr>
              <w:t>%签约合同价</w:t>
            </w:r>
          </w:p>
        </w:tc>
        <w:tc>
          <w:tcPr>
            <w:tcW w:w="993"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17" w:type="dxa"/>
          </w:tcPr>
          <w:p>
            <w:pPr>
              <w:pStyle w:val="21"/>
              <w:spacing w:before="11"/>
              <w:rPr>
                <w:sz w:val="15"/>
              </w:rPr>
            </w:pPr>
          </w:p>
          <w:p>
            <w:pPr>
              <w:pStyle w:val="21"/>
              <w:ind w:left="7"/>
              <w:jc w:val="center"/>
              <w:rPr>
                <w:sz w:val="20"/>
              </w:rPr>
            </w:pPr>
            <w:r>
              <w:rPr>
                <w:rFonts w:hint="eastAsia"/>
                <w:w w:val="99"/>
                <w:sz w:val="20"/>
              </w:rPr>
              <w:t>5</w:t>
            </w:r>
          </w:p>
        </w:tc>
        <w:tc>
          <w:tcPr>
            <w:tcW w:w="2835" w:type="dxa"/>
          </w:tcPr>
          <w:p>
            <w:pPr>
              <w:pStyle w:val="21"/>
              <w:spacing w:before="10"/>
              <w:rPr>
                <w:sz w:val="14"/>
              </w:rPr>
            </w:pPr>
          </w:p>
          <w:p>
            <w:pPr>
              <w:pStyle w:val="21"/>
              <w:ind w:left="106"/>
              <w:rPr>
                <w:sz w:val="20"/>
              </w:rPr>
            </w:pPr>
            <w:r>
              <w:rPr>
                <w:rFonts w:hint="eastAsia"/>
                <w:sz w:val="20"/>
              </w:rPr>
              <w:t>材料预付款比例</w:t>
            </w:r>
          </w:p>
        </w:tc>
        <w:tc>
          <w:tcPr>
            <w:tcW w:w="1276" w:type="dxa"/>
          </w:tcPr>
          <w:p>
            <w:pPr>
              <w:pStyle w:val="21"/>
              <w:spacing w:before="11"/>
              <w:rPr>
                <w:sz w:val="15"/>
              </w:rPr>
            </w:pPr>
          </w:p>
          <w:p>
            <w:pPr>
              <w:pStyle w:val="21"/>
              <w:ind w:left="116" w:right="106"/>
              <w:jc w:val="center"/>
              <w:rPr>
                <w:sz w:val="20"/>
              </w:rPr>
            </w:pPr>
            <w:r>
              <w:rPr>
                <w:rFonts w:hint="eastAsia"/>
                <w:sz w:val="20"/>
              </w:rPr>
              <w:t>17.5</w:t>
            </w:r>
          </w:p>
        </w:tc>
        <w:tc>
          <w:tcPr>
            <w:tcW w:w="3118" w:type="dxa"/>
          </w:tcPr>
          <w:p>
            <w:pPr>
              <w:pStyle w:val="21"/>
              <w:spacing w:before="7"/>
              <w:ind w:left="106"/>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沥青、水泥、钢筋等主要材料单据</w:t>
            </w:r>
          </w:p>
          <w:p>
            <w:pPr>
              <w:pStyle w:val="21"/>
              <w:spacing w:before="1" w:line="130" w:lineRule="exact"/>
              <w:ind w:left="576"/>
              <w:jc w:val="center"/>
              <w:rPr>
                <w:color w:val="000000" w:themeColor="text1"/>
                <w:sz w:val="14"/>
                <w14:textFill>
                  <w14:solidFill>
                    <w14:schemeClr w14:val="tx1"/>
                  </w14:solidFill>
                </w14:textFill>
              </w:rPr>
            </w:pPr>
          </w:p>
          <w:p>
            <w:pPr>
              <w:pStyle w:val="21"/>
              <w:tabs>
                <w:tab w:val="left" w:pos="1606"/>
              </w:tabs>
              <w:spacing w:line="207" w:lineRule="exact"/>
              <w:ind w:left="106"/>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所列费用的</w:t>
            </w:r>
            <w:r>
              <w:rPr>
                <w:rFonts w:hint="eastAsia"/>
                <w:color w:val="000000" w:themeColor="text1"/>
                <w:sz w:val="20"/>
                <w:u w:val="single"/>
                <w14:textFill>
                  <w14:solidFill>
                    <w14:schemeClr w14:val="tx1"/>
                  </w14:solidFill>
                </w14:textFill>
              </w:rPr>
              <w:t xml:space="preserve"> </w:t>
            </w:r>
            <w:r>
              <w:rPr>
                <w:rFonts w:hint="eastAsia"/>
                <w:color w:val="000000" w:themeColor="text1"/>
                <w:sz w:val="20"/>
                <w:u w:val="single"/>
                <w:lang w:val="en-US" w:eastAsia="zh-CN"/>
                <w14:textFill>
                  <w14:solidFill>
                    <w14:schemeClr w14:val="tx1"/>
                  </w14:solidFill>
                </w14:textFill>
              </w:rPr>
              <w:t>60</w:t>
            </w:r>
            <w:r>
              <w:rPr>
                <w:rFonts w:hint="eastAsia"/>
                <w:color w:val="000000" w:themeColor="text1"/>
                <w:sz w:val="20"/>
                <w:u w:val="single"/>
                <w:lang w:val="en-US"/>
                <w14:textFill>
                  <w14:solidFill>
                    <w14:schemeClr w14:val="tx1"/>
                  </w14:solidFill>
                </w14:textFill>
              </w:rPr>
              <w:t xml:space="preserve"> </w:t>
            </w:r>
            <w:r>
              <w:rPr>
                <w:rFonts w:hint="eastAsia"/>
                <w:color w:val="000000" w:themeColor="text1"/>
                <w:sz w:val="20"/>
                <w14:textFill>
                  <w14:solidFill>
                    <w14:schemeClr w14:val="tx1"/>
                  </w14:solidFill>
                </w14:textFill>
              </w:rPr>
              <w:t>%</w:t>
            </w:r>
          </w:p>
        </w:tc>
        <w:tc>
          <w:tcPr>
            <w:tcW w:w="993"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17" w:type="dxa"/>
          </w:tcPr>
          <w:p>
            <w:pPr>
              <w:pStyle w:val="21"/>
              <w:spacing w:before="157"/>
              <w:ind w:left="7"/>
              <w:jc w:val="center"/>
              <w:rPr>
                <w:sz w:val="20"/>
              </w:rPr>
            </w:pPr>
            <w:r>
              <w:rPr>
                <w:rFonts w:hint="eastAsia"/>
                <w:w w:val="99"/>
                <w:sz w:val="20"/>
              </w:rPr>
              <w:t>6</w:t>
            </w:r>
          </w:p>
        </w:tc>
        <w:tc>
          <w:tcPr>
            <w:tcW w:w="2835" w:type="dxa"/>
          </w:tcPr>
          <w:p>
            <w:pPr>
              <w:pStyle w:val="21"/>
              <w:spacing w:before="143"/>
              <w:ind w:left="106"/>
              <w:rPr>
                <w:sz w:val="20"/>
              </w:rPr>
            </w:pPr>
            <w:r>
              <w:rPr>
                <w:rFonts w:hint="eastAsia"/>
                <w:sz w:val="20"/>
              </w:rPr>
              <w:t>逾期付款违约金的利率</w:t>
            </w:r>
          </w:p>
        </w:tc>
        <w:tc>
          <w:tcPr>
            <w:tcW w:w="1276" w:type="dxa"/>
          </w:tcPr>
          <w:p>
            <w:pPr>
              <w:pStyle w:val="21"/>
              <w:spacing w:before="157"/>
              <w:ind w:left="116" w:right="106"/>
              <w:jc w:val="center"/>
              <w:rPr>
                <w:sz w:val="20"/>
              </w:rPr>
            </w:pPr>
            <w:r>
              <w:rPr>
                <w:rFonts w:hint="eastAsia"/>
                <w:sz w:val="20"/>
              </w:rPr>
              <w:t>18.3</w:t>
            </w:r>
          </w:p>
        </w:tc>
        <w:tc>
          <w:tcPr>
            <w:tcW w:w="3118" w:type="dxa"/>
          </w:tcPr>
          <w:p>
            <w:pPr>
              <w:pStyle w:val="21"/>
              <w:spacing w:before="14"/>
              <w:ind w:left="106"/>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全国银行间同业拆借中心公布的</w:t>
            </w:r>
          </w:p>
          <w:p>
            <w:pPr>
              <w:pStyle w:val="21"/>
              <w:spacing w:before="3" w:line="251" w:lineRule="exact"/>
              <w:ind w:left="106"/>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1 年期贷款市场报价利率</w:t>
            </w:r>
          </w:p>
        </w:tc>
        <w:tc>
          <w:tcPr>
            <w:tcW w:w="993"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3" w:hRule="atLeast"/>
        </w:trPr>
        <w:tc>
          <w:tcPr>
            <w:tcW w:w="817" w:type="dxa"/>
          </w:tcPr>
          <w:p>
            <w:pPr>
              <w:pStyle w:val="21"/>
            </w:pPr>
          </w:p>
          <w:p>
            <w:pPr>
              <w:pStyle w:val="21"/>
            </w:pPr>
          </w:p>
          <w:p>
            <w:pPr>
              <w:pStyle w:val="21"/>
              <w:spacing w:before="4"/>
              <w:rPr>
                <w:sz w:val="17"/>
              </w:rPr>
            </w:pPr>
          </w:p>
          <w:p>
            <w:pPr>
              <w:pStyle w:val="21"/>
              <w:ind w:left="7"/>
              <w:jc w:val="center"/>
              <w:rPr>
                <w:sz w:val="20"/>
              </w:rPr>
            </w:pPr>
            <w:r>
              <w:rPr>
                <w:rFonts w:hint="eastAsia"/>
                <w:w w:val="99"/>
                <w:sz w:val="20"/>
              </w:rPr>
              <w:t>7</w:t>
            </w:r>
          </w:p>
        </w:tc>
        <w:tc>
          <w:tcPr>
            <w:tcW w:w="2835" w:type="dxa"/>
          </w:tcPr>
          <w:p>
            <w:pPr>
              <w:pStyle w:val="21"/>
              <w:rPr>
                <w:sz w:val="20"/>
              </w:rPr>
            </w:pPr>
          </w:p>
          <w:p>
            <w:pPr>
              <w:pStyle w:val="21"/>
              <w:rPr>
                <w:sz w:val="20"/>
              </w:rPr>
            </w:pPr>
          </w:p>
          <w:p>
            <w:pPr>
              <w:pStyle w:val="21"/>
              <w:spacing w:before="4"/>
              <w:rPr>
                <w:sz w:val="20"/>
              </w:rPr>
            </w:pPr>
          </w:p>
          <w:p>
            <w:pPr>
              <w:pStyle w:val="21"/>
              <w:ind w:left="106"/>
              <w:rPr>
                <w:sz w:val="20"/>
              </w:rPr>
            </w:pPr>
            <w:r>
              <w:rPr>
                <w:rFonts w:hint="eastAsia"/>
                <w:sz w:val="20"/>
              </w:rPr>
              <w:t>质量保证金金额</w:t>
            </w:r>
          </w:p>
        </w:tc>
        <w:tc>
          <w:tcPr>
            <w:tcW w:w="1276" w:type="dxa"/>
          </w:tcPr>
          <w:p>
            <w:pPr>
              <w:pStyle w:val="21"/>
            </w:pPr>
          </w:p>
          <w:p>
            <w:pPr>
              <w:pStyle w:val="21"/>
            </w:pPr>
          </w:p>
          <w:p>
            <w:pPr>
              <w:pStyle w:val="21"/>
              <w:spacing w:before="4"/>
              <w:rPr>
                <w:sz w:val="17"/>
              </w:rPr>
            </w:pPr>
          </w:p>
          <w:p>
            <w:pPr>
              <w:pStyle w:val="21"/>
              <w:ind w:left="116" w:right="106"/>
              <w:jc w:val="center"/>
              <w:rPr>
                <w:sz w:val="20"/>
              </w:rPr>
            </w:pPr>
            <w:r>
              <w:rPr>
                <w:rFonts w:hint="eastAsia"/>
                <w:sz w:val="20"/>
              </w:rPr>
              <w:t>18.7</w:t>
            </w:r>
          </w:p>
        </w:tc>
        <w:tc>
          <w:tcPr>
            <w:tcW w:w="3118" w:type="dxa"/>
          </w:tcPr>
          <w:p>
            <w:pPr>
              <w:pStyle w:val="21"/>
              <w:spacing w:line="132" w:lineRule="exact"/>
              <w:ind w:left="673"/>
              <w:rPr>
                <w:color w:val="000000" w:themeColor="text1"/>
                <w:sz w:val="14"/>
                <w14:textFill>
                  <w14:solidFill>
                    <w14:schemeClr w14:val="tx1"/>
                  </w14:solidFill>
                </w14:textFill>
              </w:rPr>
            </w:pPr>
          </w:p>
          <w:p>
            <w:pPr>
              <w:pStyle w:val="21"/>
              <w:tabs>
                <w:tab w:val="left" w:pos="507"/>
              </w:tabs>
              <w:spacing w:line="209" w:lineRule="exact"/>
              <w:ind w:left="106"/>
              <w:rPr>
                <w:color w:val="000000" w:themeColor="text1"/>
                <w:sz w:val="20"/>
                <w14:textFill>
                  <w14:solidFill>
                    <w14:schemeClr w14:val="tx1"/>
                  </w14:solidFill>
                </w14:textFill>
              </w:rPr>
            </w:pPr>
            <w:r>
              <w:rPr>
                <w:rFonts w:hint="eastAsia"/>
                <w:color w:val="000000" w:themeColor="text1"/>
                <w:w w:val="99"/>
                <w:sz w:val="20"/>
                <w:u w:val="single"/>
                <w14:textFill>
                  <w14:solidFill>
                    <w14:schemeClr w14:val="tx1"/>
                  </w14:solidFill>
                </w14:textFill>
              </w:rPr>
              <w:t xml:space="preserve"> </w:t>
            </w:r>
            <w:r>
              <w:rPr>
                <w:rFonts w:hint="eastAsia"/>
                <w:color w:val="000000" w:themeColor="text1"/>
                <w:sz w:val="20"/>
                <w:u w:val="single"/>
                <w:lang w:val="en-US"/>
                <w14:textFill>
                  <w14:solidFill>
                    <w14:schemeClr w14:val="tx1"/>
                  </w14:solidFill>
                </w14:textFill>
              </w:rPr>
              <w:t>3</w:t>
            </w:r>
            <w:r>
              <w:rPr>
                <w:rFonts w:hint="eastAsia"/>
                <w:color w:val="000000" w:themeColor="text1"/>
                <w:spacing w:val="18"/>
                <w:sz w:val="20"/>
                <w:u w:val="single"/>
                <w14:textFill>
                  <w14:solidFill>
                    <w14:schemeClr w14:val="tx1"/>
                  </w14:solidFill>
                </w14:textFill>
              </w:rPr>
              <w:t xml:space="preserve">% </w:t>
            </w:r>
            <w:r>
              <w:rPr>
                <w:rFonts w:hint="eastAsia"/>
                <w:color w:val="000000" w:themeColor="text1"/>
                <w:spacing w:val="-1"/>
                <w:sz w:val="20"/>
                <w14:textFill>
                  <w14:solidFill>
                    <w14:schemeClr w14:val="tx1"/>
                  </w14:solidFill>
                </w14:textFill>
              </w:rPr>
              <w:t>合同价格，若交工验收时</w:t>
            </w:r>
          </w:p>
          <w:p>
            <w:pPr>
              <w:pStyle w:val="21"/>
              <w:tabs>
                <w:tab w:val="left" w:pos="1306"/>
              </w:tabs>
              <w:spacing w:before="24" w:line="242" w:lineRule="auto"/>
              <w:ind w:left="106" w:right="109"/>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承包人具备</w:t>
            </w:r>
            <w:r>
              <w:rPr>
                <w:rFonts w:hint="eastAsia"/>
                <w:color w:val="000000" w:themeColor="text1"/>
                <w:sz w:val="21"/>
                <w14:textFill>
                  <w14:solidFill>
                    <w14:schemeClr w14:val="tx1"/>
                  </w14:solidFill>
                </w14:textFill>
              </w:rPr>
              <w:t>交通运输厅农村公</w:t>
            </w:r>
            <w:r>
              <w:rPr>
                <w:rFonts w:hint="eastAsia"/>
                <w:color w:val="000000" w:themeColor="text1"/>
                <w:spacing w:val="-11"/>
                <w:sz w:val="21"/>
                <w14:textFill>
                  <w14:solidFill>
                    <w14:schemeClr w14:val="tx1"/>
                  </w14:solidFill>
                </w14:textFill>
              </w:rPr>
              <w:t>路</w:t>
            </w:r>
            <w:r>
              <w:rPr>
                <w:rFonts w:hint="eastAsia"/>
                <w:color w:val="000000" w:themeColor="text1"/>
                <w:sz w:val="21"/>
                <w14:textFill>
                  <w14:solidFill>
                    <w14:schemeClr w14:val="tx1"/>
                  </w14:solidFill>
                </w14:textFill>
              </w:rPr>
              <w:t>建设从业单位信用信息评价体系</w:t>
            </w:r>
            <w:r>
              <w:rPr>
                <w:rFonts w:hint="eastAsia"/>
                <w:color w:val="000000" w:themeColor="text1"/>
                <w:sz w:val="20"/>
                <w14:textFill>
                  <w14:solidFill>
                    <w14:schemeClr w14:val="tx1"/>
                  </w14:solidFill>
                </w14:textFill>
              </w:rPr>
              <w:t>评定的最高信用等级，发包人可以给予</w:t>
            </w:r>
            <w:r>
              <w:rPr>
                <w:rFonts w:hint="eastAsia"/>
                <w:color w:val="000000" w:themeColor="text1"/>
                <w:sz w:val="20"/>
                <w:u w:val="single"/>
                <w14:textFill>
                  <w14:solidFill>
                    <w14:schemeClr w14:val="tx1"/>
                  </w14:solidFill>
                </w14:textFill>
              </w:rPr>
              <w:t xml:space="preserve"> </w:t>
            </w:r>
            <w:r>
              <w:rPr>
                <w:rFonts w:hint="eastAsia"/>
                <w:color w:val="000000" w:themeColor="text1"/>
                <w:sz w:val="20"/>
                <w:u w:val="single"/>
                <w:lang w:val="en-US"/>
                <w14:textFill>
                  <w14:solidFill>
                    <w14:schemeClr w14:val="tx1"/>
                  </w14:solidFill>
                </w14:textFill>
              </w:rPr>
              <w:t xml:space="preserve">/ </w:t>
            </w:r>
            <w:r>
              <w:rPr>
                <w:rFonts w:hint="eastAsia"/>
                <w:color w:val="000000" w:themeColor="text1"/>
                <w:sz w:val="20"/>
                <w14:textFill>
                  <w14:solidFill>
                    <w14:schemeClr w14:val="tx1"/>
                  </w14:solidFill>
                </w14:textFill>
              </w:rPr>
              <w:t>%合同价格质量保</w:t>
            </w:r>
          </w:p>
          <w:p>
            <w:pPr>
              <w:pStyle w:val="21"/>
              <w:spacing w:before="1" w:line="130" w:lineRule="exact"/>
              <w:ind w:right="751"/>
              <w:jc w:val="center"/>
              <w:rPr>
                <w:color w:val="000000" w:themeColor="text1"/>
                <w:sz w:val="14"/>
                <w14:textFill>
                  <w14:solidFill>
                    <w14:schemeClr w14:val="tx1"/>
                  </w14:solidFill>
                </w14:textFill>
              </w:rPr>
            </w:pPr>
          </w:p>
          <w:p>
            <w:pPr>
              <w:pStyle w:val="21"/>
              <w:spacing w:line="207" w:lineRule="exact"/>
              <w:ind w:left="106"/>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证金的优惠 。</w:t>
            </w:r>
          </w:p>
        </w:tc>
        <w:tc>
          <w:tcPr>
            <w:tcW w:w="993" w:type="dxa"/>
          </w:tcPr>
          <w:p>
            <w:pPr>
              <w:pStyle w:val="21"/>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17" w:type="dxa"/>
          </w:tcPr>
          <w:p>
            <w:pPr>
              <w:pStyle w:val="21"/>
              <w:spacing w:before="163"/>
              <w:ind w:left="7"/>
              <w:jc w:val="center"/>
              <w:rPr>
                <w:sz w:val="20"/>
              </w:rPr>
            </w:pPr>
            <w:r>
              <w:rPr>
                <w:rFonts w:hint="eastAsia"/>
                <w:w w:val="99"/>
                <w:sz w:val="20"/>
              </w:rPr>
              <w:t>8</w:t>
            </w:r>
          </w:p>
        </w:tc>
        <w:tc>
          <w:tcPr>
            <w:tcW w:w="2835" w:type="dxa"/>
          </w:tcPr>
          <w:p>
            <w:pPr>
              <w:pStyle w:val="21"/>
              <w:spacing w:before="150"/>
              <w:ind w:left="106"/>
              <w:rPr>
                <w:sz w:val="20"/>
              </w:rPr>
            </w:pPr>
            <w:r>
              <w:rPr>
                <w:rFonts w:hint="eastAsia"/>
                <w:sz w:val="20"/>
              </w:rPr>
              <w:t>保修期</w:t>
            </w:r>
          </w:p>
        </w:tc>
        <w:tc>
          <w:tcPr>
            <w:tcW w:w="1276" w:type="dxa"/>
          </w:tcPr>
          <w:p>
            <w:pPr>
              <w:pStyle w:val="21"/>
              <w:spacing w:before="163"/>
              <w:ind w:left="116" w:right="106"/>
              <w:jc w:val="center"/>
              <w:rPr>
                <w:sz w:val="20"/>
              </w:rPr>
            </w:pPr>
            <w:r>
              <w:rPr>
                <w:rFonts w:hint="eastAsia"/>
                <w:sz w:val="20"/>
              </w:rPr>
              <w:t>21.5</w:t>
            </w:r>
          </w:p>
        </w:tc>
        <w:tc>
          <w:tcPr>
            <w:tcW w:w="3118" w:type="dxa"/>
          </w:tcPr>
          <w:p>
            <w:pPr>
              <w:pStyle w:val="21"/>
              <w:spacing w:before="95" w:line="132" w:lineRule="exact"/>
              <w:ind w:right="258"/>
              <w:jc w:val="right"/>
              <w:rPr>
                <w:color w:val="000000" w:themeColor="text1"/>
                <w:sz w:val="14"/>
                <w14:textFill>
                  <w14:solidFill>
                    <w14:schemeClr w14:val="tx1"/>
                  </w14:solidFill>
                </w14:textFill>
              </w:rPr>
            </w:pPr>
          </w:p>
          <w:p>
            <w:pPr>
              <w:pStyle w:val="21"/>
              <w:tabs>
                <w:tab w:val="left" w:pos="2506"/>
              </w:tabs>
              <w:spacing w:line="209" w:lineRule="exact"/>
              <w:ind w:left="106"/>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自实际交工日期起计算</w:t>
            </w:r>
            <w:r>
              <w:rPr>
                <w:rFonts w:hint="eastAsia"/>
                <w:color w:val="000000" w:themeColor="text1"/>
                <w:sz w:val="20"/>
                <w:u w:val="single"/>
                <w14:textFill>
                  <w14:solidFill>
                    <w14:schemeClr w14:val="tx1"/>
                  </w14:solidFill>
                </w14:textFill>
              </w:rPr>
              <w:t xml:space="preserve"> </w:t>
            </w:r>
            <w:r>
              <w:rPr>
                <w:rFonts w:hint="eastAsia"/>
                <w:color w:val="000000" w:themeColor="text1"/>
                <w:sz w:val="20"/>
                <w:u w:val="single"/>
                <w:lang w:val="en-US"/>
                <w14:textFill>
                  <w14:solidFill>
                    <w14:schemeClr w14:val="tx1"/>
                  </w14:solidFill>
                </w14:textFill>
              </w:rPr>
              <w:t xml:space="preserve">1 </w:t>
            </w:r>
            <w:r>
              <w:rPr>
                <w:rFonts w:hint="eastAsia"/>
                <w:color w:val="000000" w:themeColor="text1"/>
                <w:sz w:val="20"/>
                <w14:textFill>
                  <w14:solidFill>
                    <w14:schemeClr w14:val="tx1"/>
                  </w14:solidFill>
                </w14:textFill>
              </w:rPr>
              <w:t>年</w:t>
            </w:r>
          </w:p>
        </w:tc>
        <w:tc>
          <w:tcPr>
            <w:tcW w:w="993" w:type="dxa"/>
          </w:tcPr>
          <w:p>
            <w:pPr>
              <w:pStyle w:val="21"/>
              <w:rPr>
                <w:sz w:val="18"/>
              </w:rPr>
            </w:pPr>
          </w:p>
        </w:tc>
      </w:tr>
    </w:tbl>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spacing w:line="440" w:lineRule="exact"/>
        <w:ind w:firstLine="4905" w:firstLineChars="22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796" w:firstLineChars="22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5777" w:firstLineChars="2650"/>
        <w:rPr>
          <w:rFonts w:ascii="宋体" w:hAnsi="宋体"/>
          <w:b/>
          <w:color w:val="auto"/>
          <w:sz w:val="21"/>
          <w:szCs w:val="21"/>
        </w:rPr>
      </w:pPr>
      <w:r>
        <w:rPr>
          <w:rFonts w:hint="eastAsia" w:ascii="TMBCOU+ËÎÌå" w:hAnsi="TMBCOU+ËÎÌå" w:cs="TMBCOU+ËÎÌå"/>
          <w:spacing w:val="-1"/>
        </w:rPr>
        <w:t>年</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月</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日</w: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3"/>
        <w:rPr>
          <w:sz w:val="29"/>
        </w:rPr>
      </w:pPr>
    </w:p>
    <w:p>
      <w:pPr>
        <w:pStyle w:val="11"/>
        <w:rPr>
          <w:sz w:val="29"/>
        </w:rPr>
      </w:pPr>
    </w:p>
    <w:p>
      <w:pPr>
        <w:rPr>
          <w:sz w:val="29"/>
        </w:rPr>
      </w:pPr>
    </w:p>
    <w:p>
      <w:pPr>
        <w:pStyle w:val="17"/>
        <w:rPr>
          <w:sz w:val="29"/>
        </w:rPr>
      </w:pPr>
    </w:p>
    <w:p>
      <w:pPr>
        <w:pStyle w:val="17"/>
        <w:rPr>
          <w:sz w:val="29"/>
        </w:rPr>
      </w:pPr>
    </w:p>
    <w:p>
      <w:pPr>
        <w:pStyle w:val="10"/>
        <w:spacing w:before="8"/>
        <w:rPr>
          <w:sz w:val="5"/>
        </w:rPr>
      </w:pPr>
    </w:p>
    <w:p>
      <w:pPr>
        <w:pStyle w:val="9"/>
        <w:spacing w:before="130"/>
        <w:ind w:right="369"/>
      </w:pPr>
      <w:bookmarkStart w:id="90" w:name="_TOC_250013"/>
      <w:bookmarkEnd w:id="90"/>
      <w:r>
        <w:rPr>
          <w:rFonts w:hint="eastAsia"/>
        </w:rPr>
        <w:t>二、授权委托书或法定代表人身份证明</w:t>
      </w:r>
    </w:p>
    <w:p>
      <w:pPr>
        <w:pStyle w:val="10"/>
        <w:spacing w:before="3"/>
        <w:rPr>
          <w:sz w:val="29"/>
        </w:rPr>
      </w:pPr>
    </w:p>
    <w:p>
      <w:pPr>
        <w:ind w:left="3488"/>
        <w:rPr>
          <w:sz w:val="14"/>
        </w:rPr>
      </w:pPr>
      <w:bookmarkStart w:id="91" w:name="_TOC_250012"/>
      <w:r>
        <w:rPr>
          <w:rFonts w:hint="eastAsia"/>
          <w:sz w:val="28"/>
        </w:rPr>
        <w:t>（一）授权委托书</w:t>
      </w:r>
      <w:bookmarkEnd w:id="91"/>
    </w:p>
    <w:p>
      <w:pPr>
        <w:pStyle w:val="10"/>
        <w:rPr>
          <w:sz w:val="30"/>
        </w:rPr>
      </w:pPr>
    </w:p>
    <w:p>
      <w:pPr>
        <w:pStyle w:val="10"/>
        <w:spacing w:before="6"/>
        <w:rPr>
          <w:sz w:val="31"/>
        </w:rPr>
      </w:pPr>
    </w:p>
    <w:p>
      <w:pPr>
        <w:pStyle w:val="10"/>
        <w:tabs>
          <w:tab w:val="left" w:pos="2028"/>
          <w:tab w:val="left" w:pos="3223"/>
          <w:tab w:val="left" w:pos="5983"/>
          <w:tab w:val="left" w:pos="8419"/>
        </w:tabs>
        <w:spacing w:line="343" w:lineRule="auto"/>
        <w:ind w:left="224" w:right="507" w:firstLine="480"/>
        <w:jc w:val="both"/>
      </w:pPr>
      <w:r>
        <w:rPr>
          <w:rFonts w:hint="eastAsia"/>
        </w:rPr>
        <w:t>本人</w:t>
      </w:r>
      <w:r>
        <w:rPr>
          <w:rFonts w:hint="eastAsia"/>
          <w:u w:val="single"/>
        </w:rPr>
        <w:t xml:space="preserve"> </w:t>
      </w:r>
      <w:r>
        <w:rPr>
          <w:rFonts w:hint="eastAsia"/>
          <w:u w:val="single"/>
        </w:rPr>
        <w:tab/>
      </w:r>
      <w:r>
        <w:rPr>
          <w:rFonts w:hint="eastAsia"/>
          <w:spacing w:val="-3"/>
          <w:u w:val="single"/>
        </w:rPr>
        <w:t>（</w:t>
      </w:r>
      <w:r>
        <w:rPr>
          <w:rFonts w:hint="eastAsia"/>
        </w:rPr>
        <w:t>姓名</w:t>
      </w:r>
      <w:r>
        <w:rPr>
          <w:rFonts w:hint="eastAsia"/>
          <w:spacing w:val="-116"/>
        </w:rPr>
        <w:t>）</w:t>
      </w:r>
      <w:r>
        <w:rPr>
          <w:rFonts w:hint="eastAsia"/>
        </w:rPr>
        <w:t>系</w:t>
      </w:r>
      <w:r>
        <w:rPr>
          <w:rFonts w:hint="eastAsia"/>
          <w:u w:val="single"/>
        </w:rPr>
        <w:t xml:space="preserve">    </w:t>
      </w:r>
      <w:r>
        <w:rPr>
          <w:rFonts w:hint="eastAsia"/>
          <w:spacing w:val="2"/>
          <w:u w:val="single"/>
        </w:rPr>
        <w:t xml:space="preserve"> </w:t>
      </w:r>
      <w:r>
        <w:rPr>
          <w:rFonts w:hint="eastAsia"/>
          <w:u w:val="single"/>
        </w:rPr>
        <w:t>（</w:t>
      </w:r>
      <w:r>
        <w:rPr>
          <w:rFonts w:hint="eastAsia"/>
        </w:rPr>
        <w:t>投标人名称</w:t>
      </w:r>
      <w:r>
        <w:rPr>
          <w:rFonts w:hint="eastAsia"/>
          <w:spacing w:val="-118"/>
        </w:rPr>
        <w:t>）</w:t>
      </w:r>
      <w:r>
        <w:rPr>
          <w:rFonts w:hint="eastAsia"/>
        </w:rPr>
        <w:t>的法定代表人</w:t>
      </w:r>
      <w:r>
        <w:rPr>
          <w:rFonts w:hint="eastAsia"/>
          <w:spacing w:val="-116"/>
        </w:rPr>
        <w:t>，</w:t>
      </w:r>
      <w:r>
        <w:rPr>
          <w:rFonts w:hint="eastAsia"/>
        </w:rPr>
        <w:t>现委托</w:t>
      </w:r>
      <w:r>
        <w:rPr>
          <w:rFonts w:hint="eastAsia"/>
          <w:u w:val="single"/>
        </w:rPr>
        <w:t xml:space="preserve"> </w:t>
      </w:r>
      <w:r>
        <w:rPr>
          <w:rFonts w:hint="eastAsia"/>
          <w:u w:val="single"/>
        </w:rPr>
        <w:tab/>
      </w:r>
      <w:r>
        <w:rPr>
          <w:rFonts w:hint="eastAsia"/>
          <w:spacing w:val="-3"/>
          <w:u w:val="single"/>
        </w:rPr>
        <w:t>（</w:t>
      </w:r>
      <w:r>
        <w:rPr>
          <w:rFonts w:hint="eastAsia"/>
          <w:spacing w:val="-16"/>
        </w:rPr>
        <w:t>姓</w:t>
      </w:r>
      <w:r>
        <w:rPr>
          <w:rFonts w:hint="eastAsia"/>
        </w:rPr>
        <w:t>名）为我方代理人。代理人根据授权，以我方名义签署、澄清确认、递交、撤回、修改</w:t>
      </w:r>
      <w:r>
        <w:rPr>
          <w:rFonts w:hint="eastAsia"/>
          <w:u w:val="single"/>
        </w:rPr>
        <w:t xml:space="preserve"> </w:t>
      </w:r>
      <w:r>
        <w:rPr>
          <w:rFonts w:hint="eastAsia"/>
          <w:u w:val="single"/>
        </w:rPr>
        <w:tab/>
      </w:r>
      <w:r>
        <w:rPr>
          <w:rFonts w:hint="eastAsia"/>
          <w:u w:val="single"/>
        </w:rPr>
        <w:tab/>
      </w:r>
      <w:r>
        <w:rPr>
          <w:rFonts w:hint="eastAsia"/>
        </w:rPr>
        <w:t>（项目名称）施工投标</w:t>
      </w:r>
      <w:r>
        <w:rPr>
          <w:rFonts w:hint="eastAsia"/>
          <w:lang w:eastAsia="zh-CN"/>
        </w:rPr>
        <w:t>响应</w:t>
      </w:r>
      <w:r>
        <w:rPr>
          <w:rFonts w:hint="eastAsia"/>
        </w:rPr>
        <w:t>文件、签订合同和处理有关事宜，其法律后果由我方承担。</w:t>
      </w:r>
    </w:p>
    <w:p>
      <w:pPr>
        <w:pStyle w:val="10"/>
        <w:spacing w:before="3" w:line="343" w:lineRule="auto"/>
        <w:ind w:left="704" w:right="2861" w:firstLine="79"/>
      </w:pPr>
      <w:r>
        <w:rPr>
          <w:rFonts w:hint="eastAsia"/>
        </w:rPr>
        <w:t>委托期限：自本委托书签署之日起至投标有效期期满。代理人无转委托权。</w:t>
      </w:r>
    </w:p>
    <w:p>
      <w:pPr>
        <w:pStyle w:val="10"/>
      </w:pPr>
    </w:p>
    <w:p>
      <w:pPr>
        <w:spacing w:before="173"/>
        <w:ind w:left="389"/>
        <w:rPr>
          <w:sz w:val="24"/>
          <w:szCs w:val="24"/>
        </w:rPr>
      </w:pPr>
      <w:r>
        <w:rPr>
          <w:rFonts w:hint="eastAsia"/>
          <w:sz w:val="24"/>
          <w:szCs w:val="24"/>
        </w:rPr>
        <w:t>附：法定代表人身份证及委托代理人身份证。</w:t>
      </w:r>
    </w:p>
    <w:p>
      <w:pPr>
        <w:pStyle w:val="10"/>
        <w:rPr>
          <w:sz w:val="20"/>
        </w:rPr>
      </w:pPr>
    </w:p>
    <w:p>
      <w:pPr>
        <w:pStyle w:val="10"/>
        <w:spacing w:before="9"/>
        <w:rPr>
          <w:sz w:val="23"/>
        </w:rPr>
      </w:pPr>
    </w:p>
    <w:p>
      <w:pPr>
        <w:pStyle w:val="10"/>
        <w:tabs>
          <w:tab w:val="left" w:pos="7114"/>
          <w:tab w:val="left" w:pos="7714"/>
          <w:tab w:val="left" w:pos="8373"/>
        </w:tabs>
        <w:spacing w:line="624" w:lineRule="auto"/>
        <w:ind w:left="3514" w:right="730"/>
      </w:pPr>
      <w:r>
        <w:rPr>
          <w:rFonts w:ascii="SCOJMQ+ËÎÌå" w:hAnsi="SCOJMQ+ËÎÌå" w:cs="SCOJMQ+ËÎÌå"/>
          <w:spacing w:val="-1"/>
        </w:rPr>
        <w:t>竞争性磋商响应人</w:t>
      </w:r>
      <w:r>
        <w:rPr>
          <w:rFonts w:hint="eastAsia"/>
        </w:rPr>
        <w:t>：</w:t>
      </w:r>
      <w:r>
        <w:rPr>
          <w:rFonts w:hint="eastAsia"/>
          <w:u w:val="single"/>
        </w:rPr>
        <w:t xml:space="preserve"> </w:t>
      </w:r>
      <w:r>
        <w:rPr>
          <w:rFonts w:hint="eastAsia"/>
          <w:u w:val="single"/>
        </w:rPr>
        <w:tab/>
      </w:r>
      <w:r>
        <w:rPr>
          <w:rFonts w:hint="eastAsia"/>
        </w:rPr>
        <w:t>（盖单位章） 法定代表人：</w:t>
      </w:r>
      <w:r>
        <w:rPr>
          <w:rFonts w:hint="eastAsia"/>
          <w:u w:val="single"/>
        </w:rPr>
        <w:t xml:space="preserve"> </w:t>
      </w:r>
      <w:r>
        <w:rPr>
          <w:rFonts w:hint="eastAsia"/>
          <w:u w:val="single"/>
        </w:rPr>
        <w:tab/>
      </w:r>
      <w:r>
        <w:rPr>
          <w:rFonts w:hint="eastAsia"/>
          <w:u w:val="single"/>
        </w:rPr>
        <w:tab/>
      </w:r>
      <w:r>
        <w:rPr>
          <w:rFonts w:hint="eastAsia"/>
        </w:rPr>
        <w:t>（签字</w:t>
      </w:r>
      <w:r>
        <w:rPr>
          <w:rFonts w:hint="eastAsia"/>
          <w:spacing w:val="-17"/>
        </w:rPr>
        <w:t xml:space="preserve">） </w:t>
      </w:r>
      <w:r>
        <w:rPr>
          <w:rFonts w:hint="eastAsia"/>
          <w:spacing w:val="-1"/>
        </w:rPr>
        <w:t>身</w:t>
      </w:r>
      <w:r>
        <w:rPr>
          <w:rFonts w:hint="eastAsia"/>
        </w:rPr>
        <w:t>份证号码：</w:t>
      </w:r>
      <w:r>
        <w:rPr>
          <w:rFonts w:hint="eastAsia"/>
          <w:u w:val="single"/>
        </w:rPr>
        <w:t xml:space="preserve"> </w:t>
      </w:r>
      <w:r>
        <w:rPr>
          <w:rFonts w:hint="eastAsia"/>
          <w:u w:val="single"/>
        </w:rPr>
        <w:tab/>
      </w:r>
      <w:r>
        <w:rPr>
          <w:rFonts w:hint="eastAsia"/>
          <w:u w:val="single"/>
        </w:rPr>
        <w:tab/>
      </w:r>
      <w:r>
        <w:rPr>
          <w:rFonts w:hint="eastAsia"/>
          <w:u w:val="single"/>
        </w:rPr>
        <w:tab/>
      </w:r>
    </w:p>
    <w:p>
      <w:pPr>
        <w:pStyle w:val="10"/>
        <w:tabs>
          <w:tab w:val="left" w:pos="7834"/>
          <w:tab w:val="left" w:pos="8493"/>
        </w:tabs>
        <w:spacing w:before="2" w:line="624" w:lineRule="auto"/>
        <w:ind w:left="3514" w:right="610"/>
      </w:pPr>
      <w:r>
        <w:rPr>
          <w:rFonts w:hint="eastAsia"/>
        </w:rPr>
        <w:t>委托代理人：</w:t>
      </w:r>
      <w:r>
        <w:rPr>
          <w:rFonts w:hint="eastAsia"/>
          <w:u w:val="single"/>
        </w:rPr>
        <w:t xml:space="preserve"> </w:t>
      </w:r>
      <w:r>
        <w:rPr>
          <w:rFonts w:hint="eastAsia"/>
          <w:u w:val="single"/>
        </w:rPr>
        <w:tab/>
      </w:r>
      <w:r>
        <w:rPr>
          <w:rFonts w:hint="eastAsia"/>
        </w:rPr>
        <w:t>（签字</w:t>
      </w:r>
      <w:r>
        <w:rPr>
          <w:rFonts w:hint="eastAsia"/>
          <w:spacing w:val="-17"/>
        </w:rPr>
        <w:t xml:space="preserve">） </w:t>
      </w:r>
      <w:r>
        <w:rPr>
          <w:rFonts w:hint="eastAsia"/>
          <w:spacing w:val="-1"/>
        </w:rPr>
        <w:t>身</w:t>
      </w:r>
      <w:r>
        <w:rPr>
          <w:rFonts w:hint="eastAsia"/>
        </w:rPr>
        <w:t>份证号码：</w:t>
      </w:r>
      <w:r>
        <w:rPr>
          <w:rFonts w:hint="eastAsia"/>
          <w:u w:val="single"/>
        </w:rPr>
        <w:t xml:space="preserve"> </w:t>
      </w:r>
      <w:r>
        <w:rPr>
          <w:rFonts w:hint="eastAsia"/>
          <w:u w:val="single"/>
        </w:rPr>
        <w:tab/>
      </w:r>
      <w:r>
        <w:rPr>
          <w:rFonts w:hint="eastAsia"/>
          <w:u w:val="single"/>
        </w:rPr>
        <w:tab/>
      </w:r>
    </w:p>
    <w:p>
      <w:pPr>
        <w:pStyle w:val="10"/>
        <w:tabs>
          <w:tab w:val="left" w:pos="5662"/>
          <w:tab w:val="left" w:pos="6982"/>
          <w:tab w:val="left" w:pos="8121"/>
        </w:tabs>
        <w:spacing w:before="2"/>
        <w:ind w:left="4822"/>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0"/>
        <w:rPr>
          <w:sz w:val="26"/>
        </w:rPr>
      </w:pPr>
    </w:p>
    <w:p>
      <w:pPr>
        <w:pStyle w:val="10"/>
        <w:spacing w:before="7"/>
        <w:rPr>
          <w:sz w:val="19"/>
        </w:rPr>
      </w:pPr>
    </w:p>
    <w:p>
      <w:pPr>
        <w:spacing w:line="372" w:lineRule="auto"/>
        <w:ind w:left="224" w:right="582" w:firstLine="400"/>
        <w:rPr>
          <w:rFonts w:hint="eastAsia"/>
          <w:w w:val="95"/>
          <w:sz w:val="20"/>
        </w:rPr>
      </w:pPr>
      <w:r>
        <w:rPr>
          <w:rFonts w:hint="eastAsia"/>
          <w:w w:val="95"/>
          <w:sz w:val="20"/>
        </w:rPr>
        <w:t>注：法定代表人和委托代理人必须在授权委托书上签名</w:t>
      </w:r>
      <w:r>
        <w:rPr>
          <w:rFonts w:hint="eastAsia"/>
          <w:sz w:val="20"/>
        </w:rPr>
        <w:t>。</w:t>
      </w:r>
      <w:r>
        <w:rPr>
          <w:rFonts w:hint="eastAsia"/>
          <w:w w:val="95"/>
          <w:sz w:val="20"/>
        </w:rPr>
        <w:t>如果由投标人的法定代表人签署投标</w:t>
      </w:r>
      <w:r>
        <w:rPr>
          <w:rFonts w:hint="eastAsia"/>
          <w:w w:val="95"/>
          <w:sz w:val="20"/>
          <w:lang w:eastAsia="zh-CN"/>
        </w:rPr>
        <w:t>响应</w:t>
      </w:r>
      <w:r>
        <w:rPr>
          <w:rFonts w:hint="eastAsia"/>
          <w:w w:val="95"/>
          <w:sz w:val="20"/>
        </w:rPr>
        <w:t>文件，则无须提交授权委托书。</w: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12"/>
        <w:rPr>
          <w:sz w:val="17"/>
        </w:rPr>
      </w:pPr>
    </w:p>
    <w:p>
      <w:pPr>
        <w:spacing w:before="88"/>
        <w:rPr>
          <w:sz w:val="18"/>
        </w:rPr>
        <w:sectPr>
          <w:footerReference r:id="rId25" w:type="default"/>
          <w:pgSz w:w="11910" w:h="16840"/>
          <w:pgMar w:top="1440" w:right="1080" w:bottom="1040" w:left="1420" w:header="882" w:footer="847" w:gutter="0"/>
          <w:cols w:space="720" w:num="1"/>
        </w:sectPr>
      </w:pPr>
    </w:p>
    <w:p>
      <w:pPr>
        <w:spacing w:before="61"/>
        <w:ind w:right="138"/>
        <w:jc w:val="center"/>
        <w:rPr>
          <w:rFonts w:hint="eastAsia"/>
          <w:sz w:val="28"/>
        </w:rPr>
      </w:pPr>
      <w:bookmarkStart w:id="92" w:name="_TOC_250011"/>
      <w:bookmarkEnd w:id="92"/>
    </w:p>
    <w:p>
      <w:pPr>
        <w:spacing w:before="61"/>
        <w:ind w:right="138"/>
        <w:jc w:val="center"/>
        <w:rPr>
          <w:sz w:val="28"/>
        </w:rPr>
      </w:pPr>
      <w:r>
        <w:rPr>
          <w:rFonts w:hint="eastAsia"/>
          <w:sz w:val="28"/>
        </w:rPr>
        <w:t>（二）法定代表人身份证明</w:t>
      </w:r>
    </w:p>
    <w:p>
      <w:pPr>
        <w:pStyle w:val="10"/>
        <w:rPr>
          <w:sz w:val="28"/>
        </w:rPr>
      </w:pPr>
    </w:p>
    <w:p>
      <w:pPr>
        <w:pStyle w:val="10"/>
        <w:spacing w:before="9"/>
        <w:rPr>
          <w:sz w:val="33"/>
        </w:rPr>
      </w:pPr>
    </w:p>
    <w:p>
      <w:pPr>
        <w:pStyle w:val="10"/>
        <w:tabs>
          <w:tab w:val="left" w:pos="5282"/>
        </w:tabs>
        <w:ind w:left="423"/>
      </w:pPr>
      <w:r>
        <w:rPr>
          <w:rFonts w:hint="eastAsia"/>
          <w:spacing w:val="-1"/>
        </w:rPr>
        <w:t>投</w:t>
      </w:r>
      <w:r>
        <w:rPr>
          <w:rFonts w:hint="eastAsia"/>
        </w:rPr>
        <w:t>标人名称：</w:t>
      </w:r>
      <w:r>
        <w:rPr>
          <w:rFonts w:hint="eastAsia"/>
          <w:u w:val="single"/>
        </w:rPr>
        <w:t xml:space="preserve"> </w:t>
      </w:r>
      <w:r>
        <w:rPr>
          <w:rFonts w:hint="eastAsia"/>
          <w:u w:val="single"/>
        </w:rPr>
        <w:tab/>
      </w:r>
    </w:p>
    <w:p>
      <w:pPr>
        <w:pStyle w:val="10"/>
        <w:tabs>
          <w:tab w:val="left" w:pos="4202"/>
          <w:tab w:val="left" w:pos="5642"/>
          <w:tab w:val="left" w:pos="7383"/>
          <w:tab w:val="left" w:pos="8959"/>
        </w:tabs>
        <w:spacing w:before="131" w:line="345" w:lineRule="auto"/>
        <w:ind w:left="423" w:right="445"/>
      </w:pPr>
      <w:r>
        <w:rPr>
          <w:rFonts w:hint="eastAsia"/>
        </w:rPr>
        <w:t>姓名：</w:t>
      </w:r>
      <w:r>
        <w:rPr>
          <w:rFonts w:hint="eastAsia"/>
          <w:spacing w:val="119"/>
          <w:u w:val="single"/>
        </w:rPr>
        <w:t xml:space="preserve"> </w:t>
      </w:r>
      <w:r>
        <w:rPr>
          <w:rFonts w:hint="eastAsia"/>
          <w:u w:val="single"/>
        </w:rPr>
        <w:t>（法定代表人亲笔签字）</w:t>
      </w:r>
      <w:r>
        <w:rPr>
          <w:rFonts w:hint="eastAsia"/>
          <w:spacing w:val="118"/>
        </w:rPr>
        <w:t xml:space="preserve"> </w:t>
      </w:r>
      <w:r>
        <w:rPr>
          <w:rFonts w:hint="eastAsia"/>
        </w:rPr>
        <w:t>性别：</w:t>
      </w:r>
      <w:r>
        <w:rPr>
          <w:rFonts w:hint="eastAsia"/>
          <w:u w:val="single"/>
        </w:rPr>
        <w:t xml:space="preserve"> </w:t>
      </w:r>
      <w:r>
        <w:rPr>
          <w:rFonts w:hint="eastAsia"/>
          <w:u w:val="single"/>
        </w:rPr>
        <w:tab/>
      </w:r>
      <w:r>
        <w:rPr>
          <w:rFonts w:hint="eastAsia"/>
        </w:rPr>
        <w:t>年龄：</w:t>
      </w:r>
      <w:r>
        <w:rPr>
          <w:rFonts w:hint="eastAsia"/>
          <w:u w:val="single"/>
        </w:rPr>
        <w:t xml:space="preserve"> </w:t>
      </w:r>
      <w:r>
        <w:rPr>
          <w:rFonts w:hint="eastAsia"/>
          <w:u w:val="single"/>
        </w:rPr>
        <w:tab/>
      </w:r>
      <w:r>
        <w:rPr>
          <w:rFonts w:hint="eastAsia"/>
          <w:spacing w:val="-1"/>
        </w:rPr>
        <w:t>职</w:t>
      </w:r>
      <w:r>
        <w:rPr>
          <w:rFonts w:hint="eastAsia"/>
        </w:rPr>
        <w:t>务：</w:t>
      </w:r>
      <w:r>
        <w:rPr>
          <w:rFonts w:hint="eastAsia"/>
          <w:u w:val="single"/>
        </w:rPr>
        <w:t xml:space="preserve"> </w:t>
      </w:r>
      <w:r>
        <w:rPr>
          <w:rFonts w:hint="eastAsia"/>
          <w:u w:val="single"/>
        </w:rPr>
        <w:tab/>
      </w:r>
      <w:r>
        <w:rPr>
          <w:rFonts w:hint="eastAsia"/>
          <w:u w:val="single"/>
        </w:rPr>
        <w:t xml:space="preserve"> </w:t>
      </w:r>
      <w:r>
        <w:rPr>
          <w:rFonts w:hint="eastAsia"/>
        </w:rPr>
        <w:t>系</w:t>
      </w:r>
      <w:r>
        <w:rPr>
          <w:rFonts w:hint="eastAsia"/>
          <w:u w:val="single"/>
        </w:rPr>
        <w:t xml:space="preserve"> </w:t>
      </w:r>
      <w:r>
        <w:rPr>
          <w:rFonts w:hint="eastAsia"/>
          <w:u w:val="single"/>
        </w:rPr>
        <w:tab/>
      </w:r>
      <w:r>
        <w:rPr>
          <w:rFonts w:hint="eastAsia"/>
        </w:rPr>
        <w:t>（投标人名称）的法定代表人。</w:t>
      </w:r>
    </w:p>
    <w:p>
      <w:pPr>
        <w:pStyle w:val="10"/>
        <w:spacing w:line="303" w:lineRule="exact"/>
        <w:ind w:left="704"/>
      </w:pPr>
      <w:r>
        <w:rPr>
          <w:rFonts w:hint="eastAsia"/>
        </w:rPr>
        <w:t>特此证明。</w:t>
      </w:r>
    </w:p>
    <w:p>
      <w:pPr>
        <w:pStyle w:val="10"/>
      </w:pPr>
    </w:p>
    <w:p>
      <w:pPr>
        <w:pStyle w:val="10"/>
        <w:spacing w:before="11"/>
        <w:rPr>
          <w:sz w:val="23"/>
        </w:rPr>
      </w:pPr>
    </w:p>
    <w:p>
      <w:pPr>
        <w:spacing w:before="1"/>
        <w:ind w:left="389"/>
        <w:rPr>
          <w:sz w:val="24"/>
          <w:szCs w:val="24"/>
        </w:rPr>
      </w:pPr>
      <w:r>
        <w:rPr>
          <w:rFonts w:hint="eastAsia"/>
          <w:sz w:val="24"/>
          <w:szCs w:val="24"/>
        </w:rPr>
        <w:t>附：法定代表人身份证。</w:t>
      </w:r>
    </w:p>
    <w:p>
      <w:pPr>
        <w:pStyle w:val="10"/>
        <w:rPr>
          <w:sz w:val="20"/>
        </w:rPr>
      </w:pPr>
    </w:p>
    <w:p>
      <w:pPr>
        <w:pStyle w:val="10"/>
        <w:rPr>
          <w:sz w:val="20"/>
        </w:rPr>
      </w:pPr>
    </w:p>
    <w:p>
      <w:pPr>
        <w:pStyle w:val="10"/>
        <w:rPr>
          <w:sz w:val="20"/>
        </w:rPr>
      </w:pPr>
    </w:p>
    <w:p>
      <w:pPr>
        <w:pStyle w:val="10"/>
        <w:spacing w:before="11"/>
        <w:rPr>
          <w:sz w:val="19"/>
        </w:rPr>
      </w:pPr>
    </w:p>
    <w:p>
      <w:pPr>
        <w:pStyle w:val="10"/>
        <w:tabs>
          <w:tab w:val="left" w:pos="6543"/>
        </w:tabs>
        <w:ind w:left="3543"/>
      </w:pPr>
      <w:r>
        <w:rPr>
          <w:rFonts w:ascii="宋体" w:hAnsi="宋体"/>
        </w:rPr>
        <w:t>竞争性磋商响应人</w:t>
      </w:r>
      <w:r>
        <w:rPr>
          <w:rFonts w:hint="eastAsia"/>
        </w:rPr>
        <w:t>：</w:t>
      </w:r>
      <w:r>
        <w:rPr>
          <w:rFonts w:hint="eastAsia"/>
          <w:u w:val="single"/>
        </w:rPr>
        <w:t xml:space="preserve"> </w:t>
      </w:r>
      <w:r>
        <w:rPr>
          <w:rFonts w:hint="eastAsia"/>
          <w:u w:val="single"/>
        </w:rPr>
        <w:tab/>
      </w:r>
      <w:r>
        <w:rPr>
          <w:rFonts w:hint="eastAsia"/>
        </w:rPr>
        <w:t>（盖单位章）</w:t>
      </w:r>
    </w:p>
    <w:p>
      <w:pPr>
        <w:pStyle w:val="10"/>
        <w:tabs>
          <w:tab w:val="left" w:pos="5823"/>
          <w:tab w:val="left" w:pos="6783"/>
          <w:tab w:val="left" w:pos="7442"/>
        </w:tabs>
        <w:spacing w:before="132"/>
        <w:ind w:left="4742"/>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0"/>
        <w:rPr>
          <w:sz w:val="26"/>
        </w:rPr>
      </w:pPr>
    </w:p>
    <w:p>
      <w:pPr>
        <w:pStyle w:val="10"/>
        <w:rPr>
          <w:sz w:val="26"/>
        </w:rPr>
      </w:pPr>
    </w:p>
    <w:p>
      <w:pPr>
        <w:pStyle w:val="10"/>
        <w:rPr>
          <w:sz w:val="26"/>
        </w:rPr>
      </w:pPr>
    </w:p>
    <w:p>
      <w:pPr>
        <w:pStyle w:val="10"/>
        <w:rPr>
          <w:sz w:val="26"/>
        </w:rPr>
      </w:pPr>
    </w:p>
    <w:p>
      <w:pPr>
        <w:pStyle w:val="10"/>
        <w:rPr>
          <w:sz w:val="26"/>
        </w:rPr>
      </w:pPr>
    </w:p>
    <w:p>
      <w:pPr>
        <w:pStyle w:val="10"/>
        <w:spacing w:before="12"/>
        <w:rPr>
          <w:sz w:val="19"/>
        </w:rPr>
      </w:pPr>
    </w:p>
    <w:p>
      <w:pPr>
        <w:rPr>
          <w:sz w:val="20"/>
        </w:rPr>
        <w:sectPr>
          <w:pgSz w:w="11910" w:h="16840"/>
          <w:pgMar w:top="1440" w:right="1080" w:bottom="1040" w:left="1420" w:header="882" w:footer="847" w:gutter="0"/>
          <w:cols w:space="720" w:num="1"/>
        </w:sectPr>
      </w:pPr>
    </w:p>
    <w:p>
      <w:pPr>
        <w:pStyle w:val="10"/>
        <w:rPr>
          <w:sz w:val="20"/>
        </w:rPr>
      </w:pPr>
    </w:p>
    <w:p>
      <w:pPr>
        <w:pStyle w:val="10"/>
        <w:spacing w:before="11"/>
        <w:rPr>
          <w:sz w:val="15"/>
        </w:rPr>
      </w:pPr>
    </w:p>
    <w:p>
      <w:pPr>
        <w:spacing w:before="61"/>
        <w:ind w:right="50"/>
        <w:jc w:val="center"/>
        <w:rPr>
          <w:sz w:val="28"/>
        </w:rPr>
      </w:pPr>
      <w:bookmarkStart w:id="93" w:name="_TOC_250010"/>
      <w:bookmarkEnd w:id="93"/>
      <w:r>
        <w:rPr>
          <w:rFonts w:hint="eastAsia"/>
          <w:sz w:val="28"/>
        </w:rPr>
        <w:t>三、投标保证金</w:t>
      </w:r>
    </w:p>
    <w:p>
      <w:pPr>
        <w:pStyle w:val="10"/>
        <w:rPr>
          <w:sz w:val="28"/>
        </w:rPr>
      </w:pPr>
    </w:p>
    <w:p>
      <w:pPr>
        <w:pStyle w:val="10"/>
        <w:rPr>
          <w:sz w:val="32"/>
        </w:rPr>
      </w:pPr>
    </w:p>
    <w:p>
      <w:pPr>
        <w:pStyle w:val="10"/>
        <w:ind w:left="732"/>
      </w:pPr>
      <w:r>
        <w:rPr>
          <w:rFonts w:hint="eastAsia"/>
        </w:rPr>
        <w:t>若采用现金或支票，投标人应在此提供汇款凭证。</w:t>
      </w:r>
    </w:p>
    <w:p>
      <w:pPr>
        <w:pStyle w:val="10"/>
        <w:spacing w:before="91"/>
        <w:ind w:left="732"/>
      </w:pPr>
      <w:r>
        <w:rPr>
          <w:rFonts w:hint="eastAsia"/>
        </w:rPr>
        <w:t>如采用银行保函，银行保函原件的扫描件应装订在投标文件中，格式如下。</w:t>
      </w:r>
    </w:p>
    <w:p>
      <w:pPr>
        <w:pStyle w:val="10"/>
        <w:rPr>
          <w:sz w:val="20"/>
        </w:rPr>
      </w:pPr>
    </w:p>
    <w:p>
      <w:pPr>
        <w:pStyle w:val="10"/>
        <w:spacing w:before="8"/>
        <w:rPr>
          <w:sz w:val="17"/>
        </w:rPr>
      </w:pPr>
    </w:p>
    <w:p>
      <w:pPr>
        <w:pStyle w:val="10"/>
        <w:tabs>
          <w:tab w:val="left" w:pos="2563"/>
        </w:tabs>
        <w:spacing w:before="74"/>
        <w:ind w:left="423"/>
      </w:pPr>
      <w:r>
        <w:rPr>
          <w:rFonts w:hint="eastAsia"/>
          <w:u w:val="single"/>
        </w:rPr>
        <w:t xml:space="preserve"> </w:t>
      </w:r>
      <w:r>
        <w:rPr>
          <w:rFonts w:hint="eastAsia"/>
          <w:u w:val="single"/>
        </w:rPr>
        <w:tab/>
      </w:r>
      <w:r>
        <w:rPr>
          <w:rFonts w:hint="eastAsia"/>
        </w:rPr>
        <w:t>（</w:t>
      </w:r>
      <w:r>
        <w:rPr>
          <w:rFonts w:hint="eastAsia"/>
          <w:lang w:eastAsia="zh-CN"/>
        </w:rPr>
        <w:t>采购</w:t>
      </w:r>
      <w:r>
        <w:rPr>
          <w:rFonts w:hint="eastAsia"/>
        </w:rPr>
        <w:t>人名称）：</w:t>
      </w:r>
    </w:p>
    <w:p>
      <w:pPr>
        <w:pStyle w:val="10"/>
        <w:rPr>
          <w:sz w:val="26"/>
        </w:rPr>
      </w:pPr>
    </w:p>
    <w:p>
      <w:pPr>
        <w:pStyle w:val="10"/>
        <w:spacing w:before="7"/>
        <w:rPr>
          <w:sz w:val="18"/>
        </w:rPr>
      </w:pPr>
    </w:p>
    <w:p>
      <w:pPr>
        <w:pStyle w:val="10"/>
        <w:tabs>
          <w:tab w:val="left" w:pos="1663"/>
          <w:tab w:val="left" w:pos="2729"/>
          <w:tab w:val="left" w:pos="3823"/>
          <w:tab w:val="left" w:pos="4543"/>
          <w:tab w:val="left" w:pos="6703"/>
          <w:tab w:val="left" w:pos="7219"/>
          <w:tab w:val="left" w:pos="7819"/>
          <w:tab w:val="left" w:pos="8419"/>
        </w:tabs>
        <w:spacing w:line="343" w:lineRule="auto"/>
        <w:ind w:left="224" w:right="386" w:firstLine="480"/>
      </w:pPr>
      <w:r>
        <w:rPr>
          <w:rFonts w:hint="eastAsia"/>
        </w:rPr>
        <w:t>鉴于</w:t>
      </w:r>
      <w:r>
        <w:rPr>
          <w:rFonts w:hint="eastAsia"/>
          <w:u w:val="single"/>
        </w:rPr>
        <w:t xml:space="preserve"> </w:t>
      </w:r>
      <w:r>
        <w:rPr>
          <w:rFonts w:hint="eastAsia"/>
          <w:u w:val="single"/>
        </w:rPr>
        <w:tab/>
      </w:r>
      <w:r>
        <w:rPr>
          <w:rFonts w:hint="eastAsia"/>
          <w:u w:val="single"/>
        </w:rPr>
        <w:tab/>
      </w:r>
      <w:r>
        <w:rPr>
          <w:rFonts w:hint="eastAsia"/>
        </w:rPr>
        <w:t>（投标人名称</w:t>
      </w:r>
      <w:r>
        <w:rPr>
          <w:rFonts w:hint="eastAsia"/>
          <w:spacing w:val="-15"/>
        </w:rPr>
        <w:t>）（</w:t>
      </w:r>
      <w:r>
        <w:rPr>
          <w:rFonts w:hint="eastAsia"/>
        </w:rPr>
        <w:t>以下称“投标人</w:t>
      </w:r>
      <w:r>
        <w:rPr>
          <w:rFonts w:hint="eastAsia"/>
          <w:spacing w:val="-7"/>
        </w:rPr>
        <w:t>”）</w:t>
      </w:r>
      <w:r>
        <w:rPr>
          <w:rFonts w:hint="eastAsia"/>
        </w:rPr>
        <w:t>于</w:t>
      </w: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日参加</w:t>
      </w:r>
      <w:r>
        <w:rPr>
          <w:rFonts w:hint="eastAsia"/>
          <w:u w:val="single"/>
        </w:rPr>
        <w:t xml:space="preserve"> </w:t>
      </w:r>
      <w:r>
        <w:rPr>
          <w:rFonts w:hint="eastAsia"/>
          <w:u w:val="single"/>
        </w:rPr>
        <w:tab/>
      </w:r>
      <w:r>
        <w:rPr>
          <w:rFonts w:hint="eastAsia"/>
        </w:rPr>
        <w:t>（项目名称）施工的投标，</w:t>
      </w:r>
      <w:r>
        <w:rPr>
          <w:rFonts w:hint="eastAsia"/>
          <w:u w:val="single"/>
        </w:rPr>
        <w:t xml:space="preserve"> </w:t>
      </w:r>
      <w:r>
        <w:rPr>
          <w:rFonts w:hint="eastAsia"/>
          <w:u w:val="single"/>
        </w:rPr>
        <w:tab/>
      </w:r>
      <w:r>
        <w:rPr>
          <w:rFonts w:hint="eastAsia"/>
        </w:rPr>
        <w:t>（担保人名称，以下简称“我方</w:t>
      </w:r>
      <w:r>
        <w:rPr>
          <w:rFonts w:hint="eastAsia"/>
          <w:spacing w:val="-11"/>
        </w:rPr>
        <w:t>”）</w:t>
      </w:r>
      <w:r>
        <w:rPr>
          <w:rFonts w:hint="eastAsia"/>
        </w:rPr>
        <w:t>无条件地</w:t>
      </w:r>
      <w:r>
        <w:rPr>
          <w:rFonts w:hint="eastAsia"/>
          <w:spacing w:val="-20"/>
        </w:rPr>
        <w:t>、</w:t>
      </w:r>
      <w:r>
        <w:rPr>
          <w:rFonts w:hint="eastAsia"/>
        </w:rPr>
        <w:t>不可撤销地保证</w:t>
      </w:r>
      <w:r>
        <w:rPr>
          <w:rFonts w:hint="eastAsia"/>
          <w:spacing w:val="-17"/>
        </w:rPr>
        <w:t>：</w:t>
      </w:r>
      <w:r>
        <w:rPr>
          <w:rFonts w:hint="eastAsia"/>
        </w:rPr>
        <w:t>若投标人在投标有效期内撤销投标</w:t>
      </w:r>
      <w:r>
        <w:rPr>
          <w:rFonts w:hint="eastAsia"/>
          <w:lang w:eastAsia="zh-CN"/>
        </w:rPr>
        <w:t>响应</w:t>
      </w:r>
      <w:r>
        <w:rPr>
          <w:rFonts w:hint="eastAsia"/>
        </w:rPr>
        <w:t>文件</w:t>
      </w:r>
      <w:r>
        <w:rPr>
          <w:rFonts w:hint="eastAsia"/>
          <w:spacing w:val="-18"/>
        </w:rPr>
        <w:t>，</w:t>
      </w:r>
      <w:r>
        <w:rPr>
          <w:rFonts w:hint="eastAsia"/>
        </w:rPr>
        <w:t>中标后无正当理由不与</w:t>
      </w:r>
      <w:r>
        <w:rPr>
          <w:rFonts w:hint="eastAsia"/>
          <w:lang w:eastAsia="zh-CN"/>
        </w:rPr>
        <w:t>采购</w:t>
      </w:r>
      <w:r>
        <w:rPr>
          <w:rFonts w:hint="eastAsia"/>
        </w:rPr>
        <w:t>人订立合同，在签订合同时向</w:t>
      </w:r>
      <w:r>
        <w:rPr>
          <w:rFonts w:hint="eastAsia"/>
          <w:lang w:eastAsia="zh-CN"/>
        </w:rPr>
        <w:t>采购</w:t>
      </w:r>
      <w:r>
        <w:rPr>
          <w:rFonts w:hint="eastAsia"/>
        </w:rPr>
        <w:t>人提出附加条件，不按照</w:t>
      </w:r>
      <w:r>
        <w:rPr>
          <w:rFonts w:hint="eastAsia"/>
          <w:lang w:eastAsia="zh-CN"/>
        </w:rPr>
        <w:t>磋商</w:t>
      </w:r>
      <w:r>
        <w:rPr>
          <w:rFonts w:hint="eastAsia"/>
        </w:rPr>
        <w:t>文件要求提交履约保证金，或发生</w:t>
      </w:r>
      <w:r>
        <w:rPr>
          <w:rFonts w:hint="eastAsia"/>
          <w:lang w:eastAsia="zh-CN"/>
        </w:rPr>
        <w:t>磋商</w:t>
      </w:r>
      <w:r>
        <w:rPr>
          <w:rFonts w:hint="eastAsia"/>
        </w:rPr>
        <w:t>文件明确规定可以不予退还投标保证金的其他情形，我方承担保证责任。收到你方书面通知后，我方在</w:t>
      </w:r>
      <w:r>
        <w:rPr>
          <w:rFonts w:hint="eastAsia"/>
          <w:spacing w:val="-60"/>
        </w:rPr>
        <w:t xml:space="preserve"> </w:t>
      </w:r>
      <w:r>
        <w:rPr>
          <w:rFonts w:hint="eastAsia"/>
        </w:rPr>
        <w:t>7 日内向你方无条件支付人民币（大写）</w:t>
      </w:r>
      <w:r>
        <w:rPr>
          <w:rFonts w:hint="eastAsia"/>
          <w:u w:val="single"/>
        </w:rPr>
        <w:t xml:space="preserve"> </w:t>
      </w:r>
      <w:r>
        <w:rPr>
          <w:rFonts w:hint="eastAsia"/>
          <w:u w:val="single"/>
        </w:rPr>
        <w:tab/>
      </w:r>
      <w:r>
        <w:rPr>
          <w:rFonts w:hint="eastAsia"/>
          <w:u w:val="single"/>
        </w:rPr>
        <w:tab/>
      </w:r>
      <w:r>
        <w:rPr>
          <w:rFonts w:hint="eastAsia"/>
        </w:rPr>
        <w:t>元。</w:t>
      </w:r>
    </w:p>
    <w:p>
      <w:pPr>
        <w:pStyle w:val="10"/>
        <w:spacing w:before="4" w:line="343" w:lineRule="auto"/>
        <w:ind w:left="224" w:right="542" w:firstLine="480"/>
      </w:pPr>
      <w:r>
        <w:rPr>
          <w:rFonts w:hint="eastAsia"/>
        </w:rPr>
        <w:t>本保函在投标有效期或经延长的投标有效期内保持有效。要求我方承担保证责任的通知应在上述期限内送达我方。你方延长投标有效期的决定，应通知我方。</w:t>
      </w:r>
    </w:p>
    <w:p>
      <w:pPr>
        <w:pStyle w:val="10"/>
      </w:pPr>
    </w:p>
    <w:p>
      <w:pPr>
        <w:pStyle w:val="10"/>
      </w:pPr>
    </w:p>
    <w:p>
      <w:pPr>
        <w:pStyle w:val="10"/>
      </w:pPr>
    </w:p>
    <w:p>
      <w:pPr>
        <w:pStyle w:val="10"/>
      </w:pPr>
    </w:p>
    <w:p>
      <w:pPr>
        <w:pStyle w:val="10"/>
      </w:pPr>
    </w:p>
    <w:p>
      <w:pPr>
        <w:pStyle w:val="10"/>
        <w:spacing w:before="5"/>
        <w:rPr>
          <w:sz w:val="17"/>
        </w:rPr>
      </w:pPr>
    </w:p>
    <w:p>
      <w:pPr>
        <w:pStyle w:val="10"/>
        <w:tabs>
          <w:tab w:val="left" w:pos="7243"/>
          <w:tab w:val="left" w:pos="7723"/>
          <w:tab w:val="left" w:pos="8263"/>
        </w:tabs>
        <w:spacing w:line="343" w:lineRule="auto"/>
        <w:ind w:left="2203" w:right="722"/>
        <w:jc w:val="both"/>
      </w:pPr>
      <w:r>
        <w:rPr>
          <w:rFonts w:hint="eastAsia"/>
        </w:rPr>
        <w:t>担保人名称：</w:t>
      </w:r>
      <w:r>
        <w:rPr>
          <w:rFonts w:hint="eastAsia"/>
          <w:u w:val="single"/>
        </w:rPr>
        <w:t xml:space="preserve"> </w:t>
      </w:r>
      <w:r>
        <w:rPr>
          <w:rFonts w:hint="eastAsia"/>
          <w:u w:val="single"/>
        </w:rPr>
        <w:tab/>
      </w:r>
      <w:r>
        <w:rPr>
          <w:rFonts w:hint="eastAsia"/>
        </w:rPr>
        <w:t>（盖单位章</w:t>
      </w:r>
      <w:r>
        <w:rPr>
          <w:rFonts w:hint="eastAsia"/>
          <w:spacing w:val="-18"/>
        </w:rPr>
        <w:t xml:space="preserve">） </w:t>
      </w:r>
      <w:r>
        <w:rPr>
          <w:rFonts w:hint="eastAsia"/>
        </w:rPr>
        <w:t>法定代表人或其委托代理人：</w:t>
      </w:r>
      <w:r>
        <w:rPr>
          <w:rFonts w:hint="eastAsia"/>
          <w:u w:val="single"/>
        </w:rPr>
        <w:t xml:space="preserve"> </w:t>
      </w:r>
      <w:r>
        <w:rPr>
          <w:rFonts w:hint="eastAsia"/>
          <w:u w:val="single"/>
        </w:rPr>
        <w:tab/>
      </w:r>
      <w:r>
        <w:rPr>
          <w:rFonts w:hint="eastAsia"/>
          <w:u w:val="single"/>
        </w:rPr>
        <w:tab/>
      </w:r>
      <w:r>
        <w:rPr>
          <w:rFonts w:hint="eastAsia"/>
        </w:rPr>
        <w:t>（签字</w:t>
      </w:r>
      <w:r>
        <w:rPr>
          <w:rFonts w:hint="eastAsia"/>
          <w:spacing w:val="-18"/>
        </w:rPr>
        <w:t xml:space="preserve">） </w:t>
      </w:r>
      <w:r>
        <w:rPr>
          <w:rFonts w:hint="eastAsia"/>
        </w:rPr>
        <w:t>地   址 ：</w:t>
      </w:r>
      <w:r>
        <w:rPr>
          <w:rFonts w:hint="eastAsia"/>
          <w:u w:val="single"/>
        </w:rPr>
        <w:t xml:space="preserve"> </w:t>
      </w:r>
      <w:r>
        <w:rPr>
          <w:rFonts w:hint="eastAsia"/>
          <w:u w:val="single"/>
        </w:rPr>
        <w:tab/>
      </w:r>
      <w:r>
        <w:rPr>
          <w:rFonts w:hint="eastAsia"/>
          <w:u w:val="single"/>
        </w:rPr>
        <w:tab/>
      </w:r>
      <w:r>
        <w:rPr>
          <w:rFonts w:hint="eastAsia"/>
          <w:u w:val="single"/>
        </w:rPr>
        <w:tab/>
      </w:r>
    </w:p>
    <w:p>
      <w:pPr>
        <w:pStyle w:val="10"/>
        <w:tabs>
          <w:tab w:val="left" w:pos="8263"/>
        </w:tabs>
        <w:spacing w:before="1" w:line="343" w:lineRule="auto"/>
        <w:ind w:left="2203" w:right="1141"/>
        <w:jc w:val="both"/>
      </w:pPr>
      <w:r>
        <w:rPr>
          <w:rFonts w:hint="eastAsia"/>
        </w:rPr>
        <w:t>邮政编码：</w:t>
      </w:r>
      <w:r>
        <w:rPr>
          <w:rFonts w:hint="eastAsia"/>
          <w:u w:val="single"/>
        </w:rPr>
        <w:t xml:space="preserve"> </w:t>
      </w:r>
      <w:r>
        <w:rPr>
          <w:rFonts w:hint="eastAsia"/>
          <w:u w:val="single"/>
        </w:rPr>
        <w:tab/>
      </w:r>
      <w:r>
        <w:rPr>
          <w:rFonts w:hint="eastAsia"/>
          <w:u w:val="single"/>
        </w:rPr>
        <w:t xml:space="preserve"> </w:t>
      </w:r>
      <w:r>
        <w:rPr>
          <w:rFonts w:hint="eastAsia"/>
        </w:rPr>
        <w:t>电    话：</w:t>
      </w:r>
      <w:r>
        <w:rPr>
          <w:rFonts w:hint="eastAsia"/>
          <w:u w:val="single"/>
        </w:rPr>
        <w:t xml:space="preserve"> </w:t>
      </w:r>
      <w:r>
        <w:rPr>
          <w:rFonts w:hint="eastAsia"/>
          <w:u w:val="single"/>
        </w:rPr>
        <w:tab/>
      </w:r>
      <w:r>
        <w:rPr>
          <w:rFonts w:hint="eastAsia"/>
          <w:u w:val="single"/>
        </w:rPr>
        <w:t xml:space="preserve"> </w:t>
      </w:r>
      <w:r>
        <w:rPr>
          <w:rFonts w:hint="eastAsia"/>
        </w:rPr>
        <w:t>传   真 ：</w:t>
      </w:r>
      <w:r>
        <w:rPr>
          <w:rFonts w:hint="eastAsia"/>
          <w:u w:val="single"/>
        </w:rPr>
        <w:t xml:space="preserve"> </w:t>
      </w:r>
      <w:r>
        <w:rPr>
          <w:rFonts w:hint="eastAsia"/>
          <w:u w:val="single"/>
        </w:rPr>
        <w:tab/>
      </w:r>
    </w:p>
    <w:p>
      <w:pPr>
        <w:pStyle w:val="10"/>
        <w:tabs>
          <w:tab w:val="left" w:pos="6223"/>
          <w:tab w:val="left" w:pos="7183"/>
          <w:tab w:val="left" w:pos="8143"/>
        </w:tabs>
        <w:spacing w:before="1"/>
        <w:ind w:left="5264"/>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sectPr>
          <w:pgSz w:w="11910" w:h="16840"/>
          <w:pgMar w:top="1440" w:right="1080" w:bottom="1040" w:left="1420" w:header="882" w:footer="847" w:gutter="0"/>
          <w:cols w:space="720" w:num="1"/>
        </w:sectPr>
      </w:pPr>
    </w:p>
    <w:p>
      <w:pPr>
        <w:pStyle w:val="10"/>
        <w:rPr>
          <w:sz w:val="20"/>
        </w:rPr>
      </w:pPr>
    </w:p>
    <w:p>
      <w:pPr>
        <w:pStyle w:val="10"/>
        <w:spacing w:before="11"/>
        <w:rPr>
          <w:sz w:val="15"/>
        </w:rPr>
      </w:pPr>
    </w:p>
    <w:p>
      <w:pPr>
        <w:spacing w:before="61"/>
        <w:ind w:left="2" w:right="50"/>
        <w:jc w:val="center"/>
        <w:rPr>
          <w:sz w:val="28"/>
        </w:rPr>
      </w:pPr>
      <w:bookmarkStart w:id="94" w:name="_TOC_250009"/>
      <w:bookmarkEnd w:id="94"/>
      <w:r>
        <w:rPr>
          <w:rFonts w:hint="eastAsia"/>
          <w:sz w:val="28"/>
        </w:rPr>
        <w:t>四、施工组织设计</w:t>
      </w:r>
    </w:p>
    <w:p>
      <w:pPr>
        <w:pStyle w:val="10"/>
        <w:rPr>
          <w:sz w:val="20"/>
        </w:rPr>
      </w:pPr>
    </w:p>
    <w:p>
      <w:pPr>
        <w:pStyle w:val="10"/>
        <w:spacing w:before="2"/>
        <w:rPr>
          <w:sz w:val="23"/>
        </w:rPr>
      </w:pP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 投标人应按以下要点编制施工组织设计（文字宜精炼、内容具有针对性）：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（1）总体施工组织布置及规划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（2）主要工程项目的施工方案、方法与技术措施（尤其对重点、关键和难点工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程的施工方案、方法及措施）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（3）工期保证体系及保证措施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（4）工程质量管理体系及保证措施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（5）安全生产管理体系及保证措施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（6）环境保护、水土保持保证体系及保证措施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（7）文明施工、文物保护保证体系及保证措施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（8）项目风险预测与防范，事故应急预案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（9）其他应说明的事项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 施工组织设计除采用文字表述外可附下列图表，图表及格式要求附后。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附表一 施工总体计划表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附表二 施工总平面图</w:t>
      </w:r>
    </w:p>
    <w:p>
      <w:pPr>
        <w:pStyle w:val="10"/>
        <w:rPr>
          <w:sz w:val="20"/>
        </w:rPr>
      </w:pPr>
    </w:p>
    <w:p>
      <w:pPr>
        <w:pStyle w:val="10"/>
        <w:rPr>
          <w:sz w:val="26"/>
        </w:rPr>
      </w:pPr>
      <w:bookmarkStart w:id="95" w:name="附表一_施工总体计划表"/>
      <w:bookmarkEnd w:id="95"/>
    </w:p>
    <w:p>
      <w:pPr>
        <w:pStyle w:val="11"/>
        <w:rPr>
          <w:sz w:val="26"/>
        </w:rPr>
      </w:pPr>
    </w:p>
    <w:p>
      <w:pPr>
        <w:rPr>
          <w:sz w:val="26"/>
        </w:rPr>
      </w:pPr>
    </w:p>
    <w:p>
      <w:pPr>
        <w:pStyle w:val="17"/>
        <w:rPr>
          <w:sz w:val="26"/>
        </w:rPr>
      </w:pPr>
    </w:p>
    <w:p>
      <w:pPr>
        <w:pStyle w:val="17"/>
        <w:rPr>
          <w:sz w:val="26"/>
        </w:rPr>
      </w:pPr>
    </w:p>
    <w:p>
      <w:pPr>
        <w:pStyle w:val="17"/>
        <w:rPr>
          <w:sz w:val="26"/>
        </w:rPr>
      </w:pPr>
    </w:p>
    <w:p>
      <w:pPr>
        <w:pStyle w:val="17"/>
        <w:rPr>
          <w:sz w:val="26"/>
        </w:rPr>
      </w:pPr>
    </w:p>
    <w:p>
      <w:pPr>
        <w:pStyle w:val="17"/>
        <w:rPr>
          <w:sz w:val="26"/>
        </w:rPr>
      </w:pPr>
    </w:p>
    <w:p>
      <w:pPr>
        <w:pStyle w:val="17"/>
        <w:rPr>
          <w:sz w:val="26"/>
        </w:rPr>
      </w:pPr>
    </w:p>
    <w:p>
      <w:pPr>
        <w:pStyle w:val="17"/>
        <w:rPr>
          <w:sz w:val="26"/>
        </w:rPr>
      </w:pPr>
    </w:p>
    <w:p>
      <w:pPr>
        <w:pStyle w:val="17"/>
        <w:rPr>
          <w:sz w:val="26"/>
        </w:rPr>
      </w:pPr>
    </w:p>
    <w:p>
      <w:pPr>
        <w:spacing w:before="62"/>
        <w:ind w:left="35" w:right="199"/>
        <w:jc w:val="center"/>
        <w:rPr>
          <w:sz w:val="28"/>
        </w:rPr>
      </w:pPr>
      <w:r>
        <mc:AlternateContent>
          <mc:Choice Requires="wps">
            <w:drawing>
              <wp:anchor distT="0" distB="0" distL="114300" distR="114300" simplePos="0" relativeHeight="251672576" behindDoc="1" locked="0" layoutInCell="1" allowOverlap="1">
                <wp:simplePos x="0" y="0"/>
                <wp:positionH relativeFrom="page">
                  <wp:posOffset>1137920</wp:posOffset>
                </wp:positionH>
                <wp:positionV relativeFrom="paragraph">
                  <wp:posOffset>474345</wp:posOffset>
                </wp:positionV>
                <wp:extent cx="5549265" cy="7501255"/>
                <wp:effectExtent l="0" t="0" r="13335" b="272415"/>
                <wp:wrapNone/>
                <wp:docPr id="3" name="自选图形 105"/>
                <wp:cNvGraphicFramePr/>
                <a:graphic xmlns:a="http://schemas.openxmlformats.org/drawingml/2006/main">
                  <a:graphicData uri="http://schemas.microsoft.com/office/word/2010/wordprocessingShape">
                    <wps:wsp>
                      <wps:cNvSpPr/>
                      <wps:spPr>
                        <a:xfrm>
                          <a:off x="0" y="0"/>
                          <a:ext cx="5549265" cy="7501255"/>
                        </a:xfrm>
                        <a:custGeom>
                          <a:avLst/>
                          <a:gdLst/>
                          <a:ahLst/>
                          <a:cxnLst/>
                          <a:pathLst>
                            <a:path w="8739" h="11813">
                              <a:moveTo>
                                <a:pt x="0" y="417"/>
                              </a:moveTo>
                              <a:lnTo>
                                <a:pt x="8738" y="417"/>
                              </a:lnTo>
                              <a:moveTo>
                                <a:pt x="0" y="9102"/>
                              </a:moveTo>
                              <a:lnTo>
                                <a:pt x="8738" y="9102"/>
                              </a:lnTo>
                              <a:moveTo>
                                <a:pt x="0" y="12222"/>
                              </a:moveTo>
                              <a:lnTo>
                                <a:pt x="8738" y="12222"/>
                              </a:lnTo>
                              <a:moveTo>
                                <a:pt x="7" y="410"/>
                              </a:moveTo>
                              <a:lnTo>
                                <a:pt x="7" y="12215"/>
                              </a:lnTo>
                              <a:moveTo>
                                <a:pt x="8731" y="410"/>
                              </a:moveTo>
                              <a:lnTo>
                                <a:pt x="8731" y="12215"/>
                              </a:lnTo>
                            </a:path>
                          </a:pathLst>
                        </a:custGeom>
                        <a:noFill/>
                        <a:ln w="9144" cap="flat" cmpd="sng">
                          <a:solidFill>
                            <a:srgbClr val="000000"/>
                          </a:solidFill>
                          <a:prstDash val="solid"/>
                          <a:round/>
                          <a:headEnd type="none" w="med" len="med"/>
                          <a:tailEnd type="none" w="med" len="med"/>
                        </a:ln>
                      </wps:spPr>
                      <wps:txbx>
                        <w:txbxContent>
                          <w:p/>
                        </w:txbxContent>
                      </wps:txbx>
                      <wps:bodyPr upright="1"/>
                    </wps:wsp>
                  </a:graphicData>
                </a:graphic>
              </wp:anchor>
            </w:drawing>
          </mc:Choice>
          <mc:Fallback>
            <w:pict>
              <v:shape id="自选图形 105" o:spid="_x0000_s1026" o:spt="100" style="position:absolute;left:0pt;margin-left:89.6pt;margin-top:37.35pt;height:590.65pt;width:436.95pt;mso-position-horizontal-relative:page;z-index:-251643904;mso-width-relative:page;mso-height-relative:page;" filled="f" stroked="t" coordsize="8739,11813" o:gfxdata="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3vvWg2wAAAAwBAAAPAAAAAAAAAAEA&#10;IAAAACIAAABkcnMvZG93bnJldi54bWxQSwECFAAUAAAACACHTuJAwZsTlH4CAAAABgAADgAAAAAA&#10;AAABACAAAAAqAQAAZHJzL2Uyb0RvYy54bWxQSwUGAAAAAAYABgBZAQAAGgYAAAAA&#10;" path="m0,417l8738,417m0,9102l8738,9102m0,12222l8738,12222m7,410l7,12215m8731,410l8731,12215e">
                <v:path textboxrect="0,0,8739,11813"/>
                <v:fill on="f" focussize="0,0"/>
                <v:stroke weight="0.72pt" color="#000000" joinstyle="round"/>
                <v:imagedata o:title=""/>
                <o:lock v:ext="edit" aspectratio="f"/>
                <v:textbox>
                  <w:txbxContent>
                    <w:p/>
                  </w:txbxContent>
                </v:textbox>
              </v:shape>
            </w:pict>
          </mc:Fallback>
        </mc:AlternateContent>
      </w:r>
      <w:bookmarkStart w:id="96" w:name="_TOC_250008"/>
      <w:bookmarkEnd w:id="96"/>
      <w:r>
        <w:rPr>
          <w:rFonts w:hint="eastAsia"/>
          <w:sz w:val="28"/>
        </w:rPr>
        <w:t>五、项目管理机构</w:t>
      </w:r>
    </w:p>
    <w:p>
      <w:pPr>
        <w:pStyle w:val="10"/>
        <w:rPr>
          <w:sz w:val="28"/>
        </w:rPr>
      </w:pPr>
    </w:p>
    <w:p>
      <w:pPr>
        <w:pStyle w:val="10"/>
        <w:rPr>
          <w:sz w:val="28"/>
        </w:rPr>
      </w:pPr>
    </w:p>
    <w:p>
      <w:pPr>
        <w:pStyle w:val="10"/>
        <w:rPr>
          <w:sz w:val="28"/>
        </w:rPr>
      </w:pPr>
    </w:p>
    <w:p>
      <w:pPr>
        <w:pStyle w:val="10"/>
        <w:spacing w:before="11"/>
        <w:rPr>
          <w:sz w:val="35"/>
        </w:rPr>
      </w:pPr>
    </w:p>
    <w:p>
      <w:pPr>
        <w:ind w:left="1020"/>
        <w:rPr>
          <w:sz w:val="20"/>
        </w:rPr>
      </w:pPr>
      <w:r>
        <w:rPr>
          <w:rFonts w:hint="eastAsia"/>
          <w:sz w:val="20"/>
        </w:rPr>
        <w:t>拟为承包本标段工程设立的组织机构以框图方式表示。</w: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3"/>
        <w:rPr>
          <w:sz w:val="17"/>
        </w:rPr>
      </w:pPr>
    </w:p>
    <w:p>
      <w:pPr>
        <w:ind w:left="1020"/>
        <w:rPr>
          <w:sz w:val="20"/>
        </w:rPr>
      </w:pPr>
      <w:r>
        <w:rPr>
          <w:rFonts w:hint="eastAsia"/>
          <w:sz w:val="20"/>
        </w:rPr>
        <w:t>说明</w:t>
      </w:r>
    </w:p>
    <w:p>
      <w:pPr>
        <w:rPr>
          <w:sz w:val="20"/>
        </w:rPr>
        <w:sectPr>
          <w:headerReference r:id="rId26" w:type="default"/>
          <w:footerReference r:id="rId27" w:type="default"/>
          <w:pgSz w:w="11910" w:h="16840"/>
          <w:pgMar w:top="1220" w:right="920" w:bottom="1180" w:left="1320" w:header="882" w:footer="989" w:gutter="0"/>
          <w:cols w:space="720" w:num="1"/>
        </w:sectPr>
      </w:pPr>
    </w:p>
    <w:p>
      <w:pPr>
        <w:pStyle w:val="10"/>
        <w:rPr>
          <w:sz w:val="26"/>
        </w:rPr>
      </w:pPr>
    </w:p>
    <w:p>
      <w:pPr>
        <w:spacing w:before="62"/>
        <w:ind w:left="32" w:right="199"/>
        <w:jc w:val="center"/>
        <w:rPr>
          <w:sz w:val="28"/>
        </w:rPr>
      </w:pPr>
      <w:bookmarkStart w:id="97" w:name="_TOC_250007"/>
      <w:bookmarkEnd w:id="97"/>
      <w:r>
        <w:rPr>
          <w:rFonts w:hint="eastAsia"/>
          <w:sz w:val="28"/>
        </w:rPr>
        <w:t>六、拟分包项目情况表</w:t>
      </w:r>
    </w:p>
    <w:p>
      <w:pPr>
        <w:pStyle w:val="10"/>
        <w:rPr>
          <w:sz w:val="20"/>
        </w:rPr>
      </w:pPr>
    </w:p>
    <w:p>
      <w:pPr>
        <w:pStyle w:val="10"/>
        <w:spacing w:before="2"/>
        <w:rPr>
          <w:sz w:val="14"/>
        </w:rPr>
      </w:pPr>
    </w:p>
    <w:tbl>
      <w:tblPr>
        <w:tblStyle w:val="18"/>
        <w:tblW w:w="9174" w:type="dxa"/>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3"/>
        <w:gridCol w:w="2534"/>
        <w:gridCol w:w="1923"/>
        <w:gridCol w:w="2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53" w:type="dxa"/>
          </w:tcPr>
          <w:p>
            <w:pPr>
              <w:pStyle w:val="21"/>
              <w:spacing w:before="152"/>
              <w:ind w:left="309"/>
              <w:rPr>
                <w:sz w:val="20"/>
              </w:rPr>
            </w:pPr>
            <w:r>
              <w:rPr>
                <w:rFonts w:hint="eastAsia"/>
                <w:sz w:val="20"/>
              </w:rPr>
              <w:t>拟分包的工程项目</w:t>
            </w:r>
          </w:p>
        </w:tc>
        <w:tc>
          <w:tcPr>
            <w:tcW w:w="2534" w:type="dxa"/>
          </w:tcPr>
          <w:p>
            <w:pPr>
              <w:pStyle w:val="21"/>
              <w:spacing w:before="152"/>
              <w:ind w:left="749"/>
              <w:rPr>
                <w:sz w:val="20"/>
              </w:rPr>
            </w:pPr>
            <w:r>
              <w:rPr>
                <w:rFonts w:hint="eastAsia"/>
                <w:sz w:val="20"/>
              </w:rPr>
              <w:t>主要工程内容</w:t>
            </w:r>
          </w:p>
        </w:tc>
        <w:tc>
          <w:tcPr>
            <w:tcW w:w="1923" w:type="dxa"/>
          </w:tcPr>
          <w:p>
            <w:pPr>
              <w:pStyle w:val="21"/>
              <w:spacing w:before="152"/>
              <w:ind w:left="272"/>
              <w:rPr>
                <w:sz w:val="20"/>
              </w:rPr>
            </w:pPr>
            <w:r>
              <w:rPr>
                <w:rFonts w:hint="eastAsia"/>
                <w:sz w:val="20"/>
              </w:rPr>
              <w:t>预计造价（万元）</w:t>
            </w:r>
          </w:p>
        </w:tc>
        <w:tc>
          <w:tcPr>
            <w:tcW w:w="2664" w:type="dxa"/>
          </w:tcPr>
          <w:p>
            <w:pPr>
              <w:pStyle w:val="21"/>
              <w:spacing w:before="152"/>
              <w:ind w:left="1144" w:right="970"/>
              <w:jc w:val="center"/>
              <w:rPr>
                <w:sz w:val="20"/>
              </w:rPr>
            </w:pPr>
            <w:r>
              <w:rPr>
                <w:rFonts w:hint="eastAsia"/>
                <w:sz w:val="20"/>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53" w:type="dxa"/>
          </w:tcPr>
          <w:p>
            <w:pPr>
              <w:pStyle w:val="21"/>
              <w:rPr>
                <w:sz w:val="20"/>
              </w:rPr>
            </w:pPr>
          </w:p>
        </w:tc>
        <w:tc>
          <w:tcPr>
            <w:tcW w:w="2534" w:type="dxa"/>
          </w:tcPr>
          <w:p>
            <w:pPr>
              <w:pStyle w:val="21"/>
              <w:rPr>
                <w:sz w:val="20"/>
              </w:rPr>
            </w:pPr>
          </w:p>
        </w:tc>
        <w:tc>
          <w:tcPr>
            <w:tcW w:w="1923" w:type="dxa"/>
          </w:tcPr>
          <w:p>
            <w:pPr>
              <w:pStyle w:val="21"/>
              <w:rPr>
                <w:sz w:val="20"/>
              </w:rPr>
            </w:pPr>
          </w:p>
        </w:tc>
        <w:tc>
          <w:tcPr>
            <w:tcW w:w="2664" w:type="dxa"/>
            <w:vMerge w:val="restart"/>
          </w:tcPr>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spacing w:before="195" w:line="410" w:lineRule="auto"/>
              <w:ind w:left="106" w:right="179" w:firstLine="168"/>
              <w:rPr>
                <w:sz w:val="20"/>
              </w:rPr>
            </w:pPr>
            <w:r>
              <w:rPr>
                <w:rFonts w:hint="eastAsia"/>
                <w:sz w:val="20"/>
              </w:rPr>
              <w:t>注：若无分包计划，则投标人应在本表填写“无”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053" w:type="dxa"/>
          </w:tcPr>
          <w:p>
            <w:pPr>
              <w:pStyle w:val="21"/>
              <w:rPr>
                <w:sz w:val="20"/>
              </w:rPr>
            </w:pPr>
          </w:p>
        </w:tc>
        <w:tc>
          <w:tcPr>
            <w:tcW w:w="2534" w:type="dxa"/>
          </w:tcPr>
          <w:p>
            <w:pPr>
              <w:pStyle w:val="21"/>
              <w:rPr>
                <w:sz w:val="20"/>
              </w:rPr>
            </w:pPr>
          </w:p>
        </w:tc>
        <w:tc>
          <w:tcPr>
            <w:tcW w:w="1923" w:type="dxa"/>
          </w:tcPr>
          <w:p>
            <w:pPr>
              <w:pStyle w:val="21"/>
              <w:rPr>
                <w:sz w:val="20"/>
              </w:rPr>
            </w:pPr>
          </w:p>
        </w:tc>
        <w:tc>
          <w:tcPr>
            <w:tcW w:w="266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1"/>
              <w:rPr>
                <w:sz w:val="20"/>
              </w:rPr>
            </w:pPr>
          </w:p>
        </w:tc>
        <w:tc>
          <w:tcPr>
            <w:tcW w:w="2534" w:type="dxa"/>
          </w:tcPr>
          <w:p>
            <w:pPr>
              <w:pStyle w:val="21"/>
              <w:rPr>
                <w:sz w:val="20"/>
              </w:rPr>
            </w:pPr>
          </w:p>
        </w:tc>
        <w:tc>
          <w:tcPr>
            <w:tcW w:w="1923" w:type="dxa"/>
          </w:tcPr>
          <w:p>
            <w:pPr>
              <w:pStyle w:val="21"/>
              <w:rPr>
                <w:sz w:val="20"/>
              </w:rPr>
            </w:pPr>
          </w:p>
        </w:tc>
        <w:tc>
          <w:tcPr>
            <w:tcW w:w="266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53" w:type="dxa"/>
          </w:tcPr>
          <w:p>
            <w:pPr>
              <w:pStyle w:val="21"/>
              <w:rPr>
                <w:sz w:val="20"/>
              </w:rPr>
            </w:pPr>
          </w:p>
        </w:tc>
        <w:tc>
          <w:tcPr>
            <w:tcW w:w="2534" w:type="dxa"/>
          </w:tcPr>
          <w:p>
            <w:pPr>
              <w:pStyle w:val="21"/>
              <w:rPr>
                <w:sz w:val="20"/>
              </w:rPr>
            </w:pPr>
          </w:p>
        </w:tc>
        <w:tc>
          <w:tcPr>
            <w:tcW w:w="1923" w:type="dxa"/>
          </w:tcPr>
          <w:p>
            <w:pPr>
              <w:pStyle w:val="21"/>
              <w:rPr>
                <w:sz w:val="20"/>
              </w:rPr>
            </w:pPr>
          </w:p>
        </w:tc>
        <w:tc>
          <w:tcPr>
            <w:tcW w:w="266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053" w:type="dxa"/>
          </w:tcPr>
          <w:p>
            <w:pPr>
              <w:pStyle w:val="21"/>
              <w:rPr>
                <w:sz w:val="20"/>
              </w:rPr>
            </w:pPr>
          </w:p>
        </w:tc>
        <w:tc>
          <w:tcPr>
            <w:tcW w:w="2534" w:type="dxa"/>
          </w:tcPr>
          <w:p>
            <w:pPr>
              <w:pStyle w:val="21"/>
              <w:rPr>
                <w:sz w:val="20"/>
              </w:rPr>
            </w:pPr>
          </w:p>
        </w:tc>
        <w:tc>
          <w:tcPr>
            <w:tcW w:w="1923" w:type="dxa"/>
          </w:tcPr>
          <w:p>
            <w:pPr>
              <w:pStyle w:val="21"/>
              <w:rPr>
                <w:sz w:val="20"/>
              </w:rPr>
            </w:pPr>
          </w:p>
        </w:tc>
        <w:tc>
          <w:tcPr>
            <w:tcW w:w="266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1"/>
              <w:rPr>
                <w:sz w:val="20"/>
              </w:rPr>
            </w:pPr>
          </w:p>
        </w:tc>
        <w:tc>
          <w:tcPr>
            <w:tcW w:w="2534" w:type="dxa"/>
          </w:tcPr>
          <w:p>
            <w:pPr>
              <w:pStyle w:val="21"/>
              <w:rPr>
                <w:sz w:val="20"/>
              </w:rPr>
            </w:pPr>
          </w:p>
        </w:tc>
        <w:tc>
          <w:tcPr>
            <w:tcW w:w="1923" w:type="dxa"/>
          </w:tcPr>
          <w:p>
            <w:pPr>
              <w:pStyle w:val="21"/>
              <w:rPr>
                <w:sz w:val="20"/>
              </w:rPr>
            </w:pPr>
          </w:p>
        </w:tc>
        <w:tc>
          <w:tcPr>
            <w:tcW w:w="266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1"/>
              <w:rPr>
                <w:sz w:val="20"/>
              </w:rPr>
            </w:pPr>
          </w:p>
        </w:tc>
        <w:tc>
          <w:tcPr>
            <w:tcW w:w="2534" w:type="dxa"/>
          </w:tcPr>
          <w:p>
            <w:pPr>
              <w:pStyle w:val="21"/>
              <w:rPr>
                <w:sz w:val="20"/>
              </w:rPr>
            </w:pPr>
          </w:p>
        </w:tc>
        <w:tc>
          <w:tcPr>
            <w:tcW w:w="1923" w:type="dxa"/>
          </w:tcPr>
          <w:p>
            <w:pPr>
              <w:pStyle w:val="21"/>
              <w:rPr>
                <w:sz w:val="20"/>
              </w:rPr>
            </w:pPr>
          </w:p>
        </w:tc>
        <w:tc>
          <w:tcPr>
            <w:tcW w:w="266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1"/>
              <w:rPr>
                <w:sz w:val="20"/>
              </w:rPr>
            </w:pPr>
          </w:p>
        </w:tc>
        <w:tc>
          <w:tcPr>
            <w:tcW w:w="2534" w:type="dxa"/>
          </w:tcPr>
          <w:p>
            <w:pPr>
              <w:pStyle w:val="21"/>
              <w:rPr>
                <w:sz w:val="20"/>
              </w:rPr>
            </w:pPr>
          </w:p>
        </w:tc>
        <w:tc>
          <w:tcPr>
            <w:tcW w:w="1923" w:type="dxa"/>
          </w:tcPr>
          <w:p>
            <w:pPr>
              <w:pStyle w:val="21"/>
              <w:rPr>
                <w:sz w:val="20"/>
              </w:rPr>
            </w:pPr>
          </w:p>
        </w:tc>
        <w:tc>
          <w:tcPr>
            <w:tcW w:w="266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1"/>
              <w:rPr>
                <w:sz w:val="20"/>
              </w:rPr>
            </w:pPr>
          </w:p>
        </w:tc>
        <w:tc>
          <w:tcPr>
            <w:tcW w:w="2534" w:type="dxa"/>
          </w:tcPr>
          <w:p>
            <w:pPr>
              <w:pStyle w:val="21"/>
              <w:rPr>
                <w:sz w:val="20"/>
              </w:rPr>
            </w:pPr>
          </w:p>
        </w:tc>
        <w:tc>
          <w:tcPr>
            <w:tcW w:w="1923" w:type="dxa"/>
          </w:tcPr>
          <w:p>
            <w:pPr>
              <w:pStyle w:val="21"/>
              <w:rPr>
                <w:sz w:val="20"/>
              </w:rPr>
            </w:pPr>
          </w:p>
        </w:tc>
        <w:tc>
          <w:tcPr>
            <w:tcW w:w="266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1"/>
              <w:rPr>
                <w:sz w:val="20"/>
              </w:rPr>
            </w:pPr>
          </w:p>
        </w:tc>
        <w:tc>
          <w:tcPr>
            <w:tcW w:w="2534" w:type="dxa"/>
          </w:tcPr>
          <w:p>
            <w:pPr>
              <w:pStyle w:val="21"/>
              <w:rPr>
                <w:sz w:val="20"/>
              </w:rPr>
            </w:pPr>
          </w:p>
        </w:tc>
        <w:tc>
          <w:tcPr>
            <w:tcW w:w="1923" w:type="dxa"/>
          </w:tcPr>
          <w:p>
            <w:pPr>
              <w:pStyle w:val="21"/>
              <w:rPr>
                <w:sz w:val="20"/>
              </w:rPr>
            </w:pPr>
          </w:p>
        </w:tc>
        <w:tc>
          <w:tcPr>
            <w:tcW w:w="266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1"/>
              <w:rPr>
                <w:sz w:val="20"/>
              </w:rPr>
            </w:pPr>
          </w:p>
        </w:tc>
        <w:tc>
          <w:tcPr>
            <w:tcW w:w="2534" w:type="dxa"/>
          </w:tcPr>
          <w:p>
            <w:pPr>
              <w:pStyle w:val="21"/>
              <w:rPr>
                <w:sz w:val="20"/>
              </w:rPr>
            </w:pPr>
          </w:p>
        </w:tc>
        <w:tc>
          <w:tcPr>
            <w:tcW w:w="1923" w:type="dxa"/>
          </w:tcPr>
          <w:p>
            <w:pPr>
              <w:pStyle w:val="21"/>
              <w:rPr>
                <w:sz w:val="20"/>
              </w:rPr>
            </w:pPr>
          </w:p>
        </w:tc>
        <w:tc>
          <w:tcPr>
            <w:tcW w:w="266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1"/>
              <w:rPr>
                <w:sz w:val="20"/>
              </w:rPr>
            </w:pPr>
          </w:p>
        </w:tc>
        <w:tc>
          <w:tcPr>
            <w:tcW w:w="2534" w:type="dxa"/>
          </w:tcPr>
          <w:p>
            <w:pPr>
              <w:pStyle w:val="21"/>
              <w:rPr>
                <w:sz w:val="20"/>
              </w:rPr>
            </w:pPr>
          </w:p>
        </w:tc>
        <w:tc>
          <w:tcPr>
            <w:tcW w:w="1923" w:type="dxa"/>
          </w:tcPr>
          <w:p>
            <w:pPr>
              <w:pStyle w:val="21"/>
              <w:rPr>
                <w:sz w:val="20"/>
              </w:rPr>
            </w:pPr>
          </w:p>
        </w:tc>
        <w:tc>
          <w:tcPr>
            <w:tcW w:w="266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1"/>
              <w:rPr>
                <w:sz w:val="20"/>
              </w:rPr>
            </w:pPr>
          </w:p>
        </w:tc>
        <w:tc>
          <w:tcPr>
            <w:tcW w:w="2534" w:type="dxa"/>
          </w:tcPr>
          <w:p>
            <w:pPr>
              <w:pStyle w:val="21"/>
              <w:rPr>
                <w:sz w:val="20"/>
              </w:rPr>
            </w:pPr>
          </w:p>
        </w:tc>
        <w:tc>
          <w:tcPr>
            <w:tcW w:w="1923" w:type="dxa"/>
          </w:tcPr>
          <w:p>
            <w:pPr>
              <w:pStyle w:val="21"/>
              <w:rPr>
                <w:sz w:val="20"/>
              </w:rPr>
            </w:pPr>
          </w:p>
        </w:tc>
        <w:tc>
          <w:tcPr>
            <w:tcW w:w="266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1"/>
              <w:rPr>
                <w:sz w:val="20"/>
              </w:rPr>
            </w:pPr>
          </w:p>
        </w:tc>
        <w:tc>
          <w:tcPr>
            <w:tcW w:w="2534" w:type="dxa"/>
          </w:tcPr>
          <w:p>
            <w:pPr>
              <w:pStyle w:val="21"/>
              <w:rPr>
                <w:sz w:val="20"/>
              </w:rPr>
            </w:pPr>
          </w:p>
        </w:tc>
        <w:tc>
          <w:tcPr>
            <w:tcW w:w="1923" w:type="dxa"/>
          </w:tcPr>
          <w:p>
            <w:pPr>
              <w:pStyle w:val="21"/>
              <w:rPr>
                <w:sz w:val="20"/>
              </w:rPr>
            </w:pPr>
          </w:p>
        </w:tc>
        <w:tc>
          <w:tcPr>
            <w:tcW w:w="266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1"/>
              <w:rPr>
                <w:sz w:val="20"/>
              </w:rPr>
            </w:pPr>
          </w:p>
        </w:tc>
        <w:tc>
          <w:tcPr>
            <w:tcW w:w="2534" w:type="dxa"/>
          </w:tcPr>
          <w:p>
            <w:pPr>
              <w:pStyle w:val="21"/>
              <w:rPr>
                <w:sz w:val="20"/>
              </w:rPr>
            </w:pPr>
          </w:p>
        </w:tc>
        <w:tc>
          <w:tcPr>
            <w:tcW w:w="1923" w:type="dxa"/>
          </w:tcPr>
          <w:p>
            <w:pPr>
              <w:pStyle w:val="21"/>
              <w:rPr>
                <w:sz w:val="20"/>
              </w:rPr>
            </w:pPr>
          </w:p>
        </w:tc>
        <w:tc>
          <w:tcPr>
            <w:tcW w:w="266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1"/>
              <w:rPr>
                <w:sz w:val="20"/>
              </w:rPr>
            </w:pPr>
          </w:p>
        </w:tc>
        <w:tc>
          <w:tcPr>
            <w:tcW w:w="2534" w:type="dxa"/>
          </w:tcPr>
          <w:p>
            <w:pPr>
              <w:pStyle w:val="21"/>
              <w:rPr>
                <w:sz w:val="20"/>
              </w:rPr>
            </w:pPr>
          </w:p>
        </w:tc>
        <w:tc>
          <w:tcPr>
            <w:tcW w:w="1923" w:type="dxa"/>
          </w:tcPr>
          <w:p>
            <w:pPr>
              <w:pStyle w:val="21"/>
              <w:rPr>
                <w:sz w:val="20"/>
              </w:rPr>
            </w:pPr>
          </w:p>
        </w:tc>
        <w:tc>
          <w:tcPr>
            <w:tcW w:w="266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1"/>
              <w:rPr>
                <w:sz w:val="20"/>
              </w:rPr>
            </w:pPr>
          </w:p>
        </w:tc>
        <w:tc>
          <w:tcPr>
            <w:tcW w:w="2534" w:type="dxa"/>
          </w:tcPr>
          <w:p>
            <w:pPr>
              <w:pStyle w:val="21"/>
              <w:rPr>
                <w:sz w:val="20"/>
              </w:rPr>
            </w:pPr>
          </w:p>
        </w:tc>
        <w:tc>
          <w:tcPr>
            <w:tcW w:w="1923" w:type="dxa"/>
          </w:tcPr>
          <w:p>
            <w:pPr>
              <w:pStyle w:val="21"/>
              <w:rPr>
                <w:sz w:val="20"/>
              </w:rPr>
            </w:pPr>
          </w:p>
        </w:tc>
        <w:tc>
          <w:tcPr>
            <w:tcW w:w="266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1"/>
              <w:rPr>
                <w:sz w:val="20"/>
              </w:rPr>
            </w:pPr>
          </w:p>
        </w:tc>
        <w:tc>
          <w:tcPr>
            <w:tcW w:w="2534" w:type="dxa"/>
          </w:tcPr>
          <w:p>
            <w:pPr>
              <w:pStyle w:val="21"/>
              <w:rPr>
                <w:sz w:val="20"/>
              </w:rPr>
            </w:pPr>
          </w:p>
        </w:tc>
        <w:tc>
          <w:tcPr>
            <w:tcW w:w="1923" w:type="dxa"/>
          </w:tcPr>
          <w:p>
            <w:pPr>
              <w:pStyle w:val="21"/>
              <w:rPr>
                <w:sz w:val="20"/>
              </w:rPr>
            </w:pPr>
          </w:p>
        </w:tc>
        <w:tc>
          <w:tcPr>
            <w:tcW w:w="266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1"/>
              <w:rPr>
                <w:sz w:val="20"/>
              </w:rPr>
            </w:pPr>
          </w:p>
        </w:tc>
        <w:tc>
          <w:tcPr>
            <w:tcW w:w="2534" w:type="dxa"/>
          </w:tcPr>
          <w:p>
            <w:pPr>
              <w:pStyle w:val="21"/>
              <w:rPr>
                <w:sz w:val="20"/>
              </w:rPr>
            </w:pPr>
          </w:p>
        </w:tc>
        <w:tc>
          <w:tcPr>
            <w:tcW w:w="1923" w:type="dxa"/>
          </w:tcPr>
          <w:p>
            <w:pPr>
              <w:pStyle w:val="21"/>
              <w:rPr>
                <w:sz w:val="20"/>
              </w:rPr>
            </w:pPr>
          </w:p>
        </w:tc>
        <w:tc>
          <w:tcPr>
            <w:tcW w:w="266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587" w:type="dxa"/>
            <w:gridSpan w:val="2"/>
          </w:tcPr>
          <w:p>
            <w:pPr>
              <w:pStyle w:val="21"/>
              <w:spacing w:before="157"/>
              <w:ind w:left="1074"/>
              <w:rPr>
                <w:sz w:val="20"/>
              </w:rPr>
            </w:pPr>
            <w:r>
              <w:rPr>
                <w:rFonts w:hint="eastAsia"/>
                <w:sz w:val="20"/>
              </w:rPr>
              <w:t>拟分包工程造价合计（万元）</w:t>
            </w:r>
          </w:p>
        </w:tc>
        <w:tc>
          <w:tcPr>
            <w:tcW w:w="1923" w:type="dxa"/>
          </w:tcPr>
          <w:p>
            <w:pPr>
              <w:pStyle w:val="21"/>
              <w:rPr>
                <w:sz w:val="20"/>
              </w:rPr>
            </w:pPr>
          </w:p>
        </w:tc>
        <w:tc>
          <w:tcPr>
            <w:tcW w:w="2664" w:type="dxa"/>
            <w:vMerge w:val="continue"/>
            <w:tcBorders>
              <w:top w:val="nil"/>
            </w:tcBorders>
          </w:tcPr>
          <w:p>
            <w:pPr>
              <w:rPr>
                <w:sz w:val="2"/>
                <w:szCs w:val="2"/>
              </w:rPr>
            </w:pPr>
          </w:p>
        </w:tc>
      </w:tr>
    </w:tbl>
    <w:p>
      <w:pPr>
        <w:rPr>
          <w:sz w:val="2"/>
          <w:szCs w:val="2"/>
        </w:rPr>
      </w:pPr>
    </w:p>
    <w:p>
      <w:pPr>
        <w:bidi w:val="0"/>
        <w:rPr>
          <w:rFonts w:ascii="宋体" w:hAnsi="宋体" w:eastAsia="宋体" w:cs="宋体"/>
          <w:sz w:val="22"/>
          <w:szCs w:val="22"/>
          <w:lang w:val="zh-CN" w:eastAsia="zh-CN" w:bidi="zh-CN"/>
        </w:rPr>
      </w:pPr>
    </w:p>
    <w:p>
      <w:pPr>
        <w:bidi w:val="0"/>
        <w:rPr>
          <w:lang w:val="zh-CN" w:eastAsia="zh-CN"/>
        </w:rPr>
      </w:pPr>
    </w:p>
    <w:p>
      <w:pPr>
        <w:bidi w:val="0"/>
        <w:rPr>
          <w:lang w:val="zh-CN" w:eastAsia="zh-CN"/>
        </w:rPr>
      </w:pPr>
    </w:p>
    <w:p>
      <w:pPr>
        <w:bidi w:val="0"/>
        <w:rPr>
          <w:lang w:val="zh-CN" w:eastAsia="zh-CN"/>
        </w:rPr>
      </w:pPr>
    </w:p>
    <w:p>
      <w:pPr>
        <w:spacing w:line="440" w:lineRule="exact"/>
        <w:ind w:firstLine="4950" w:firstLineChars="2250"/>
        <w:rPr>
          <w:rFonts w:ascii="PQPMNW+ËÎÌå" w:hAnsi="PQPMNW+ËÎÌå" w:cs="PQPMNW+ËÎÌå"/>
          <w:spacing w:val="-1"/>
        </w:rPr>
      </w:pPr>
      <w:r>
        <w:rPr>
          <w:rFonts w:hint="eastAsia"/>
          <w:lang w:val="zh-CN" w:eastAsia="zh-CN"/>
        </w:rPr>
        <w:tab/>
      </w:r>
      <w:r>
        <w:rPr>
          <w:rFonts w:hint="eastAsia" w:ascii="PQPMNW+ËÎÌå" w:hAnsi="PQPMNW+ËÎÌå" w:cs="PQPMNW+ËÎÌå"/>
          <w:spacing w:val="-1"/>
        </w:rPr>
        <w:t>竞争性磋商响应人：（盖章）</w:t>
      </w:r>
    </w:p>
    <w:p>
      <w:pPr>
        <w:spacing w:line="440" w:lineRule="exact"/>
        <w:ind w:firstLine="4796" w:firstLineChars="22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5777" w:firstLineChars="2650"/>
        <w:rPr>
          <w:rFonts w:ascii="宋体" w:hAnsi="宋体"/>
          <w:b/>
          <w:color w:val="auto"/>
          <w:sz w:val="21"/>
          <w:szCs w:val="21"/>
        </w:rPr>
      </w:pPr>
      <w:r>
        <w:rPr>
          <w:rFonts w:hint="eastAsia" w:ascii="TMBCOU+ËÎÌå" w:hAnsi="TMBCOU+ËÎÌå" w:cs="TMBCOU+ËÎÌå"/>
          <w:spacing w:val="-1"/>
        </w:rPr>
        <w:t>年</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月</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日</w:t>
      </w:r>
    </w:p>
    <w:p>
      <w:pPr>
        <w:tabs>
          <w:tab w:val="left" w:pos="3746"/>
        </w:tabs>
        <w:bidi w:val="0"/>
        <w:jc w:val="left"/>
        <w:rPr>
          <w:lang w:val="zh-CN" w:eastAsia="zh-CN"/>
        </w:rPr>
        <w:sectPr>
          <w:pgSz w:w="11910" w:h="16840"/>
          <w:pgMar w:top="1220" w:right="920" w:bottom="1180" w:left="1320" w:header="882" w:footer="989" w:gutter="0"/>
          <w:cols w:space="720" w:num="1"/>
        </w:sectPr>
      </w:pPr>
    </w:p>
    <w:p>
      <w:pPr>
        <w:pStyle w:val="10"/>
        <w:rPr>
          <w:sz w:val="26"/>
        </w:rPr>
      </w:pPr>
    </w:p>
    <w:p>
      <w:pPr>
        <w:spacing w:before="62"/>
        <w:ind w:left="35" w:right="199"/>
        <w:jc w:val="center"/>
        <w:rPr>
          <w:sz w:val="28"/>
        </w:rPr>
      </w:pPr>
      <w:bookmarkStart w:id="98" w:name="_TOC_250006"/>
      <w:bookmarkEnd w:id="98"/>
      <w:r>
        <w:rPr>
          <w:rFonts w:hint="eastAsia"/>
          <w:sz w:val="28"/>
        </w:rPr>
        <w:t>七、资格审查资料</w:t>
      </w:r>
    </w:p>
    <w:p>
      <w:pPr>
        <w:pStyle w:val="10"/>
        <w:spacing w:before="63" w:after="7"/>
        <w:ind w:left="1" w:right="199"/>
        <w:jc w:val="center"/>
      </w:pPr>
      <w:bookmarkStart w:id="99" w:name="（一）投标人基本情况表"/>
      <w:bookmarkEnd w:id="99"/>
      <w:r>
        <w:rPr>
          <w:rFonts w:hint="eastAsia"/>
        </w:rPr>
        <w:t>（一）投标人基本情况表</w:t>
      </w:r>
    </w:p>
    <w:tbl>
      <w:tblPr>
        <w:tblStyle w:val="18"/>
        <w:tblW w:w="8925" w:type="dxa"/>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5"/>
        <w:gridCol w:w="900"/>
        <w:gridCol w:w="1080"/>
        <w:gridCol w:w="529"/>
        <w:gridCol w:w="731"/>
        <w:gridCol w:w="1078"/>
        <w:gridCol w:w="182"/>
        <w:gridCol w:w="901"/>
        <w:gridCol w:w="1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1"/>
              <w:spacing w:before="152"/>
              <w:ind w:left="130" w:right="125"/>
              <w:jc w:val="center"/>
              <w:rPr>
                <w:sz w:val="20"/>
              </w:rPr>
            </w:pPr>
            <w:r>
              <w:rPr>
                <w:rFonts w:hint="eastAsia"/>
                <w:sz w:val="20"/>
              </w:rPr>
              <w:t>投标人名称</w:t>
            </w:r>
          </w:p>
        </w:tc>
        <w:tc>
          <w:tcPr>
            <w:tcW w:w="7020" w:type="dxa"/>
            <w:gridSpan w:val="8"/>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1"/>
              <w:spacing w:before="153"/>
              <w:ind w:left="130" w:right="123"/>
              <w:jc w:val="center"/>
              <w:rPr>
                <w:sz w:val="20"/>
              </w:rPr>
            </w:pPr>
            <w:r>
              <w:rPr>
                <w:rFonts w:hint="eastAsia"/>
                <w:sz w:val="20"/>
              </w:rPr>
              <w:t>注册地址</w:t>
            </w:r>
          </w:p>
        </w:tc>
        <w:tc>
          <w:tcPr>
            <w:tcW w:w="3240" w:type="dxa"/>
            <w:gridSpan w:val="4"/>
          </w:tcPr>
          <w:p>
            <w:pPr>
              <w:pStyle w:val="21"/>
              <w:rPr>
                <w:sz w:val="20"/>
              </w:rPr>
            </w:pPr>
          </w:p>
        </w:tc>
        <w:tc>
          <w:tcPr>
            <w:tcW w:w="1078" w:type="dxa"/>
          </w:tcPr>
          <w:p>
            <w:pPr>
              <w:pStyle w:val="21"/>
              <w:spacing w:before="153"/>
              <w:ind w:left="119" w:right="109"/>
              <w:jc w:val="center"/>
              <w:rPr>
                <w:sz w:val="20"/>
              </w:rPr>
            </w:pPr>
            <w:r>
              <w:rPr>
                <w:rFonts w:hint="eastAsia"/>
                <w:sz w:val="20"/>
              </w:rPr>
              <w:t>邮政编码</w:t>
            </w:r>
          </w:p>
        </w:tc>
        <w:tc>
          <w:tcPr>
            <w:tcW w:w="2702" w:type="dxa"/>
            <w:gridSpan w:val="3"/>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vMerge w:val="restart"/>
          </w:tcPr>
          <w:p>
            <w:pPr>
              <w:pStyle w:val="21"/>
              <w:spacing w:before="6"/>
              <w:rPr>
                <w:sz w:val="29"/>
              </w:rPr>
            </w:pPr>
          </w:p>
          <w:p>
            <w:pPr>
              <w:pStyle w:val="21"/>
              <w:ind w:left="551"/>
              <w:rPr>
                <w:sz w:val="20"/>
              </w:rPr>
            </w:pPr>
            <w:r>
              <w:rPr>
                <w:rFonts w:hint="eastAsia"/>
                <w:sz w:val="20"/>
              </w:rPr>
              <w:t>联系方式</w:t>
            </w:r>
          </w:p>
        </w:tc>
        <w:tc>
          <w:tcPr>
            <w:tcW w:w="900" w:type="dxa"/>
          </w:tcPr>
          <w:p>
            <w:pPr>
              <w:pStyle w:val="21"/>
              <w:spacing w:before="152"/>
              <w:ind w:left="8"/>
              <w:jc w:val="center"/>
              <w:rPr>
                <w:sz w:val="20"/>
              </w:rPr>
            </w:pPr>
            <w:r>
              <w:rPr>
                <w:rFonts w:hint="eastAsia"/>
                <w:sz w:val="20"/>
              </w:rPr>
              <w:t>联系人</w:t>
            </w:r>
          </w:p>
        </w:tc>
        <w:tc>
          <w:tcPr>
            <w:tcW w:w="2340" w:type="dxa"/>
            <w:gridSpan w:val="3"/>
          </w:tcPr>
          <w:p>
            <w:pPr>
              <w:pStyle w:val="21"/>
              <w:rPr>
                <w:sz w:val="20"/>
              </w:rPr>
            </w:pPr>
          </w:p>
        </w:tc>
        <w:tc>
          <w:tcPr>
            <w:tcW w:w="1078" w:type="dxa"/>
          </w:tcPr>
          <w:p>
            <w:pPr>
              <w:pStyle w:val="21"/>
              <w:spacing w:before="152"/>
              <w:ind w:left="116" w:right="109"/>
              <w:jc w:val="center"/>
              <w:rPr>
                <w:sz w:val="20"/>
              </w:rPr>
            </w:pPr>
            <w:r>
              <w:rPr>
                <w:rFonts w:hint="eastAsia"/>
                <w:sz w:val="20"/>
              </w:rPr>
              <w:t>电 话</w:t>
            </w:r>
          </w:p>
        </w:tc>
        <w:tc>
          <w:tcPr>
            <w:tcW w:w="2702" w:type="dxa"/>
            <w:gridSpan w:val="3"/>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vMerge w:val="continue"/>
            <w:tcBorders>
              <w:top w:val="nil"/>
            </w:tcBorders>
          </w:tcPr>
          <w:p>
            <w:pPr>
              <w:rPr>
                <w:sz w:val="2"/>
                <w:szCs w:val="2"/>
              </w:rPr>
            </w:pPr>
          </w:p>
        </w:tc>
        <w:tc>
          <w:tcPr>
            <w:tcW w:w="900" w:type="dxa"/>
          </w:tcPr>
          <w:p>
            <w:pPr>
              <w:pStyle w:val="21"/>
              <w:tabs>
                <w:tab w:val="left" w:pos="408"/>
              </w:tabs>
              <w:spacing w:before="153"/>
              <w:ind w:left="8"/>
              <w:jc w:val="center"/>
              <w:rPr>
                <w:sz w:val="20"/>
              </w:rPr>
            </w:pPr>
            <w:r>
              <w:rPr>
                <w:rFonts w:hint="eastAsia"/>
                <w:sz w:val="20"/>
              </w:rPr>
              <w:t>传</w:t>
            </w:r>
            <w:r>
              <w:rPr>
                <w:rFonts w:hint="eastAsia"/>
                <w:sz w:val="20"/>
              </w:rPr>
              <w:tab/>
            </w:r>
            <w:r>
              <w:rPr>
                <w:rFonts w:hint="eastAsia"/>
                <w:sz w:val="20"/>
              </w:rPr>
              <w:t>真</w:t>
            </w:r>
          </w:p>
        </w:tc>
        <w:tc>
          <w:tcPr>
            <w:tcW w:w="2340" w:type="dxa"/>
            <w:gridSpan w:val="3"/>
          </w:tcPr>
          <w:p>
            <w:pPr>
              <w:pStyle w:val="21"/>
              <w:rPr>
                <w:sz w:val="20"/>
              </w:rPr>
            </w:pPr>
          </w:p>
        </w:tc>
        <w:tc>
          <w:tcPr>
            <w:tcW w:w="1078" w:type="dxa"/>
          </w:tcPr>
          <w:p>
            <w:pPr>
              <w:pStyle w:val="21"/>
              <w:spacing w:before="153"/>
              <w:ind w:left="119" w:right="109"/>
              <w:jc w:val="center"/>
              <w:rPr>
                <w:sz w:val="20"/>
              </w:rPr>
            </w:pPr>
            <w:r>
              <w:rPr>
                <w:rFonts w:hint="eastAsia"/>
                <w:sz w:val="20"/>
              </w:rPr>
              <w:t>电子邮件</w:t>
            </w:r>
          </w:p>
        </w:tc>
        <w:tc>
          <w:tcPr>
            <w:tcW w:w="2702" w:type="dxa"/>
            <w:gridSpan w:val="3"/>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1"/>
              <w:spacing w:before="152"/>
              <w:ind w:left="130" w:right="125"/>
              <w:jc w:val="center"/>
              <w:rPr>
                <w:sz w:val="20"/>
              </w:rPr>
            </w:pPr>
            <w:r>
              <w:rPr>
                <w:rFonts w:hint="eastAsia"/>
                <w:sz w:val="20"/>
              </w:rPr>
              <w:t>法定代表人</w:t>
            </w:r>
          </w:p>
        </w:tc>
        <w:tc>
          <w:tcPr>
            <w:tcW w:w="900" w:type="dxa"/>
          </w:tcPr>
          <w:p>
            <w:pPr>
              <w:pStyle w:val="21"/>
              <w:spacing w:before="152"/>
              <w:ind w:left="8"/>
              <w:jc w:val="center"/>
              <w:rPr>
                <w:sz w:val="20"/>
              </w:rPr>
            </w:pPr>
            <w:r>
              <w:rPr>
                <w:rFonts w:hint="eastAsia"/>
                <w:sz w:val="20"/>
              </w:rPr>
              <w:t>姓名</w:t>
            </w:r>
          </w:p>
        </w:tc>
        <w:tc>
          <w:tcPr>
            <w:tcW w:w="1080" w:type="dxa"/>
          </w:tcPr>
          <w:p>
            <w:pPr>
              <w:pStyle w:val="21"/>
              <w:rPr>
                <w:sz w:val="20"/>
              </w:rPr>
            </w:pPr>
          </w:p>
        </w:tc>
        <w:tc>
          <w:tcPr>
            <w:tcW w:w="1260" w:type="dxa"/>
            <w:gridSpan w:val="2"/>
          </w:tcPr>
          <w:p>
            <w:pPr>
              <w:pStyle w:val="21"/>
              <w:spacing w:before="152"/>
              <w:ind w:left="230"/>
              <w:rPr>
                <w:sz w:val="20"/>
              </w:rPr>
            </w:pPr>
            <w:r>
              <w:rPr>
                <w:rFonts w:hint="eastAsia"/>
                <w:sz w:val="20"/>
              </w:rPr>
              <w:t>技术职称</w:t>
            </w:r>
          </w:p>
        </w:tc>
        <w:tc>
          <w:tcPr>
            <w:tcW w:w="1078" w:type="dxa"/>
          </w:tcPr>
          <w:p>
            <w:pPr>
              <w:pStyle w:val="21"/>
              <w:rPr>
                <w:sz w:val="20"/>
              </w:rPr>
            </w:pPr>
          </w:p>
        </w:tc>
        <w:tc>
          <w:tcPr>
            <w:tcW w:w="1083" w:type="dxa"/>
            <w:gridSpan w:val="2"/>
          </w:tcPr>
          <w:p>
            <w:pPr>
              <w:pStyle w:val="21"/>
              <w:spacing w:before="152"/>
              <w:ind w:left="340"/>
              <w:rPr>
                <w:sz w:val="20"/>
              </w:rPr>
            </w:pPr>
            <w:r>
              <w:rPr>
                <w:rFonts w:hint="eastAsia"/>
                <w:sz w:val="20"/>
              </w:rPr>
              <w:t>电话</w:t>
            </w:r>
          </w:p>
        </w:tc>
        <w:tc>
          <w:tcPr>
            <w:tcW w:w="1619"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1"/>
              <w:spacing w:before="153"/>
              <w:ind w:left="130" w:right="125"/>
              <w:jc w:val="center"/>
              <w:rPr>
                <w:rFonts w:hint="eastAsia" w:eastAsia="宋体"/>
                <w:sz w:val="20"/>
                <w:lang w:eastAsia="zh-CN"/>
              </w:rPr>
            </w:pPr>
            <w:r>
              <w:rPr>
                <w:rFonts w:hint="eastAsia"/>
                <w:sz w:val="20"/>
                <w:lang w:eastAsia="zh-CN"/>
              </w:rPr>
              <w:t>技术负责人</w:t>
            </w:r>
          </w:p>
        </w:tc>
        <w:tc>
          <w:tcPr>
            <w:tcW w:w="900" w:type="dxa"/>
          </w:tcPr>
          <w:p>
            <w:pPr>
              <w:pStyle w:val="21"/>
              <w:spacing w:before="153"/>
              <w:ind w:left="8"/>
              <w:jc w:val="center"/>
              <w:rPr>
                <w:sz w:val="20"/>
              </w:rPr>
            </w:pPr>
            <w:r>
              <w:rPr>
                <w:rFonts w:hint="eastAsia"/>
                <w:sz w:val="20"/>
              </w:rPr>
              <w:t>姓名</w:t>
            </w:r>
          </w:p>
        </w:tc>
        <w:tc>
          <w:tcPr>
            <w:tcW w:w="1080" w:type="dxa"/>
          </w:tcPr>
          <w:p>
            <w:pPr>
              <w:pStyle w:val="21"/>
              <w:rPr>
                <w:sz w:val="20"/>
              </w:rPr>
            </w:pPr>
          </w:p>
        </w:tc>
        <w:tc>
          <w:tcPr>
            <w:tcW w:w="1260" w:type="dxa"/>
            <w:gridSpan w:val="2"/>
          </w:tcPr>
          <w:p>
            <w:pPr>
              <w:pStyle w:val="21"/>
              <w:spacing w:before="153"/>
              <w:ind w:left="230"/>
              <w:rPr>
                <w:sz w:val="20"/>
              </w:rPr>
            </w:pPr>
            <w:r>
              <w:rPr>
                <w:rFonts w:hint="eastAsia"/>
                <w:sz w:val="20"/>
              </w:rPr>
              <w:t>技术职称</w:t>
            </w:r>
          </w:p>
        </w:tc>
        <w:tc>
          <w:tcPr>
            <w:tcW w:w="1078" w:type="dxa"/>
          </w:tcPr>
          <w:p>
            <w:pPr>
              <w:pStyle w:val="21"/>
              <w:rPr>
                <w:sz w:val="20"/>
              </w:rPr>
            </w:pPr>
          </w:p>
        </w:tc>
        <w:tc>
          <w:tcPr>
            <w:tcW w:w="1083" w:type="dxa"/>
            <w:gridSpan w:val="2"/>
          </w:tcPr>
          <w:p>
            <w:pPr>
              <w:pStyle w:val="21"/>
              <w:spacing w:before="153"/>
              <w:ind w:left="340"/>
              <w:rPr>
                <w:sz w:val="20"/>
              </w:rPr>
            </w:pPr>
            <w:r>
              <w:rPr>
                <w:rFonts w:hint="eastAsia"/>
                <w:sz w:val="20"/>
              </w:rPr>
              <w:t>电话</w:t>
            </w:r>
          </w:p>
        </w:tc>
        <w:tc>
          <w:tcPr>
            <w:tcW w:w="1619"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1"/>
              <w:spacing w:before="152"/>
              <w:ind w:left="130" w:right="125"/>
              <w:jc w:val="center"/>
              <w:rPr>
                <w:sz w:val="20"/>
              </w:rPr>
            </w:pPr>
            <w:r>
              <w:rPr>
                <w:rFonts w:hint="eastAsia"/>
                <w:sz w:val="20"/>
              </w:rPr>
              <w:t>营业执照号</w:t>
            </w:r>
          </w:p>
        </w:tc>
        <w:tc>
          <w:tcPr>
            <w:tcW w:w="1980" w:type="dxa"/>
            <w:gridSpan w:val="2"/>
          </w:tcPr>
          <w:p>
            <w:pPr>
              <w:pStyle w:val="21"/>
              <w:rPr>
                <w:sz w:val="20"/>
              </w:rPr>
            </w:pPr>
          </w:p>
        </w:tc>
        <w:tc>
          <w:tcPr>
            <w:tcW w:w="5040" w:type="dxa"/>
            <w:gridSpan w:val="6"/>
          </w:tcPr>
          <w:p>
            <w:pPr>
              <w:pStyle w:val="21"/>
              <w:spacing w:before="152"/>
              <w:ind w:left="1950" w:right="1839"/>
              <w:jc w:val="center"/>
              <w:rPr>
                <w:sz w:val="20"/>
              </w:rPr>
            </w:pPr>
            <w:r>
              <w:rPr>
                <w:rFonts w:hint="eastAsia"/>
                <w:sz w:val="20"/>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1"/>
              <w:spacing w:before="153"/>
              <w:ind w:left="130" w:right="121"/>
              <w:jc w:val="center"/>
              <w:rPr>
                <w:sz w:val="20"/>
              </w:rPr>
            </w:pPr>
            <w:r>
              <w:rPr>
                <w:rFonts w:hint="eastAsia"/>
                <w:sz w:val="20"/>
              </w:rPr>
              <w:t>企业资质等级</w:t>
            </w:r>
          </w:p>
        </w:tc>
        <w:tc>
          <w:tcPr>
            <w:tcW w:w="1980" w:type="dxa"/>
            <w:gridSpan w:val="2"/>
          </w:tcPr>
          <w:p>
            <w:pPr>
              <w:pStyle w:val="21"/>
              <w:rPr>
                <w:sz w:val="20"/>
              </w:rPr>
            </w:pPr>
          </w:p>
        </w:tc>
        <w:tc>
          <w:tcPr>
            <w:tcW w:w="529" w:type="dxa"/>
            <w:vMerge w:val="restart"/>
          </w:tcPr>
          <w:p>
            <w:pPr>
              <w:pStyle w:val="21"/>
              <w:rPr>
                <w:sz w:val="20"/>
              </w:rPr>
            </w:pPr>
          </w:p>
          <w:p>
            <w:pPr>
              <w:pStyle w:val="21"/>
              <w:rPr>
                <w:sz w:val="20"/>
              </w:rPr>
            </w:pPr>
          </w:p>
          <w:p>
            <w:pPr>
              <w:pStyle w:val="21"/>
              <w:spacing w:before="12"/>
              <w:rPr>
                <w:sz w:val="24"/>
              </w:rPr>
            </w:pPr>
          </w:p>
          <w:p>
            <w:pPr>
              <w:pStyle w:val="21"/>
              <w:spacing w:before="1" w:line="410" w:lineRule="auto"/>
              <w:ind w:left="108" w:right="209"/>
              <w:rPr>
                <w:sz w:val="20"/>
              </w:rPr>
            </w:pPr>
            <w:r>
              <w:rPr>
                <w:rFonts w:hint="eastAsia"/>
                <w:sz w:val="20"/>
              </w:rPr>
              <w:t>其中</w:t>
            </w:r>
          </w:p>
        </w:tc>
        <w:tc>
          <w:tcPr>
            <w:tcW w:w="1991" w:type="dxa"/>
            <w:gridSpan w:val="3"/>
          </w:tcPr>
          <w:p>
            <w:pPr>
              <w:pStyle w:val="21"/>
              <w:spacing w:before="153"/>
              <w:ind w:left="594"/>
              <w:rPr>
                <w:sz w:val="20"/>
              </w:rPr>
            </w:pPr>
            <w:r>
              <w:rPr>
                <w:rFonts w:hint="eastAsia"/>
                <w:sz w:val="20"/>
              </w:rPr>
              <w:t>项目经理</w:t>
            </w:r>
          </w:p>
        </w:tc>
        <w:tc>
          <w:tcPr>
            <w:tcW w:w="2520" w:type="dxa"/>
            <w:gridSpan w:val="2"/>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1"/>
              <w:spacing w:before="152"/>
              <w:ind w:left="130" w:right="123"/>
              <w:jc w:val="center"/>
              <w:rPr>
                <w:sz w:val="20"/>
              </w:rPr>
            </w:pPr>
            <w:r>
              <w:rPr>
                <w:rFonts w:hint="eastAsia"/>
                <w:sz w:val="20"/>
              </w:rPr>
              <w:t>注册资本</w:t>
            </w:r>
          </w:p>
        </w:tc>
        <w:tc>
          <w:tcPr>
            <w:tcW w:w="1980" w:type="dxa"/>
            <w:gridSpan w:val="2"/>
          </w:tcPr>
          <w:p>
            <w:pPr>
              <w:pStyle w:val="21"/>
              <w:rPr>
                <w:sz w:val="20"/>
              </w:rPr>
            </w:pPr>
          </w:p>
        </w:tc>
        <w:tc>
          <w:tcPr>
            <w:tcW w:w="529" w:type="dxa"/>
            <w:vMerge w:val="continue"/>
            <w:tcBorders>
              <w:top w:val="nil"/>
            </w:tcBorders>
          </w:tcPr>
          <w:p>
            <w:pPr>
              <w:rPr>
                <w:sz w:val="2"/>
                <w:szCs w:val="2"/>
              </w:rPr>
            </w:pPr>
          </w:p>
        </w:tc>
        <w:tc>
          <w:tcPr>
            <w:tcW w:w="1991" w:type="dxa"/>
            <w:gridSpan w:val="3"/>
          </w:tcPr>
          <w:p>
            <w:pPr>
              <w:pStyle w:val="21"/>
              <w:spacing w:before="152"/>
              <w:ind w:left="395"/>
              <w:rPr>
                <w:sz w:val="20"/>
              </w:rPr>
            </w:pPr>
            <w:r>
              <w:rPr>
                <w:rFonts w:hint="eastAsia"/>
                <w:sz w:val="20"/>
              </w:rPr>
              <w:t>高级职称人员</w:t>
            </w:r>
          </w:p>
        </w:tc>
        <w:tc>
          <w:tcPr>
            <w:tcW w:w="2520" w:type="dxa"/>
            <w:gridSpan w:val="2"/>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1"/>
              <w:spacing w:before="153"/>
              <w:ind w:left="130" w:right="123"/>
              <w:jc w:val="center"/>
              <w:rPr>
                <w:sz w:val="20"/>
              </w:rPr>
            </w:pPr>
            <w:r>
              <w:rPr>
                <w:rFonts w:hint="eastAsia"/>
                <w:sz w:val="20"/>
              </w:rPr>
              <w:t>成立日期</w:t>
            </w:r>
          </w:p>
        </w:tc>
        <w:tc>
          <w:tcPr>
            <w:tcW w:w="1980" w:type="dxa"/>
            <w:gridSpan w:val="2"/>
          </w:tcPr>
          <w:p>
            <w:pPr>
              <w:pStyle w:val="21"/>
              <w:rPr>
                <w:sz w:val="20"/>
              </w:rPr>
            </w:pPr>
          </w:p>
        </w:tc>
        <w:tc>
          <w:tcPr>
            <w:tcW w:w="529" w:type="dxa"/>
            <w:vMerge w:val="continue"/>
            <w:tcBorders>
              <w:top w:val="nil"/>
            </w:tcBorders>
          </w:tcPr>
          <w:p>
            <w:pPr>
              <w:rPr>
                <w:sz w:val="2"/>
                <w:szCs w:val="2"/>
              </w:rPr>
            </w:pPr>
          </w:p>
        </w:tc>
        <w:tc>
          <w:tcPr>
            <w:tcW w:w="1991" w:type="dxa"/>
            <w:gridSpan w:val="3"/>
          </w:tcPr>
          <w:p>
            <w:pPr>
              <w:pStyle w:val="21"/>
              <w:spacing w:before="153"/>
              <w:ind w:left="395"/>
              <w:rPr>
                <w:sz w:val="20"/>
              </w:rPr>
            </w:pPr>
            <w:r>
              <w:rPr>
                <w:rFonts w:hint="eastAsia"/>
                <w:sz w:val="20"/>
              </w:rPr>
              <w:t>中级职称人员</w:t>
            </w:r>
          </w:p>
        </w:tc>
        <w:tc>
          <w:tcPr>
            <w:tcW w:w="2520" w:type="dxa"/>
            <w:gridSpan w:val="2"/>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1"/>
              <w:spacing w:before="152"/>
              <w:ind w:left="130" w:right="125"/>
              <w:jc w:val="center"/>
              <w:rPr>
                <w:sz w:val="20"/>
              </w:rPr>
            </w:pPr>
            <w:r>
              <w:rPr>
                <w:rFonts w:hint="eastAsia"/>
                <w:sz w:val="20"/>
              </w:rPr>
              <w:t>基本账户开户银行</w:t>
            </w:r>
          </w:p>
        </w:tc>
        <w:tc>
          <w:tcPr>
            <w:tcW w:w="1980" w:type="dxa"/>
            <w:gridSpan w:val="2"/>
          </w:tcPr>
          <w:p>
            <w:pPr>
              <w:pStyle w:val="21"/>
              <w:rPr>
                <w:sz w:val="20"/>
              </w:rPr>
            </w:pPr>
          </w:p>
        </w:tc>
        <w:tc>
          <w:tcPr>
            <w:tcW w:w="529" w:type="dxa"/>
            <w:vMerge w:val="continue"/>
            <w:tcBorders>
              <w:top w:val="nil"/>
            </w:tcBorders>
          </w:tcPr>
          <w:p>
            <w:pPr>
              <w:rPr>
                <w:sz w:val="2"/>
                <w:szCs w:val="2"/>
              </w:rPr>
            </w:pPr>
          </w:p>
        </w:tc>
        <w:tc>
          <w:tcPr>
            <w:tcW w:w="1991" w:type="dxa"/>
            <w:gridSpan w:val="3"/>
          </w:tcPr>
          <w:p>
            <w:pPr>
              <w:pStyle w:val="21"/>
              <w:spacing w:before="152"/>
              <w:ind w:left="395"/>
              <w:rPr>
                <w:sz w:val="20"/>
              </w:rPr>
            </w:pPr>
            <w:r>
              <w:rPr>
                <w:rFonts w:hint="eastAsia"/>
                <w:sz w:val="20"/>
              </w:rPr>
              <w:t>初级职称人员</w:t>
            </w:r>
          </w:p>
        </w:tc>
        <w:tc>
          <w:tcPr>
            <w:tcW w:w="2520" w:type="dxa"/>
            <w:gridSpan w:val="2"/>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1"/>
              <w:spacing w:before="153"/>
              <w:ind w:left="130" w:right="125"/>
              <w:jc w:val="center"/>
              <w:rPr>
                <w:sz w:val="20"/>
              </w:rPr>
            </w:pPr>
            <w:r>
              <w:rPr>
                <w:rFonts w:hint="eastAsia"/>
                <w:sz w:val="20"/>
              </w:rPr>
              <w:t>基本账户银行账号</w:t>
            </w:r>
          </w:p>
        </w:tc>
        <w:tc>
          <w:tcPr>
            <w:tcW w:w="1980" w:type="dxa"/>
            <w:gridSpan w:val="2"/>
          </w:tcPr>
          <w:p>
            <w:pPr>
              <w:pStyle w:val="21"/>
              <w:rPr>
                <w:sz w:val="20"/>
              </w:rPr>
            </w:pPr>
          </w:p>
        </w:tc>
        <w:tc>
          <w:tcPr>
            <w:tcW w:w="529" w:type="dxa"/>
            <w:vMerge w:val="continue"/>
            <w:tcBorders>
              <w:top w:val="nil"/>
            </w:tcBorders>
          </w:tcPr>
          <w:p>
            <w:pPr>
              <w:rPr>
                <w:sz w:val="2"/>
                <w:szCs w:val="2"/>
              </w:rPr>
            </w:pPr>
          </w:p>
        </w:tc>
        <w:tc>
          <w:tcPr>
            <w:tcW w:w="1991" w:type="dxa"/>
            <w:gridSpan w:val="3"/>
          </w:tcPr>
          <w:p>
            <w:pPr>
              <w:pStyle w:val="21"/>
              <w:spacing w:before="91"/>
              <w:ind w:left="772" w:right="768"/>
              <w:jc w:val="center"/>
              <w:rPr>
                <w:sz w:val="20"/>
              </w:rPr>
            </w:pPr>
            <w:r>
              <w:rPr>
                <w:rFonts w:hint="eastAsia"/>
                <w:sz w:val="20"/>
              </w:rPr>
              <w:t>技工</w:t>
            </w:r>
          </w:p>
        </w:tc>
        <w:tc>
          <w:tcPr>
            <w:tcW w:w="2520" w:type="dxa"/>
            <w:gridSpan w:val="2"/>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atLeast"/>
        </w:trPr>
        <w:tc>
          <w:tcPr>
            <w:tcW w:w="1905" w:type="dxa"/>
          </w:tcPr>
          <w:p>
            <w:pPr>
              <w:pStyle w:val="21"/>
              <w:rPr>
                <w:sz w:val="20"/>
              </w:rPr>
            </w:pPr>
          </w:p>
          <w:p>
            <w:pPr>
              <w:pStyle w:val="21"/>
              <w:rPr>
                <w:sz w:val="20"/>
              </w:rPr>
            </w:pPr>
          </w:p>
          <w:p>
            <w:pPr>
              <w:pStyle w:val="21"/>
              <w:spacing w:before="5"/>
              <w:rPr>
                <w:sz w:val="23"/>
              </w:rPr>
            </w:pPr>
          </w:p>
          <w:p>
            <w:pPr>
              <w:pStyle w:val="21"/>
              <w:ind w:left="130" w:right="123"/>
              <w:jc w:val="center"/>
              <w:rPr>
                <w:sz w:val="20"/>
              </w:rPr>
            </w:pPr>
            <w:r>
              <w:rPr>
                <w:rFonts w:hint="eastAsia"/>
                <w:sz w:val="20"/>
              </w:rPr>
              <w:t>经营范围</w:t>
            </w:r>
          </w:p>
        </w:tc>
        <w:tc>
          <w:tcPr>
            <w:tcW w:w="7020" w:type="dxa"/>
            <w:gridSpan w:val="8"/>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0" w:hRule="atLeast"/>
        </w:trPr>
        <w:tc>
          <w:tcPr>
            <w:tcW w:w="1905" w:type="dxa"/>
          </w:tcPr>
          <w:p>
            <w:pPr>
              <w:pStyle w:val="21"/>
              <w:rPr>
                <w:sz w:val="20"/>
              </w:rPr>
            </w:pPr>
          </w:p>
          <w:p>
            <w:pPr>
              <w:pStyle w:val="21"/>
              <w:rPr>
                <w:sz w:val="20"/>
              </w:rPr>
            </w:pPr>
          </w:p>
          <w:p>
            <w:pPr>
              <w:pStyle w:val="21"/>
              <w:spacing w:before="1"/>
              <w:rPr>
                <w:sz w:val="17"/>
              </w:rPr>
            </w:pPr>
          </w:p>
          <w:p>
            <w:pPr>
              <w:pStyle w:val="21"/>
              <w:spacing w:line="412" w:lineRule="auto"/>
              <w:ind w:left="750" w:right="242" w:hanging="500"/>
              <w:rPr>
                <w:sz w:val="20"/>
              </w:rPr>
            </w:pPr>
            <w:r>
              <w:rPr>
                <w:rFonts w:hint="eastAsia"/>
                <w:sz w:val="20"/>
              </w:rPr>
              <w:t>投标人关联企业情况</w:t>
            </w:r>
          </w:p>
        </w:tc>
        <w:tc>
          <w:tcPr>
            <w:tcW w:w="7020" w:type="dxa"/>
            <w:gridSpan w:val="8"/>
          </w:tcPr>
          <w:p>
            <w:pPr>
              <w:pStyle w:val="21"/>
              <w:spacing w:before="144"/>
              <w:ind w:left="108"/>
              <w:rPr>
                <w:sz w:val="20"/>
              </w:rPr>
            </w:pPr>
            <w:r>
              <w:rPr>
                <w:rFonts w:hint="eastAsia"/>
                <w:sz w:val="20"/>
              </w:rPr>
              <w:t>投标人应提供关联企业情况，包括：</w:t>
            </w:r>
          </w:p>
          <w:p>
            <w:pPr>
              <w:pStyle w:val="21"/>
              <w:numPr>
                <w:ilvl w:val="0"/>
                <w:numId w:val="72"/>
              </w:numPr>
              <w:tabs>
                <w:tab w:val="left" w:pos="508"/>
              </w:tabs>
              <w:spacing w:before="142"/>
              <w:ind w:hanging="501"/>
              <w:rPr>
                <w:sz w:val="20"/>
              </w:rPr>
            </w:pPr>
            <w:r>
              <w:rPr>
                <w:rFonts w:hint="eastAsia"/>
                <w:sz w:val="20"/>
              </w:rPr>
              <w:t>投标人的所有股东名称及相应股权（出资额）比例</w:t>
            </w:r>
          </w:p>
          <w:p>
            <w:pPr>
              <w:pStyle w:val="21"/>
              <w:numPr>
                <w:ilvl w:val="0"/>
                <w:numId w:val="72"/>
              </w:numPr>
              <w:tabs>
                <w:tab w:val="left" w:pos="508"/>
              </w:tabs>
              <w:spacing w:before="144"/>
              <w:ind w:hanging="501"/>
              <w:rPr>
                <w:sz w:val="20"/>
              </w:rPr>
            </w:pPr>
            <w:r>
              <w:rPr>
                <w:rFonts w:hint="eastAsia"/>
                <w:sz w:val="20"/>
              </w:rPr>
              <w:t>投标人投资（控股）或管理的下属企业名称、持有股权（出资额）比例；</w:t>
            </w:r>
          </w:p>
          <w:p>
            <w:pPr>
              <w:pStyle w:val="21"/>
              <w:numPr>
                <w:ilvl w:val="0"/>
                <w:numId w:val="72"/>
              </w:numPr>
              <w:tabs>
                <w:tab w:val="left" w:pos="508"/>
              </w:tabs>
              <w:spacing w:before="145"/>
              <w:ind w:hanging="501"/>
              <w:rPr>
                <w:sz w:val="20"/>
              </w:rPr>
            </w:pPr>
            <w:r>
              <w:rPr>
                <w:rFonts w:hint="eastAsia"/>
                <w:sz w:val="20"/>
              </w:rPr>
              <w:t>与投标人单位负责人（即法定代表人）为同一人的其他单位名称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1"/>
              <w:spacing w:before="153"/>
              <w:ind w:left="130" w:right="125"/>
              <w:jc w:val="center"/>
              <w:rPr>
                <w:sz w:val="20"/>
              </w:rPr>
            </w:pPr>
            <w:r>
              <w:rPr>
                <w:rFonts w:hint="eastAsia"/>
                <w:sz w:val="20"/>
              </w:rPr>
              <w:t>备注</w:t>
            </w:r>
          </w:p>
        </w:tc>
        <w:tc>
          <w:tcPr>
            <w:tcW w:w="7020" w:type="dxa"/>
            <w:gridSpan w:val="8"/>
          </w:tcPr>
          <w:p>
            <w:pPr>
              <w:pStyle w:val="21"/>
              <w:rPr>
                <w:sz w:val="20"/>
              </w:rPr>
            </w:pPr>
          </w:p>
        </w:tc>
      </w:tr>
    </w:tbl>
    <w:p>
      <w:pPr>
        <w:pStyle w:val="10"/>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480"/>
        <w:jc w:val="both"/>
        <w:textAlignment w:val="auto"/>
        <w:rPr>
          <w:rFonts w:hint="eastAsia" w:ascii="宋体" w:hAnsi="宋体" w:eastAsia="宋体" w:cs="宋体"/>
          <w:color w:val="auto"/>
          <w:sz w:val="20"/>
          <w:highlight w:val="yellow"/>
        </w:rPr>
      </w:pPr>
      <w:r>
        <w:rPr>
          <w:rFonts w:hint="eastAsia"/>
          <w:color w:val="auto"/>
          <w:sz w:val="20"/>
        </w:rPr>
        <w:t>注：投标人</w:t>
      </w:r>
      <w:r>
        <w:rPr>
          <w:rFonts w:hint="eastAsia" w:ascii="宋体" w:hAnsi="宋体" w:eastAsia="宋体" w:cs="宋体"/>
          <w:color w:val="auto"/>
          <w:sz w:val="20"/>
        </w:rPr>
        <w:t>应附统一社会信用代码的营业执照副本、施工资质证书副本、安全生产许可证副本、基本账户开户许可证</w:t>
      </w:r>
      <w:r>
        <w:rPr>
          <w:rFonts w:hint="eastAsia" w:ascii="宋体" w:hAnsi="宋体" w:eastAsia="宋体" w:cs="宋体"/>
          <w:color w:val="auto"/>
          <w:sz w:val="20"/>
          <w:lang w:eastAsia="zh-CN"/>
        </w:rPr>
        <w:t>、</w:t>
      </w:r>
      <w:r>
        <w:rPr>
          <w:rFonts w:hint="eastAsia" w:ascii="宋体" w:hAnsi="宋体" w:eastAsia="宋体" w:cs="宋体"/>
          <w:color w:val="auto"/>
          <w:sz w:val="20"/>
          <w:highlight w:val="none"/>
          <w:lang w:val="en-US" w:eastAsia="zh-CN"/>
        </w:rPr>
        <w:t>自治区外企业进疆信息报送册</w:t>
      </w:r>
      <w:r>
        <w:rPr>
          <w:rFonts w:hint="eastAsia" w:cs="宋体"/>
          <w:color w:val="auto"/>
          <w:sz w:val="20"/>
          <w:highlight w:val="none"/>
          <w:lang w:val="en-US" w:eastAsia="zh-CN"/>
        </w:rPr>
        <w:t>等</w:t>
      </w:r>
      <w:r>
        <w:rPr>
          <w:rFonts w:hint="eastAsia" w:ascii="宋体" w:hAnsi="宋体" w:eastAsia="宋体" w:cs="宋体"/>
          <w:color w:val="auto"/>
          <w:sz w:val="20"/>
          <w:highlight w:val="none"/>
        </w:rPr>
        <w:t>原件的扫描件</w:t>
      </w:r>
      <w:r>
        <w:rPr>
          <w:rFonts w:hint="eastAsia" w:ascii="宋体" w:hAnsi="宋体" w:eastAsia="宋体" w:cs="宋体"/>
          <w:color w:val="auto"/>
          <w:sz w:val="20"/>
          <w:highlight w:val="none"/>
          <w:lang w:val="en-US" w:eastAsia="zh-CN"/>
        </w:rPr>
        <w:t>。</w:t>
      </w:r>
    </w:p>
    <w:p>
      <w:pPr>
        <w:pStyle w:val="10"/>
        <w:spacing w:before="10"/>
        <w:rPr>
          <w:sz w:val="28"/>
          <w:highlight w:val="yellow"/>
        </w:rPr>
      </w:pPr>
    </w:p>
    <w:p>
      <w:pPr>
        <w:pStyle w:val="11"/>
        <w:rPr>
          <w:sz w:val="28"/>
        </w:rPr>
      </w:pPr>
    </w:p>
    <w:p>
      <w:pPr>
        <w:rPr>
          <w:sz w:val="28"/>
        </w:rPr>
      </w:pPr>
    </w:p>
    <w:p>
      <w:pPr>
        <w:pStyle w:val="2"/>
        <w:rPr>
          <w:sz w:val="28"/>
        </w:rPr>
      </w:pPr>
    </w:p>
    <w:p>
      <w:pPr>
        <w:rPr>
          <w:sz w:val="28"/>
        </w:rPr>
      </w:pPr>
    </w:p>
    <w:p>
      <w:pPr>
        <w:pStyle w:val="2"/>
      </w:pPr>
    </w:p>
    <w:p/>
    <w:p>
      <w:pPr>
        <w:pStyle w:val="10"/>
        <w:spacing w:before="66"/>
        <w:ind w:left="1" w:right="199"/>
        <w:jc w:val="center"/>
      </w:pPr>
      <w:bookmarkStart w:id="100" w:name="（二）投标人企业组织机构框图"/>
      <w:bookmarkEnd w:id="100"/>
      <w:r>
        <w:rPr>
          <w:rFonts w:hint="eastAsia"/>
        </w:rPr>
        <w:t>（二）投标人企业组织机构框图</w:t>
      </w:r>
    </w:p>
    <w:p>
      <w:pPr>
        <w:pStyle w:val="10"/>
        <w:spacing w:before="3"/>
        <w:rPr>
          <w:sz w:val="28"/>
        </w:rPr>
      </w:pPr>
      <w:r>
        <mc:AlternateContent>
          <mc:Choice Requires="wpg">
            <w:drawing>
              <wp:anchor distT="0" distB="0" distL="114300" distR="114300" simplePos="0" relativeHeight="251679744" behindDoc="1" locked="0" layoutInCell="1" allowOverlap="1">
                <wp:simplePos x="0" y="0"/>
                <wp:positionH relativeFrom="page">
                  <wp:posOffset>1069340</wp:posOffset>
                </wp:positionH>
                <wp:positionV relativeFrom="paragraph">
                  <wp:posOffset>259715</wp:posOffset>
                </wp:positionV>
                <wp:extent cx="5605145" cy="6966585"/>
                <wp:effectExtent l="0" t="0" r="3175" b="13335"/>
                <wp:wrapTopAndBottom/>
                <wp:docPr id="1" name="组合 106"/>
                <wp:cNvGraphicFramePr/>
                <a:graphic xmlns:a="http://schemas.openxmlformats.org/drawingml/2006/main">
                  <a:graphicData uri="http://schemas.microsoft.com/office/word/2010/wordprocessingGroup">
                    <wpg:wgp>
                      <wpg:cNvGrpSpPr/>
                      <wpg:grpSpPr>
                        <a:xfrm>
                          <a:off x="0" y="0"/>
                          <a:ext cx="5605145" cy="6966585"/>
                          <a:chOff x="1685" y="409"/>
                          <a:chExt cx="8827" cy="10971"/>
                        </a:xfrm>
                      </wpg:grpSpPr>
                      <wps:wsp>
                        <wps:cNvPr id="25" name="直线 107"/>
                        <wps:cNvCnPr/>
                        <wps:spPr>
                          <a:xfrm>
                            <a:off x="1685" y="417"/>
                            <a:ext cx="8826" cy="0"/>
                          </a:xfrm>
                          <a:prstGeom prst="line">
                            <a:avLst/>
                          </a:prstGeom>
                          <a:ln w="9144" cap="flat" cmpd="sng">
                            <a:solidFill>
                              <a:srgbClr val="000000"/>
                            </a:solidFill>
                            <a:prstDash val="solid"/>
                            <a:headEnd type="none" w="med" len="med"/>
                            <a:tailEnd type="none" w="med" len="med"/>
                          </a:ln>
                        </wps:spPr>
                        <wps:bodyPr upright="1"/>
                      </wps:wsp>
                      <wps:wsp>
                        <wps:cNvPr id="26" name="直线 108"/>
                        <wps:cNvCnPr/>
                        <wps:spPr>
                          <a:xfrm>
                            <a:off x="1685" y="7956"/>
                            <a:ext cx="8826" cy="0"/>
                          </a:xfrm>
                          <a:prstGeom prst="line">
                            <a:avLst/>
                          </a:prstGeom>
                          <a:ln w="9144" cap="flat" cmpd="sng">
                            <a:solidFill>
                              <a:srgbClr val="000000"/>
                            </a:solidFill>
                            <a:prstDash val="solid"/>
                            <a:headEnd type="none" w="med" len="med"/>
                            <a:tailEnd type="none" w="med" len="med"/>
                          </a:ln>
                        </wps:spPr>
                        <wps:bodyPr upright="1"/>
                      </wps:wsp>
                      <wps:wsp>
                        <wps:cNvPr id="27" name="直线 109"/>
                        <wps:cNvCnPr/>
                        <wps:spPr>
                          <a:xfrm>
                            <a:off x="1685" y="11373"/>
                            <a:ext cx="8826" cy="0"/>
                          </a:xfrm>
                          <a:prstGeom prst="line">
                            <a:avLst/>
                          </a:prstGeom>
                          <a:ln w="9144" cap="flat" cmpd="sng">
                            <a:solidFill>
                              <a:srgbClr val="000000"/>
                            </a:solidFill>
                            <a:prstDash val="solid"/>
                            <a:headEnd type="none" w="med" len="med"/>
                            <a:tailEnd type="none" w="med" len="med"/>
                          </a:ln>
                        </wps:spPr>
                        <wps:bodyPr upright="1"/>
                      </wps:wsp>
                      <wps:wsp>
                        <wps:cNvPr id="28" name="直线 110"/>
                        <wps:cNvCnPr/>
                        <wps:spPr>
                          <a:xfrm>
                            <a:off x="1692" y="409"/>
                            <a:ext cx="0" cy="10956"/>
                          </a:xfrm>
                          <a:prstGeom prst="line">
                            <a:avLst/>
                          </a:prstGeom>
                          <a:ln w="9144" cap="flat" cmpd="sng">
                            <a:solidFill>
                              <a:srgbClr val="000000"/>
                            </a:solidFill>
                            <a:prstDash val="solid"/>
                            <a:headEnd type="none" w="med" len="med"/>
                            <a:tailEnd type="none" w="med" len="med"/>
                          </a:ln>
                        </wps:spPr>
                        <wps:bodyPr upright="1"/>
                      </wps:wsp>
                      <wps:wsp>
                        <wps:cNvPr id="29" name="直线 111"/>
                        <wps:cNvCnPr/>
                        <wps:spPr>
                          <a:xfrm>
                            <a:off x="10504" y="409"/>
                            <a:ext cx="0" cy="10956"/>
                          </a:xfrm>
                          <a:prstGeom prst="line">
                            <a:avLst/>
                          </a:prstGeom>
                          <a:ln w="9144" cap="flat" cmpd="sng">
                            <a:solidFill>
                              <a:srgbClr val="000000"/>
                            </a:solidFill>
                            <a:prstDash val="solid"/>
                            <a:headEnd type="none" w="med" len="med"/>
                            <a:tailEnd type="none" w="med" len="med"/>
                          </a:ln>
                        </wps:spPr>
                        <wps:bodyPr upright="1"/>
                      </wps:wsp>
                      <wps:wsp>
                        <wps:cNvPr id="30" name="文本框 112"/>
                        <wps:cNvSpPr txBox="1"/>
                        <wps:spPr>
                          <a:xfrm>
                            <a:off x="2232" y="8135"/>
                            <a:ext cx="419" cy="199"/>
                          </a:xfrm>
                          <a:prstGeom prst="rect">
                            <a:avLst/>
                          </a:prstGeom>
                          <a:noFill/>
                          <a:ln>
                            <a:noFill/>
                          </a:ln>
                        </wps:spPr>
                        <wps:txbx>
                          <w:txbxContent>
                            <w:p>
                              <w:pPr>
                                <w:spacing w:line="199" w:lineRule="exact"/>
                                <w:rPr>
                                  <w:sz w:val="20"/>
                                </w:rPr>
                              </w:pPr>
                              <w:r>
                                <w:rPr>
                                  <w:sz w:val="20"/>
                                </w:rPr>
                                <w:t>说明</w:t>
                              </w:r>
                            </w:p>
                          </w:txbxContent>
                        </wps:txbx>
                        <wps:bodyPr lIns="0" tIns="0" rIns="0" bIns="0" upright="1"/>
                      </wps:wsp>
                      <wps:wsp>
                        <wps:cNvPr id="31" name="文本框 113"/>
                        <wps:cNvSpPr txBox="1"/>
                        <wps:spPr>
                          <a:xfrm>
                            <a:off x="2232" y="1115"/>
                            <a:ext cx="1619" cy="199"/>
                          </a:xfrm>
                          <a:prstGeom prst="rect">
                            <a:avLst/>
                          </a:prstGeom>
                          <a:noFill/>
                          <a:ln>
                            <a:noFill/>
                          </a:ln>
                        </wps:spPr>
                        <wps:txbx>
                          <w:txbxContent>
                            <w:p>
                              <w:pPr>
                                <w:spacing w:line="199" w:lineRule="exact"/>
                                <w:rPr>
                                  <w:sz w:val="20"/>
                                </w:rPr>
                              </w:pPr>
                              <w:r>
                                <w:rPr>
                                  <w:sz w:val="20"/>
                                </w:rPr>
                                <w:t>以框图方式表示。</w:t>
                              </w:r>
                            </w:p>
                          </w:txbxContent>
                        </wps:txbx>
                        <wps:bodyPr lIns="0" tIns="0" rIns="0" bIns="0" upright="1"/>
                      </wps:wsp>
                    </wpg:wgp>
                  </a:graphicData>
                </a:graphic>
              </wp:anchor>
            </w:drawing>
          </mc:Choice>
          <mc:Fallback>
            <w:pict>
              <v:group id="组合 106" o:spid="_x0000_s1026" o:spt="203" style="position:absolute;left:0pt;margin-left:84.2pt;margin-top:20.45pt;height:548.55pt;width:441.35pt;mso-position-horizontal-relative:page;mso-wrap-distance-bottom:0pt;mso-wrap-distance-top:0pt;z-index:-251636736;mso-width-relative:page;mso-height-relative:page;" coordorigin="1685,409" coordsize="8827,10971" o:gfxdata="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">
                <o:lock v:ext="edit" aspectratio="f"/>
                <v:line id="直线 107" o:spid="_x0000_s1026" o:spt="20" style="position:absolute;left:1685;top:417;height:0;width:8826;" filled="f" stroked="t" coordsize="21600,21600" o:gfxdata="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xBUq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v:line id="直线 108" o:spid="_x0000_s1026" o:spt="20" style="position:absolute;left:1685;top:7956;height:0;width:8826;" filled="f" stroked="t" coordsize="21600,21600" o:gfxdata="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UWi12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直线 109" o:spid="_x0000_s1026" o:spt="20" style="position:absolute;left:1685;top:11373;height:0;width:8826;" filled="f" stroked="t" coordsize="21600,21600" o:gfxdata="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aLsa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直线 110" o:spid="_x0000_s1026" o:spt="20" style="position:absolute;left:1692;top:409;height:10956;width:0;" filled="f" stroked="t" coordsize="21600,21600" o:gfxdata="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vFurS5AAAA2wAA&#10;AA8AAAAAAAAAAQAgAAAAIgAAAGRycy9kb3ducmV2LnhtbFBLAQIUABQAAAAIAIdO4kAzLwWeOwAA&#10;ADkAAAAQAAAAAAAAAAEAIAAAAAgBAABkcnMvc2hhcGV4bWwueG1sUEsFBgAAAAAGAAYAWwEAALID&#10;AAAAAA==&#10;">
                  <v:fill on="f" focussize="0,0"/>
                  <v:stroke weight="0.72pt" color="#000000" joinstyle="round"/>
                  <v:imagedata o:title=""/>
                  <o:lock v:ext="edit" aspectratio="f"/>
                </v:line>
                <v:line id="直线 111" o:spid="_x0000_s1026" o:spt="20" style="position:absolute;left:10504;top:409;height:10956;width:0;" filled="f" stroked="t" coordsize="21600,21600" o:gfxdata="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iR8v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v:shape id="文本框 112" o:spid="_x0000_s1026" o:spt="202" type="#_x0000_t202" style="position:absolute;left:2232;top:8135;height:199;width:419;"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line="199" w:lineRule="exact"/>
                          <w:rPr>
                            <w:sz w:val="20"/>
                          </w:rPr>
                        </w:pPr>
                        <w:r>
                          <w:rPr>
                            <w:sz w:val="20"/>
                          </w:rPr>
                          <w:t>说明</w:t>
                        </w:r>
                      </w:p>
                    </w:txbxContent>
                  </v:textbox>
                </v:shape>
                <v:shape id="文本框 113" o:spid="_x0000_s1026" o:spt="202" type="#_x0000_t202" style="position:absolute;left:2232;top:1115;height:199;width:1619;"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199" w:lineRule="exact"/>
                          <w:rPr>
                            <w:sz w:val="20"/>
                          </w:rPr>
                        </w:pPr>
                        <w:r>
                          <w:rPr>
                            <w:sz w:val="20"/>
                          </w:rPr>
                          <w:t>以框图方式表示。</w:t>
                        </w:r>
                      </w:p>
                    </w:txbxContent>
                  </v:textbox>
                </v:shape>
                <w10:wrap type="topAndBottom"/>
              </v:group>
            </w:pict>
          </mc:Fallback>
        </mc:AlternateContent>
      </w:r>
    </w:p>
    <w:p>
      <w:pPr>
        <w:rPr>
          <w:sz w:val="28"/>
        </w:rPr>
      </w:pPr>
    </w:p>
    <w:p>
      <w:pPr>
        <w:bidi w:val="0"/>
        <w:rPr>
          <w:rFonts w:ascii="宋体" w:hAnsi="宋体" w:eastAsia="宋体" w:cs="宋体"/>
          <w:sz w:val="22"/>
          <w:szCs w:val="22"/>
          <w:lang w:val="zh-CN" w:eastAsia="zh-CN" w:bidi="zh-CN"/>
        </w:rPr>
      </w:pPr>
    </w:p>
    <w:p>
      <w:pPr>
        <w:bidi w:val="0"/>
        <w:rPr>
          <w:lang w:val="zh-CN" w:eastAsia="zh-CN"/>
        </w:rPr>
      </w:pPr>
    </w:p>
    <w:p>
      <w:pPr>
        <w:bidi w:val="0"/>
        <w:rPr>
          <w:lang w:val="zh-CN" w:eastAsia="zh-CN"/>
        </w:rPr>
      </w:pPr>
    </w:p>
    <w:p>
      <w:pPr>
        <w:bidi w:val="0"/>
        <w:rPr>
          <w:lang w:val="zh-CN" w:eastAsia="zh-CN"/>
        </w:rPr>
      </w:pPr>
    </w:p>
    <w:p>
      <w:pPr>
        <w:bidi w:val="0"/>
        <w:rPr>
          <w:lang w:val="zh-CN" w:eastAsia="zh-CN"/>
        </w:rPr>
      </w:pPr>
    </w:p>
    <w:p>
      <w:pPr>
        <w:tabs>
          <w:tab w:val="center" w:pos="4835"/>
        </w:tabs>
        <w:bidi w:val="0"/>
        <w:jc w:val="left"/>
        <w:rPr>
          <w:lang w:val="zh-CN" w:eastAsia="zh-CN"/>
        </w:rPr>
        <w:sectPr>
          <w:footerReference r:id="rId28" w:type="default"/>
          <w:pgSz w:w="11910" w:h="16840"/>
          <w:pgMar w:top="1220" w:right="920" w:bottom="1180" w:left="1320" w:header="882" w:footer="989" w:gutter="0"/>
          <w:cols w:space="720" w:num="1"/>
        </w:sectPr>
      </w:pPr>
      <w:r>
        <w:rPr>
          <w:rFonts w:hint="eastAsia"/>
          <w:lang w:val="zh-CN" w:eastAsia="zh-CN"/>
        </w:rPr>
        <w:tab/>
      </w:r>
    </w:p>
    <w:p>
      <w:pPr>
        <w:pStyle w:val="10"/>
        <w:spacing w:before="10"/>
        <w:rPr>
          <w:sz w:val="28"/>
        </w:rPr>
      </w:pPr>
    </w:p>
    <w:p>
      <w:pPr>
        <w:numPr>
          <w:ilvl w:val="0"/>
          <w:numId w:val="73"/>
        </w:numPr>
        <w:spacing w:line="560" w:lineRule="exact"/>
        <w:ind w:firstLine="480" w:firstLineChars="200"/>
        <w:jc w:val="center"/>
        <w:rPr>
          <w:rFonts w:hint="eastAsia" w:ascii="宋体" w:hAnsi="宋体" w:cs="宋体"/>
          <w:kern w:val="0"/>
          <w:sz w:val="24"/>
          <w:szCs w:val="24"/>
        </w:rPr>
      </w:pPr>
      <w:bookmarkStart w:id="101" w:name="（三）近年财务状况"/>
      <w:bookmarkEnd w:id="101"/>
      <w:r>
        <w:rPr>
          <w:rFonts w:hint="eastAsia" w:ascii="宋体" w:hAnsi="宋体" w:cs="宋体"/>
          <w:kern w:val="0"/>
          <w:sz w:val="24"/>
          <w:szCs w:val="24"/>
        </w:rPr>
        <w:t>财务状况、缴纳税收和社会保障资金证明材料</w:t>
      </w:r>
    </w:p>
    <w:p>
      <w:pPr>
        <w:pStyle w:val="2"/>
        <w:numPr>
          <w:ilvl w:val="0"/>
          <w:numId w:val="0"/>
        </w:numPr>
      </w:pPr>
    </w:p>
    <w:p/>
    <w:p>
      <w:pPr>
        <w:numPr>
          <w:ilvl w:val="0"/>
          <w:numId w:val="74"/>
        </w:numPr>
        <w:spacing w:line="560" w:lineRule="exact"/>
        <w:ind w:firstLine="440" w:firstLineChars="200"/>
        <w:rPr>
          <w:rFonts w:hint="eastAsia" w:ascii="宋体" w:hAnsi="宋体" w:cs="宋体"/>
          <w:color w:val="auto"/>
          <w:kern w:val="0"/>
          <w:szCs w:val="21"/>
        </w:rPr>
      </w:pPr>
      <w:r>
        <w:rPr>
          <w:rFonts w:hint="eastAsia" w:ascii="宋体" w:hAnsi="宋体" w:cs="宋体"/>
          <w:color w:val="auto"/>
          <w:kern w:val="0"/>
          <w:szCs w:val="21"/>
        </w:rPr>
        <w:t>经第三方机构出具的上一年度财务状况审计报告或财务会计报表；包括资产负债表、现金流量表、利润表和财务情况说明书</w:t>
      </w:r>
      <w:r>
        <w:rPr>
          <w:rFonts w:hint="eastAsia" w:ascii="宋体" w:hAnsi="宋体" w:cs="宋体"/>
          <w:color w:val="auto"/>
          <w:kern w:val="0"/>
          <w:szCs w:val="21"/>
          <w:lang w:eastAsia="zh-CN"/>
        </w:rPr>
        <w:t>的扫描件</w:t>
      </w:r>
      <w:r>
        <w:rPr>
          <w:rFonts w:hint="eastAsia" w:ascii="宋体" w:hAnsi="宋体" w:cs="宋体"/>
          <w:color w:val="auto"/>
          <w:kern w:val="0"/>
          <w:szCs w:val="21"/>
        </w:rPr>
        <w:t>；</w:t>
      </w:r>
    </w:p>
    <w:p>
      <w:pPr>
        <w:numPr>
          <w:ilvl w:val="0"/>
          <w:numId w:val="0"/>
        </w:numPr>
        <w:spacing w:line="560" w:lineRule="exact"/>
        <w:ind w:firstLine="440" w:firstLineChars="200"/>
        <w:rPr>
          <w:rFonts w:hint="eastAsia" w:ascii="宋体" w:hAnsi="宋体" w:cs="宋体"/>
          <w:color w:val="auto"/>
          <w:kern w:val="0"/>
          <w:szCs w:val="21"/>
        </w:rPr>
      </w:pPr>
      <w:r>
        <w:rPr>
          <w:rFonts w:hint="eastAsia" w:ascii="宋体" w:hAnsi="宋体" w:cs="宋体"/>
          <w:color w:val="auto"/>
          <w:kern w:val="0"/>
          <w:szCs w:val="21"/>
        </w:rPr>
        <w:t>b、投标人近一年连续3个月的依法缴纳税收证明和近一年连续3个月社会保障资金记录的证明材料；</w:t>
      </w:r>
    </w:p>
    <w:p>
      <w:pPr>
        <w:pStyle w:val="2"/>
      </w:pPr>
    </w:p>
    <w:p>
      <w:pPr>
        <w:pStyle w:val="11"/>
      </w:pPr>
    </w:p>
    <w:p/>
    <w:p>
      <w:pPr>
        <w:pStyle w:val="2"/>
      </w:pPr>
    </w:p>
    <w:p/>
    <w:p>
      <w:pPr>
        <w:pStyle w:val="2"/>
      </w:pPr>
    </w:p>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spacing w:before="8"/>
      </w:pPr>
    </w:p>
    <w:p>
      <w:pPr>
        <w:pStyle w:val="10"/>
        <w:spacing w:before="56"/>
        <w:ind w:left="1" w:right="199"/>
        <w:jc w:val="center"/>
      </w:pPr>
      <w:bookmarkStart w:id="102" w:name="（四）近年完成的类似项目情况表"/>
      <w:bookmarkEnd w:id="102"/>
      <w:r>
        <w:rPr>
          <w:rFonts w:hint="eastAsia"/>
        </w:rPr>
        <w:t>（四）近</w:t>
      </w:r>
      <w:r>
        <w:rPr>
          <w:rFonts w:hint="eastAsia"/>
          <w:lang w:eastAsia="zh-CN"/>
        </w:rPr>
        <w:t>三</w:t>
      </w:r>
      <w:r>
        <w:rPr>
          <w:rFonts w:hint="eastAsia"/>
        </w:rPr>
        <w:t>年完成的类似项目情况表</w:t>
      </w:r>
    </w:p>
    <w:p>
      <w:pPr>
        <w:pStyle w:val="10"/>
        <w:rPr>
          <w:sz w:val="20"/>
        </w:rPr>
      </w:pPr>
    </w:p>
    <w:p>
      <w:pPr>
        <w:pStyle w:val="10"/>
        <w:spacing w:before="12"/>
        <w:rPr>
          <w:sz w:val="14"/>
        </w:rPr>
      </w:pPr>
    </w:p>
    <w:tbl>
      <w:tblPr>
        <w:tblStyle w:val="18"/>
        <w:tblW w:w="9174" w:type="dxa"/>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2"/>
        <w:gridCol w:w="67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442" w:type="dxa"/>
          </w:tcPr>
          <w:p>
            <w:pPr>
              <w:pStyle w:val="21"/>
              <w:spacing w:before="12"/>
              <w:rPr>
                <w:sz w:val="20"/>
              </w:rPr>
            </w:pPr>
          </w:p>
          <w:p>
            <w:pPr>
              <w:pStyle w:val="21"/>
              <w:tabs>
                <w:tab w:val="left" w:pos="608"/>
              </w:tabs>
              <w:ind w:left="8"/>
              <w:jc w:val="center"/>
              <w:rPr>
                <w:sz w:val="20"/>
              </w:rPr>
            </w:pPr>
            <w:r>
              <w:rPr>
                <w:rFonts w:hint="eastAsia"/>
                <w:sz w:val="20"/>
              </w:rPr>
              <w:t>序</w:t>
            </w:r>
            <w:r>
              <w:rPr>
                <w:rFonts w:hint="eastAsia"/>
                <w:sz w:val="20"/>
              </w:rPr>
              <w:tab/>
            </w:r>
            <w:r>
              <w:rPr>
                <w:rFonts w:hint="eastAsia"/>
                <w:sz w:val="20"/>
              </w:rPr>
              <w:t>号</w:t>
            </w:r>
          </w:p>
        </w:tc>
        <w:tc>
          <w:tcPr>
            <w:tcW w:w="6732"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442" w:type="dxa"/>
          </w:tcPr>
          <w:p>
            <w:pPr>
              <w:pStyle w:val="21"/>
              <w:spacing w:before="11"/>
              <w:rPr>
                <w:sz w:val="20"/>
              </w:rPr>
            </w:pPr>
          </w:p>
          <w:p>
            <w:pPr>
              <w:pStyle w:val="21"/>
              <w:ind w:left="8"/>
              <w:jc w:val="center"/>
              <w:rPr>
                <w:sz w:val="20"/>
              </w:rPr>
            </w:pPr>
            <w:r>
              <w:rPr>
                <w:rFonts w:hint="eastAsia"/>
                <w:sz w:val="20"/>
              </w:rPr>
              <w:t>项目名称</w:t>
            </w:r>
          </w:p>
        </w:tc>
        <w:tc>
          <w:tcPr>
            <w:tcW w:w="6732"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442" w:type="dxa"/>
          </w:tcPr>
          <w:p>
            <w:pPr>
              <w:pStyle w:val="21"/>
              <w:spacing w:before="4"/>
              <w:rPr>
                <w:sz w:val="18"/>
              </w:rPr>
            </w:pPr>
          </w:p>
          <w:p>
            <w:pPr>
              <w:pStyle w:val="21"/>
              <w:spacing w:before="1"/>
              <w:ind w:left="5"/>
              <w:jc w:val="center"/>
              <w:rPr>
                <w:sz w:val="20"/>
              </w:rPr>
            </w:pPr>
            <w:r>
              <w:rPr>
                <w:rFonts w:hint="eastAsia"/>
                <w:sz w:val="20"/>
              </w:rPr>
              <w:t>项目所在地</w:t>
            </w:r>
          </w:p>
        </w:tc>
        <w:tc>
          <w:tcPr>
            <w:tcW w:w="6732"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442" w:type="dxa"/>
          </w:tcPr>
          <w:p>
            <w:pPr>
              <w:pStyle w:val="21"/>
              <w:spacing w:before="10"/>
              <w:rPr>
                <w:sz w:val="18"/>
              </w:rPr>
            </w:pPr>
          </w:p>
          <w:p>
            <w:pPr>
              <w:pStyle w:val="21"/>
              <w:ind w:left="5"/>
              <w:jc w:val="center"/>
              <w:rPr>
                <w:sz w:val="20"/>
              </w:rPr>
            </w:pPr>
            <w:r>
              <w:rPr>
                <w:rFonts w:hint="eastAsia"/>
                <w:sz w:val="20"/>
              </w:rPr>
              <w:t>发包人名称</w:t>
            </w:r>
          </w:p>
        </w:tc>
        <w:tc>
          <w:tcPr>
            <w:tcW w:w="6732"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442" w:type="dxa"/>
          </w:tcPr>
          <w:p>
            <w:pPr>
              <w:pStyle w:val="21"/>
              <w:spacing w:before="5"/>
              <w:rPr>
                <w:sz w:val="18"/>
              </w:rPr>
            </w:pPr>
          </w:p>
          <w:p>
            <w:pPr>
              <w:pStyle w:val="21"/>
              <w:ind w:left="5"/>
              <w:jc w:val="center"/>
              <w:rPr>
                <w:sz w:val="20"/>
              </w:rPr>
            </w:pPr>
            <w:r>
              <w:rPr>
                <w:rFonts w:hint="eastAsia"/>
                <w:sz w:val="20"/>
              </w:rPr>
              <w:t>发包人地址</w:t>
            </w:r>
          </w:p>
        </w:tc>
        <w:tc>
          <w:tcPr>
            <w:tcW w:w="6732"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442" w:type="dxa"/>
          </w:tcPr>
          <w:p>
            <w:pPr>
              <w:pStyle w:val="21"/>
              <w:spacing w:before="9"/>
              <w:rPr>
                <w:sz w:val="18"/>
              </w:rPr>
            </w:pPr>
          </w:p>
          <w:p>
            <w:pPr>
              <w:pStyle w:val="21"/>
              <w:ind w:left="5"/>
              <w:jc w:val="center"/>
              <w:rPr>
                <w:sz w:val="20"/>
              </w:rPr>
            </w:pPr>
            <w:r>
              <w:rPr>
                <w:rFonts w:hint="eastAsia"/>
                <w:sz w:val="20"/>
              </w:rPr>
              <w:t>发包人电话</w:t>
            </w:r>
          </w:p>
        </w:tc>
        <w:tc>
          <w:tcPr>
            <w:tcW w:w="6732"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442" w:type="dxa"/>
          </w:tcPr>
          <w:p>
            <w:pPr>
              <w:pStyle w:val="21"/>
              <w:spacing w:before="7"/>
              <w:rPr>
                <w:sz w:val="18"/>
              </w:rPr>
            </w:pPr>
          </w:p>
          <w:p>
            <w:pPr>
              <w:pStyle w:val="21"/>
              <w:ind w:left="8"/>
              <w:jc w:val="center"/>
              <w:rPr>
                <w:sz w:val="20"/>
              </w:rPr>
            </w:pPr>
            <w:r>
              <w:rPr>
                <w:rFonts w:hint="eastAsia"/>
                <w:sz w:val="20"/>
              </w:rPr>
              <w:t>合同价格</w:t>
            </w:r>
          </w:p>
        </w:tc>
        <w:tc>
          <w:tcPr>
            <w:tcW w:w="6732"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2442" w:type="dxa"/>
          </w:tcPr>
          <w:p>
            <w:pPr>
              <w:pStyle w:val="21"/>
              <w:spacing w:before="4"/>
              <w:rPr>
                <w:sz w:val="18"/>
              </w:rPr>
            </w:pPr>
          </w:p>
          <w:p>
            <w:pPr>
              <w:pStyle w:val="21"/>
              <w:ind w:left="8"/>
              <w:jc w:val="center"/>
              <w:rPr>
                <w:sz w:val="20"/>
              </w:rPr>
            </w:pPr>
            <w:r>
              <w:rPr>
                <w:rFonts w:hint="eastAsia"/>
                <w:sz w:val="20"/>
              </w:rPr>
              <w:t>开工日期</w:t>
            </w:r>
          </w:p>
        </w:tc>
        <w:tc>
          <w:tcPr>
            <w:tcW w:w="6732"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42" w:type="dxa"/>
          </w:tcPr>
          <w:p>
            <w:pPr>
              <w:pStyle w:val="21"/>
              <w:spacing w:before="3"/>
              <w:rPr>
                <w:sz w:val="19"/>
              </w:rPr>
            </w:pPr>
          </w:p>
          <w:p>
            <w:pPr>
              <w:pStyle w:val="21"/>
              <w:ind w:left="8"/>
              <w:jc w:val="center"/>
              <w:rPr>
                <w:sz w:val="20"/>
              </w:rPr>
            </w:pPr>
            <w:r>
              <w:rPr>
                <w:rFonts w:hint="eastAsia"/>
                <w:sz w:val="20"/>
              </w:rPr>
              <w:t>交工日期</w:t>
            </w:r>
          </w:p>
        </w:tc>
        <w:tc>
          <w:tcPr>
            <w:tcW w:w="6732"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442" w:type="dxa"/>
          </w:tcPr>
          <w:p>
            <w:pPr>
              <w:pStyle w:val="21"/>
              <w:spacing w:before="5"/>
              <w:rPr>
                <w:sz w:val="18"/>
              </w:rPr>
            </w:pPr>
          </w:p>
          <w:p>
            <w:pPr>
              <w:pStyle w:val="21"/>
              <w:spacing w:before="1"/>
              <w:ind w:left="5"/>
              <w:jc w:val="center"/>
              <w:rPr>
                <w:sz w:val="20"/>
              </w:rPr>
            </w:pPr>
            <w:r>
              <w:rPr>
                <w:rFonts w:hint="eastAsia"/>
                <w:sz w:val="20"/>
              </w:rPr>
              <w:t>承担的工作</w:t>
            </w:r>
          </w:p>
        </w:tc>
        <w:tc>
          <w:tcPr>
            <w:tcW w:w="6732"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442" w:type="dxa"/>
          </w:tcPr>
          <w:p>
            <w:pPr>
              <w:pStyle w:val="21"/>
              <w:spacing w:before="10"/>
              <w:rPr>
                <w:sz w:val="18"/>
              </w:rPr>
            </w:pPr>
          </w:p>
          <w:p>
            <w:pPr>
              <w:pStyle w:val="21"/>
              <w:ind w:left="8"/>
              <w:jc w:val="center"/>
              <w:rPr>
                <w:sz w:val="20"/>
              </w:rPr>
            </w:pPr>
            <w:r>
              <w:rPr>
                <w:rFonts w:hint="eastAsia"/>
                <w:sz w:val="20"/>
              </w:rPr>
              <w:t>工程质量</w:t>
            </w:r>
          </w:p>
        </w:tc>
        <w:tc>
          <w:tcPr>
            <w:tcW w:w="6732"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442" w:type="dxa"/>
          </w:tcPr>
          <w:p>
            <w:pPr>
              <w:pStyle w:val="21"/>
              <w:spacing w:before="7"/>
              <w:rPr>
                <w:sz w:val="18"/>
              </w:rPr>
            </w:pPr>
          </w:p>
          <w:p>
            <w:pPr>
              <w:pStyle w:val="21"/>
              <w:ind w:left="8"/>
              <w:jc w:val="center"/>
              <w:rPr>
                <w:sz w:val="20"/>
              </w:rPr>
            </w:pPr>
            <w:r>
              <w:rPr>
                <w:rFonts w:hint="eastAsia"/>
                <w:sz w:val="20"/>
              </w:rPr>
              <w:t>项目经理</w:t>
            </w:r>
          </w:p>
        </w:tc>
        <w:tc>
          <w:tcPr>
            <w:tcW w:w="6732"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442" w:type="dxa"/>
          </w:tcPr>
          <w:p>
            <w:pPr>
              <w:pStyle w:val="21"/>
              <w:spacing w:before="9"/>
              <w:rPr>
                <w:sz w:val="18"/>
              </w:rPr>
            </w:pPr>
          </w:p>
          <w:p>
            <w:pPr>
              <w:pStyle w:val="21"/>
              <w:ind w:left="8"/>
              <w:jc w:val="center"/>
              <w:rPr>
                <w:sz w:val="20"/>
              </w:rPr>
            </w:pPr>
            <w:r>
              <w:rPr>
                <w:rFonts w:hint="eastAsia"/>
                <w:sz w:val="20"/>
              </w:rPr>
              <w:t>项目总工</w:t>
            </w:r>
          </w:p>
        </w:tc>
        <w:tc>
          <w:tcPr>
            <w:tcW w:w="6732"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442" w:type="dxa"/>
          </w:tcPr>
          <w:p>
            <w:pPr>
              <w:pStyle w:val="21"/>
              <w:spacing w:before="6"/>
              <w:rPr>
                <w:sz w:val="18"/>
              </w:rPr>
            </w:pPr>
          </w:p>
          <w:p>
            <w:pPr>
              <w:pStyle w:val="21"/>
              <w:ind w:left="10"/>
              <w:jc w:val="center"/>
              <w:rPr>
                <w:sz w:val="20"/>
              </w:rPr>
            </w:pPr>
            <w:r>
              <w:rPr>
                <w:rFonts w:hint="eastAsia"/>
                <w:sz w:val="20"/>
              </w:rPr>
              <w:t>总监理工程师及电话</w:t>
            </w:r>
          </w:p>
        </w:tc>
        <w:tc>
          <w:tcPr>
            <w:tcW w:w="6732"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2442" w:type="dxa"/>
          </w:tcPr>
          <w:p>
            <w:pPr>
              <w:pStyle w:val="21"/>
              <w:rPr>
                <w:sz w:val="20"/>
              </w:rPr>
            </w:pPr>
          </w:p>
          <w:p>
            <w:pPr>
              <w:pStyle w:val="21"/>
              <w:spacing w:before="4"/>
              <w:rPr>
                <w:sz w:val="26"/>
              </w:rPr>
            </w:pPr>
          </w:p>
          <w:p>
            <w:pPr>
              <w:pStyle w:val="21"/>
              <w:spacing w:before="1"/>
              <w:ind w:left="8"/>
              <w:jc w:val="center"/>
              <w:rPr>
                <w:sz w:val="20"/>
              </w:rPr>
            </w:pPr>
            <w:r>
              <w:rPr>
                <w:rFonts w:hint="eastAsia"/>
                <w:sz w:val="20"/>
              </w:rPr>
              <w:t>项目描述</w:t>
            </w:r>
          </w:p>
        </w:tc>
        <w:tc>
          <w:tcPr>
            <w:tcW w:w="6732"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442" w:type="dxa"/>
          </w:tcPr>
          <w:p>
            <w:pPr>
              <w:pStyle w:val="21"/>
              <w:spacing w:before="5"/>
              <w:rPr>
                <w:sz w:val="18"/>
              </w:rPr>
            </w:pPr>
          </w:p>
          <w:p>
            <w:pPr>
              <w:pStyle w:val="21"/>
              <w:ind w:left="5"/>
              <w:jc w:val="center"/>
              <w:rPr>
                <w:sz w:val="20"/>
              </w:rPr>
            </w:pPr>
            <w:r>
              <w:rPr>
                <w:rFonts w:hint="eastAsia"/>
                <w:sz w:val="20"/>
              </w:rPr>
              <w:t>备注</w:t>
            </w:r>
          </w:p>
        </w:tc>
        <w:tc>
          <w:tcPr>
            <w:tcW w:w="6732" w:type="dxa"/>
          </w:tcPr>
          <w:p>
            <w:pPr>
              <w:pStyle w:val="21"/>
              <w:rPr>
                <w:sz w:val="20"/>
              </w:rPr>
            </w:pPr>
          </w:p>
        </w:tc>
      </w:tr>
    </w:tbl>
    <w:p>
      <w:pPr>
        <w:keepNext w:val="0"/>
        <w:keepLines w:val="0"/>
        <w:pageBreakBefore w:val="0"/>
        <w:widowControl w:val="0"/>
        <w:kinsoku/>
        <w:wordWrap/>
        <w:overflowPunct/>
        <w:topLinePunct w:val="0"/>
        <w:autoSpaceDE w:val="0"/>
        <w:autoSpaceDN w:val="0"/>
        <w:bidi w:val="0"/>
        <w:adjustRightInd/>
        <w:snapToGrid/>
        <w:spacing w:before="143" w:line="360" w:lineRule="auto"/>
        <w:ind w:left="482"/>
        <w:textAlignment w:val="auto"/>
        <w:rPr>
          <w:rFonts w:hint="eastAsia" w:ascii="宋体" w:hAnsi="宋体" w:eastAsia="宋体" w:cs="宋体"/>
          <w:color w:val="auto"/>
          <w:sz w:val="20"/>
          <w:lang w:eastAsia="zh-CN"/>
        </w:rPr>
      </w:pPr>
      <w:r>
        <w:rPr>
          <w:rFonts w:hint="eastAsia"/>
          <w:color w:val="auto"/>
          <w:sz w:val="20"/>
        </w:rPr>
        <w:t>注：每张表格只填写一个项目，并标明序号</w:t>
      </w:r>
      <w:r>
        <w:rPr>
          <w:rFonts w:hint="eastAsia"/>
          <w:color w:val="auto"/>
          <w:sz w:val="20"/>
          <w:lang w:eastAsia="zh-CN"/>
        </w:rPr>
        <w:t>，</w:t>
      </w:r>
      <w:r>
        <w:rPr>
          <w:rFonts w:hint="eastAsia" w:ascii="宋体" w:hAnsi="宋体" w:eastAsia="宋体" w:cs="宋体"/>
          <w:color w:val="auto"/>
          <w:sz w:val="20"/>
          <w:lang w:eastAsia="zh-CN"/>
        </w:rPr>
        <w:t>表后须附</w:t>
      </w:r>
      <w:r>
        <w:rPr>
          <w:rFonts w:hint="eastAsia" w:ascii="宋体" w:hAnsi="宋体" w:eastAsia="宋体" w:cs="宋体"/>
          <w:color w:val="auto"/>
          <w:sz w:val="20"/>
          <w:lang w:val="zh-CN" w:eastAsia="zh-CN"/>
        </w:rPr>
        <w:t>近三年（201</w:t>
      </w:r>
      <w:r>
        <w:rPr>
          <w:rFonts w:hint="eastAsia" w:ascii="宋体" w:hAnsi="宋体" w:eastAsia="宋体" w:cs="宋体"/>
          <w:color w:val="auto"/>
          <w:sz w:val="20"/>
          <w:lang w:eastAsia="zh-CN"/>
        </w:rPr>
        <w:t>9</w:t>
      </w:r>
      <w:r>
        <w:rPr>
          <w:rFonts w:hint="eastAsia" w:ascii="宋体" w:hAnsi="宋体" w:eastAsia="宋体" w:cs="宋体"/>
          <w:color w:val="auto"/>
          <w:sz w:val="20"/>
          <w:lang w:val="zh-CN" w:eastAsia="zh-CN"/>
        </w:rPr>
        <w:t>年</w:t>
      </w:r>
      <w:r>
        <w:rPr>
          <w:rFonts w:hint="eastAsia" w:ascii="宋体" w:hAnsi="宋体" w:eastAsia="宋体" w:cs="宋体"/>
          <w:color w:val="auto"/>
          <w:sz w:val="20"/>
          <w:lang w:val="en-US" w:eastAsia="zh-CN"/>
        </w:rPr>
        <w:t>6</w:t>
      </w:r>
      <w:r>
        <w:rPr>
          <w:rFonts w:hint="eastAsia" w:ascii="宋体" w:hAnsi="宋体" w:eastAsia="宋体" w:cs="宋体"/>
          <w:color w:val="auto"/>
          <w:sz w:val="20"/>
          <w:lang w:val="zh-CN" w:eastAsia="zh-CN"/>
        </w:rPr>
        <w:t>月-至今）的业绩证明材料的扫描件（如</w:t>
      </w:r>
      <w:r>
        <w:rPr>
          <w:rFonts w:hint="eastAsia" w:ascii="宋体" w:hAnsi="宋体" w:eastAsia="宋体" w:cs="宋体"/>
          <w:color w:val="auto"/>
          <w:sz w:val="20"/>
          <w:lang w:eastAsia="zh-CN"/>
        </w:rPr>
        <w:t>合同协议书等）。</w:t>
      </w:r>
    </w:p>
    <w:p>
      <w:pPr>
        <w:keepNext w:val="0"/>
        <w:keepLines w:val="0"/>
        <w:pageBreakBefore w:val="0"/>
        <w:widowControl w:val="0"/>
        <w:kinsoku/>
        <w:wordWrap/>
        <w:overflowPunct/>
        <w:topLinePunct w:val="0"/>
        <w:autoSpaceDE w:val="0"/>
        <w:autoSpaceDN w:val="0"/>
        <w:bidi w:val="0"/>
        <w:adjustRightInd/>
        <w:snapToGrid/>
        <w:spacing w:before="143" w:line="360" w:lineRule="auto"/>
        <w:ind w:left="482"/>
        <w:textAlignment w:val="auto"/>
        <w:rPr>
          <w:rFonts w:hint="eastAsia" w:ascii="宋体" w:hAnsi="宋体" w:eastAsia="宋体" w:cs="宋体"/>
          <w:color w:val="FF0000"/>
          <w:sz w:val="20"/>
          <w:lang w:eastAsia="zh-CN"/>
        </w:rPr>
      </w:pPr>
    </w:p>
    <w:p>
      <w:pPr>
        <w:rPr>
          <w:sz w:val="28"/>
        </w:rPr>
      </w:pPr>
    </w:p>
    <w:p>
      <w:pPr>
        <w:pStyle w:val="2"/>
      </w:pPr>
    </w:p>
    <w:p>
      <w:pPr>
        <w:rPr>
          <w:sz w:val="28"/>
        </w:rPr>
      </w:pPr>
    </w:p>
    <w:p>
      <w:pPr>
        <w:pStyle w:val="2"/>
      </w:pPr>
    </w:p>
    <w:p>
      <w:pPr>
        <w:pStyle w:val="10"/>
        <w:spacing w:before="66"/>
        <w:ind w:left="1" w:right="199"/>
        <w:jc w:val="center"/>
      </w:pPr>
      <w:bookmarkStart w:id="103" w:name="（五）投标人的信誉情况表"/>
      <w:bookmarkEnd w:id="103"/>
      <w:r>
        <w:rPr>
          <w:rFonts w:hint="eastAsia"/>
        </w:rPr>
        <w:t>（五）投标人的信誉情况表</w:t>
      </w:r>
    </w:p>
    <w:p>
      <w:pPr>
        <w:pStyle w:val="10"/>
        <w:rPr>
          <w:sz w:val="20"/>
        </w:rPr>
      </w:pPr>
    </w:p>
    <w:p>
      <w:pPr>
        <w:pStyle w:val="10"/>
        <w:spacing w:before="12"/>
        <w:rPr>
          <w:sz w:val="11"/>
        </w:rPr>
      </w:pPr>
    </w:p>
    <w:tbl>
      <w:tblPr>
        <w:tblStyle w:val="18"/>
        <w:tblW w:w="8522" w:type="dxa"/>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4261" w:type="dxa"/>
          </w:tcPr>
          <w:p>
            <w:pPr>
              <w:pStyle w:val="21"/>
              <w:rPr>
                <w:sz w:val="20"/>
              </w:rPr>
            </w:pPr>
          </w:p>
          <w:p>
            <w:pPr>
              <w:pStyle w:val="21"/>
              <w:spacing w:before="9"/>
              <w:rPr>
                <w:sz w:val="16"/>
              </w:rPr>
            </w:pPr>
          </w:p>
          <w:p>
            <w:pPr>
              <w:pStyle w:val="21"/>
              <w:ind w:left="1942" w:right="1769"/>
              <w:jc w:val="center"/>
              <w:rPr>
                <w:sz w:val="20"/>
              </w:rPr>
            </w:pPr>
            <w:r>
              <w:rPr>
                <w:rFonts w:hint="eastAsia"/>
                <w:sz w:val="20"/>
              </w:rPr>
              <w:t>项 目</w:t>
            </w:r>
          </w:p>
        </w:tc>
        <w:tc>
          <w:tcPr>
            <w:tcW w:w="4261" w:type="dxa"/>
          </w:tcPr>
          <w:p>
            <w:pPr>
              <w:pStyle w:val="21"/>
              <w:rPr>
                <w:sz w:val="20"/>
              </w:rPr>
            </w:pPr>
          </w:p>
          <w:p>
            <w:pPr>
              <w:pStyle w:val="21"/>
              <w:spacing w:before="9"/>
              <w:rPr>
                <w:sz w:val="16"/>
              </w:rPr>
            </w:pPr>
          </w:p>
          <w:p>
            <w:pPr>
              <w:pStyle w:val="21"/>
              <w:ind w:left="1513"/>
              <w:rPr>
                <w:sz w:val="20"/>
              </w:rPr>
            </w:pPr>
            <w:r>
              <w:rPr>
                <w:rFonts w:hint="eastAsia"/>
                <w:sz w:val="20"/>
              </w:rPr>
              <w:t>投标人情况说明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pPr>
              <w:pStyle w:val="21"/>
              <w:rPr>
                <w:sz w:val="20"/>
              </w:rPr>
            </w:pPr>
          </w:p>
        </w:tc>
        <w:tc>
          <w:tcPr>
            <w:tcW w:w="4261"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pPr>
              <w:pStyle w:val="21"/>
              <w:rPr>
                <w:sz w:val="20"/>
              </w:rPr>
            </w:pPr>
          </w:p>
        </w:tc>
        <w:tc>
          <w:tcPr>
            <w:tcW w:w="4261"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pPr>
              <w:pStyle w:val="21"/>
              <w:rPr>
                <w:sz w:val="20"/>
              </w:rPr>
            </w:pPr>
          </w:p>
        </w:tc>
        <w:tc>
          <w:tcPr>
            <w:tcW w:w="4261"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pPr>
              <w:pStyle w:val="21"/>
              <w:rPr>
                <w:sz w:val="20"/>
              </w:rPr>
            </w:pPr>
          </w:p>
        </w:tc>
        <w:tc>
          <w:tcPr>
            <w:tcW w:w="4261"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pPr>
              <w:pStyle w:val="21"/>
              <w:rPr>
                <w:sz w:val="20"/>
              </w:rPr>
            </w:pPr>
          </w:p>
        </w:tc>
        <w:tc>
          <w:tcPr>
            <w:tcW w:w="4261"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pPr>
              <w:pStyle w:val="21"/>
              <w:rPr>
                <w:sz w:val="20"/>
              </w:rPr>
            </w:pPr>
          </w:p>
        </w:tc>
        <w:tc>
          <w:tcPr>
            <w:tcW w:w="4261"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pPr>
              <w:pStyle w:val="21"/>
              <w:rPr>
                <w:sz w:val="20"/>
              </w:rPr>
            </w:pPr>
          </w:p>
        </w:tc>
        <w:tc>
          <w:tcPr>
            <w:tcW w:w="4261" w:type="dxa"/>
          </w:tcPr>
          <w:p>
            <w:pPr>
              <w:pStyle w:val="2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pPr>
              <w:pStyle w:val="21"/>
              <w:rPr>
                <w:sz w:val="20"/>
              </w:rPr>
            </w:pPr>
          </w:p>
        </w:tc>
        <w:tc>
          <w:tcPr>
            <w:tcW w:w="4261" w:type="dxa"/>
          </w:tcPr>
          <w:p>
            <w:pPr>
              <w:pStyle w:val="21"/>
              <w:rPr>
                <w:sz w:val="20"/>
              </w:rPr>
            </w:pPr>
          </w:p>
        </w:tc>
      </w:tr>
    </w:tbl>
    <w:p>
      <w:pPr>
        <w:pStyle w:val="10"/>
        <w:keepNext w:val="0"/>
        <w:keepLines w:val="0"/>
        <w:pageBreakBefore w:val="0"/>
        <w:widowControl w:val="0"/>
        <w:kinsoku/>
        <w:wordWrap/>
        <w:overflowPunct/>
        <w:topLinePunct w:val="0"/>
        <w:autoSpaceDE w:val="0"/>
        <w:autoSpaceDN w:val="0"/>
        <w:bidi w:val="0"/>
        <w:adjustRightInd/>
        <w:snapToGrid/>
        <w:spacing w:line="360" w:lineRule="auto"/>
        <w:ind w:firstLine="360" w:firstLineChars="200"/>
        <w:textAlignment w:val="auto"/>
        <w:rPr>
          <w:rFonts w:hint="eastAsia"/>
          <w:sz w:val="18"/>
          <w:szCs w:val="18"/>
        </w:rPr>
      </w:pPr>
    </w:p>
    <w:p>
      <w:pPr>
        <w:pStyle w:val="10"/>
        <w:keepNext w:val="0"/>
        <w:keepLines w:val="0"/>
        <w:pageBreakBefore w:val="0"/>
        <w:widowControl w:val="0"/>
        <w:kinsoku/>
        <w:wordWrap/>
        <w:overflowPunct/>
        <w:topLinePunct w:val="0"/>
        <w:autoSpaceDE w:val="0"/>
        <w:autoSpaceDN w:val="0"/>
        <w:bidi w:val="0"/>
        <w:adjustRightInd/>
        <w:snapToGrid/>
        <w:spacing w:line="360" w:lineRule="auto"/>
        <w:ind w:firstLine="360" w:firstLineChars="200"/>
        <w:textAlignment w:val="auto"/>
        <w:rPr>
          <w:rFonts w:hint="eastAsia"/>
          <w:color w:val="auto"/>
          <w:sz w:val="18"/>
          <w:szCs w:val="18"/>
        </w:rPr>
      </w:pPr>
      <w:r>
        <w:rPr>
          <w:rFonts w:hint="eastAsia"/>
          <w:color w:val="auto"/>
          <w:sz w:val="18"/>
          <w:szCs w:val="18"/>
        </w:rPr>
        <w:t>注：“投标人的信誉情况表”应附投标人</w:t>
      </w:r>
      <w:r>
        <w:rPr>
          <w:rFonts w:hint="eastAsia"/>
          <w:color w:val="auto"/>
          <w:spacing w:val="-6"/>
          <w:sz w:val="18"/>
          <w:szCs w:val="18"/>
        </w:rPr>
        <w:t>在</w:t>
      </w:r>
      <w:r>
        <w:rPr>
          <w:rFonts w:hint="eastAsia"/>
          <w:color w:val="auto"/>
          <w:sz w:val="18"/>
          <w:szCs w:val="18"/>
        </w:rPr>
        <w:t>“信用中国”</w:t>
      </w:r>
      <w:r>
        <w:rPr>
          <w:rFonts w:hint="eastAsia" w:ascii="宋体" w:hAnsi="宋体" w:eastAsia="宋体" w:cs="宋体"/>
          <w:color w:val="auto"/>
          <w:sz w:val="20"/>
          <w:lang w:val="en-US" w:eastAsia="zh-CN"/>
        </w:rPr>
        <w:t>和</w:t>
      </w:r>
      <w:r>
        <w:rPr>
          <w:rFonts w:hint="eastAsia"/>
          <w:color w:val="auto"/>
          <w:sz w:val="18"/>
          <w:szCs w:val="18"/>
          <w:lang w:val="en-US" w:eastAsia="zh-CN"/>
        </w:rPr>
        <w:t>“中国政府采购网”</w:t>
      </w:r>
      <w:r>
        <w:rPr>
          <w:rFonts w:hint="eastAsia"/>
          <w:color w:val="auto"/>
          <w:spacing w:val="-1"/>
          <w:sz w:val="18"/>
          <w:szCs w:val="18"/>
        </w:rPr>
        <w:t>网站中未被列入失信被执行人名单的网页截</w:t>
      </w:r>
      <w:r>
        <w:rPr>
          <w:rFonts w:hint="eastAsia"/>
          <w:color w:val="auto"/>
          <w:spacing w:val="-11"/>
          <w:sz w:val="18"/>
          <w:szCs w:val="18"/>
        </w:rPr>
        <w:t>图，对投标人、法定代表人、拟委任的</w:t>
      </w:r>
      <w:r>
        <w:rPr>
          <w:rFonts w:hint="eastAsia"/>
          <w:color w:val="auto"/>
          <w:sz w:val="18"/>
          <w:szCs w:val="18"/>
        </w:rPr>
        <w:t>项目经理近三年无行贿犯罪行为进行承诺。</w:t>
      </w:r>
    </w:p>
    <w:p>
      <w:pPr>
        <w:pStyle w:val="1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18"/>
          <w:szCs w:val="18"/>
        </w:rPr>
      </w:pPr>
    </w:p>
    <w:p>
      <w:pPr>
        <w:rPr>
          <w:rFonts w:hint="eastAsia"/>
          <w:sz w:val="24"/>
        </w:rPr>
      </w:pPr>
    </w:p>
    <w:p>
      <w:pPr>
        <w:pStyle w:val="2"/>
        <w:rPr>
          <w:rFonts w:hint="eastAsia"/>
          <w:sz w:val="24"/>
        </w:rPr>
      </w:pPr>
    </w:p>
    <w:p>
      <w:pPr>
        <w:rPr>
          <w:rFonts w:hint="eastAsia"/>
          <w:sz w:val="24"/>
        </w:rPr>
      </w:pPr>
    </w:p>
    <w:p>
      <w:pPr>
        <w:pStyle w:val="2"/>
        <w:rPr>
          <w:rFonts w:hint="eastAsia"/>
          <w:sz w:val="24"/>
        </w:rPr>
      </w:pPr>
    </w:p>
    <w:p/>
    <w:p>
      <w:pPr>
        <w:pStyle w:val="10"/>
        <w:spacing w:before="9"/>
        <w:rPr>
          <w:sz w:val="17"/>
        </w:rPr>
      </w:pPr>
    </w:p>
    <w:p>
      <w:pPr>
        <w:pStyle w:val="10"/>
        <w:ind w:left="1" w:right="199"/>
        <w:jc w:val="center"/>
        <w:rPr>
          <w:rFonts w:hint="eastAsia"/>
        </w:rPr>
      </w:pPr>
    </w:p>
    <w:p>
      <w:pPr>
        <w:pStyle w:val="10"/>
        <w:ind w:left="1" w:right="199"/>
        <w:jc w:val="center"/>
      </w:pPr>
      <w:r>
        <w:rPr>
          <w:rFonts w:hint="eastAsia"/>
        </w:rPr>
        <w:t>投标无行贿犯罪记录承诺函</w:t>
      </w:r>
    </w:p>
    <w:p>
      <w:pPr>
        <w:pStyle w:val="10"/>
        <w:rPr>
          <w:sz w:val="20"/>
        </w:rPr>
      </w:pPr>
    </w:p>
    <w:p>
      <w:pPr>
        <w:pStyle w:val="10"/>
        <w:tabs>
          <w:tab w:val="left" w:pos="3359"/>
        </w:tabs>
        <w:spacing w:before="228"/>
        <w:ind w:left="480"/>
      </w:pPr>
      <w:r>
        <w:rPr>
          <w:rFonts w:hint="eastAsia"/>
          <w:u w:val="single"/>
        </w:rPr>
        <w:t xml:space="preserve"> </w:t>
      </w:r>
      <w:r>
        <w:rPr>
          <w:rFonts w:hint="eastAsia"/>
          <w:u w:val="single"/>
        </w:rPr>
        <w:tab/>
      </w:r>
      <w:r>
        <w:rPr>
          <w:rFonts w:hint="eastAsia"/>
        </w:rPr>
        <w:t>（</w:t>
      </w:r>
      <w:r>
        <w:rPr>
          <w:rFonts w:hint="eastAsia"/>
          <w:lang w:eastAsia="zh-CN"/>
        </w:rPr>
        <w:t>采购</w:t>
      </w:r>
      <w:r>
        <w:rPr>
          <w:rFonts w:hint="eastAsia"/>
        </w:rPr>
        <w:t>人名称）：</w:t>
      </w:r>
    </w:p>
    <w:p>
      <w:pPr>
        <w:pStyle w:val="10"/>
        <w:spacing w:before="5"/>
        <w:rPr>
          <w:sz w:val="38"/>
        </w:rPr>
      </w:pPr>
    </w:p>
    <w:p>
      <w:pPr>
        <w:pStyle w:val="10"/>
        <w:tabs>
          <w:tab w:val="left" w:pos="3146"/>
          <w:tab w:val="left" w:pos="6146"/>
        </w:tabs>
        <w:spacing w:line="312" w:lineRule="auto"/>
        <w:ind w:left="480" w:right="877" w:firstLine="480"/>
        <w:jc w:val="both"/>
      </w:pPr>
      <w:r>
        <w:rPr>
          <w:rFonts w:hint="eastAsia"/>
        </w:rPr>
        <w:t>我方参加了</w:t>
      </w:r>
      <w:r>
        <w:rPr>
          <w:rFonts w:hint="eastAsia"/>
          <w:spacing w:val="96"/>
          <w:u w:val="single"/>
        </w:rPr>
        <w:t xml:space="preserve"> </w:t>
      </w:r>
      <w:r>
        <w:rPr>
          <w:rFonts w:hint="eastAsia"/>
          <w:u w:val="single"/>
        </w:rPr>
        <w:t>（项目名称）</w:t>
      </w:r>
      <w:r>
        <w:rPr>
          <w:rFonts w:hint="eastAsia"/>
          <w:spacing w:val="96"/>
          <w:u w:val="single"/>
        </w:rPr>
        <w:t xml:space="preserve"> </w:t>
      </w:r>
      <w:r>
        <w:rPr>
          <w:rFonts w:hint="eastAsia"/>
        </w:rPr>
        <w:t>投标</w:t>
      </w:r>
      <w:r>
        <w:rPr>
          <w:rFonts w:hint="eastAsia"/>
          <w:spacing w:val="-24"/>
        </w:rPr>
        <w:t>，</w:t>
      </w:r>
      <w:r>
        <w:rPr>
          <w:rFonts w:hint="eastAsia"/>
        </w:rPr>
        <w:t>我方承诺</w:t>
      </w:r>
      <w:r>
        <w:rPr>
          <w:rFonts w:hint="eastAsia"/>
          <w:spacing w:val="-22"/>
        </w:rPr>
        <w:t>，</w:t>
      </w:r>
      <w:r>
        <w:rPr>
          <w:rFonts w:hint="eastAsia"/>
        </w:rPr>
        <w:t>我公司近三年内无行贿犯</w:t>
      </w:r>
      <w:r>
        <w:rPr>
          <w:rFonts w:hint="eastAsia"/>
          <w:spacing w:val="-17"/>
        </w:rPr>
        <w:t>罪</w:t>
      </w:r>
      <w:r>
        <w:rPr>
          <w:rFonts w:hint="eastAsia"/>
        </w:rPr>
        <w:t>行为</w:t>
      </w:r>
      <w:r>
        <w:rPr>
          <w:rFonts w:hint="eastAsia"/>
          <w:spacing w:val="-94"/>
        </w:rPr>
        <w:t>，</w:t>
      </w:r>
      <w:r>
        <w:rPr>
          <w:rFonts w:hint="eastAsia"/>
        </w:rPr>
        <w:t>法定代表人</w:t>
      </w:r>
      <w:r>
        <w:rPr>
          <w:rFonts w:hint="eastAsia"/>
          <w:u w:val="single"/>
        </w:rPr>
        <w:t xml:space="preserve"> </w:t>
      </w:r>
      <w:r>
        <w:rPr>
          <w:rFonts w:hint="eastAsia"/>
          <w:u w:val="single"/>
        </w:rPr>
        <w:tab/>
      </w:r>
      <w:r>
        <w:rPr>
          <w:rFonts w:hint="eastAsia"/>
        </w:rPr>
        <w:t>及拟委任的项目经理</w:t>
      </w:r>
      <w:r>
        <w:rPr>
          <w:rFonts w:hint="eastAsia"/>
          <w:u w:val="single"/>
        </w:rPr>
        <w:t xml:space="preserve"> </w:t>
      </w:r>
      <w:r>
        <w:rPr>
          <w:rFonts w:hint="eastAsia"/>
          <w:u w:val="single"/>
        </w:rPr>
        <w:tab/>
      </w:r>
      <w:r>
        <w:rPr>
          <w:rFonts w:hint="eastAsia"/>
        </w:rPr>
        <w:t>近三年内也无行贿犯罪</w:t>
      </w:r>
      <w:r>
        <w:rPr>
          <w:rFonts w:hint="eastAsia"/>
          <w:spacing w:val="-17"/>
        </w:rPr>
        <w:t>行</w:t>
      </w:r>
      <w:r>
        <w:rPr>
          <w:rFonts w:hint="eastAsia"/>
        </w:rPr>
        <w:t>为。</w:t>
      </w:r>
    </w:p>
    <w:p>
      <w:pPr>
        <w:pStyle w:val="10"/>
        <w:spacing w:before="1" w:line="312" w:lineRule="auto"/>
        <w:ind w:left="480" w:right="877" w:firstLine="480"/>
        <w:jc w:val="both"/>
      </w:pPr>
      <w:r>
        <w:rPr>
          <w:rFonts w:hint="eastAsia"/>
          <w:spacing w:val="-8"/>
        </w:rPr>
        <w:t>如我方上述承诺不实，</w:t>
      </w:r>
      <w:r>
        <w:rPr>
          <w:rFonts w:hint="eastAsia"/>
          <w:spacing w:val="-8"/>
          <w:lang w:eastAsia="zh-CN"/>
        </w:rPr>
        <w:t>采购</w:t>
      </w:r>
      <w:r>
        <w:rPr>
          <w:rFonts w:hint="eastAsia"/>
          <w:spacing w:val="-8"/>
        </w:rPr>
        <w:t>人可认为我方弄虚作假骗取中标，按照相关规定</w:t>
      </w:r>
      <w:r>
        <w:rPr>
          <w:rFonts w:hint="eastAsia"/>
          <w:spacing w:val="-10"/>
        </w:rPr>
        <w:t>进行处理，并由</w:t>
      </w:r>
      <w:r>
        <w:rPr>
          <w:rFonts w:hint="eastAsia"/>
          <w:spacing w:val="-10"/>
          <w:lang w:eastAsia="zh-CN"/>
        </w:rPr>
        <w:t>采购</w:t>
      </w:r>
      <w:r>
        <w:rPr>
          <w:rFonts w:hint="eastAsia"/>
          <w:spacing w:val="-10"/>
        </w:rPr>
        <w:t>人将我方的违约行为上报</w:t>
      </w:r>
      <w:r>
        <w:rPr>
          <w:rFonts w:hint="eastAsia"/>
          <w:spacing w:val="-10"/>
          <w:lang w:eastAsia="zh-CN"/>
        </w:rPr>
        <w:t>行业</w:t>
      </w:r>
      <w:r>
        <w:rPr>
          <w:rFonts w:hint="eastAsia"/>
          <w:spacing w:val="-10"/>
        </w:rPr>
        <w:t>主管部门，作为不良记录</w:t>
      </w:r>
      <w:r>
        <w:rPr>
          <w:rFonts w:hint="eastAsia"/>
        </w:rPr>
        <w:t>纳入</w:t>
      </w:r>
      <w:r>
        <w:rPr>
          <w:rFonts w:hint="eastAsia"/>
          <w:lang w:eastAsia="zh-CN"/>
        </w:rPr>
        <w:t>行业</w:t>
      </w:r>
      <w:r>
        <w:rPr>
          <w:rFonts w:hint="eastAsia"/>
        </w:rPr>
        <w:t>建设市场信息管理系统。</w:t>
      </w:r>
    </w:p>
    <w:p>
      <w:pPr>
        <w:pStyle w:val="10"/>
      </w:pPr>
    </w:p>
    <w:p>
      <w:pPr>
        <w:pStyle w:val="10"/>
      </w:pPr>
    </w:p>
    <w:p>
      <w:pPr>
        <w:pStyle w:val="10"/>
        <w:tabs>
          <w:tab w:val="left" w:pos="7667"/>
          <w:tab w:val="left" w:pos="8147"/>
        </w:tabs>
        <w:spacing w:before="185" w:line="312" w:lineRule="auto"/>
        <w:ind w:left="3827" w:right="876"/>
      </w:pPr>
      <w:r>
        <w:rPr>
          <w:rFonts w:hint="eastAsia" w:ascii="PQPMNW+ËÎÌå" w:hAnsi="PQPMNW+ËÎÌå" w:cs="PQPMNW+ËÎÌå"/>
          <w:spacing w:val="-1"/>
        </w:rPr>
        <w:t>竞争性磋商响应人</w:t>
      </w:r>
      <w:r>
        <w:rPr>
          <w:rFonts w:hint="eastAsia"/>
        </w:rPr>
        <w:t>：</w:t>
      </w:r>
      <w:r>
        <w:rPr>
          <w:rFonts w:hint="eastAsia"/>
          <w:u w:val="single"/>
        </w:rPr>
        <w:t xml:space="preserve"> </w:t>
      </w:r>
      <w:r>
        <w:rPr>
          <w:rFonts w:hint="eastAsia"/>
          <w:u w:val="single"/>
        </w:rPr>
        <w:tab/>
      </w:r>
      <w:r>
        <w:rPr>
          <w:rFonts w:hint="eastAsia"/>
        </w:rPr>
        <w:t>(盖单位章</w:t>
      </w:r>
      <w:r>
        <w:rPr>
          <w:rFonts w:hint="eastAsia"/>
          <w:spacing w:val="-16"/>
        </w:rPr>
        <w:t xml:space="preserve">) </w:t>
      </w:r>
      <w:r>
        <w:rPr>
          <w:rFonts w:hint="eastAsia"/>
        </w:rPr>
        <w:t>法定代表人或其委托代理人：</w:t>
      </w:r>
      <w:r>
        <w:rPr>
          <w:rFonts w:hint="eastAsia"/>
          <w:u w:val="single"/>
        </w:rPr>
        <w:t xml:space="preserve"> </w:t>
      </w:r>
      <w:r>
        <w:rPr>
          <w:rFonts w:hint="eastAsia"/>
          <w:u w:val="single"/>
          <w:lang w:val="en-US" w:eastAsia="zh-CN"/>
        </w:rPr>
        <w:t xml:space="preserve">   </w:t>
      </w:r>
      <w:r>
        <w:rPr>
          <w:rFonts w:hint="eastAsia"/>
          <w:spacing w:val="-1"/>
        </w:rPr>
        <w:t>(</w:t>
      </w:r>
      <w:r>
        <w:rPr>
          <w:rFonts w:hint="eastAsia"/>
        </w:rPr>
        <w:t>签字</w:t>
      </w:r>
      <w:r>
        <w:rPr>
          <w:rFonts w:hint="eastAsia"/>
          <w:lang w:eastAsia="zh-CN"/>
        </w:rPr>
        <w:t>或盖章</w:t>
      </w:r>
      <w:r>
        <w:rPr>
          <w:rFonts w:hint="eastAsia"/>
          <w:spacing w:val="-16"/>
        </w:rPr>
        <w:t>)</w:t>
      </w:r>
    </w:p>
    <w:p>
      <w:pPr>
        <w:pStyle w:val="10"/>
        <w:rPr>
          <w:sz w:val="29"/>
        </w:rPr>
      </w:pPr>
    </w:p>
    <w:p>
      <w:pPr>
        <w:pStyle w:val="10"/>
        <w:tabs>
          <w:tab w:val="left" w:pos="6866"/>
          <w:tab w:val="left" w:pos="7706"/>
          <w:tab w:val="left" w:pos="8546"/>
        </w:tabs>
        <w:spacing w:before="67"/>
        <w:ind w:left="5786"/>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sectPr>
          <w:pgSz w:w="11910" w:h="16840"/>
          <w:pgMar w:top="1220" w:right="920" w:bottom="1180" w:left="1320" w:header="882" w:footer="989" w:gutter="0"/>
          <w:cols w:space="720" w:num="1"/>
        </w:sectPr>
      </w:pPr>
    </w:p>
    <w:p>
      <w:pPr>
        <w:pStyle w:val="10"/>
        <w:spacing w:before="3"/>
        <w:rPr>
          <w:sz w:val="19"/>
        </w:rPr>
      </w:pPr>
    </w:p>
    <w:p>
      <w:pPr>
        <w:pStyle w:val="10"/>
        <w:numPr>
          <w:ilvl w:val="0"/>
          <w:numId w:val="4"/>
        </w:numPr>
        <w:spacing w:before="66"/>
        <w:ind w:left="591" w:leftChars="0" w:right="199" w:firstLine="0" w:firstLineChars="0"/>
        <w:jc w:val="center"/>
        <w:rPr>
          <w:rFonts w:hint="eastAsia"/>
        </w:rPr>
      </w:pPr>
      <w:bookmarkStart w:id="104" w:name="（六）拟委任的项目经理和项目总工资历表"/>
      <w:bookmarkEnd w:id="104"/>
      <w:r>
        <w:rPr>
          <w:rFonts w:hint="eastAsia"/>
        </w:rPr>
        <w:t>拟委任的项目经理</w:t>
      </w:r>
      <w:r>
        <w:rPr>
          <w:rFonts w:hint="eastAsia"/>
          <w:lang w:eastAsia="zh-CN"/>
        </w:rPr>
        <w:t>简历</w:t>
      </w:r>
    </w:p>
    <w:p>
      <w:pPr>
        <w:pStyle w:val="11"/>
        <w:widowControl w:val="0"/>
        <w:numPr>
          <w:ilvl w:val="0"/>
          <w:numId w:val="0"/>
        </w:numPr>
        <w:autoSpaceDE w:val="0"/>
        <w:autoSpaceDN w:val="0"/>
        <w:adjustRightInd w:val="0"/>
      </w:pPr>
    </w:p>
    <w:p>
      <w:pPr>
        <w:spacing w:line="360" w:lineRule="auto"/>
        <w:rPr>
          <w:rFonts w:ascii="宋体" w:eastAsia="Times New Roman"/>
          <w:lang w:val="zh-CN"/>
        </w:rPr>
      </w:pPr>
      <w:r>
        <w:rPr>
          <w:rFonts w:ascii="宋体" w:hAnsi="宋体"/>
          <w:lang w:val="zh-CN"/>
        </w:rPr>
        <w:t>1</w:t>
      </w:r>
      <w:r>
        <w:rPr>
          <w:rFonts w:hint="eastAsia" w:ascii="宋体" w:hAnsi="宋体"/>
          <w:lang w:val="zh-CN"/>
        </w:rPr>
        <w:t>、项目经理介绍应包括：姓名、性别、年龄、职称</w:t>
      </w:r>
      <w:r>
        <w:rPr>
          <w:rFonts w:hint="eastAsia" w:ascii="宋体" w:hAnsi="宋体"/>
        </w:rPr>
        <w:t xml:space="preserve"> </w:t>
      </w:r>
      <w:r>
        <w:rPr>
          <w:rFonts w:hint="eastAsia" w:ascii="宋体" w:hAnsi="宋体"/>
          <w:lang w:val="zh-CN"/>
        </w:rPr>
        <w:t>、学历、参加工作时间、从事项目管理年限以及其他内容。</w:t>
      </w:r>
    </w:p>
    <w:p>
      <w:pPr>
        <w:spacing w:line="360" w:lineRule="auto"/>
        <w:rPr>
          <w:rFonts w:ascii="宋体" w:eastAsia="Times New Roman"/>
          <w:lang w:val="zh-CN"/>
        </w:rPr>
      </w:pPr>
      <w:r>
        <w:rPr>
          <w:rFonts w:ascii="宋体" w:hAnsi="宋体"/>
          <w:lang w:val="zh-CN"/>
        </w:rPr>
        <w:t>2</w:t>
      </w:r>
      <w:r>
        <w:rPr>
          <w:rFonts w:hint="eastAsia" w:ascii="宋体" w:hAnsi="宋体"/>
          <w:lang w:val="zh-CN"/>
        </w:rPr>
        <w:t>、项目经理近</w:t>
      </w:r>
      <w:r>
        <w:rPr>
          <w:rFonts w:ascii="宋体" w:hAnsi="宋体"/>
          <w:lang w:val="zh-CN"/>
        </w:rPr>
        <w:t>3</w:t>
      </w:r>
      <w:r>
        <w:rPr>
          <w:rFonts w:hint="eastAsia" w:ascii="宋体" w:hAnsi="宋体"/>
          <w:lang w:val="zh-CN"/>
        </w:rPr>
        <w:t>年内工程经历应按下表提供。</w:t>
      </w:r>
    </w:p>
    <w:p>
      <w:pPr>
        <w:spacing w:line="360" w:lineRule="auto"/>
        <w:jc w:val="center"/>
        <w:rPr>
          <w:rFonts w:ascii="宋体" w:eastAsia="Times New Roman"/>
          <w:lang w:val="zh-CN"/>
        </w:rPr>
      </w:pPr>
      <w:r>
        <w:rPr>
          <w:rFonts w:hint="eastAsia" w:ascii="宋体" w:hAnsi="宋体"/>
          <w:lang w:val="zh-CN"/>
        </w:rPr>
        <w:t>项目经理近</w:t>
      </w:r>
      <w:r>
        <w:rPr>
          <w:rFonts w:ascii="宋体" w:hAnsi="宋体"/>
          <w:lang w:val="zh-CN"/>
        </w:rPr>
        <w:t>3</w:t>
      </w:r>
      <w:r>
        <w:rPr>
          <w:rFonts w:hint="eastAsia" w:ascii="宋体" w:hAnsi="宋体"/>
          <w:lang w:val="zh-CN"/>
        </w:rPr>
        <w:t>年内工程经历一览表</w:t>
      </w:r>
    </w:p>
    <w:tbl>
      <w:tblPr>
        <w:tblStyle w:val="18"/>
        <w:tblW w:w="0" w:type="auto"/>
        <w:tblInd w:w="-103" w:type="dxa"/>
        <w:tblLayout w:type="fixed"/>
        <w:tblCellMar>
          <w:top w:w="0" w:type="dxa"/>
          <w:left w:w="10" w:type="dxa"/>
          <w:bottom w:w="0" w:type="dxa"/>
          <w:right w:w="10" w:type="dxa"/>
        </w:tblCellMar>
      </w:tblPr>
      <w:tblGrid>
        <w:gridCol w:w="1472"/>
        <w:gridCol w:w="1574"/>
        <w:gridCol w:w="1470"/>
        <w:gridCol w:w="2099"/>
        <w:gridCol w:w="2106"/>
        <w:gridCol w:w="1152"/>
      </w:tblGrid>
      <w:tr>
        <w:tblPrEx>
          <w:tblCellMar>
            <w:top w:w="0" w:type="dxa"/>
            <w:left w:w="10" w:type="dxa"/>
            <w:bottom w:w="0" w:type="dxa"/>
            <w:right w:w="10"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建设单位</w:t>
            </w:r>
          </w:p>
        </w:tc>
        <w:tc>
          <w:tcPr>
            <w:tcW w:w="1574"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项目名称</w:t>
            </w:r>
          </w:p>
        </w:tc>
        <w:tc>
          <w:tcPr>
            <w:tcW w:w="1470"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建设规模</w:t>
            </w:r>
          </w:p>
        </w:tc>
        <w:tc>
          <w:tcPr>
            <w:tcW w:w="2099"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开竣工日期</w:t>
            </w:r>
          </w:p>
        </w:tc>
        <w:tc>
          <w:tcPr>
            <w:tcW w:w="2106"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质量</w:t>
            </w:r>
          </w:p>
        </w:tc>
        <w:tc>
          <w:tcPr>
            <w:tcW w:w="1152" w:type="dxa"/>
            <w:tcBorders>
              <w:top w:val="single" w:color="auto" w:sz="12" w:space="0"/>
              <w:left w:val="single" w:color="auto" w:sz="6" w:space="0"/>
              <w:bottom w:val="single" w:color="auto" w:sz="6" w:space="0"/>
              <w:right w:val="single" w:color="auto" w:sz="12" w:space="0"/>
            </w:tcBorders>
            <w:vAlign w:val="center"/>
          </w:tcPr>
          <w:p>
            <w:pPr>
              <w:spacing w:line="360" w:lineRule="auto"/>
              <w:jc w:val="center"/>
              <w:rPr>
                <w:rFonts w:ascii="宋体" w:eastAsia="Times New Roman"/>
              </w:rPr>
            </w:pPr>
            <w:r>
              <w:rPr>
                <w:rFonts w:hint="eastAsia" w:ascii="宋体" w:hAnsi="宋体"/>
                <w:lang w:val="zh-CN"/>
              </w:rPr>
              <w:t>备注</w:t>
            </w: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eastAsia="Times New Roman"/>
              </w:rPr>
            </w:pP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eastAsia="Times New Roman"/>
              </w:rPr>
            </w:pP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eastAsia="Times New Roman"/>
              </w:rPr>
            </w:pP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eastAsia="Times New Roman"/>
              </w:rPr>
            </w:pP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eastAsia="Times New Roman"/>
              </w:rPr>
            </w:pP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eastAsia="Times New Roman"/>
              </w:rPr>
            </w:pP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spacing w:line="360" w:lineRule="auto"/>
              <w:rPr>
                <w:rFonts w:ascii="宋体" w:eastAsia="Times New Roman"/>
              </w:rPr>
            </w:pP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12" w:space="0"/>
              <w:right w:val="single" w:color="auto" w:sz="12" w:space="0"/>
            </w:tcBorders>
            <w:vAlign w:val="center"/>
          </w:tcPr>
          <w:p>
            <w:pPr>
              <w:spacing w:line="360" w:lineRule="auto"/>
              <w:rPr>
                <w:rFonts w:ascii="宋体" w:eastAsia="Times New Roman"/>
              </w:rPr>
            </w:pPr>
          </w:p>
        </w:tc>
      </w:tr>
    </w:tbl>
    <w:p>
      <w:pPr>
        <w:tabs>
          <w:tab w:val="left" w:pos="9453"/>
        </w:tabs>
        <w:spacing w:line="360" w:lineRule="auto"/>
        <w:ind w:left="360" w:hanging="330" w:hangingChars="150"/>
        <w:rPr>
          <w:rFonts w:ascii="宋体" w:hAnsi="宋体"/>
        </w:rPr>
      </w:pPr>
    </w:p>
    <w:p>
      <w:pPr>
        <w:tabs>
          <w:tab w:val="left" w:pos="9453"/>
        </w:tabs>
        <w:spacing w:line="360" w:lineRule="auto"/>
        <w:ind w:left="360" w:hanging="330" w:hangingChars="150"/>
        <w:rPr>
          <w:rFonts w:ascii="宋体" w:eastAsia="Times New Roman"/>
          <w:color w:val="auto"/>
        </w:rPr>
      </w:pPr>
      <w:r>
        <w:rPr>
          <w:rFonts w:ascii="宋体" w:hAnsi="宋体"/>
          <w:color w:val="auto"/>
        </w:rPr>
        <w:t>3</w:t>
      </w:r>
      <w:r>
        <w:rPr>
          <w:rFonts w:hint="eastAsia" w:ascii="宋体" w:hAnsi="宋体"/>
          <w:color w:val="auto"/>
          <w:lang w:val="zh-CN"/>
        </w:rPr>
        <w:t>、项目经理简历中</w:t>
      </w:r>
      <w:r>
        <w:rPr>
          <w:rFonts w:hint="eastAsia" w:ascii="宋体" w:hAnsi="宋体"/>
          <w:color w:val="auto"/>
        </w:rPr>
        <w:t>须</w:t>
      </w:r>
      <w:r>
        <w:rPr>
          <w:rFonts w:hint="eastAsia" w:ascii="宋体" w:hAnsi="宋体"/>
          <w:color w:val="auto"/>
          <w:lang w:eastAsia="zh-CN"/>
        </w:rPr>
        <w:t>附</w:t>
      </w:r>
      <w:r>
        <w:rPr>
          <w:rFonts w:hint="eastAsia" w:ascii="宋体" w:hAnsi="宋体"/>
          <w:color w:val="auto"/>
        </w:rPr>
        <w:t>身份证、</w:t>
      </w:r>
      <w:r>
        <w:rPr>
          <w:rFonts w:hint="eastAsia" w:ascii="宋体" w:hAnsi="宋体" w:eastAsia="宋体" w:cs="宋体"/>
          <w:color w:val="auto"/>
          <w:lang w:val="zh-CN"/>
        </w:rPr>
        <w:t>职称证、</w:t>
      </w:r>
      <w:r>
        <w:rPr>
          <w:rFonts w:hint="eastAsia" w:ascii="宋体" w:hAnsi="宋体" w:eastAsia="宋体" w:cs="宋体"/>
          <w:color w:val="auto"/>
        </w:rPr>
        <w:t>建造师注册证书、安全生产考核合格证书及</w:t>
      </w:r>
      <w:r>
        <w:rPr>
          <w:rFonts w:hint="eastAsia" w:ascii="宋体" w:hAnsi="宋体" w:eastAsia="宋体" w:cs="宋体"/>
          <w:color w:val="auto"/>
          <w:lang w:val="zh-CN"/>
        </w:rPr>
        <w:t>其本单</w:t>
      </w:r>
      <w:r>
        <w:rPr>
          <w:rFonts w:hint="eastAsia" w:ascii="宋体" w:hAnsi="宋体"/>
          <w:color w:val="auto"/>
          <w:lang w:val="zh-CN"/>
        </w:rPr>
        <w:t>位社保证明等原件的扫描件；近三年（</w:t>
      </w:r>
      <w:r>
        <w:rPr>
          <w:rFonts w:ascii="宋体" w:hAnsi="宋体"/>
          <w:color w:val="auto"/>
          <w:lang w:val="zh-CN"/>
        </w:rPr>
        <w:t>201</w:t>
      </w:r>
      <w:r>
        <w:rPr>
          <w:rFonts w:hint="eastAsia" w:ascii="宋体" w:hAnsi="宋体"/>
          <w:color w:val="auto"/>
        </w:rPr>
        <w:t>9</w:t>
      </w:r>
      <w:r>
        <w:rPr>
          <w:rFonts w:hint="eastAsia" w:ascii="宋体" w:hAnsi="宋体"/>
          <w:color w:val="auto"/>
          <w:lang w:val="zh-CN"/>
        </w:rPr>
        <w:t>年</w:t>
      </w:r>
      <w:r>
        <w:rPr>
          <w:rFonts w:hint="eastAsia" w:ascii="宋体" w:hAnsi="宋体"/>
          <w:color w:val="auto"/>
          <w:lang w:val="en-US" w:eastAsia="zh-CN"/>
        </w:rPr>
        <w:t>6</w:t>
      </w:r>
      <w:r>
        <w:rPr>
          <w:rFonts w:hint="eastAsia" w:ascii="宋体" w:hAnsi="宋体"/>
          <w:color w:val="auto"/>
          <w:lang w:val="zh-CN"/>
        </w:rPr>
        <w:t>月</w:t>
      </w:r>
      <w:r>
        <w:rPr>
          <w:rFonts w:ascii="宋体" w:hAnsi="宋体"/>
          <w:color w:val="auto"/>
          <w:lang w:val="zh-CN"/>
        </w:rPr>
        <w:t>-</w:t>
      </w:r>
      <w:r>
        <w:rPr>
          <w:rFonts w:hint="eastAsia" w:ascii="宋体" w:hAnsi="宋体"/>
          <w:color w:val="auto"/>
          <w:lang w:val="zh-CN"/>
        </w:rPr>
        <w:t>至今）的业绩证明材料的扫描件（如</w:t>
      </w:r>
      <w:r>
        <w:rPr>
          <w:rFonts w:hint="eastAsia" w:ascii="宋体" w:hAnsi="宋体"/>
          <w:color w:val="auto"/>
        </w:rPr>
        <w:t>合同协议书等）。</w:t>
      </w:r>
    </w:p>
    <w:p/>
    <w:p>
      <w:pPr>
        <w:pStyle w:val="2"/>
      </w:pPr>
    </w:p>
    <w:p>
      <w:pPr>
        <w:pStyle w:val="2"/>
      </w:pPr>
    </w:p>
    <w:p>
      <w:pPr>
        <w:spacing w:line="440" w:lineRule="exact"/>
        <w:ind w:firstLine="4905" w:firstLineChars="22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796" w:firstLineChars="22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5777" w:firstLineChars="2650"/>
        <w:rPr>
          <w:rFonts w:ascii="宋体" w:hAnsi="宋体"/>
          <w:b/>
          <w:color w:val="auto"/>
          <w:sz w:val="21"/>
          <w:szCs w:val="21"/>
        </w:rPr>
      </w:pPr>
      <w:r>
        <w:rPr>
          <w:rFonts w:hint="eastAsia" w:ascii="TMBCOU+ËÎÌå" w:hAnsi="TMBCOU+ËÎÌå" w:cs="TMBCOU+ËÎÌå"/>
          <w:spacing w:val="-1"/>
        </w:rPr>
        <w:t>年</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月</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日</w:t>
      </w:r>
    </w:p>
    <w:p>
      <w:pPr>
        <w:pStyle w:val="10"/>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480"/>
        <w:jc w:val="both"/>
        <w:textAlignment w:val="auto"/>
        <w:rPr>
          <w:rFonts w:hint="eastAsia"/>
          <w:b/>
          <w:bCs/>
          <w:color w:val="000000" w:themeColor="text1"/>
          <w:sz w:val="30"/>
          <w:szCs w:val="30"/>
          <w:lang w:val="en-US" w:eastAsia="zh-CN"/>
          <w14:textFill>
            <w14:solidFill>
              <w14:schemeClr w14:val="tx1"/>
            </w14:solidFill>
          </w14:textFill>
        </w:rPr>
      </w:pPr>
    </w:p>
    <w:p>
      <w:pPr>
        <w:pStyle w:val="2"/>
      </w:pPr>
    </w:p>
    <w:p>
      <w:pPr>
        <w:pStyle w:val="11"/>
        <w:numPr>
          <w:ilvl w:val="0"/>
          <w:numId w:val="0"/>
        </w:numPr>
      </w:pPr>
    </w:p>
    <w:p>
      <w:pPr>
        <w:pStyle w:val="10"/>
        <w:rPr>
          <w:sz w:val="20"/>
        </w:rPr>
      </w:pPr>
    </w:p>
    <w:p>
      <w:pPr>
        <w:pStyle w:val="10"/>
        <w:spacing w:before="10"/>
        <w:rPr>
          <w:sz w:val="11"/>
        </w:rPr>
      </w:pPr>
    </w:p>
    <w:p>
      <w:pPr>
        <w:pStyle w:val="10"/>
        <w:numPr>
          <w:ilvl w:val="0"/>
          <w:numId w:val="4"/>
        </w:numPr>
        <w:spacing w:before="66"/>
        <w:ind w:left="591" w:leftChars="0" w:right="199"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项目管理机构配备情况表</w:t>
      </w:r>
    </w:p>
    <w:p>
      <w:pPr>
        <w:pStyle w:val="11"/>
        <w:widowControl w:val="0"/>
        <w:numPr>
          <w:ilvl w:val="0"/>
          <w:numId w:val="0"/>
        </w:numPr>
        <w:autoSpaceDE w:val="0"/>
        <w:autoSpaceDN w:val="0"/>
        <w:adjustRightInd w:val="0"/>
        <w:rPr>
          <w:rFonts w:hint="eastAsia"/>
          <w:lang w:val="en-US" w:eastAsia="zh-CN"/>
        </w:rPr>
      </w:pPr>
    </w:p>
    <w:tbl>
      <w:tblPr>
        <w:tblStyle w:val="18"/>
        <w:tblpPr w:leftFromText="180" w:rightFromText="180" w:vertAnchor="text" w:horzAnchor="page" w:tblpX="1624" w:tblpY="1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0"/>
        <w:gridCol w:w="1173"/>
        <w:gridCol w:w="1053"/>
        <w:gridCol w:w="750"/>
        <w:gridCol w:w="796"/>
        <w:gridCol w:w="753"/>
        <w:gridCol w:w="1381"/>
        <w:gridCol w:w="1243"/>
        <w:gridCol w:w="12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r>
              <w:rPr>
                <w:rFonts w:hint="eastAsia" w:ascii="宋体" w:hAnsi="宋体"/>
                <w:sz w:val="21"/>
                <w:szCs w:val="21"/>
              </w:rPr>
              <w:t>序号</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r>
              <w:rPr>
                <w:rFonts w:hint="eastAsia" w:ascii="宋体" w:hAnsi="宋体"/>
                <w:sz w:val="21"/>
                <w:szCs w:val="21"/>
              </w:rPr>
              <w:t>项目组所任职务</w:t>
            </w:r>
          </w:p>
        </w:tc>
        <w:tc>
          <w:tcPr>
            <w:tcW w:w="10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r>
              <w:rPr>
                <w:rFonts w:hint="eastAsia" w:ascii="宋体" w:hAnsi="宋体"/>
                <w:sz w:val="21"/>
                <w:szCs w:val="21"/>
              </w:rPr>
              <w:t>姓名</w:t>
            </w:r>
          </w:p>
        </w:tc>
        <w:tc>
          <w:tcPr>
            <w:tcW w:w="75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r>
              <w:rPr>
                <w:rFonts w:hint="eastAsia" w:ascii="宋体" w:hAnsi="宋体"/>
                <w:sz w:val="21"/>
                <w:szCs w:val="21"/>
              </w:rPr>
              <w:t>性别</w:t>
            </w:r>
          </w:p>
        </w:tc>
        <w:tc>
          <w:tcPr>
            <w:tcW w:w="796"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r>
              <w:rPr>
                <w:rFonts w:hint="eastAsia" w:ascii="宋体" w:hAnsi="宋体"/>
                <w:sz w:val="21"/>
                <w:szCs w:val="21"/>
              </w:rPr>
              <w:t>年龄</w:t>
            </w:r>
          </w:p>
        </w:tc>
        <w:tc>
          <w:tcPr>
            <w:tcW w:w="7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r>
              <w:rPr>
                <w:rFonts w:hint="eastAsia" w:ascii="宋体" w:hAnsi="宋体"/>
                <w:sz w:val="21"/>
                <w:szCs w:val="21"/>
              </w:rPr>
              <w:t>职称</w:t>
            </w:r>
          </w:p>
        </w:tc>
        <w:tc>
          <w:tcPr>
            <w:tcW w:w="1381"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r>
              <w:rPr>
                <w:rFonts w:hint="eastAsia" w:ascii="宋体" w:hAnsi="宋体"/>
                <w:sz w:val="21"/>
                <w:szCs w:val="21"/>
              </w:rPr>
              <w:t>专业/资格</w:t>
            </w:r>
          </w:p>
        </w:tc>
        <w:tc>
          <w:tcPr>
            <w:tcW w:w="124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r>
              <w:rPr>
                <w:rFonts w:hint="eastAsia" w:ascii="宋体" w:hAnsi="宋体"/>
                <w:sz w:val="21"/>
                <w:szCs w:val="21"/>
              </w:rPr>
              <w:t>从事本工作时间</w:t>
            </w:r>
          </w:p>
        </w:tc>
        <w:tc>
          <w:tcPr>
            <w:tcW w:w="128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r>
              <w:rPr>
                <w:rFonts w:hint="eastAsia" w:ascii="宋体" w:hAnsi="宋体"/>
                <w:sz w:val="21"/>
                <w:szCs w:val="21"/>
              </w:rPr>
              <w:t>典型业务</w:t>
            </w:r>
          </w:p>
          <w:p>
            <w:pPr>
              <w:pStyle w:val="14"/>
              <w:jc w:val="center"/>
              <w:rPr>
                <w:rFonts w:ascii="宋体" w:hAnsi="宋体"/>
                <w:sz w:val="21"/>
                <w:szCs w:val="21"/>
              </w:rPr>
            </w:pPr>
            <w:r>
              <w:rPr>
                <w:rFonts w:hint="eastAsia" w:ascii="宋体" w:hAnsi="宋体"/>
                <w:sz w:val="21"/>
                <w:szCs w:val="21"/>
              </w:rPr>
              <w:t>与技术专长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r>
              <w:rPr>
                <w:rFonts w:hint="eastAsia" w:ascii="宋体" w:hAnsi="宋体"/>
                <w:sz w:val="21"/>
                <w:szCs w:val="21"/>
              </w:rPr>
              <w:t>1</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r>
              <w:rPr>
                <w:rFonts w:hint="eastAsia" w:ascii="宋体" w:hAnsi="宋体"/>
                <w:sz w:val="21"/>
                <w:szCs w:val="21"/>
              </w:rPr>
              <w:t>2</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r>
              <w:rPr>
                <w:rFonts w:hint="eastAsia" w:ascii="宋体" w:hAnsi="宋体"/>
                <w:sz w:val="21"/>
                <w:szCs w:val="21"/>
              </w:rPr>
              <w:t>3</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r>
              <w:rPr>
                <w:rFonts w:hint="eastAsia" w:ascii="宋体" w:hAnsi="宋体"/>
                <w:sz w:val="21"/>
                <w:szCs w:val="21"/>
              </w:rPr>
              <w:t>4</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r>
              <w:rPr>
                <w:rFonts w:hint="eastAsia" w:ascii="宋体" w:hAnsi="宋体"/>
                <w:sz w:val="21"/>
                <w:szCs w:val="21"/>
              </w:rPr>
              <w:t>5</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r>
              <w:rPr>
                <w:rFonts w:hint="eastAsia" w:ascii="宋体" w:hAnsi="宋体"/>
                <w:sz w:val="21"/>
                <w:szCs w:val="21"/>
              </w:rPr>
              <w:t>6</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r>
              <w:rPr>
                <w:rFonts w:hint="eastAsia" w:ascii="宋体" w:hAnsi="宋体"/>
                <w:sz w:val="21"/>
                <w:szCs w:val="21"/>
              </w:rPr>
              <w:t>7</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r>
              <w:rPr>
                <w:rFonts w:hint="eastAsia" w:ascii="宋体" w:hAnsi="宋体"/>
                <w:sz w:val="21"/>
                <w:szCs w:val="21"/>
              </w:rPr>
              <w:t>8</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r>
              <w:rPr>
                <w:rFonts w:hint="eastAsia" w:ascii="宋体" w:hAnsi="宋体"/>
                <w:sz w:val="21"/>
                <w:szCs w:val="21"/>
              </w:rPr>
              <w:t>9</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r>
              <w:rPr>
                <w:rFonts w:hint="eastAsia" w:ascii="宋体" w:hAnsi="宋体"/>
                <w:sz w:val="21"/>
                <w:szCs w:val="21"/>
              </w:rPr>
              <w:t>10</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r>
              <w:rPr>
                <w:rFonts w:hint="eastAsia" w:ascii="宋体" w:hAnsi="宋体"/>
                <w:sz w:val="21"/>
                <w:szCs w:val="21"/>
              </w:rPr>
              <w:t>…</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sz w:val="21"/>
                <w:szCs w:val="21"/>
              </w:rPr>
            </w:pPr>
          </w:p>
        </w:tc>
      </w:tr>
    </w:tbl>
    <w:p>
      <w:pPr>
        <w:spacing w:line="360" w:lineRule="auto"/>
        <w:ind w:firstLine="220" w:firstLineChars="100"/>
        <w:rPr>
          <w:rFonts w:hint="eastAsia" w:ascii="宋体" w:hAnsi="宋体"/>
          <w:b w:val="0"/>
          <w:bCs w:val="0"/>
        </w:rPr>
      </w:pPr>
    </w:p>
    <w:p>
      <w:pPr>
        <w:spacing w:line="360" w:lineRule="auto"/>
        <w:ind w:firstLine="220" w:firstLineChars="100"/>
        <w:rPr>
          <w:rFonts w:ascii="宋体" w:hAnsi="宋体"/>
          <w:b w:val="0"/>
          <w:bCs w:val="0"/>
          <w:color w:val="auto"/>
        </w:rPr>
      </w:pPr>
      <w:r>
        <w:rPr>
          <w:rFonts w:hint="eastAsia" w:ascii="宋体" w:hAnsi="宋体"/>
          <w:b w:val="0"/>
          <w:bCs w:val="0"/>
          <w:color w:val="auto"/>
        </w:rPr>
        <w:t>注：1、“项目组人员”指投标</w:t>
      </w:r>
      <w:r>
        <w:rPr>
          <w:rFonts w:hint="eastAsia" w:ascii="宋体" w:hAnsi="宋体"/>
          <w:b w:val="0"/>
          <w:bCs w:val="0"/>
          <w:color w:val="auto"/>
          <w:lang w:eastAsia="zh-CN"/>
        </w:rPr>
        <w:t>人</w:t>
      </w:r>
      <w:r>
        <w:rPr>
          <w:rFonts w:hint="eastAsia" w:ascii="宋体" w:hAnsi="宋体"/>
          <w:b w:val="0"/>
          <w:bCs w:val="0"/>
          <w:color w:val="auto"/>
        </w:rPr>
        <w:t>完成本项目所配备的人员。</w:t>
      </w:r>
    </w:p>
    <w:p>
      <w:pPr>
        <w:spacing w:line="360" w:lineRule="auto"/>
        <w:ind w:firstLine="660" w:firstLineChars="300"/>
        <w:rPr>
          <w:rFonts w:ascii="宋体" w:hAnsi="宋体"/>
          <w:b w:val="0"/>
          <w:bCs w:val="0"/>
          <w:color w:val="auto"/>
        </w:rPr>
      </w:pPr>
      <w:r>
        <w:rPr>
          <w:rFonts w:hint="eastAsia" w:ascii="宋体" w:hAnsi="宋体"/>
          <w:b w:val="0"/>
          <w:bCs w:val="0"/>
          <w:color w:val="auto"/>
        </w:rPr>
        <w:t>2、各专业人员简历</w:t>
      </w:r>
      <w:r>
        <w:rPr>
          <w:rFonts w:hint="eastAsia" w:ascii="宋体" w:hAnsi="宋体"/>
          <w:b w:val="0"/>
          <w:bCs w:val="0"/>
          <w:color w:val="auto"/>
          <w:lang w:eastAsia="zh-CN"/>
        </w:rPr>
        <w:t>中附</w:t>
      </w:r>
      <w:r>
        <w:rPr>
          <w:rFonts w:hint="eastAsia" w:ascii="宋体" w:hAnsi="宋体" w:eastAsia="宋体" w:cs="Times New Roman"/>
          <w:b w:val="0"/>
          <w:bCs w:val="0"/>
          <w:color w:val="auto"/>
        </w:rPr>
        <w:t>身份证、</w:t>
      </w:r>
      <w:r>
        <w:rPr>
          <w:rFonts w:hint="eastAsia" w:ascii="宋体" w:hAnsi="宋体" w:eastAsia="宋体" w:cs="Times New Roman"/>
          <w:b w:val="0"/>
          <w:bCs w:val="0"/>
          <w:color w:val="auto"/>
          <w:lang w:val="zh-CN"/>
        </w:rPr>
        <w:t>职称证</w:t>
      </w:r>
      <w:r>
        <w:rPr>
          <w:rFonts w:hint="eastAsia" w:cs="Times New Roman"/>
          <w:b w:val="0"/>
          <w:bCs w:val="0"/>
          <w:color w:val="auto"/>
          <w:lang w:val="zh-CN"/>
        </w:rPr>
        <w:t>（</w:t>
      </w:r>
      <w:r>
        <w:rPr>
          <w:rFonts w:hint="eastAsia" w:cs="Times New Roman"/>
          <w:b w:val="0"/>
          <w:bCs w:val="0"/>
          <w:color w:val="auto"/>
          <w:lang w:val="en-US" w:eastAsia="zh-CN"/>
        </w:rPr>
        <w:t>如有</w:t>
      </w:r>
      <w:r>
        <w:rPr>
          <w:rFonts w:hint="eastAsia" w:cs="Times New Roman"/>
          <w:b w:val="0"/>
          <w:bCs w:val="0"/>
          <w:color w:val="auto"/>
          <w:lang w:val="zh-CN"/>
        </w:rPr>
        <w:t>）</w:t>
      </w:r>
      <w:r>
        <w:rPr>
          <w:rFonts w:hint="eastAsia" w:ascii="宋体" w:hAnsi="宋体" w:eastAsia="宋体" w:cs="Times New Roman"/>
          <w:b w:val="0"/>
          <w:bCs w:val="0"/>
          <w:color w:val="auto"/>
          <w:lang w:val="zh-CN"/>
        </w:rPr>
        <w:t>、执业注册证（如有）、上岗证、本单位社保证明及业绩等相关证明材料原件的扫描件</w:t>
      </w:r>
      <w:r>
        <w:rPr>
          <w:rFonts w:hint="eastAsia" w:ascii="宋体" w:hAnsi="宋体"/>
          <w:b w:val="0"/>
          <w:bCs w:val="0"/>
          <w:color w:val="auto"/>
        </w:rPr>
        <w:t>；</w:t>
      </w:r>
    </w:p>
    <w:p>
      <w:pPr>
        <w:spacing w:line="360" w:lineRule="auto"/>
        <w:ind w:firstLine="660" w:firstLineChars="300"/>
        <w:rPr>
          <w:rFonts w:hint="eastAsia" w:ascii="宋体" w:hAnsi="宋体"/>
          <w:b w:val="0"/>
          <w:bCs w:val="0"/>
          <w:color w:val="auto"/>
        </w:rPr>
      </w:pPr>
      <w:r>
        <w:rPr>
          <w:rFonts w:hint="eastAsia" w:ascii="宋体" w:hAnsi="宋体"/>
          <w:b w:val="0"/>
          <w:bCs w:val="0"/>
          <w:color w:val="auto"/>
        </w:rPr>
        <w:t>3、表格不够填写可添加。</w:t>
      </w:r>
    </w:p>
    <w:p>
      <w:pPr>
        <w:pStyle w:val="2"/>
        <w:rPr>
          <w:rFonts w:hint="eastAsia" w:ascii="宋体" w:hAnsi="宋体"/>
          <w:b/>
          <w:bCs/>
          <w:color w:val="000000" w:themeColor="text1"/>
          <w14:textFill>
            <w14:solidFill>
              <w14:schemeClr w14:val="tx1"/>
            </w14:solidFill>
          </w14:textFill>
        </w:rPr>
      </w:pPr>
    </w:p>
    <w:p>
      <w:pPr>
        <w:pStyle w:val="2"/>
        <w:ind w:left="0" w:leftChars="0" w:firstLine="0" w:firstLineChars="0"/>
        <w:rPr>
          <w:rFonts w:hint="eastAsia"/>
          <w:lang w:val="en-US" w:eastAsia="zh-CN"/>
        </w:rPr>
      </w:pPr>
    </w:p>
    <w:p>
      <w:pPr>
        <w:spacing w:line="440" w:lineRule="exact"/>
        <w:ind w:firstLine="4905" w:firstLineChars="22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796" w:firstLineChars="22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5777" w:firstLineChars="2650"/>
        <w:rPr>
          <w:rFonts w:ascii="宋体" w:hAnsi="宋体"/>
          <w:b/>
          <w:color w:val="auto"/>
          <w:sz w:val="21"/>
          <w:szCs w:val="21"/>
        </w:rPr>
      </w:pPr>
      <w:r>
        <w:rPr>
          <w:rFonts w:hint="eastAsia" w:ascii="TMBCOU+ËÎÌå" w:hAnsi="TMBCOU+ËÎÌå" w:cs="TMBCOU+ËÎÌå"/>
          <w:spacing w:val="-1"/>
        </w:rPr>
        <w:t>年</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月</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日</w:t>
      </w:r>
    </w:p>
    <w:p>
      <w:pPr>
        <w:pStyle w:val="10"/>
        <w:rPr>
          <w:sz w:val="20"/>
        </w:rPr>
      </w:pPr>
    </w:p>
    <w:p>
      <w:pPr>
        <w:pStyle w:val="10"/>
        <w:rPr>
          <w:sz w:val="20"/>
        </w:rPr>
      </w:pPr>
    </w:p>
    <w:p>
      <w:pPr>
        <w:pStyle w:val="10"/>
        <w:spacing w:before="7"/>
        <w:rPr>
          <w:sz w:val="17"/>
        </w:rPr>
      </w:pPr>
    </w:p>
    <w:p>
      <w:pPr>
        <w:pStyle w:val="10"/>
        <w:rPr>
          <w:sz w:val="20"/>
        </w:rPr>
      </w:pPr>
    </w:p>
    <w:p>
      <w:pPr>
        <w:pStyle w:val="10"/>
        <w:spacing w:before="1"/>
        <w:rPr>
          <w:sz w:val="26"/>
        </w:rPr>
      </w:pPr>
    </w:p>
    <w:p>
      <w:pPr>
        <w:spacing w:before="62"/>
        <w:ind w:left="35" w:right="199"/>
        <w:jc w:val="center"/>
        <w:rPr>
          <w:rFonts w:hint="eastAsia"/>
          <w:sz w:val="28"/>
        </w:rPr>
      </w:pPr>
      <w:bookmarkStart w:id="105" w:name="_TOC_250005"/>
      <w:bookmarkEnd w:id="105"/>
    </w:p>
    <w:p>
      <w:pPr>
        <w:numPr>
          <w:ilvl w:val="0"/>
          <w:numId w:val="75"/>
        </w:numPr>
        <w:spacing w:before="62"/>
        <w:ind w:left="35" w:right="199"/>
        <w:jc w:val="center"/>
        <w:rPr>
          <w:rFonts w:hint="eastAsia"/>
          <w:sz w:val="28"/>
        </w:rPr>
      </w:pPr>
      <w:r>
        <w:rPr>
          <w:rFonts w:hint="eastAsia"/>
          <w:sz w:val="28"/>
        </w:rPr>
        <w:t>其他资料</w:t>
      </w:r>
    </w:p>
    <w:p>
      <w:pPr>
        <w:pStyle w:val="17"/>
        <w:numPr>
          <w:ilvl w:val="0"/>
          <w:numId w:val="0"/>
        </w:numPr>
      </w:pPr>
    </w:p>
    <w:p>
      <w:pPr>
        <w:keepNext w:val="0"/>
        <w:keepLines w:val="0"/>
        <w:widowControl/>
        <w:suppressLineNumbers w:val="0"/>
        <w:jc w:val="center"/>
      </w:pPr>
      <w:r>
        <w:rPr>
          <w:rFonts w:hint="eastAsia" w:ascii="宋体" w:hAnsi="宋体" w:eastAsia="宋体" w:cs="宋体"/>
          <w:b/>
          <w:szCs w:val="21"/>
          <w:lang w:val="en-US" w:eastAsia="zh-CN"/>
        </w:rPr>
        <w:t>中小企业声明函（工程）</w:t>
      </w:r>
    </w:p>
    <w:p>
      <w:pPr>
        <w:keepNext w:val="0"/>
        <w:keepLines w:val="0"/>
        <w:pageBreakBefore w:val="0"/>
        <w:widowControl/>
        <w:kinsoku/>
        <w:wordWrap/>
        <w:overflowPunct/>
        <w:topLinePunct w:val="0"/>
        <w:autoSpaceDE w:val="0"/>
        <w:autoSpaceDN w:val="0"/>
        <w:bidi w:val="0"/>
        <w:adjustRightInd/>
        <w:snapToGrid w:val="0"/>
        <w:spacing w:before="100" w:beforeAutospacing="1" w:after="100" w:afterAutospacing="1" w:line="400" w:lineRule="exact"/>
        <w:ind w:firstLine="660" w:firstLineChars="300"/>
        <w:jc w:val="left"/>
        <w:textAlignment w:val="auto"/>
        <w:rPr>
          <w:rFonts w:hint="eastAsia" w:ascii="宋体" w:hAnsi="宋体" w:eastAsia="宋体" w:cs="宋体"/>
          <w:szCs w:val="21"/>
        </w:rPr>
      </w:pPr>
      <w:r>
        <w:rPr>
          <w:rFonts w:hint="eastAsia" w:ascii="宋体" w:hAnsi="宋体" w:eastAsia="宋体" w:cs="宋体"/>
          <w:szCs w:val="21"/>
          <w:lang w:val="en-US" w:eastAsia="zh-CN"/>
        </w:rPr>
        <w:t>本公司郑重声明，根据《政府采购促进中小企业发展管理办法》（财库﹝2020﹞46 号）的规定，本公司参加</w:t>
      </w:r>
      <w:r>
        <w:rPr>
          <w:rFonts w:hint="eastAsia" w:ascii="宋体" w:hAnsi="宋体" w:eastAsia="宋体" w:cs="宋体"/>
          <w:szCs w:val="21"/>
          <w:u w:val="single"/>
          <w:lang w:val="en-US" w:eastAsia="zh-CN"/>
        </w:rPr>
        <w:t>（单位名称）</w:t>
      </w:r>
      <w:r>
        <w:rPr>
          <w:rFonts w:hint="eastAsia" w:ascii="宋体" w:hAnsi="宋体" w:eastAsia="宋体" w:cs="宋体"/>
          <w:szCs w:val="21"/>
          <w:lang w:val="en-US" w:eastAsia="zh-CN"/>
        </w:rPr>
        <w:t>的</w:t>
      </w:r>
      <w:r>
        <w:rPr>
          <w:rFonts w:hint="eastAsia" w:ascii="宋体" w:hAnsi="宋体" w:eastAsia="宋体" w:cs="宋体"/>
          <w:szCs w:val="21"/>
          <w:u w:val="single"/>
          <w:lang w:val="en-US" w:eastAsia="zh-CN"/>
        </w:rPr>
        <w:t>（项目名称）</w:t>
      </w:r>
      <w:r>
        <w:rPr>
          <w:rFonts w:hint="eastAsia" w:ascii="宋体" w:hAnsi="宋体" w:eastAsia="宋体" w:cs="宋体"/>
          <w:szCs w:val="21"/>
          <w:lang w:val="en-US" w:eastAsia="zh-CN"/>
        </w:rPr>
        <w:t>采购活动，工程的施工单位全部为符合政策要求的中小企业。相关企业的具体情况如下：</w:t>
      </w:r>
    </w:p>
    <w:p>
      <w:pPr>
        <w:keepNext w:val="0"/>
        <w:keepLines w:val="0"/>
        <w:pageBreakBefore w:val="0"/>
        <w:widowControl/>
        <w:kinsoku/>
        <w:wordWrap/>
        <w:overflowPunct/>
        <w:topLinePunct w:val="0"/>
        <w:autoSpaceDE w:val="0"/>
        <w:autoSpaceDN w:val="0"/>
        <w:bidi w:val="0"/>
        <w:adjustRightInd/>
        <w:snapToGrid w:val="0"/>
        <w:spacing w:before="100" w:beforeAutospacing="1" w:after="100" w:afterAutospacing="1" w:line="400" w:lineRule="exact"/>
        <w:jc w:val="left"/>
        <w:textAlignment w:val="auto"/>
        <w:rPr>
          <w:rFonts w:hint="eastAsia" w:ascii="宋体" w:hAnsi="宋体" w:eastAsia="宋体" w:cs="宋体"/>
          <w:szCs w:val="21"/>
        </w:rPr>
      </w:pPr>
      <w:r>
        <w:rPr>
          <w:rFonts w:hint="eastAsia" w:ascii="宋体" w:hAnsi="宋体" w:eastAsia="宋体" w:cs="宋体"/>
          <w:szCs w:val="21"/>
          <w:lang w:val="en-US" w:eastAsia="zh-CN"/>
        </w:rPr>
        <w:t xml:space="preserve">1. </w:t>
      </w:r>
      <w:r>
        <w:rPr>
          <w:rFonts w:hint="eastAsia" w:ascii="宋体" w:hAnsi="宋体" w:eastAsia="宋体" w:cs="宋体"/>
          <w:szCs w:val="21"/>
          <w:u w:val="single"/>
          <w:lang w:val="en-US" w:eastAsia="zh-CN"/>
        </w:rPr>
        <w:t>（标的名称）</w:t>
      </w:r>
      <w:r>
        <w:rPr>
          <w:rFonts w:hint="eastAsia" w:ascii="宋体" w:hAnsi="宋体" w:eastAsia="宋体" w:cs="宋体"/>
          <w:szCs w:val="21"/>
          <w:lang w:val="en-US" w:eastAsia="zh-CN"/>
        </w:rPr>
        <w:t xml:space="preserve"> ，属于</w:t>
      </w:r>
      <w:r>
        <w:rPr>
          <w:rFonts w:hint="eastAsia" w:cs="宋体"/>
          <w:szCs w:val="21"/>
          <w:u w:val="single"/>
          <w:lang w:val="en-US" w:eastAsia="zh-CN"/>
        </w:rPr>
        <w:t>建筑业</w:t>
      </w:r>
      <w:r>
        <w:rPr>
          <w:rFonts w:hint="eastAsia" w:ascii="宋体" w:hAnsi="宋体" w:eastAsia="宋体" w:cs="宋体"/>
          <w:szCs w:val="21"/>
          <w:lang w:val="en-US" w:eastAsia="zh-CN"/>
        </w:rPr>
        <w:t>；承建企业为</w:t>
      </w:r>
      <w:r>
        <w:rPr>
          <w:rFonts w:hint="eastAsia" w:ascii="宋体" w:hAnsi="宋体" w:eastAsia="宋体" w:cs="宋体"/>
          <w:szCs w:val="21"/>
          <w:u w:val="single"/>
          <w:lang w:val="en-US" w:eastAsia="zh-CN"/>
        </w:rPr>
        <w:t>（企业名称）</w:t>
      </w:r>
      <w:r>
        <w:rPr>
          <w:rFonts w:hint="eastAsia" w:ascii="宋体" w:hAnsi="宋体" w:eastAsia="宋体" w:cs="宋体"/>
          <w:szCs w:val="21"/>
          <w:lang w:val="en-US" w:eastAsia="zh-CN"/>
        </w:rPr>
        <w:t>，从业人员</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人，营业收入为</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万元，资产总额为</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万元</w:t>
      </w:r>
      <w:r>
        <w:rPr>
          <w:rFonts w:hint="eastAsia" w:ascii="宋体" w:hAnsi="宋体" w:eastAsia="宋体" w:cs="宋体"/>
          <w:szCs w:val="21"/>
          <w:vertAlign w:val="superscript"/>
          <w:lang w:val="en-US" w:eastAsia="zh-CN"/>
        </w:rPr>
        <w:t>1</w:t>
      </w:r>
      <w:r>
        <w:rPr>
          <w:rFonts w:hint="eastAsia" w:ascii="宋体" w:hAnsi="宋体" w:eastAsia="宋体" w:cs="宋体"/>
          <w:szCs w:val="21"/>
          <w:lang w:val="en-US" w:eastAsia="zh-CN"/>
        </w:rPr>
        <w:t>，属于</w:t>
      </w:r>
      <w:r>
        <w:rPr>
          <w:rFonts w:hint="eastAsia" w:ascii="宋体" w:hAnsi="宋体" w:eastAsia="宋体" w:cs="宋体"/>
          <w:szCs w:val="21"/>
          <w:u w:val="single"/>
          <w:lang w:val="en-US" w:eastAsia="zh-CN"/>
        </w:rPr>
        <w:t>（中型企业、小型企业、微型企业）</w:t>
      </w:r>
      <w:r>
        <w:rPr>
          <w:rFonts w:hint="eastAsia" w:ascii="宋体" w:hAnsi="宋体" w:eastAsia="宋体" w:cs="宋体"/>
          <w:szCs w:val="21"/>
          <w:lang w:val="en-US" w:eastAsia="zh-CN"/>
        </w:rPr>
        <w:t xml:space="preserve">； </w:t>
      </w:r>
    </w:p>
    <w:p>
      <w:pPr>
        <w:keepNext w:val="0"/>
        <w:keepLines w:val="0"/>
        <w:pageBreakBefore w:val="0"/>
        <w:widowControl/>
        <w:kinsoku/>
        <w:wordWrap/>
        <w:overflowPunct/>
        <w:topLinePunct w:val="0"/>
        <w:autoSpaceDE w:val="0"/>
        <w:autoSpaceDN w:val="0"/>
        <w:bidi w:val="0"/>
        <w:adjustRightInd/>
        <w:snapToGrid w:val="0"/>
        <w:spacing w:before="100" w:beforeAutospacing="1" w:after="100" w:afterAutospacing="1" w:line="400" w:lineRule="exact"/>
        <w:jc w:val="left"/>
        <w:textAlignment w:val="auto"/>
        <w:rPr>
          <w:rFonts w:hint="eastAsia" w:ascii="宋体" w:hAnsi="宋体" w:eastAsia="宋体" w:cs="宋体"/>
          <w:szCs w:val="21"/>
        </w:rPr>
      </w:pPr>
      <w:r>
        <w:rPr>
          <w:rFonts w:hint="eastAsia" w:ascii="宋体" w:hAnsi="宋体" w:eastAsia="宋体" w:cs="宋体"/>
          <w:szCs w:val="21"/>
          <w:lang w:val="en-US" w:eastAsia="zh-CN"/>
        </w:rPr>
        <w:t xml:space="preserve">2.  </w:t>
      </w:r>
      <w:r>
        <w:rPr>
          <w:rFonts w:hint="eastAsia" w:ascii="宋体" w:hAnsi="宋体" w:eastAsia="宋体" w:cs="宋体"/>
          <w:szCs w:val="21"/>
          <w:u w:val="single"/>
          <w:lang w:val="en-US" w:eastAsia="zh-CN"/>
        </w:rPr>
        <w:t>（标的名称）</w:t>
      </w:r>
      <w:r>
        <w:rPr>
          <w:rFonts w:hint="eastAsia" w:ascii="宋体" w:hAnsi="宋体" w:eastAsia="宋体" w:cs="宋体"/>
          <w:szCs w:val="21"/>
          <w:lang w:val="en-US" w:eastAsia="zh-CN"/>
        </w:rPr>
        <w:t xml:space="preserve"> ，属于</w:t>
      </w:r>
      <w:r>
        <w:rPr>
          <w:rFonts w:hint="eastAsia" w:cs="宋体"/>
          <w:szCs w:val="21"/>
          <w:u w:val="single"/>
          <w:lang w:val="en-US" w:eastAsia="zh-CN"/>
        </w:rPr>
        <w:t>建筑业</w:t>
      </w:r>
      <w:r>
        <w:rPr>
          <w:rFonts w:hint="eastAsia" w:ascii="宋体" w:hAnsi="宋体" w:eastAsia="宋体" w:cs="宋体"/>
          <w:szCs w:val="21"/>
          <w:lang w:val="en-US" w:eastAsia="zh-CN"/>
        </w:rPr>
        <w:t>；承建企业为</w:t>
      </w:r>
      <w:r>
        <w:rPr>
          <w:rFonts w:hint="eastAsia" w:ascii="宋体" w:hAnsi="宋体" w:eastAsia="宋体" w:cs="宋体"/>
          <w:szCs w:val="21"/>
          <w:u w:val="single"/>
          <w:lang w:val="en-US" w:eastAsia="zh-CN"/>
        </w:rPr>
        <w:t>（企业名称）</w:t>
      </w:r>
      <w:r>
        <w:rPr>
          <w:rFonts w:hint="eastAsia" w:ascii="宋体" w:hAnsi="宋体" w:eastAsia="宋体" w:cs="宋体"/>
          <w:szCs w:val="21"/>
          <w:lang w:val="en-US" w:eastAsia="zh-CN"/>
        </w:rPr>
        <w:t>，从业人员</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人，营业收入为</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万元，资产总额为</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万元</w:t>
      </w:r>
      <w:r>
        <w:rPr>
          <w:rFonts w:hint="eastAsia" w:ascii="宋体" w:hAnsi="宋体" w:eastAsia="宋体" w:cs="宋体"/>
          <w:szCs w:val="21"/>
          <w:vertAlign w:val="superscript"/>
          <w:lang w:val="en-US" w:eastAsia="zh-CN"/>
        </w:rPr>
        <w:t>1</w:t>
      </w:r>
      <w:r>
        <w:rPr>
          <w:rFonts w:hint="eastAsia" w:ascii="宋体" w:hAnsi="宋体" w:eastAsia="宋体" w:cs="宋体"/>
          <w:szCs w:val="21"/>
          <w:lang w:val="en-US" w:eastAsia="zh-CN"/>
        </w:rPr>
        <w:t>，属于</w:t>
      </w:r>
      <w:r>
        <w:rPr>
          <w:rFonts w:hint="eastAsia" w:ascii="宋体" w:hAnsi="宋体" w:eastAsia="宋体" w:cs="宋体"/>
          <w:szCs w:val="21"/>
          <w:u w:val="single"/>
          <w:lang w:val="en-US" w:eastAsia="zh-CN"/>
        </w:rPr>
        <w:t>（中型企业、小型企业、微型企业）</w:t>
      </w:r>
      <w:r>
        <w:rPr>
          <w:rFonts w:hint="eastAsia" w:ascii="宋体" w:hAnsi="宋体" w:eastAsia="宋体" w:cs="宋体"/>
          <w:szCs w:val="21"/>
          <w:lang w:val="en-US" w:eastAsia="zh-CN"/>
        </w:rPr>
        <w:t>；</w:t>
      </w:r>
    </w:p>
    <w:p>
      <w:pPr>
        <w:keepNext w:val="0"/>
        <w:keepLines w:val="0"/>
        <w:pageBreakBefore w:val="0"/>
        <w:widowControl/>
        <w:kinsoku/>
        <w:wordWrap/>
        <w:overflowPunct/>
        <w:topLinePunct w:val="0"/>
        <w:autoSpaceDE w:val="0"/>
        <w:autoSpaceDN w:val="0"/>
        <w:bidi w:val="0"/>
        <w:adjustRightInd/>
        <w:snapToGrid w:val="0"/>
        <w:spacing w:before="100" w:beforeAutospacing="1" w:after="100" w:afterAutospacing="1" w:line="400" w:lineRule="exact"/>
        <w:jc w:val="left"/>
        <w:textAlignment w:val="auto"/>
        <w:rPr>
          <w:rFonts w:hint="eastAsia" w:ascii="宋体" w:hAnsi="宋体" w:eastAsia="宋体" w:cs="宋体"/>
          <w:szCs w:val="21"/>
        </w:rPr>
      </w:pPr>
      <w:r>
        <w:rPr>
          <w:rFonts w:hint="eastAsia" w:ascii="宋体" w:hAnsi="宋体" w:eastAsia="宋体" w:cs="宋体"/>
          <w:szCs w:val="21"/>
          <w:lang w:val="en-US" w:eastAsia="zh-CN"/>
        </w:rPr>
        <w:t>……</w:t>
      </w:r>
    </w:p>
    <w:p>
      <w:pPr>
        <w:keepNext w:val="0"/>
        <w:keepLines w:val="0"/>
        <w:pageBreakBefore w:val="0"/>
        <w:widowControl/>
        <w:kinsoku/>
        <w:wordWrap/>
        <w:overflowPunct/>
        <w:topLinePunct w:val="0"/>
        <w:autoSpaceDE w:val="0"/>
        <w:autoSpaceDN w:val="0"/>
        <w:bidi w:val="0"/>
        <w:adjustRightInd/>
        <w:snapToGrid w:val="0"/>
        <w:spacing w:before="100" w:beforeAutospacing="1" w:after="100" w:afterAutospacing="1" w:line="400" w:lineRule="exact"/>
        <w:ind w:firstLine="44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val="0"/>
        <w:autoSpaceDN w:val="0"/>
        <w:bidi w:val="0"/>
        <w:adjustRightInd/>
        <w:snapToGrid w:val="0"/>
        <w:spacing w:before="100" w:beforeAutospacing="1" w:after="100" w:afterAutospacing="1" w:line="400" w:lineRule="exact"/>
        <w:ind w:firstLine="440" w:firstLineChars="200"/>
        <w:jc w:val="left"/>
        <w:textAlignment w:val="auto"/>
        <w:rPr>
          <w:rFonts w:hint="eastAsia" w:ascii="宋体" w:hAnsi="宋体" w:eastAsia="宋体" w:cs="宋体"/>
          <w:szCs w:val="21"/>
        </w:rPr>
      </w:pPr>
      <w:r>
        <w:rPr>
          <w:rFonts w:hint="eastAsia" w:ascii="宋体" w:hAnsi="宋体" w:eastAsia="宋体" w:cs="宋体"/>
          <w:szCs w:val="21"/>
          <w:lang w:val="en-US" w:eastAsia="zh-CN"/>
        </w:rPr>
        <w:t xml:space="preserve">本企业对上述声明内容的真实性负责。如有虚假，将依法承担相应责任。 </w:t>
      </w:r>
    </w:p>
    <w:p>
      <w:pPr>
        <w:keepNext w:val="0"/>
        <w:keepLines w:val="0"/>
        <w:pageBreakBefore w:val="0"/>
        <w:widowControl/>
        <w:kinsoku/>
        <w:wordWrap/>
        <w:overflowPunct/>
        <w:topLinePunct w:val="0"/>
        <w:autoSpaceDE w:val="0"/>
        <w:autoSpaceDN w:val="0"/>
        <w:bidi w:val="0"/>
        <w:adjustRightInd/>
        <w:snapToGrid w:val="0"/>
        <w:spacing w:before="100" w:beforeAutospacing="1" w:after="100" w:afterAutospacing="1" w:line="400" w:lineRule="exact"/>
        <w:ind w:firstLine="5500" w:firstLineChars="2500"/>
        <w:jc w:val="left"/>
        <w:textAlignment w:val="auto"/>
        <w:rPr>
          <w:rFonts w:hint="eastAsia" w:ascii="宋体" w:hAnsi="宋体" w:eastAsia="宋体" w:cs="宋体"/>
          <w:szCs w:val="21"/>
        </w:rPr>
      </w:pPr>
      <w:r>
        <w:rPr>
          <w:rFonts w:hint="eastAsia" w:ascii="宋体" w:hAnsi="宋体" w:eastAsia="宋体" w:cs="宋体"/>
          <w:szCs w:val="21"/>
          <w:lang w:val="en-US" w:eastAsia="zh-CN"/>
        </w:rPr>
        <w:t xml:space="preserve">企业名称（盖章）： </w:t>
      </w:r>
    </w:p>
    <w:p>
      <w:pPr>
        <w:keepNext w:val="0"/>
        <w:keepLines w:val="0"/>
        <w:pageBreakBefore w:val="0"/>
        <w:widowControl/>
        <w:kinsoku/>
        <w:wordWrap/>
        <w:overflowPunct/>
        <w:topLinePunct w:val="0"/>
        <w:autoSpaceDE w:val="0"/>
        <w:autoSpaceDN w:val="0"/>
        <w:bidi w:val="0"/>
        <w:adjustRightInd/>
        <w:snapToGrid w:val="0"/>
        <w:spacing w:before="100" w:beforeAutospacing="1" w:after="100" w:afterAutospacing="1" w:line="400" w:lineRule="exact"/>
        <w:ind w:firstLine="5500" w:firstLineChars="2500"/>
        <w:jc w:val="left"/>
        <w:textAlignment w:val="auto"/>
        <w:rPr>
          <w:rFonts w:hint="eastAsia" w:ascii="宋体" w:hAnsi="宋体" w:eastAsia="宋体" w:cs="宋体"/>
          <w:szCs w:val="21"/>
        </w:rPr>
      </w:pPr>
      <w:r>
        <w:rPr>
          <w:rFonts w:hint="eastAsia" w:ascii="宋体" w:hAnsi="宋体" w:eastAsia="宋体" w:cs="宋体"/>
          <w:szCs w:val="21"/>
          <w:lang w:val="en-US" w:eastAsia="zh-CN"/>
        </w:rPr>
        <w:t xml:space="preserve">日 期： </w:t>
      </w:r>
    </w:p>
    <w:p>
      <w:pPr>
        <w:keepNext w:val="0"/>
        <w:keepLines w:val="0"/>
        <w:widowControl/>
        <w:suppressLineNumbers w:val="0"/>
        <w:jc w:val="left"/>
        <w:rPr>
          <w:rFonts w:hint="default" w:ascii="Times New Roman" w:hAnsi="Times New Roman" w:eastAsia="宋体" w:cs="Times New Roman"/>
          <w:b/>
          <w:bCs/>
          <w:color w:val="000000"/>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b/>
          <w:bCs/>
          <w:color w:val="000000"/>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b/>
          <w:bCs/>
          <w:color w:val="000000"/>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b/>
          <w:bCs/>
          <w:color w:val="000000"/>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b/>
          <w:bCs/>
          <w:color w:val="000000"/>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b/>
          <w:bCs/>
          <w:color w:val="000000"/>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b/>
          <w:bCs/>
          <w:color w:val="000000"/>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b/>
          <w:bCs/>
          <w:color w:val="000000"/>
          <w:kern w:val="0"/>
          <w:sz w:val="11"/>
          <w:szCs w:val="11"/>
          <w:lang w:val="en-US" w:eastAsia="zh-CN" w:bidi="ar"/>
        </w:rPr>
      </w:pPr>
    </w:p>
    <w:p>
      <w:pPr>
        <w:keepNext w:val="0"/>
        <w:keepLines w:val="0"/>
        <w:widowControl/>
        <w:suppressLineNumbers w:val="0"/>
        <w:jc w:val="left"/>
        <w:rPr>
          <w:rFonts w:hint="default" w:ascii="Times New Roman" w:hAnsi="Times New Roman" w:eastAsia="宋体" w:cs="Times New Roman"/>
          <w:b/>
          <w:bCs/>
          <w:color w:val="000000"/>
          <w:kern w:val="0"/>
          <w:sz w:val="11"/>
          <w:szCs w:val="11"/>
          <w:lang w:val="en-US" w:eastAsia="zh-CN" w:bidi="ar"/>
        </w:rPr>
      </w:pPr>
    </w:p>
    <w:p>
      <w:pPr>
        <w:keepNext w:val="0"/>
        <w:keepLines w:val="0"/>
        <w:widowControl/>
        <w:suppressLineNumbers w:val="0"/>
        <w:jc w:val="left"/>
      </w:pPr>
      <w:r>
        <w:rPr>
          <w:rFonts w:hint="default" w:ascii="Times New Roman" w:hAnsi="Times New Roman" w:eastAsia="宋体" w:cs="Times New Roman"/>
          <w:b/>
          <w:bCs/>
          <w:color w:val="000000"/>
          <w:kern w:val="0"/>
          <w:sz w:val="11"/>
          <w:szCs w:val="11"/>
          <w:lang w:val="en-US" w:eastAsia="zh-CN" w:bidi="ar"/>
        </w:rPr>
        <w:t xml:space="preserve">1 </w:t>
      </w:r>
      <w:r>
        <w:rPr>
          <w:rFonts w:hint="eastAsia" w:ascii="宋体" w:hAnsi="宋体" w:eastAsia="宋体" w:cs="宋体"/>
          <w:b/>
          <w:bCs/>
          <w:color w:val="000000"/>
          <w:kern w:val="0"/>
          <w:sz w:val="18"/>
          <w:szCs w:val="18"/>
          <w:lang w:val="en-US" w:eastAsia="zh-CN" w:bidi="ar"/>
        </w:rPr>
        <w:t>从业人员、营业收入、资产总额填报上一年度数据，无上一年度数据的新成立企业可不填报。</w:t>
      </w:r>
    </w:p>
    <w:p>
      <w:pPr>
        <w:ind w:firstLine="442" w:firstLineChars="200"/>
        <w:rPr>
          <w:rFonts w:hint="eastAsia" w:ascii="宋体" w:hAnsi="宋体" w:cs="宋体"/>
          <w:b/>
          <w:szCs w:val="21"/>
        </w:rPr>
      </w:pPr>
    </w:p>
    <w:p>
      <w:pPr>
        <w:pStyle w:val="10"/>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480"/>
        <w:jc w:val="both"/>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r>
        <w:rPr>
          <w:rFonts w:ascii="宋体" w:hAnsi="宋体" w:cs="宋体"/>
          <w:b/>
          <w:szCs w:val="21"/>
        </w:rPr>
        <w:br w:type="page"/>
      </w:r>
    </w:p>
    <w:p>
      <w:pPr>
        <w:pStyle w:val="17"/>
        <w:rPr>
          <w:sz w:val="28"/>
        </w:rPr>
        <w:sectPr>
          <w:headerReference r:id="rId29" w:type="default"/>
          <w:footerReference r:id="rId30" w:type="default"/>
          <w:pgSz w:w="11910" w:h="16840"/>
          <w:pgMar w:top="1220" w:right="920" w:bottom="1040" w:left="1320" w:header="882" w:footer="845" w:gutter="0"/>
          <w:cols w:space="720" w:num="1"/>
        </w:sect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3"/>
        <w:rPr>
          <w:sz w:val="19"/>
        </w:rPr>
      </w:pPr>
    </w:p>
    <w:p>
      <w:pPr>
        <w:pStyle w:val="10"/>
        <w:tabs>
          <w:tab w:val="left" w:pos="1920"/>
          <w:tab w:val="left" w:pos="4080"/>
        </w:tabs>
        <w:spacing w:before="74"/>
        <w:ind w:right="199"/>
        <w:jc w:val="center"/>
        <w:rPr>
          <w:sz w:val="32"/>
          <w:szCs w:val="32"/>
        </w:rPr>
      </w:pPr>
      <w:r>
        <w:rPr>
          <w:rFonts w:hint="eastAsia"/>
          <w:sz w:val="32"/>
          <w:szCs w:val="32"/>
          <w:u w:val="single"/>
        </w:rPr>
        <w:t xml:space="preserve"> </w:t>
      </w:r>
      <w:r>
        <w:rPr>
          <w:rFonts w:hint="eastAsia"/>
          <w:sz w:val="32"/>
          <w:szCs w:val="32"/>
          <w:u w:val="single"/>
        </w:rPr>
        <w:tab/>
      </w:r>
      <w:r>
        <w:rPr>
          <w:rFonts w:hint="eastAsia"/>
          <w:sz w:val="32"/>
          <w:szCs w:val="32"/>
        </w:rPr>
        <w:t>（项目名称）</w:t>
      </w:r>
    </w:p>
    <w:p>
      <w:pPr>
        <w:pStyle w:val="10"/>
        <w:rPr>
          <w:sz w:val="26"/>
        </w:rPr>
      </w:pPr>
    </w:p>
    <w:p>
      <w:pPr>
        <w:pStyle w:val="10"/>
        <w:rPr>
          <w:sz w:val="26"/>
        </w:rPr>
      </w:pPr>
    </w:p>
    <w:p>
      <w:pPr>
        <w:pStyle w:val="10"/>
        <w:rPr>
          <w:sz w:val="26"/>
        </w:rPr>
      </w:pPr>
    </w:p>
    <w:p>
      <w:pPr>
        <w:pStyle w:val="10"/>
        <w:rPr>
          <w:sz w:val="26"/>
        </w:rPr>
      </w:pPr>
    </w:p>
    <w:p>
      <w:pPr>
        <w:pStyle w:val="10"/>
        <w:spacing w:before="4"/>
        <w:rPr>
          <w:sz w:val="35"/>
        </w:rPr>
      </w:pPr>
    </w:p>
    <w:p>
      <w:pPr>
        <w:pStyle w:val="3"/>
        <w:tabs>
          <w:tab w:val="left" w:pos="1637"/>
          <w:tab w:val="left" w:pos="3077"/>
          <w:tab w:val="left" w:pos="4517"/>
        </w:tabs>
        <w:jc w:val="center"/>
      </w:pPr>
      <w:bookmarkStart w:id="106" w:name="投__标__文__件_"/>
      <w:bookmarkEnd w:id="106"/>
      <w:r>
        <w:rPr>
          <w:rFonts w:hint="eastAsia"/>
          <w:lang w:eastAsia="zh-CN"/>
        </w:rPr>
        <w:t>响</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rPr>
        <w:t>文</w:t>
      </w:r>
      <w:r>
        <w:rPr>
          <w:rFonts w:hint="eastAsia"/>
          <w:lang w:val="en-US" w:eastAsia="zh-CN"/>
        </w:rPr>
        <w:t xml:space="preserve"> </w:t>
      </w:r>
      <w:r>
        <w:rPr>
          <w:rFonts w:hint="eastAsia"/>
        </w:rPr>
        <w:t>件</w:t>
      </w:r>
    </w:p>
    <w:p>
      <w:pPr>
        <w:pStyle w:val="9"/>
        <w:spacing w:before="476"/>
        <w:ind w:left="68" w:right="199"/>
        <w:rPr>
          <w:b/>
          <w:bCs/>
          <w:sz w:val="44"/>
          <w:szCs w:val="44"/>
        </w:rPr>
      </w:pPr>
      <w:bookmarkStart w:id="107" w:name="_TOC_250004"/>
      <w:bookmarkEnd w:id="107"/>
      <w:r>
        <w:rPr>
          <w:rFonts w:hint="eastAsia"/>
          <w:b/>
          <w:bCs/>
          <w:sz w:val="44"/>
          <w:szCs w:val="44"/>
        </w:rPr>
        <w:t>（报价文件）</w:t>
      </w:r>
    </w:p>
    <w:p>
      <w:pPr>
        <w:pStyle w:val="10"/>
        <w:rPr>
          <w:b/>
          <w:bCs/>
          <w:sz w:val="32"/>
        </w:rPr>
      </w:pPr>
    </w:p>
    <w:p>
      <w:pPr>
        <w:pStyle w:val="10"/>
        <w:rPr>
          <w:sz w:val="32"/>
        </w:rPr>
      </w:pPr>
    </w:p>
    <w:p>
      <w:pPr>
        <w:pStyle w:val="10"/>
        <w:rPr>
          <w:sz w:val="32"/>
        </w:rPr>
      </w:pPr>
    </w:p>
    <w:p>
      <w:pPr>
        <w:pStyle w:val="10"/>
        <w:rPr>
          <w:sz w:val="32"/>
        </w:rPr>
      </w:pPr>
    </w:p>
    <w:p>
      <w:pPr>
        <w:pStyle w:val="10"/>
        <w:rPr>
          <w:sz w:val="32"/>
        </w:rPr>
      </w:pPr>
    </w:p>
    <w:p>
      <w:pPr>
        <w:pStyle w:val="10"/>
        <w:rPr>
          <w:sz w:val="32"/>
        </w:rPr>
      </w:pPr>
    </w:p>
    <w:p>
      <w:pPr>
        <w:pStyle w:val="10"/>
        <w:rPr>
          <w:sz w:val="32"/>
        </w:rPr>
      </w:pPr>
    </w:p>
    <w:p>
      <w:pPr>
        <w:pStyle w:val="10"/>
        <w:rPr>
          <w:sz w:val="32"/>
        </w:rPr>
      </w:pPr>
    </w:p>
    <w:p>
      <w:pPr>
        <w:pStyle w:val="10"/>
        <w:rPr>
          <w:sz w:val="32"/>
        </w:rPr>
      </w:pPr>
    </w:p>
    <w:p>
      <w:pPr>
        <w:pStyle w:val="10"/>
        <w:rPr>
          <w:sz w:val="32"/>
        </w:rPr>
      </w:pPr>
    </w:p>
    <w:p>
      <w:pPr>
        <w:spacing w:line="480" w:lineRule="auto"/>
        <w:ind w:firstLine="2380" w:firstLineChars="850"/>
        <w:rPr>
          <w:rFonts w:eastAsia="Times New Roman"/>
          <w:sz w:val="28"/>
          <w:u w:val="single"/>
        </w:rPr>
      </w:pPr>
      <w:r>
        <w:rPr>
          <w:rFonts w:hint="eastAsia" w:ascii="宋体" w:hAnsi="宋体"/>
          <w:sz w:val="28"/>
        </w:rPr>
        <w:t>供应商名称：（盖章）</w:t>
      </w:r>
    </w:p>
    <w:p>
      <w:pPr>
        <w:spacing w:line="480" w:lineRule="auto"/>
        <w:jc w:val="center"/>
        <w:rPr>
          <w:rFonts w:eastAsiaTheme="minorEastAsia"/>
          <w:sz w:val="28"/>
        </w:rPr>
      </w:pPr>
      <w:r>
        <w:rPr>
          <w:rFonts w:hint="eastAsia" w:ascii="宋体" w:hAnsi="宋体"/>
          <w:sz w:val="28"/>
        </w:rPr>
        <w:t xml:space="preserve">    法定代表人或其委托代理人：（签字或盖章）</w:t>
      </w:r>
    </w:p>
    <w:p>
      <w:pPr>
        <w:spacing w:line="480" w:lineRule="auto"/>
        <w:ind w:firstLine="2380" w:firstLineChars="850"/>
        <w:rPr>
          <w:rFonts w:ascii="宋体" w:hAnsi="宋体"/>
          <w:sz w:val="28"/>
        </w:rPr>
      </w:pPr>
      <w:r>
        <w:rPr>
          <w:rFonts w:hint="eastAsia" w:ascii="宋体" w:hAnsi="宋体"/>
          <w:sz w:val="28"/>
        </w:rPr>
        <w:t>日期：年</w:t>
      </w:r>
      <w:r>
        <w:rPr>
          <w:rFonts w:hint="eastAsia"/>
          <w:sz w:val="28"/>
          <w:lang w:val="en-US" w:eastAsia="zh-CN"/>
        </w:rPr>
        <w:t xml:space="preserve">  </w:t>
      </w:r>
      <w:r>
        <w:rPr>
          <w:rFonts w:hint="eastAsia" w:ascii="宋体" w:hAnsi="宋体"/>
          <w:sz w:val="28"/>
        </w:rPr>
        <w:t>月</w:t>
      </w:r>
      <w:r>
        <w:rPr>
          <w:rFonts w:hint="eastAsia"/>
          <w:sz w:val="28"/>
          <w:lang w:val="en-US" w:eastAsia="zh-CN"/>
        </w:rPr>
        <w:t xml:space="preserve">  </w:t>
      </w:r>
      <w:r>
        <w:rPr>
          <w:rFonts w:hint="eastAsia" w:ascii="宋体" w:hAnsi="宋体"/>
          <w:sz w:val="28"/>
        </w:rPr>
        <w:t>日</w:t>
      </w:r>
    </w:p>
    <w:p>
      <w:pPr>
        <w:pStyle w:val="10"/>
        <w:rPr>
          <w:sz w:val="20"/>
        </w:rPr>
      </w:pPr>
    </w:p>
    <w:p>
      <w:pPr>
        <w:pStyle w:val="11"/>
        <w:rPr>
          <w:sz w:val="20"/>
        </w:rPr>
      </w:pPr>
    </w:p>
    <w:p>
      <w:pPr>
        <w:rPr>
          <w:sz w:val="20"/>
        </w:rPr>
      </w:pPr>
    </w:p>
    <w:p>
      <w:pPr>
        <w:pStyle w:val="17"/>
      </w:pPr>
    </w:p>
    <w:p>
      <w:pPr>
        <w:pStyle w:val="10"/>
        <w:rPr>
          <w:sz w:val="20"/>
        </w:rPr>
      </w:pPr>
    </w:p>
    <w:p>
      <w:pPr>
        <w:tabs>
          <w:tab w:val="left" w:pos="1051"/>
        </w:tabs>
        <w:spacing w:before="227"/>
        <w:ind w:right="248"/>
        <w:jc w:val="center"/>
        <w:rPr>
          <w:rFonts w:hint="eastAsia"/>
          <w:b/>
          <w:sz w:val="30"/>
        </w:rPr>
      </w:pPr>
      <w:bookmarkStart w:id="108" w:name="_TOC_250003"/>
      <w:bookmarkEnd w:id="108"/>
    </w:p>
    <w:p>
      <w:pPr>
        <w:tabs>
          <w:tab w:val="left" w:pos="1051"/>
        </w:tabs>
        <w:spacing w:before="227"/>
        <w:ind w:right="248"/>
        <w:jc w:val="center"/>
        <w:rPr>
          <w:rFonts w:hint="eastAsia"/>
          <w:b/>
          <w:sz w:val="30"/>
        </w:rPr>
      </w:pPr>
    </w:p>
    <w:p>
      <w:pPr>
        <w:tabs>
          <w:tab w:val="left" w:pos="1051"/>
        </w:tabs>
        <w:spacing w:before="227"/>
        <w:ind w:right="248"/>
        <w:jc w:val="center"/>
        <w:rPr>
          <w:b/>
          <w:sz w:val="30"/>
        </w:rPr>
      </w:pPr>
      <w:r>
        <w:rPr>
          <w:rFonts w:hint="eastAsia"/>
          <w:b/>
          <w:sz w:val="30"/>
        </w:rPr>
        <w:t>目</w:t>
      </w:r>
      <w:r>
        <w:rPr>
          <w:rFonts w:hint="eastAsia"/>
          <w:b/>
          <w:sz w:val="30"/>
        </w:rPr>
        <w:tab/>
      </w:r>
      <w:r>
        <w:rPr>
          <w:rFonts w:hint="eastAsia"/>
          <w:b/>
          <w:sz w:val="30"/>
        </w:rPr>
        <w:t>录</w:t>
      </w:r>
    </w:p>
    <w:p>
      <w:pPr>
        <w:pStyle w:val="10"/>
        <w:spacing w:before="6"/>
        <w:rPr>
          <w:b/>
          <w:sz w:val="43"/>
        </w:rPr>
      </w:pPr>
    </w:p>
    <w:p>
      <w:pPr>
        <w:pStyle w:val="10"/>
        <w:keepNext w:val="0"/>
        <w:keepLines w:val="0"/>
        <w:pageBreakBefore w:val="0"/>
        <w:widowControl w:val="0"/>
        <w:kinsoku/>
        <w:wordWrap/>
        <w:overflowPunct/>
        <w:topLinePunct w:val="0"/>
        <w:autoSpaceDE w:val="0"/>
        <w:autoSpaceDN w:val="0"/>
        <w:bidi w:val="0"/>
        <w:adjustRightInd/>
        <w:snapToGrid/>
        <w:spacing w:line="360" w:lineRule="auto"/>
        <w:ind w:left="1894"/>
        <w:textAlignment w:val="auto"/>
      </w:pPr>
      <w:r>
        <w:rPr>
          <w:rFonts w:hint="eastAsia"/>
        </w:rPr>
        <w:t>一、投标函</w:t>
      </w:r>
    </w:p>
    <w:p>
      <w:pPr>
        <w:pStyle w:val="10"/>
        <w:keepNext w:val="0"/>
        <w:keepLines w:val="0"/>
        <w:pageBreakBefore w:val="0"/>
        <w:widowControl w:val="0"/>
        <w:kinsoku/>
        <w:wordWrap/>
        <w:overflowPunct/>
        <w:topLinePunct w:val="0"/>
        <w:autoSpaceDE w:val="0"/>
        <w:autoSpaceDN w:val="0"/>
        <w:bidi w:val="0"/>
        <w:adjustRightInd/>
        <w:snapToGrid/>
        <w:spacing w:before="132" w:line="360" w:lineRule="auto"/>
        <w:ind w:left="1894" w:right="5369"/>
        <w:textAlignment w:val="auto"/>
        <w:rPr>
          <w:rFonts w:hint="eastAsia"/>
        </w:rPr>
      </w:pPr>
      <w:r>
        <w:rPr>
          <w:rFonts w:hint="eastAsia"/>
        </w:rPr>
        <w:t>二、已标价工程量清单三、合同用款估算表</w:t>
      </w:r>
    </w:p>
    <w:p>
      <w:pPr>
        <w:pStyle w:val="10"/>
        <w:keepNext w:val="0"/>
        <w:keepLines w:val="0"/>
        <w:pageBreakBefore w:val="0"/>
        <w:widowControl w:val="0"/>
        <w:kinsoku/>
        <w:wordWrap/>
        <w:overflowPunct/>
        <w:topLinePunct w:val="0"/>
        <w:autoSpaceDE w:val="0"/>
        <w:autoSpaceDN w:val="0"/>
        <w:bidi w:val="0"/>
        <w:adjustRightInd/>
        <w:snapToGrid/>
        <w:spacing w:before="132" w:line="360" w:lineRule="auto"/>
        <w:ind w:left="1894" w:right="5369"/>
        <w:textAlignment w:val="auto"/>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四、最终报价单</w:t>
      </w:r>
    </w:p>
    <w:p>
      <w:pPr>
        <w:spacing w:line="343" w:lineRule="auto"/>
        <w:rPr>
          <w:rFonts w:hint="eastAsia" w:ascii="宋体" w:hAnsi="宋体" w:eastAsia="宋体" w:cs="宋体"/>
          <w:sz w:val="24"/>
          <w:szCs w:val="24"/>
          <w:lang w:val="zh-CN" w:eastAsia="zh-CN" w:bidi="zh-CN"/>
        </w:rPr>
      </w:pPr>
    </w:p>
    <w:p>
      <w:pPr>
        <w:pStyle w:val="17"/>
        <w:rPr>
          <w:rFonts w:hint="default" w:eastAsia="宋体"/>
          <w:lang w:val="en-US" w:eastAsia="zh-CN"/>
        </w:rPr>
        <w:sectPr>
          <w:footerReference r:id="rId31" w:type="default"/>
          <w:pgSz w:w="11910" w:h="16840"/>
          <w:pgMar w:top="1220" w:right="920" w:bottom="1040" w:left="1320" w:header="882" w:footer="845" w:gutter="0"/>
          <w:cols w:space="720" w:num="1"/>
        </w:sectPr>
      </w:pPr>
      <w:r>
        <w:rPr>
          <w:rFonts w:hint="eastAsia"/>
          <w:lang w:val="en-US" w:eastAsia="zh-CN"/>
        </w:rPr>
        <w:t xml:space="preserve">       </w:t>
      </w:r>
    </w:p>
    <w:p>
      <w:pPr>
        <w:pStyle w:val="10"/>
        <w:spacing w:before="4"/>
        <w:rPr>
          <w:sz w:val="16"/>
        </w:rPr>
      </w:pPr>
    </w:p>
    <w:p>
      <w:pPr>
        <w:spacing w:before="58"/>
        <w:ind w:left="50" w:right="199"/>
        <w:jc w:val="center"/>
        <w:rPr>
          <w:sz w:val="30"/>
        </w:rPr>
      </w:pPr>
      <w:bookmarkStart w:id="109" w:name="_TOC_250002"/>
      <w:bookmarkEnd w:id="109"/>
      <w:r>
        <w:rPr>
          <w:rFonts w:hint="eastAsia"/>
          <w:sz w:val="30"/>
        </w:rPr>
        <w:t>一、投标函</w:t>
      </w:r>
    </w:p>
    <w:p>
      <w:pPr>
        <w:pStyle w:val="10"/>
        <w:rPr>
          <w:sz w:val="20"/>
        </w:rPr>
      </w:pPr>
    </w:p>
    <w:p>
      <w:pPr>
        <w:pStyle w:val="10"/>
        <w:rPr>
          <w:sz w:val="20"/>
        </w:rPr>
      </w:pPr>
    </w:p>
    <w:p>
      <w:pPr>
        <w:pStyle w:val="10"/>
        <w:rPr>
          <w:sz w:val="20"/>
        </w:rPr>
      </w:pPr>
    </w:p>
    <w:p>
      <w:pPr>
        <w:pStyle w:val="10"/>
        <w:spacing w:before="1"/>
        <w:rPr>
          <w:sz w:val="19"/>
        </w:rPr>
      </w:pPr>
    </w:p>
    <w:p>
      <w:pPr>
        <w:pStyle w:val="10"/>
        <w:tabs>
          <w:tab w:val="left" w:pos="3352"/>
        </w:tabs>
        <w:spacing w:before="74"/>
        <w:ind w:left="471"/>
      </w:pPr>
      <w:r>
        <w:rPr>
          <w:rFonts w:hint="eastAsia"/>
          <w:u w:val="single"/>
        </w:rPr>
        <w:t xml:space="preserve"> </w:t>
      </w:r>
      <w:r>
        <w:rPr>
          <w:rFonts w:hint="eastAsia"/>
          <w:u w:val="single"/>
        </w:rPr>
        <w:tab/>
      </w:r>
      <w:r>
        <w:rPr>
          <w:rFonts w:hint="eastAsia"/>
        </w:rPr>
        <w:t>（招标人名称）：</w:t>
      </w:r>
    </w:p>
    <w:p>
      <w:pPr>
        <w:pStyle w:val="20"/>
        <w:numPr>
          <w:ilvl w:val="0"/>
          <w:numId w:val="76"/>
        </w:numPr>
        <w:tabs>
          <w:tab w:val="left" w:pos="995"/>
          <w:tab w:val="left" w:pos="1953"/>
          <w:tab w:val="left" w:pos="3273"/>
          <w:tab w:val="left" w:pos="3359"/>
          <w:tab w:val="left" w:pos="4439"/>
          <w:tab w:val="left" w:pos="4833"/>
          <w:tab w:val="left" w:pos="7353"/>
        </w:tabs>
        <w:spacing w:before="213" w:line="312" w:lineRule="auto"/>
        <w:ind w:right="551" w:firstLine="480"/>
        <w:rPr>
          <w:sz w:val="24"/>
        </w:rPr>
      </w:pPr>
      <w:r>
        <w:rPr>
          <w:rFonts w:hint="eastAsia"/>
          <w:sz w:val="24"/>
        </w:rPr>
        <w:t>我方已仔细研究</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（项目名称）施工招标</w:t>
      </w:r>
      <w:r>
        <w:rPr>
          <w:rFonts w:hint="eastAsia"/>
          <w:sz w:val="24"/>
          <w:lang w:eastAsia="zh-CN"/>
        </w:rPr>
        <w:t>竞争性磋商</w:t>
      </w:r>
      <w:r>
        <w:rPr>
          <w:rFonts w:hint="eastAsia"/>
          <w:sz w:val="24"/>
        </w:rPr>
        <w:t>文件的全部内</w:t>
      </w:r>
      <w:r>
        <w:rPr>
          <w:rFonts w:hint="eastAsia"/>
          <w:spacing w:val="-32"/>
          <w:sz w:val="24"/>
        </w:rPr>
        <w:t>容</w:t>
      </w:r>
      <w:r>
        <w:rPr>
          <w:rFonts w:hint="eastAsia"/>
          <w:spacing w:val="-3"/>
          <w:sz w:val="24"/>
        </w:rPr>
        <w:t>（</w:t>
      </w:r>
      <w:r>
        <w:rPr>
          <w:rFonts w:hint="eastAsia"/>
          <w:sz w:val="24"/>
        </w:rPr>
        <w:t>含补遗书</w:t>
      </w:r>
      <w:r>
        <w:rPr>
          <w:rFonts w:hint="eastAsia"/>
          <w:spacing w:val="-33"/>
          <w:sz w:val="24"/>
        </w:rPr>
        <w:t>），</w:t>
      </w:r>
      <w:r>
        <w:rPr>
          <w:rFonts w:hint="eastAsia"/>
          <w:sz w:val="24"/>
        </w:rPr>
        <w:t>在考察工程现场后</w:t>
      </w:r>
      <w:r>
        <w:rPr>
          <w:rFonts w:hint="eastAsia"/>
          <w:spacing w:val="-32"/>
          <w:sz w:val="24"/>
        </w:rPr>
        <w:t>，</w:t>
      </w:r>
      <w:r>
        <w:rPr>
          <w:rFonts w:hint="eastAsia"/>
          <w:sz w:val="24"/>
        </w:rPr>
        <w:t>愿意以人民</w:t>
      </w:r>
      <w:r>
        <w:rPr>
          <w:rFonts w:hint="eastAsia"/>
          <w:spacing w:val="-32"/>
          <w:sz w:val="24"/>
        </w:rPr>
        <w:t>币</w:t>
      </w:r>
      <w:r>
        <w:rPr>
          <w:rFonts w:hint="eastAsia"/>
          <w:sz w:val="24"/>
        </w:rPr>
        <w:t>（</w:t>
      </w:r>
      <w:r>
        <w:rPr>
          <w:rFonts w:hint="eastAsia"/>
          <w:spacing w:val="-14"/>
          <w:sz w:val="24"/>
        </w:rPr>
        <w:t>大</w:t>
      </w:r>
      <w:r>
        <w:rPr>
          <w:rFonts w:hint="eastAsia"/>
          <w:sz w:val="24"/>
        </w:rPr>
        <w:t>写）</w:t>
      </w:r>
      <w:r>
        <w:rPr>
          <w:rFonts w:hint="eastAsia"/>
          <w:sz w:val="24"/>
          <w:u w:val="single"/>
        </w:rPr>
        <w:t xml:space="preserve"> </w:t>
      </w:r>
      <w:r>
        <w:rPr>
          <w:rFonts w:hint="eastAsia"/>
          <w:sz w:val="24"/>
          <w:u w:val="single"/>
        </w:rPr>
        <w:tab/>
      </w:r>
      <w:r>
        <w:rPr>
          <w:rFonts w:hint="eastAsia"/>
          <w:sz w:val="24"/>
        </w:rPr>
        <w:t>（¥</w:t>
      </w:r>
      <w:r>
        <w:rPr>
          <w:rFonts w:hint="eastAsia"/>
          <w:sz w:val="24"/>
          <w:u w:val="single"/>
        </w:rPr>
        <w:t xml:space="preserve"> </w:t>
      </w:r>
      <w:r>
        <w:rPr>
          <w:rFonts w:hint="eastAsia"/>
          <w:sz w:val="24"/>
          <w:u w:val="single"/>
        </w:rPr>
        <w:tab/>
      </w:r>
      <w:r>
        <w:rPr>
          <w:rFonts w:hint="eastAsia"/>
          <w:sz w:val="24"/>
        </w:rPr>
        <w:t>）的投标总报价（增值税税率按国家规定的相关税率执行）</w:t>
      </w:r>
      <w:r>
        <w:rPr>
          <w:rFonts w:hint="eastAsia"/>
          <w:sz w:val="24"/>
          <w:lang w:eastAsia="zh-CN"/>
        </w:rPr>
        <w:t>，</w:t>
      </w:r>
      <w:r>
        <w:rPr>
          <w:rFonts w:hint="eastAsia"/>
          <w:sz w:val="24"/>
        </w:rPr>
        <w:t>按合同约定实施和完成承包工程，修补工程中的任何缺陷。</w:t>
      </w:r>
    </w:p>
    <w:p>
      <w:pPr>
        <w:pStyle w:val="20"/>
        <w:numPr>
          <w:ilvl w:val="0"/>
          <w:numId w:val="76"/>
        </w:numPr>
        <w:tabs>
          <w:tab w:val="left" w:pos="995"/>
        </w:tabs>
        <w:spacing w:line="312" w:lineRule="auto"/>
        <w:ind w:right="551" w:firstLine="480"/>
        <w:rPr>
          <w:sz w:val="24"/>
        </w:rPr>
      </w:pPr>
      <w:r>
        <w:rPr>
          <w:rFonts w:hint="eastAsia"/>
          <w:spacing w:val="-3"/>
          <w:sz w:val="24"/>
        </w:rPr>
        <w:t>在合同协议书正式签署生效之前，本投标函连同你方的中标通知书将构成我们</w:t>
      </w:r>
      <w:r>
        <w:rPr>
          <w:rFonts w:hint="eastAsia"/>
          <w:sz w:val="24"/>
        </w:rPr>
        <w:t>双方之间共同遵守的文件，对双方具有约束力。</w:t>
      </w:r>
    </w:p>
    <w:p>
      <w:pPr>
        <w:pStyle w:val="20"/>
        <w:numPr>
          <w:ilvl w:val="0"/>
          <w:numId w:val="76"/>
        </w:numPr>
        <w:tabs>
          <w:tab w:val="left" w:pos="995"/>
          <w:tab w:val="left" w:pos="5673"/>
        </w:tabs>
        <w:spacing w:before="2"/>
        <w:ind w:left="994" w:hanging="362"/>
        <w:rPr>
          <w:sz w:val="24"/>
        </w:rPr>
      </w:pPr>
      <w:r>
        <w:rPr>
          <w:rFonts w:hint="eastAsia"/>
          <w:sz w:val="24"/>
          <w:u w:val="single"/>
        </w:rPr>
        <w:t xml:space="preserve"> </w:t>
      </w:r>
      <w:r>
        <w:rPr>
          <w:rFonts w:hint="eastAsia"/>
          <w:sz w:val="24"/>
          <w:u w:val="single"/>
        </w:rPr>
        <w:tab/>
      </w:r>
      <w:r>
        <w:rPr>
          <w:rFonts w:hint="eastAsia"/>
          <w:sz w:val="24"/>
        </w:rPr>
        <w:t>（其他补充说明）。</w:t>
      </w:r>
    </w:p>
    <w:p>
      <w:pPr>
        <w:pStyle w:val="10"/>
        <w:spacing w:before="4"/>
        <w:rPr>
          <w:sz w:val="38"/>
        </w:rPr>
      </w:pPr>
    </w:p>
    <w:p>
      <w:pPr>
        <w:pStyle w:val="10"/>
        <w:tabs>
          <w:tab w:val="left" w:pos="7293"/>
          <w:tab w:val="left" w:pos="8013"/>
        </w:tabs>
        <w:spacing w:line="312" w:lineRule="auto"/>
        <w:ind w:left="3573" w:right="690"/>
        <w:jc w:val="both"/>
        <w:rPr>
          <w:rFonts w:hint="eastAsia"/>
        </w:rPr>
      </w:pPr>
      <w:r>
        <w:rPr>
          <w:rFonts w:hint="eastAsia" w:ascii="PQPMNW+ËÎÌå" w:hAnsi="PQPMNW+ËÎÌå" w:cs="PQPMNW+ËÎÌå"/>
          <w:spacing w:val="-1"/>
        </w:rPr>
        <w:t>竞争性磋商响应人</w:t>
      </w:r>
      <w:r>
        <w:rPr>
          <w:rFonts w:hint="eastAsia"/>
        </w:rPr>
        <w:t>：</w:t>
      </w:r>
      <w:r>
        <w:rPr>
          <w:rFonts w:hint="eastAsia"/>
          <w:u w:val="single"/>
        </w:rPr>
        <w:t xml:space="preserve"> </w:t>
      </w:r>
      <w:r>
        <w:rPr>
          <w:rFonts w:hint="eastAsia"/>
          <w:u w:val="single"/>
        </w:rPr>
        <w:tab/>
      </w:r>
      <w:r>
        <w:rPr>
          <w:rFonts w:hint="eastAsia"/>
        </w:rPr>
        <w:t>（盖单位章）</w:t>
      </w:r>
    </w:p>
    <w:p>
      <w:pPr>
        <w:pStyle w:val="10"/>
        <w:tabs>
          <w:tab w:val="left" w:pos="7293"/>
          <w:tab w:val="left" w:pos="8013"/>
        </w:tabs>
        <w:spacing w:line="312" w:lineRule="auto"/>
        <w:ind w:left="3573" w:right="690"/>
        <w:jc w:val="both"/>
      </w:pPr>
      <w:r>
        <w:rPr>
          <w:rFonts w:hint="eastAsia"/>
        </w:rPr>
        <w:t>法定代表人或其委托代理人：</w:t>
      </w:r>
      <w:r>
        <w:rPr>
          <w:rFonts w:hint="eastAsia"/>
          <w:u w:val="single"/>
        </w:rPr>
        <w:t xml:space="preserve"> </w:t>
      </w:r>
      <w:r>
        <w:rPr>
          <w:rFonts w:hint="eastAsia"/>
          <w:u w:val="single"/>
          <w:lang w:val="en-US" w:eastAsia="zh-CN"/>
        </w:rPr>
        <w:t xml:space="preserve">      </w:t>
      </w:r>
      <w:r>
        <w:rPr>
          <w:rFonts w:hint="eastAsia"/>
        </w:rPr>
        <w:t>（签字</w:t>
      </w:r>
      <w:r>
        <w:rPr>
          <w:rFonts w:hint="eastAsia"/>
          <w:lang w:eastAsia="zh-CN"/>
        </w:rPr>
        <w:t>或盖章</w:t>
      </w:r>
      <w:r>
        <w:rPr>
          <w:rFonts w:hint="eastAsia"/>
          <w:spacing w:val="-17"/>
        </w:rPr>
        <w:t>）</w:t>
      </w:r>
    </w:p>
    <w:p>
      <w:pPr>
        <w:pStyle w:val="10"/>
        <w:tabs>
          <w:tab w:val="left" w:pos="9171"/>
        </w:tabs>
        <w:spacing w:line="312" w:lineRule="auto"/>
        <w:ind w:left="3573" w:right="492"/>
        <w:jc w:val="both"/>
      </w:pPr>
      <w:r>
        <w:rPr>
          <w:rFonts w:hint="eastAsia"/>
        </w:rPr>
        <w:t xml:space="preserve">地  </w:t>
      </w:r>
      <w:r>
        <w:rPr>
          <w:rFonts w:hint="eastAsia"/>
          <w:spacing w:val="119"/>
        </w:rPr>
        <w:t xml:space="preserve"> </w:t>
      </w:r>
      <w:r>
        <w:rPr>
          <w:rFonts w:hint="eastAsia"/>
        </w:rPr>
        <w:t>址：</w:t>
      </w:r>
      <w:r>
        <w:rPr>
          <w:rFonts w:hint="eastAsia"/>
          <w:u w:val="single"/>
        </w:rPr>
        <w:t xml:space="preserve"> </w:t>
      </w:r>
      <w:r>
        <w:rPr>
          <w:rFonts w:hint="eastAsia"/>
          <w:u w:val="single"/>
        </w:rPr>
        <w:tab/>
      </w:r>
      <w:r>
        <w:rPr>
          <w:rFonts w:hint="eastAsia"/>
          <w:u w:val="single"/>
        </w:rPr>
        <w:t xml:space="preserve"> </w:t>
      </w:r>
      <w:r>
        <w:rPr>
          <w:rFonts w:hint="eastAsia"/>
        </w:rPr>
        <w:t xml:space="preserve">网  </w:t>
      </w:r>
      <w:r>
        <w:rPr>
          <w:rFonts w:hint="eastAsia"/>
          <w:spacing w:val="119"/>
        </w:rPr>
        <w:t xml:space="preserve"> </w:t>
      </w:r>
      <w:r>
        <w:rPr>
          <w:rFonts w:hint="eastAsia"/>
        </w:rPr>
        <w:t>址：</w:t>
      </w:r>
      <w:r>
        <w:rPr>
          <w:rFonts w:hint="eastAsia"/>
          <w:u w:val="single"/>
        </w:rPr>
        <w:t xml:space="preserve"> </w:t>
      </w:r>
      <w:r>
        <w:rPr>
          <w:rFonts w:hint="eastAsia"/>
          <w:u w:val="single"/>
        </w:rPr>
        <w:tab/>
      </w:r>
      <w:r>
        <w:rPr>
          <w:rFonts w:hint="eastAsia"/>
          <w:u w:val="single"/>
        </w:rPr>
        <w:t xml:space="preserve"> </w:t>
      </w:r>
      <w:r>
        <w:rPr>
          <w:rFonts w:hint="eastAsia"/>
        </w:rPr>
        <w:t xml:space="preserve">电  </w:t>
      </w:r>
      <w:r>
        <w:rPr>
          <w:rFonts w:hint="eastAsia"/>
          <w:spacing w:val="119"/>
        </w:rPr>
        <w:t xml:space="preserve"> </w:t>
      </w:r>
      <w:r>
        <w:rPr>
          <w:rFonts w:hint="eastAsia"/>
        </w:rPr>
        <w:t>话：</w:t>
      </w:r>
      <w:r>
        <w:rPr>
          <w:rFonts w:hint="eastAsia"/>
          <w:u w:val="single"/>
        </w:rPr>
        <w:t xml:space="preserve"> </w:t>
      </w:r>
      <w:r>
        <w:rPr>
          <w:rFonts w:hint="eastAsia"/>
          <w:u w:val="single"/>
        </w:rPr>
        <w:tab/>
      </w:r>
      <w:r>
        <w:rPr>
          <w:rFonts w:hint="eastAsia"/>
          <w:u w:val="single"/>
        </w:rPr>
        <w:t xml:space="preserve"> </w:t>
      </w:r>
      <w:r>
        <w:rPr>
          <w:rFonts w:hint="eastAsia"/>
        </w:rPr>
        <w:t xml:space="preserve">传  </w:t>
      </w:r>
      <w:r>
        <w:rPr>
          <w:rFonts w:hint="eastAsia"/>
          <w:spacing w:val="119"/>
        </w:rPr>
        <w:t xml:space="preserve"> </w:t>
      </w:r>
      <w:r>
        <w:rPr>
          <w:rFonts w:hint="eastAsia"/>
        </w:rPr>
        <w:t>真：</w:t>
      </w:r>
      <w:r>
        <w:rPr>
          <w:rFonts w:hint="eastAsia"/>
          <w:u w:val="single"/>
        </w:rPr>
        <w:t xml:space="preserve"> </w:t>
      </w:r>
      <w:r>
        <w:rPr>
          <w:rFonts w:hint="eastAsia"/>
          <w:u w:val="single"/>
        </w:rPr>
        <w:tab/>
      </w:r>
      <w:r>
        <w:rPr>
          <w:rFonts w:hint="eastAsia"/>
          <w:spacing w:val="-1"/>
          <w:u w:val="single"/>
        </w:rPr>
        <w:t xml:space="preserve">                                  </w:t>
      </w:r>
      <w:r>
        <w:rPr>
          <w:rFonts w:hint="eastAsia"/>
          <w:spacing w:val="34"/>
          <w:u w:val="single"/>
        </w:rPr>
        <w:t xml:space="preserve"> </w:t>
      </w:r>
      <w:r>
        <w:rPr>
          <w:rFonts w:hint="eastAsia"/>
          <w:spacing w:val="-1"/>
        </w:rPr>
        <w:t>邮</w:t>
      </w:r>
      <w:r>
        <w:rPr>
          <w:rFonts w:hint="eastAsia"/>
        </w:rPr>
        <w:t>政编码：</w:t>
      </w:r>
      <w:r>
        <w:rPr>
          <w:rFonts w:hint="eastAsia"/>
          <w:u w:val="single"/>
        </w:rPr>
        <w:t xml:space="preserve"> </w:t>
      </w:r>
      <w:r>
        <w:rPr>
          <w:rFonts w:hint="eastAsia"/>
          <w:u w:val="single"/>
        </w:rPr>
        <w:tab/>
      </w:r>
    </w:p>
    <w:p>
      <w:pPr>
        <w:pStyle w:val="10"/>
        <w:spacing w:before="5"/>
        <w:rPr>
          <w:sz w:val="28"/>
        </w:rPr>
      </w:pPr>
    </w:p>
    <w:p>
      <w:pPr>
        <w:pStyle w:val="10"/>
        <w:tabs>
          <w:tab w:val="left" w:pos="5973"/>
          <w:tab w:val="left" w:pos="7053"/>
          <w:tab w:val="left" w:pos="8133"/>
        </w:tabs>
        <w:spacing w:before="74"/>
        <w:ind w:left="4892"/>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rFonts w:hint="eastAsia" w:eastAsia="宋体"/>
          <w:sz w:val="20"/>
          <w:lang w:eastAsia="zh-CN"/>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1"/>
        <w:rPr>
          <w:sz w:val="20"/>
        </w:rPr>
      </w:pPr>
    </w:p>
    <w:p>
      <w:pPr>
        <w:rPr>
          <w:sz w:val="20"/>
        </w:rPr>
      </w:pPr>
    </w:p>
    <w:p>
      <w:pPr>
        <w:pStyle w:val="17"/>
      </w:pPr>
    </w:p>
    <w:p>
      <w:pPr>
        <w:pStyle w:val="10"/>
        <w:spacing w:before="10"/>
        <w:rPr>
          <w:sz w:val="29"/>
        </w:rPr>
      </w:pPr>
    </w:p>
    <w:p>
      <w:pPr>
        <w:pStyle w:val="10"/>
        <w:spacing w:before="8"/>
        <w:rPr>
          <w:sz w:val="5"/>
        </w:rPr>
      </w:pPr>
    </w:p>
    <w:p>
      <w:pPr>
        <w:pStyle w:val="10"/>
        <w:spacing w:before="3"/>
        <w:rPr>
          <w:sz w:val="17"/>
        </w:rPr>
      </w:pPr>
    </w:p>
    <w:p>
      <w:pPr>
        <w:spacing w:before="62"/>
        <w:ind w:left="2" w:right="397"/>
        <w:jc w:val="center"/>
        <w:rPr>
          <w:rFonts w:hint="eastAsia"/>
          <w:sz w:val="28"/>
        </w:rPr>
      </w:pPr>
      <w:bookmarkStart w:id="110" w:name="_TOC_250001"/>
      <w:bookmarkEnd w:id="110"/>
    </w:p>
    <w:p>
      <w:pPr>
        <w:spacing w:before="62"/>
        <w:ind w:left="2" w:right="397"/>
        <w:jc w:val="center"/>
        <w:rPr>
          <w:sz w:val="28"/>
        </w:rPr>
      </w:pPr>
      <w:r>
        <w:rPr>
          <w:rFonts w:hint="eastAsia"/>
          <w:sz w:val="28"/>
        </w:rPr>
        <w:t>二、已标价的工程量清单</w:t>
      </w:r>
    </w:p>
    <w:p>
      <w:pPr>
        <w:pStyle w:val="10"/>
        <w:spacing w:before="2"/>
        <w:rPr>
          <w:sz w:val="36"/>
        </w:rPr>
      </w:pPr>
    </w:p>
    <w:p>
      <w:pPr>
        <w:pStyle w:val="10"/>
        <w:ind w:left="633"/>
      </w:pPr>
      <w:r>
        <w:rPr>
          <w:rFonts w:hint="eastAsia"/>
        </w:rPr>
        <w:t>按照</w:t>
      </w:r>
      <w:r>
        <w:rPr>
          <w:rFonts w:hint="eastAsia"/>
          <w:lang w:eastAsia="zh-CN"/>
        </w:rPr>
        <w:t>采购</w:t>
      </w:r>
      <w:r>
        <w:rPr>
          <w:rFonts w:hint="eastAsia"/>
        </w:rPr>
        <w:t>人提供的工程量固化清单填入单价。</w:t>
      </w:r>
    </w:p>
    <w:p>
      <w:pPr>
        <w:sectPr>
          <w:pgSz w:w="11910" w:h="16840"/>
          <w:pgMar w:top="1220" w:right="920" w:bottom="1040" w:left="1320" w:header="882" w:footer="845" w:gutter="0"/>
          <w:cols w:space="720" w:num="1"/>
        </w:sectPr>
      </w:pPr>
    </w:p>
    <w:p>
      <w:pPr>
        <w:pStyle w:val="10"/>
        <w:spacing w:before="6"/>
        <w:rPr>
          <w:sz w:val="16"/>
        </w:rPr>
      </w:pPr>
    </w:p>
    <w:p>
      <w:pPr>
        <w:spacing w:before="62"/>
        <w:ind w:left="35" w:right="199"/>
        <w:jc w:val="center"/>
        <w:rPr>
          <w:b/>
          <w:sz w:val="28"/>
        </w:rPr>
      </w:pPr>
      <w:bookmarkStart w:id="111" w:name="_TOC_250000"/>
      <w:bookmarkEnd w:id="111"/>
      <w:r>
        <w:rPr>
          <w:rFonts w:hint="eastAsia"/>
          <w:b/>
          <w:sz w:val="28"/>
        </w:rPr>
        <w:t>三、合同用款估算表</w:t>
      </w:r>
    </w:p>
    <w:p>
      <w:pPr>
        <w:pStyle w:val="10"/>
        <w:rPr>
          <w:b/>
          <w:sz w:val="20"/>
        </w:rPr>
      </w:pPr>
    </w:p>
    <w:p>
      <w:pPr>
        <w:pStyle w:val="10"/>
        <w:spacing w:before="11"/>
        <w:rPr>
          <w:b/>
          <w:sz w:val="10"/>
        </w:rPr>
      </w:pPr>
    </w:p>
    <w:tbl>
      <w:tblPr>
        <w:tblStyle w:val="18"/>
        <w:tblW w:w="8844"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8"/>
        <w:gridCol w:w="2025"/>
        <w:gridCol w:w="1547"/>
        <w:gridCol w:w="1548"/>
        <w:gridCol w:w="1548"/>
        <w:gridCol w:w="15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0" w:hRule="atLeast"/>
        </w:trPr>
        <w:tc>
          <w:tcPr>
            <w:tcW w:w="2653" w:type="dxa"/>
            <w:gridSpan w:val="2"/>
            <w:vMerge w:val="restart"/>
          </w:tcPr>
          <w:p>
            <w:pPr>
              <w:pStyle w:val="21"/>
              <w:rPr>
                <w:b/>
                <w:sz w:val="20"/>
              </w:rPr>
            </w:pPr>
          </w:p>
          <w:p>
            <w:pPr>
              <w:pStyle w:val="21"/>
              <w:spacing w:before="8"/>
              <w:rPr>
                <w:b/>
                <w:sz w:val="19"/>
              </w:rPr>
            </w:pPr>
          </w:p>
          <w:p>
            <w:pPr>
              <w:pStyle w:val="21"/>
              <w:ind w:left="405" w:right="392"/>
              <w:jc w:val="center"/>
              <w:rPr>
                <w:sz w:val="20"/>
              </w:rPr>
            </w:pPr>
            <w:r>
              <w:rPr>
                <w:rFonts w:hint="eastAsia"/>
                <w:sz w:val="20"/>
              </w:rPr>
              <w:t>从开工月算起的时间</w:t>
            </w:r>
          </w:p>
          <w:p>
            <w:pPr>
              <w:pStyle w:val="21"/>
              <w:rPr>
                <w:b/>
                <w:sz w:val="16"/>
              </w:rPr>
            </w:pPr>
          </w:p>
          <w:p>
            <w:pPr>
              <w:pStyle w:val="21"/>
              <w:ind w:left="405" w:right="392"/>
              <w:jc w:val="center"/>
              <w:rPr>
                <w:sz w:val="20"/>
              </w:rPr>
            </w:pPr>
            <w:r>
              <w:rPr>
                <w:rFonts w:hint="eastAsia"/>
                <w:sz w:val="20"/>
              </w:rPr>
              <w:t>（月）</w:t>
            </w:r>
          </w:p>
        </w:tc>
        <w:tc>
          <w:tcPr>
            <w:tcW w:w="6191" w:type="dxa"/>
            <w:gridSpan w:val="4"/>
          </w:tcPr>
          <w:p>
            <w:pPr>
              <w:pStyle w:val="21"/>
              <w:spacing w:before="11"/>
              <w:rPr>
                <w:b/>
                <w:sz w:val="15"/>
              </w:rPr>
            </w:pPr>
          </w:p>
          <w:p>
            <w:pPr>
              <w:pStyle w:val="21"/>
              <w:ind w:left="2557" w:right="2379"/>
              <w:jc w:val="center"/>
              <w:rPr>
                <w:sz w:val="20"/>
              </w:rPr>
            </w:pPr>
            <w:r>
              <w:rPr>
                <w:rFonts w:hint="eastAsia"/>
                <w:sz w:val="20"/>
              </w:rPr>
              <w:t>投标人的估算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vMerge w:val="continue"/>
            <w:tcBorders>
              <w:top w:val="nil"/>
            </w:tcBorders>
          </w:tcPr>
          <w:p>
            <w:pPr>
              <w:rPr>
                <w:sz w:val="2"/>
                <w:szCs w:val="2"/>
              </w:rPr>
            </w:pPr>
          </w:p>
        </w:tc>
        <w:tc>
          <w:tcPr>
            <w:tcW w:w="3095" w:type="dxa"/>
            <w:gridSpan w:val="2"/>
          </w:tcPr>
          <w:p>
            <w:pPr>
              <w:pStyle w:val="21"/>
              <w:spacing w:before="11"/>
              <w:rPr>
                <w:b/>
                <w:sz w:val="15"/>
              </w:rPr>
            </w:pPr>
          </w:p>
          <w:p>
            <w:pPr>
              <w:pStyle w:val="21"/>
              <w:tabs>
                <w:tab w:val="left" w:pos="713"/>
              </w:tabs>
              <w:ind w:left="13"/>
              <w:jc w:val="center"/>
              <w:rPr>
                <w:sz w:val="20"/>
              </w:rPr>
            </w:pPr>
            <w:r>
              <w:rPr>
                <w:rFonts w:hint="eastAsia"/>
                <w:sz w:val="20"/>
              </w:rPr>
              <w:t>分</w:t>
            </w:r>
            <w:r>
              <w:rPr>
                <w:rFonts w:hint="eastAsia"/>
                <w:sz w:val="20"/>
              </w:rPr>
              <w:tab/>
            </w:r>
            <w:r>
              <w:rPr>
                <w:rFonts w:hint="eastAsia"/>
                <w:sz w:val="20"/>
              </w:rPr>
              <w:t>期</w:t>
            </w:r>
          </w:p>
        </w:tc>
        <w:tc>
          <w:tcPr>
            <w:tcW w:w="3096" w:type="dxa"/>
            <w:gridSpan w:val="2"/>
          </w:tcPr>
          <w:p>
            <w:pPr>
              <w:pStyle w:val="21"/>
              <w:spacing w:before="11"/>
              <w:rPr>
                <w:b/>
                <w:sz w:val="15"/>
              </w:rPr>
            </w:pPr>
          </w:p>
          <w:p>
            <w:pPr>
              <w:pStyle w:val="21"/>
              <w:tabs>
                <w:tab w:val="left" w:pos="714"/>
              </w:tabs>
              <w:ind w:left="14"/>
              <w:jc w:val="center"/>
              <w:rPr>
                <w:sz w:val="20"/>
              </w:rPr>
            </w:pPr>
            <w:r>
              <w:rPr>
                <w:rFonts w:hint="eastAsia"/>
                <w:sz w:val="20"/>
              </w:rPr>
              <w:t>累</w:t>
            </w:r>
            <w:r>
              <w:rPr>
                <w:rFonts w:hint="eastAsia"/>
                <w:sz w:val="20"/>
              </w:rPr>
              <w:tab/>
            </w:r>
            <w:r>
              <w:rPr>
                <w:rFonts w:hint="eastAsia"/>
                <w:sz w:val="20"/>
              </w:rPr>
              <w:t>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vMerge w:val="continue"/>
            <w:tcBorders>
              <w:top w:val="nil"/>
            </w:tcBorders>
          </w:tcPr>
          <w:p>
            <w:pPr>
              <w:rPr>
                <w:sz w:val="2"/>
                <w:szCs w:val="2"/>
              </w:rPr>
            </w:pPr>
          </w:p>
        </w:tc>
        <w:tc>
          <w:tcPr>
            <w:tcW w:w="1547" w:type="dxa"/>
          </w:tcPr>
          <w:p>
            <w:pPr>
              <w:pStyle w:val="21"/>
              <w:spacing w:before="11"/>
              <w:rPr>
                <w:b/>
                <w:sz w:val="15"/>
              </w:rPr>
            </w:pPr>
          </w:p>
          <w:p>
            <w:pPr>
              <w:pStyle w:val="21"/>
              <w:ind w:left="273"/>
              <w:rPr>
                <w:sz w:val="20"/>
              </w:rPr>
            </w:pPr>
            <w:r>
              <w:rPr>
                <w:rFonts w:hint="eastAsia"/>
                <w:sz w:val="20"/>
              </w:rPr>
              <w:t>金额（元）</w:t>
            </w:r>
          </w:p>
        </w:tc>
        <w:tc>
          <w:tcPr>
            <w:tcW w:w="1548" w:type="dxa"/>
          </w:tcPr>
          <w:p>
            <w:pPr>
              <w:pStyle w:val="21"/>
              <w:spacing w:before="11"/>
              <w:rPr>
                <w:b/>
                <w:sz w:val="15"/>
              </w:rPr>
            </w:pPr>
          </w:p>
          <w:p>
            <w:pPr>
              <w:pStyle w:val="21"/>
              <w:ind w:left="470" w:right="456"/>
              <w:jc w:val="center"/>
              <w:rPr>
                <w:sz w:val="20"/>
              </w:rPr>
            </w:pPr>
            <w:r>
              <w:rPr>
                <w:rFonts w:hint="eastAsia"/>
                <w:sz w:val="20"/>
              </w:rPr>
              <w:t>（%）</w:t>
            </w:r>
          </w:p>
        </w:tc>
        <w:tc>
          <w:tcPr>
            <w:tcW w:w="1548" w:type="dxa"/>
          </w:tcPr>
          <w:p>
            <w:pPr>
              <w:pStyle w:val="21"/>
              <w:spacing w:before="11"/>
              <w:rPr>
                <w:b/>
                <w:sz w:val="15"/>
              </w:rPr>
            </w:pPr>
          </w:p>
          <w:p>
            <w:pPr>
              <w:pStyle w:val="21"/>
              <w:ind w:left="274"/>
              <w:rPr>
                <w:sz w:val="20"/>
              </w:rPr>
            </w:pPr>
            <w:r>
              <w:rPr>
                <w:rFonts w:hint="eastAsia"/>
                <w:sz w:val="20"/>
              </w:rPr>
              <w:t>金额（元）</w:t>
            </w:r>
          </w:p>
        </w:tc>
        <w:tc>
          <w:tcPr>
            <w:tcW w:w="1548" w:type="dxa"/>
          </w:tcPr>
          <w:p>
            <w:pPr>
              <w:pStyle w:val="21"/>
              <w:spacing w:before="11"/>
              <w:rPr>
                <w:b/>
                <w:sz w:val="15"/>
              </w:rPr>
            </w:pPr>
          </w:p>
          <w:p>
            <w:pPr>
              <w:pStyle w:val="21"/>
              <w:ind w:left="490"/>
              <w:rPr>
                <w:sz w:val="20"/>
              </w:rPr>
            </w:pPr>
            <w:r>
              <w:rPr>
                <w:rFonts w:hint="eastAsia"/>
                <w:sz w:val="2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1"/>
              <w:spacing w:before="11"/>
              <w:rPr>
                <w:b/>
                <w:sz w:val="15"/>
              </w:rPr>
            </w:pPr>
          </w:p>
          <w:p>
            <w:pPr>
              <w:pStyle w:val="21"/>
              <w:spacing w:before="1"/>
              <w:ind w:left="526"/>
              <w:rPr>
                <w:sz w:val="20"/>
              </w:rPr>
            </w:pPr>
            <w:r>
              <w:rPr>
                <w:rFonts w:hint="eastAsia"/>
                <w:sz w:val="20"/>
              </w:rPr>
              <w:t>第一次开工预付款</w:t>
            </w:r>
          </w:p>
        </w:tc>
        <w:tc>
          <w:tcPr>
            <w:tcW w:w="1547" w:type="dxa"/>
          </w:tcPr>
          <w:p>
            <w:pPr>
              <w:pStyle w:val="21"/>
              <w:rPr>
                <w:sz w:val="20"/>
              </w:rPr>
            </w:pPr>
          </w:p>
        </w:tc>
        <w:tc>
          <w:tcPr>
            <w:tcW w:w="1548" w:type="dxa"/>
          </w:tcPr>
          <w:p>
            <w:pPr>
              <w:pStyle w:val="21"/>
              <w:rPr>
                <w:sz w:val="20"/>
              </w:rPr>
            </w:pPr>
          </w:p>
        </w:tc>
        <w:tc>
          <w:tcPr>
            <w:tcW w:w="1548" w:type="dxa"/>
          </w:tcPr>
          <w:p>
            <w:pPr>
              <w:pStyle w:val="21"/>
              <w:rPr>
                <w:sz w:val="20"/>
              </w:rPr>
            </w:pPr>
          </w:p>
        </w:tc>
        <w:tc>
          <w:tcPr>
            <w:tcW w:w="1548" w:type="dxa"/>
          </w:tcPr>
          <w:p>
            <w:pPr>
              <w:pStyle w:val="21"/>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1"/>
              <w:spacing w:before="11"/>
              <w:rPr>
                <w:b/>
                <w:sz w:val="17"/>
              </w:rPr>
            </w:pPr>
          </w:p>
          <w:p>
            <w:pPr>
              <w:pStyle w:val="21"/>
              <w:ind w:left="404" w:right="392"/>
              <w:jc w:val="center"/>
              <w:rPr>
                <w:sz w:val="20"/>
              </w:rPr>
            </w:pPr>
            <w:r>
              <w:rPr>
                <w:rFonts w:hint="eastAsia"/>
                <w:sz w:val="20"/>
              </w:rPr>
              <w:t>1 ~ 3</w:t>
            </w:r>
          </w:p>
        </w:tc>
        <w:tc>
          <w:tcPr>
            <w:tcW w:w="1547" w:type="dxa"/>
          </w:tcPr>
          <w:p>
            <w:pPr>
              <w:pStyle w:val="21"/>
              <w:rPr>
                <w:sz w:val="20"/>
              </w:rPr>
            </w:pPr>
          </w:p>
        </w:tc>
        <w:tc>
          <w:tcPr>
            <w:tcW w:w="1548" w:type="dxa"/>
          </w:tcPr>
          <w:p>
            <w:pPr>
              <w:pStyle w:val="21"/>
              <w:rPr>
                <w:sz w:val="20"/>
              </w:rPr>
            </w:pPr>
          </w:p>
        </w:tc>
        <w:tc>
          <w:tcPr>
            <w:tcW w:w="1548" w:type="dxa"/>
          </w:tcPr>
          <w:p>
            <w:pPr>
              <w:pStyle w:val="21"/>
              <w:rPr>
                <w:sz w:val="20"/>
              </w:rPr>
            </w:pPr>
          </w:p>
        </w:tc>
        <w:tc>
          <w:tcPr>
            <w:tcW w:w="1548" w:type="dxa"/>
          </w:tcPr>
          <w:p>
            <w:pPr>
              <w:pStyle w:val="21"/>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1"/>
              <w:spacing w:before="11"/>
              <w:rPr>
                <w:b/>
                <w:sz w:val="17"/>
              </w:rPr>
            </w:pPr>
          </w:p>
          <w:p>
            <w:pPr>
              <w:pStyle w:val="21"/>
              <w:spacing w:before="1"/>
              <w:ind w:left="404" w:right="392"/>
              <w:jc w:val="center"/>
              <w:rPr>
                <w:sz w:val="20"/>
              </w:rPr>
            </w:pPr>
            <w:r>
              <w:rPr>
                <w:rFonts w:hint="eastAsia"/>
                <w:sz w:val="20"/>
              </w:rPr>
              <w:t>4 ~ 6</w:t>
            </w:r>
          </w:p>
        </w:tc>
        <w:tc>
          <w:tcPr>
            <w:tcW w:w="1547" w:type="dxa"/>
          </w:tcPr>
          <w:p>
            <w:pPr>
              <w:pStyle w:val="21"/>
              <w:rPr>
                <w:sz w:val="20"/>
              </w:rPr>
            </w:pPr>
          </w:p>
        </w:tc>
        <w:tc>
          <w:tcPr>
            <w:tcW w:w="1548" w:type="dxa"/>
          </w:tcPr>
          <w:p>
            <w:pPr>
              <w:pStyle w:val="21"/>
              <w:rPr>
                <w:sz w:val="20"/>
              </w:rPr>
            </w:pPr>
          </w:p>
        </w:tc>
        <w:tc>
          <w:tcPr>
            <w:tcW w:w="1548" w:type="dxa"/>
          </w:tcPr>
          <w:p>
            <w:pPr>
              <w:pStyle w:val="21"/>
              <w:rPr>
                <w:sz w:val="20"/>
              </w:rPr>
            </w:pPr>
          </w:p>
        </w:tc>
        <w:tc>
          <w:tcPr>
            <w:tcW w:w="1548" w:type="dxa"/>
          </w:tcPr>
          <w:p>
            <w:pPr>
              <w:pStyle w:val="21"/>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1"/>
              <w:spacing w:before="12"/>
              <w:rPr>
                <w:b/>
                <w:sz w:val="17"/>
              </w:rPr>
            </w:pPr>
          </w:p>
          <w:p>
            <w:pPr>
              <w:pStyle w:val="21"/>
              <w:ind w:left="404" w:right="392"/>
              <w:jc w:val="center"/>
              <w:rPr>
                <w:sz w:val="20"/>
              </w:rPr>
            </w:pPr>
            <w:r>
              <w:rPr>
                <w:rFonts w:hint="eastAsia"/>
                <w:sz w:val="20"/>
              </w:rPr>
              <w:t>7 ~ 9</w:t>
            </w:r>
          </w:p>
        </w:tc>
        <w:tc>
          <w:tcPr>
            <w:tcW w:w="1547" w:type="dxa"/>
          </w:tcPr>
          <w:p>
            <w:pPr>
              <w:pStyle w:val="21"/>
              <w:rPr>
                <w:sz w:val="20"/>
              </w:rPr>
            </w:pPr>
          </w:p>
        </w:tc>
        <w:tc>
          <w:tcPr>
            <w:tcW w:w="1548" w:type="dxa"/>
          </w:tcPr>
          <w:p>
            <w:pPr>
              <w:pStyle w:val="21"/>
              <w:rPr>
                <w:sz w:val="20"/>
              </w:rPr>
            </w:pPr>
          </w:p>
        </w:tc>
        <w:tc>
          <w:tcPr>
            <w:tcW w:w="1548" w:type="dxa"/>
          </w:tcPr>
          <w:p>
            <w:pPr>
              <w:pStyle w:val="21"/>
              <w:rPr>
                <w:sz w:val="20"/>
              </w:rPr>
            </w:pPr>
          </w:p>
        </w:tc>
        <w:tc>
          <w:tcPr>
            <w:tcW w:w="1548" w:type="dxa"/>
          </w:tcPr>
          <w:p>
            <w:pPr>
              <w:pStyle w:val="21"/>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1"/>
              <w:spacing w:before="12"/>
              <w:rPr>
                <w:b/>
                <w:sz w:val="17"/>
              </w:rPr>
            </w:pPr>
          </w:p>
          <w:p>
            <w:pPr>
              <w:pStyle w:val="21"/>
              <w:ind w:left="404" w:right="392"/>
              <w:jc w:val="center"/>
              <w:rPr>
                <w:sz w:val="20"/>
              </w:rPr>
            </w:pPr>
            <w:r>
              <w:rPr>
                <w:rFonts w:hint="eastAsia"/>
                <w:sz w:val="20"/>
              </w:rPr>
              <w:t>10 ~ 12</w:t>
            </w:r>
          </w:p>
        </w:tc>
        <w:tc>
          <w:tcPr>
            <w:tcW w:w="1547" w:type="dxa"/>
          </w:tcPr>
          <w:p>
            <w:pPr>
              <w:pStyle w:val="21"/>
              <w:rPr>
                <w:sz w:val="20"/>
              </w:rPr>
            </w:pPr>
          </w:p>
        </w:tc>
        <w:tc>
          <w:tcPr>
            <w:tcW w:w="1548" w:type="dxa"/>
          </w:tcPr>
          <w:p>
            <w:pPr>
              <w:pStyle w:val="21"/>
              <w:rPr>
                <w:sz w:val="20"/>
              </w:rPr>
            </w:pPr>
          </w:p>
        </w:tc>
        <w:tc>
          <w:tcPr>
            <w:tcW w:w="1548" w:type="dxa"/>
          </w:tcPr>
          <w:p>
            <w:pPr>
              <w:pStyle w:val="21"/>
              <w:rPr>
                <w:sz w:val="20"/>
              </w:rPr>
            </w:pPr>
          </w:p>
        </w:tc>
        <w:tc>
          <w:tcPr>
            <w:tcW w:w="1548" w:type="dxa"/>
          </w:tcPr>
          <w:p>
            <w:pPr>
              <w:pStyle w:val="21"/>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653" w:type="dxa"/>
            <w:gridSpan w:val="2"/>
          </w:tcPr>
          <w:p>
            <w:pPr>
              <w:pStyle w:val="21"/>
              <w:spacing w:before="12"/>
              <w:rPr>
                <w:b/>
                <w:sz w:val="17"/>
              </w:rPr>
            </w:pPr>
          </w:p>
          <w:p>
            <w:pPr>
              <w:pStyle w:val="21"/>
              <w:ind w:left="404" w:right="392"/>
              <w:jc w:val="center"/>
              <w:rPr>
                <w:sz w:val="20"/>
              </w:rPr>
            </w:pPr>
            <w:r>
              <w:rPr>
                <w:rFonts w:hint="eastAsia"/>
                <w:sz w:val="20"/>
              </w:rPr>
              <w:t>13 ~ 15</w:t>
            </w:r>
          </w:p>
        </w:tc>
        <w:tc>
          <w:tcPr>
            <w:tcW w:w="1547" w:type="dxa"/>
          </w:tcPr>
          <w:p>
            <w:pPr>
              <w:pStyle w:val="21"/>
              <w:rPr>
                <w:sz w:val="20"/>
              </w:rPr>
            </w:pPr>
          </w:p>
        </w:tc>
        <w:tc>
          <w:tcPr>
            <w:tcW w:w="1548" w:type="dxa"/>
          </w:tcPr>
          <w:p>
            <w:pPr>
              <w:pStyle w:val="21"/>
              <w:rPr>
                <w:sz w:val="20"/>
              </w:rPr>
            </w:pPr>
          </w:p>
        </w:tc>
        <w:tc>
          <w:tcPr>
            <w:tcW w:w="1548" w:type="dxa"/>
          </w:tcPr>
          <w:p>
            <w:pPr>
              <w:pStyle w:val="21"/>
              <w:rPr>
                <w:sz w:val="20"/>
              </w:rPr>
            </w:pPr>
          </w:p>
        </w:tc>
        <w:tc>
          <w:tcPr>
            <w:tcW w:w="1548" w:type="dxa"/>
          </w:tcPr>
          <w:p>
            <w:pPr>
              <w:pStyle w:val="21"/>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1"/>
              <w:spacing w:before="12"/>
              <w:rPr>
                <w:b/>
                <w:sz w:val="17"/>
              </w:rPr>
            </w:pPr>
          </w:p>
          <w:p>
            <w:pPr>
              <w:pStyle w:val="21"/>
              <w:ind w:left="405" w:right="392"/>
              <w:jc w:val="center"/>
              <w:rPr>
                <w:sz w:val="20"/>
              </w:rPr>
            </w:pPr>
            <w:r>
              <w:rPr>
                <w:rFonts w:hint="eastAsia"/>
                <w:sz w:val="20"/>
              </w:rPr>
              <w:t>……</w:t>
            </w:r>
          </w:p>
        </w:tc>
        <w:tc>
          <w:tcPr>
            <w:tcW w:w="1547" w:type="dxa"/>
          </w:tcPr>
          <w:p>
            <w:pPr>
              <w:pStyle w:val="21"/>
              <w:rPr>
                <w:sz w:val="20"/>
              </w:rPr>
            </w:pPr>
          </w:p>
        </w:tc>
        <w:tc>
          <w:tcPr>
            <w:tcW w:w="1548" w:type="dxa"/>
          </w:tcPr>
          <w:p>
            <w:pPr>
              <w:pStyle w:val="21"/>
              <w:rPr>
                <w:sz w:val="20"/>
              </w:rPr>
            </w:pPr>
          </w:p>
        </w:tc>
        <w:tc>
          <w:tcPr>
            <w:tcW w:w="1548" w:type="dxa"/>
          </w:tcPr>
          <w:p>
            <w:pPr>
              <w:pStyle w:val="21"/>
              <w:rPr>
                <w:sz w:val="20"/>
              </w:rPr>
            </w:pPr>
          </w:p>
        </w:tc>
        <w:tc>
          <w:tcPr>
            <w:tcW w:w="1548" w:type="dxa"/>
          </w:tcPr>
          <w:p>
            <w:pPr>
              <w:pStyle w:val="21"/>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1"/>
              <w:rPr>
                <w:b/>
                <w:sz w:val="18"/>
              </w:rPr>
            </w:pPr>
          </w:p>
          <w:p>
            <w:pPr>
              <w:pStyle w:val="21"/>
              <w:ind w:left="405" w:right="392"/>
              <w:jc w:val="center"/>
              <w:rPr>
                <w:sz w:val="20"/>
              </w:rPr>
            </w:pPr>
            <w:r>
              <w:rPr>
                <w:rFonts w:hint="eastAsia"/>
                <w:sz w:val="20"/>
              </w:rPr>
              <w:t>……</w:t>
            </w:r>
          </w:p>
        </w:tc>
        <w:tc>
          <w:tcPr>
            <w:tcW w:w="1547" w:type="dxa"/>
          </w:tcPr>
          <w:p>
            <w:pPr>
              <w:pStyle w:val="21"/>
              <w:rPr>
                <w:sz w:val="20"/>
              </w:rPr>
            </w:pPr>
          </w:p>
        </w:tc>
        <w:tc>
          <w:tcPr>
            <w:tcW w:w="1548" w:type="dxa"/>
          </w:tcPr>
          <w:p>
            <w:pPr>
              <w:pStyle w:val="21"/>
              <w:rPr>
                <w:sz w:val="20"/>
              </w:rPr>
            </w:pPr>
          </w:p>
        </w:tc>
        <w:tc>
          <w:tcPr>
            <w:tcW w:w="1548" w:type="dxa"/>
          </w:tcPr>
          <w:p>
            <w:pPr>
              <w:pStyle w:val="21"/>
              <w:rPr>
                <w:sz w:val="20"/>
              </w:rPr>
            </w:pPr>
          </w:p>
        </w:tc>
        <w:tc>
          <w:tcPr>
            <w:tcW w:w="1548" w:type="dxa"/>
          </w:tcPr>
          <w:p>
            <w:pPr>
              <w:pStyle w:val="21"/>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1"/>
              <w:rPr>
                <w:sz w:val="20"/>
              </w:rPr>
            </w:pPr>
          </w:p>
        </w:tc>
        <w:tc>
          <w:tcPr>
            <w:tcW w:w="1547" w:type="dxa"/>
          </w:tcPr>
          <w:p>
            <w:pPr>
              <w:pStyle w:val="21"/>
              <w:rPr>
                <w:sz w:val="20"/>
              </w:rPr>
            </w:pPr>
          </w:p>
        </w:tc>
        <w:tc>
          <w:tcPr>
            <w:tcW w:w="1548" w:type="dxa"/>
          </w:tcPr>
          <w:p>
            <w:pPr>
              <w:pStyle w:val="21"/>
              <w:rPr>
                <w:sz w:val="20"/>
              </w:rPr>
            </w:pPr>
          </w:p>
        </w:tc>
        <w:tc>
          <w:tcPr>
            <w:tcW w:w="1548" w:type="dxa"/>
          </w:tcPr>
          <w:p>
            <w:pPr>
              <w:pStyle w:val="21"/>
              <w:rPr>
                <w:sz w:val="20"/>
              </w:rPr>
            </w:pPr>
          </w:p>
        </w:tc>
        <w:tc>
          <w:tcPr>
            <w:tcW w:w="1548" w:type="dxa"/>
          </w:tcPr>
          <w:p>
            <w:pPr>
              <w:pStyle w:val="21"/>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1"/>
              <w:spacing w:before="11"/>
              <w:rPr>
                <w:b/>
                <w:sz w:val="15"/>
              </w:rPr>
            </w:pPr>
          </w:p>
          <w:p>
            <w:pPr>
              <w:pStyle w:val="21"/>
              <w:ind w:left="826"/>
              <w:rPr>
                <w:sz w:val="20"/>
              </w:rPr>
            </w:pPr>
            <w:r>
              <w:rPr>
                <w:rFonts w:hint="eastAsia"/>
                <w:sz w:val="20"/>
              </w:rPr>
              <w:t>缺陷责任期</w:t>
            </w:r>
          </w:p>
        </w:tc>
        <w:tc>
          <w:tcPr>
            <w:tcW w:w="1547" w:type="dxa"/>
          </w:tcPr>
          <w:p>
            <w:pPr>
              <w:pStyle w:val="21"/>
              <w:rPr>
                <w:sz w:val="20"/>
              </w:rPr>
            </w:pPr>
          </w:p>
        </w:tc>
        <w:tc>
          <w:tcPr>
            <w:tcW w:w="1548" w:type="dxa"/>
          </w:tcPr>
          <w:p>
            <w:pPr>
              <w:pStyle w:val="21"/>
              <w:rPr>
                <w:sz w:val="20"/>
              </w:rPr>
            </w:pPr>
          </w:p>
        </w:tc>
        <w:tc>
          <w:tcPr>
            <w:tcW w:w="1548" w:type="dxa"/>
          </w:tcPr>
          <w:p>
            <w:pPr>
              <w:pStyle w:val="21"/>
              <w:rPr>
                <w:sz w:val="20"/>
              </w:rPr>
            </w:pPr>
          </w:p>
        </w:tc>
        <w:tc>
          <w:tcPr>
            <w:tcW w:w="1548" w:type="dxa"/>
          </w:tcPr>
          <w:p>
            <w:pPr>
              <w:pStyle w:val="21"/>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1"/>
              <w:spacing w:before="11"/>
              <w:rPr>
                <w:b/>
                <w:sz w:val="15"/>
              </w:rPr>
            </w:pPr>
          </w:p>
          <w:p>
            <w:pPr>
              <w:pStyle w:val="21"/>
              <w:tabs>
                <w:tab w:val="left" w:pos="1625"/>
              </w:tabs>
              <w:ind w:left="826"/>
              <w:rPr>
                <w:sz w:val="20"/>
              </w:rPr>
            </w:pPr>
            <w:r>
              <w:rPr>
                <w:rFonts w:hint="eastAsia"/>
                <w:sz w:val="20"/>
              </w:rPr>
              <w:t>小</w:t>
            </w:r>
            <w:r>
              <w:rPr>
                <w:rFonts w:hint="eastAsia"/>
                <w:sz w:val="20"/>
              </w:rPr>
              <w:tab/>
            </w:r>
            <w:r>
              <w:rPr>
                <w:rFonts w:hint="eastAsia"/>
                <w:sz w:val="20"/>
              </w:rPr>
              <w:t>计</w:t>
            </w:r>
          </w:p>
        </w:tc>
        <w:tc>
          <w:tcPr>
            <w:tcW w:w="1547" w:type="dxa"/>
          </w:tcPr>
          <w:p>
            <w:pPr>
              <w:pStyle w:val="21"/>
              <w:rPr>
                <w:sz w:val="20"/>
              </w:rPr>
            </w:pPr>
          </w:p>
        </w:tc>
        <w:tc>
          <w:tcPr>
            <w:tcW w:w="1548" w:type="dxa"/>
          </w:tcPr>
          <w:p>
            <w:pPr>
              <w:pStyle w:val="21"/>
              <w:rPr>
                <w:b/>
                <w:sz w:val="18"/>
              </w:rPr>
            </w:pPr>
          </w:p>
          <w:p>
            <w:pPr>
              <w:pStyle w:val="21"/>
              <w:ind w:left="469" w:right="456"/>
              <w:jc w:val="center"/>
              <w:rPr>
                <w:sz w:val="20"/>
              </w:rPr>
            </w:pPr>
            <w:r>
              <w:rPr>
                <w:rFonts w:hint="eastAsia"/>
                <w:sz w:val="20"/>
              </w:rPr>
              <w:t>100.00</w:t>
            </w:r>
          </w:p>
        </w:tc>
        <w:tc>
          <w:tcPr>
            <w:tcW w:w="1548" w:type="dxa"/>
          </w:tcPr>
          <w:p>
            <w:pPr>
              <w:pStyle w:val="21"/>
              <w:rPr>
                <w:sz w:val="20"/>
              </w:rPr>
            </w:pPr>
          </w:p>
        </w:tc>
        <w:tc>
          <w:tcPr>
            <w:tcW w:w="1548" w:type="dxa"/>
          </w:tcPr>
          <w:p>
            <w:pPr>
              <w:pStyle w:val="21"/>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844" w:type="dxa"/>
            <w:gridSpan w:val="6"/>
          </w:tcPr>
          <w:p>
            <w:pPr>
              <w:pStyle w:val="21"/>
              <w:spacing w:before="9"/>
              <w:rPr>
                <w:b/>
                <w:sz w:val="14"/>
              </w:rPr>
            </w:pPr>
          </w:p>
          <w:p>
            <w:pPr>
              <w:pStyle w:val="21"/>
              <w:ind w:left="202"/>
              <w:rPr>
                <w:sz w:val="21"/>
              </w:rPr>
            </w:pPr>
            <w:r>
              <w:rPr>
                <w:rFonts w:hint="eastAsia"/>
                <w:sz w:val="21"/>
              </w:rPr>
              <w:t>投标价：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2" w:hRule="atLeast"/>
        </w:trPr>
        <w:tc>
          <w:tcPr>
            <w:tcW w:w="628" w:type="dxa"/>
          </w:tcPr>
          <w:p>
            <w:pPr>
              <w:pStyle w:val="21"/>
              <w:rPr>
                <w:b/>
                <w:sz w:val="20"/>
              </w:rPr>
            </w:pPr>
          </w:p>
          <w:p>
            <w:pPr>
              <w:pStyle w:val="21"/>
              <w:rPr>
                <w:b/>
                <w:sz w:val="20"/>
              </w:rPr>
            </w:pPr>
          </w:p>
          <w:p>
            <w:pPr>
              <w:pStyle w:val="21"/>
              <w:spacing w:before="7"/>
              <w:rPr>
                <w:b/>
                <w:sz w:val="16"/>
              </w:rPr>
            </w:pPr>
          </w:p>
          <w:p>
            <w:pPr>
              <w:pStyle w:val="21"/>
              <w:ind w:left="214"/>
              <w:rPr>
                <w:sz w:val="20"/>
              </w:rPr>
            </w:pPr>
            <w:r>
              <w:rPr>
                <w:rFonts w:hint="eastAsia"/>
                <w:w w:val="99"/>
                <w:sz w:val="20"/>
              </w:rPr>
              <w:t>说</w:t>
            </w:r>
          </w:p>
          <w:p>
            <w:pPr>
              <w:pStyle w:val="21"/>
              <w:rPr>
                <w:b/>
                <w:sz w:val="20"/>
              </w:rPr>
            </w:pPr>
          </w:p>
          <w:p>
            <w:pPr>
              <w:pStyle w:val="21"/>
              <w:rPr>
                <w:b/>
                <w:sz w:val="20"/>
              </w:rPr>
            </w:pPr>
          </w:p>
          <w:p>
            <w:pPr>
              <w:pStyle w:val="21"/>
              <w:rPr>
                <w:b/>
                <w:sz w:val="20"/>
              </w:rPr>
            </w:pPr>
          </w:p>
          <w:p>
            <w:pPr>
              <w:pStyle w:val="21"/>
              <w:rPr>
                <w:b/>
                <w:sz w:val="20"/>
              </w:rPr>
            </w:pPr>
          </w:p>
          <w:p>
            <w:pPr>
              <w:pStyle w:val="21"/>
              <w:spacing w:before="10"/>
              <w:rPr>
                <w:b/>
                <w:sz w:val="24"/>
              </w:rPr>
            </w:pPr>
          </w:p>
          <w:p>
            <w:pPr>
              <w:pStyle w:val="21"/>
              <w:ind w:left="214"/>
              <w:rPr>
                <w:sz w:val="20"/>
              </w:rPr>
            </w:pPr>
            <w:r>
              <w:rPr>
                <w:rFonts w:hint="eastAsia"/>
                <w:w w:val="99"/>
                <w:sz w:val="20"/>
              </w:rPr>
              <w:t>明</w:t>
            </w:r>
          </w:p>
        </w:tc>
        <w:tc>
          <w:tcPr>
            <w:tcW w:w="8216" w:type="dxa"/>
            <w:gridSpan w:val="5"/>
          </w:tcPr>
          <w:p>
            <w:pPr>
              <w:pStyle w:val="21"/>
              <w:rPr>
                <w:sz w:val="20"/>
              </w:rPr>
            </w:pPr>
          </w:p>
        </w:tc>
      </w:tr>
    </w:tbl>
    <w:p>
      <w:pPr>
        <w:spacing w:before="82"/>
        <w:ind w:left="352"/>
        <w:rPr>
          <w:sz w:val="20"/>
        </w:rPr>
      </w:pPr>
      <w:r>
        <w:rPr>
          <w:rFonts w:hint="eastAsia"/>
          <w:sz w:val="20"/>
        </w:rPr>
        <w:t>注：1.投标人可按工程进度估算并填写本表。</w:t>
      </w:r>
    </w:p>
    <w:p>
      <w:pPr>
        <w:spacing w:before="85" w:line="319" w:lineRule="auto"/>
        <w:ind w:left="976" w:right="237" w:hanging="252"/>
      </w:pPr>
      <w:r>
        <w:rPr>
          <w:rFonts w:hint="eastAsia" w:ascii="宋体" w:hAnsi="宋体" w:eastAsia="宋体" w:cs="宋体"/>
          <w:sz w:val="20"/>
        </w:rPr>
        <w:t>2.用款额按所报单价和总额价估算，不包括价格调整和暂列金额、暂估价，但应考虑开工预付款的扣</w:t>
      </w:r>
      <w:r>
        <w:rPr>
          <w:rFonts w:hint="eastAsia"/>
          <w:spacing w:val="-4"/>
          <w:sz w:val="20"/>
        </w:rPr>
        <w:t>回以及签发付款证书后到实际支付的时间间隔。</w:t>
      </w:r>
    </w:p>
    <w:p/>
    <w:p>
      <w:pPr>
        <w:pStyle w:val="17"/>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r>
        <w:rPr>
          <w:rFonts w:hint="eastAsia" w:ascii="宋体" w:hAnsi="宋体" w:eastAsia="宋体" w:cs="Times New Roman"/>
          <w:b/>
          <w:w w:val="95"/>
          <w:sz w:val="30"/>
          <w:szCs w:val="30"/>
          <w:lang w:val="en-US" w:eastAsia="zh-CN" w:bidi="ar-SA"/>
        </w:rPr>
        <w:t>四、最终报价单</w:t>
      </w: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jc w:val="center"/>
        <w:rPr>
          <w:rFonts w:hint="default"/>
          <w:b/>
          <w:bCs/>
          <w:sz w:val="24"/>
          <w:szCs w:val="24"/>
          <w:lang w:val="en-US" w:eastAsia="zh-CN"/>
        </w:rPr>
      </w:pPr>
      <w:r>
        <w:rPr>
          <w:rFonts w:hint="eastAsia"/>
          <w:b/>
          <w:bCs/>
          <w:sz w:val="24"/>
          <w:szCs w:val="24"/>
          <w:lang w:val="en-US" w:eastAsia="zh-CN"/>
        </w:rPr>
        <w:t>参考“报价文件”中投标函及投标报价汇总表格式</w:t>
      </w: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jc w:val="center"/>
        <w:outlineLvl w:val="0"/>
        <w:rPr>
          <w:rFonts w:hint="eastAsia" w:ascii="宋体" w:hAnsi="宋体" w:eastAsia="宋体" w:cs="Times New Roman"/>
          <w:b/>
          <w:w w:val="95"/>
          <w:sz w:val="30"/>
          <w:szCs w:val="30"/>
          <w:lang w:val="en-US" w:eastAsia="zh-CN" w:bidi="ar-SA"/>
        </w:rPr>
      </w:pPr>
    </w:p>
    <w:p>
      <w:pPr>
        <w:widowControl w:val="0"/>
        <w:tabs>
          <w:tab w:val="left" w:pos="1283"/>
        </w:tabs>
        <w:kinsoku w:val="0"/>
        <w:overflowPunct w:val="0"/>
        <w:autoSpaceDE w:val="0"/>
        <w:autoSpaceDN w:val="0"/>
        <w:adjustRightInd w:val="0"/>
        <w:ind w:right="61" w:firstLine="3434" w:firstLineChars="1200"/>
        <w:jc w:val="both"/>
        <w:outlineLvl w:val="0"/>
        <w:rPr>
          <w:rFonts w:ascii="宋体" w:hAnsi="宋体" w:eastAsia="Times New Roman" w:cs="Times New Roman"/>
          <w:b/>
          <w:w w:val="95"/>
          <w:sz w:val="30"/>
          <w:szCs w:val="30"/>
          <w:lang w:val="en-US" w:eastAsia="zh-CN" w:bidi="ar-SA"/>
        </w:rPr>
      </w:pPr>
      <w:r>
        <w:rPr>
          <w:rFonts w:hint="eastAsia" w:ascii="宋体" w:hAnsi="宋体" w:eastAsia="宋体" w:cs="Times New Roman"/>
          <w:b/>
          <w:w w:val="95"/>
          <w:sz w:val="30"/>
          <w:szCs w:val="30"/>
          <w:lang w:val="en-US" w:eastAsia="zh-CN" w:bidi="ar-SA"/>
        </w:rPr>
        <w:t>第</w:t>
      </w:r>
      <w:r>
        <w:rPr>
          <w:rFonts w:hint="eastAsia" w:cs="Times New Roman"/>
          <w:b/>
          <w:w w:val="95"/>
          <w:sz w:val="30"/>
          <w:szCs w:val="30"/>
          <w:lang w:val="en-US" w:eastAsia="zh-CN" w:bidi="ar-SA"/>
        </w:rPr>
        <w:t>八</w:t>
      </w:r>
      <w:r>
        <w:rPr>
          <w:rFonts w:hint="eastAsia" w:ascii="宋体" w:hAnsi="宋体" w:eastAsia="宋体" w:cs="Times New Roman"/>
          <w:b/>
          <w:w w:val="95"/>
          <w:sz w:val="30"/>
          <w:szCs w:val="30"/>
          <w:lang w:val="en-US" w:eastAsia="zh-CN" w:bidi="ar-SA"/>
        </w:rPr>
        <w:t>章</w:t>
      </w:r>
      <w:r>
        <w:rPr>
          <w:rFonts w:hint="eastAsia" w:cs="Times New Roman"/>
          <w:b/>
          <w:w w:val="95"/>
          <w:sz w:val="30"/>
          <w:szCs w:val="30"/>
          <w:lang w:val="en-US" w:eastAsia="zh-CN" w:bidi="ar-SA"/>
        </w:rPr>
        <w:t xml:space="preserve"> </w:t>
      </w:r>
      <w:r>
        <w:rPr>
          <w:rFonts w:hint="eastAsia" w:ascii="宋体" w:hAnsi="宋体" w:eastAsia="宋体" w:cs="Times New Roman"/>
          <w:b/>
          <w:w w:val="95"/>
          <w:sz w:val="30"/>
          <w:szCs w:val="30"/>
          <w:lang w:val="en-US" w:eastAsia="zh-CN" w:bidi="ar-SA"/>
        </w:rPr>
        <w:t>评审方法及标准</w:t>
      </w:r>
    </w:p>
    <w:p>
      <w:pPr>
        <w:widowControl w:val="0"/>
        <w:tabs>
          <w:tab w:val="left" w:pos="1283"/>
        </w:tabs>
        <w:kinsoku w:val="0"/>
        <w:overflowPunct w:val="0"/>
        <w:autoSpaceDE w:val="0"/>
        <w:autoSpaceDN w:val="0"/>
        <w:adjustRightInd w:val="0"/>
        <w:ind w:right="61"/>
        <w:jc w:val="center"/>
        <w:outlineLvl w:val="0"/>
        <w:rPr>
          <w:rFonts w:ascii="宋体" w:hAnsi="宋体" w:eastAsia="Times New Roman" w:cs="Times New Roman"/>
          <w:b/>
          <w:w w:val="95"/>
          <w:sz w:val="32"/>
          <w:szCs w:val="24"/>
          <w:lang w:val="en-US" w:eastAsia="zh-CN" w:bidi="ar-SA"/>
        </w:rPr>
      </w:pPr>
    </w:p>
    <w:p>
      <w:pPr>
        <w:adjustRightInd w:val="0"/>
        <w:spacing w:line="360" w:lineRule="auto"/>
        <w:ind w:firstLine="482" w:firstLineChars="200"/>
        <w:rPr>
          <w:rFonts w:ascii="Times New Roman" w:hAnsi="Times New Roman" w:eastAsia="Times New Roman" w:cs="Times New Roman"/>
          <w:sz w:val="24"/>
          <w:szCs w:val="24"/>
          <w:lang w:val="en-US" w:bidi="ar-SA"/>
        </w:rPr>
      </w:pPr>
      <w:r>
        <w:rPr>
          <w:rFonts w:ascii="宋体" w:hAnsi="宋体" w:cs="Times New Roman"/>
          <w:b/>
          <w:sz w:val="24"/>
          <w:szCs w:val="24"/>
          <w:lang w:val="en-US" w:bidi="ar-SA"/>
        </w:rPr>
        <w:t>1</w:t>
      </w:r>
      <w:r>
        <w:rPr>
          <w:rFonts w:hint="eastAsia" w:ascii="宋体" w:hAnsi="宋体" w:cs="Times New Roman"/>
          <w:b/>
          <w:sz w:val="24"/>
          <w:szCs w:val="24"/>
          <w:lang w:val="en-US" w:bidi="ar-SA"/>
        </w:rPr>
        <w:t>、评标方法</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ascii="宋体" w:hAnsi="宋体" w:cs="Times New Roman"/>
          <w:sz w:val="24"/>
          <w:szCs w:val="24"/>
          <w:lang w:val="en-US" w:bidi="ar-SA"/>
        </w:rPr>
        <w:t>1.1</w:t>
      </w:r>
      <w:r>
        <w:rPr>
          <w:rFonts w:hint="eastAsia" w:ascii="宋体" w:hAnsi="宋体" w:cs="Times New Roman"/>
          <w:sz w:val="24"/>
          <w:szCs w:val="24"/>
          <w:lang w:val="en-US" w:bidi="ar-SA"/>
        </w:rPr>
        <w:t>、评标中各评委若发生意见分歧，通过书面表决形式，以少数服从多数为原则决定。</w:t>
      </w:r>
    </w:p>
    <w:p>
      <w:pPr>
        <w:adjustRightInd w:val="0"/>
        <w:spacing w:line="360" w:lineRule="auto"/>
        <w:ind w:firstLine="482" w:firstLineChars="200"/>
        <w:rPr>
          <w:rFonts w:ascii="Times New Roman" w:hAnsi="Times New Roman" w:eastAsia="Times New Roman" w:cs="Times New Roman"/>
          <w:b/>
          <w:sz w:val="24"/>
          <w:szCs w:val="24"/>
          <w:lang w:val="en-US" w:bidi="ar-SA"/>
        </w:rPr>
      </w:pPr>
      <w:r>
        <w:rPr>
          <w:rFonts w:ascii="宋体" w:hAnsi="宋体" w:cs="Times New Roman"/>
          <w:b/>
          <w:sz w:val="24"/>
          <w:szCs w:val="24"/>
          <w:lang w:val="en-US" w:bidi="ar-SA"/>
        </w:rPr>
        <w:t>2</w:t>
      </w:r>
      <w:r>
        <w:rPr>
          <w:rFonts w:hint="eastAsia" w:ascii="宋体" w:hAnsi="宋体" w:cs="Times New Roman"/>
          <w:b/>
          <w:sz w:val="24"/>
          <w:szCs w:val="24"/>
          <w:lang w:val="en-US" w:bidi="ar-SA"/>
        </w:rPr>
        <w:t>、资格审查</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采购人代表及招标代理机构将按照以下条款，对供应商的资格进行后审，有一条未通过则按废标处理。</w:t>
      </w:r>
    </w:p>
    <w:tbl>
      <w:tblPr>
        <w:tblStyle w:val="18"/>
        <w:tblW w:w="9286" w:type="dxa"/>
        <w:tblInd w:w="5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5867"/>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Merge w:val="restart"/>
            <w:vAlign w:val="center"/>
          </w:tcPr>
          <w:p>
            <w:pPr>
              <w:adjustRightInd w:val="0"/>
              <w:spacing w:line="300" w:lineRule="auto"/>
              <w:jc w:val="center"/>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序号</w:t>
            </w:r>
          </w:p>
        </w:tc>
        <w:tc>
          <w:tcPr>
            <w:tcW w:w="5867" w:type="dxa"/>
            <w:vMerge w:val="restart"/>
            <w:vAlign w:val="center"/>
          </w:tcPr>
          <w:p>
            <w:pPr>
              <w:adjustRightInd w:val="0"/>
              <w:spacing w:line="300" w:lineRule="auto"/>
              <w:jc w:val="center"/>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评审内容</w:t>
            </w:r>
          </w:p>
        </w:tc>
        <w:tc>
          <w:tcPr>
            <w:tcW w:w="2688" w:type="dxa"/>
            <w:gridSpan w:val="2"/>
            <w:vAlign w:val="center"/>
          </w:tcPr>
          <w:p>
            <w:pPr>
              <w:adjustRightInd w:val="0"/>
              <w:spacing w:line="300" w:lineRule="auto"/>
              <w:jc w:val="center"/>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Merge w:val="continue"/>
            <w:vAlign w:val="center"/>
          </w:tcPr>
          <w:p>
            <w:pPr>
              <w:adjustRightInd w:val="0"/>
              <w:spacing w:line="300" w:lineRule="auto"/>
              <w:jc w:val="center"/>
              <w:rPr>
                <w:rFonts w:ascii="Times New Roman" w:hAnsi="Times New Roman" w:eastAsia="Times New Roman" w:cs="Times New Roman"/>
                <w:sz w:val="24"/>
                <w:szCs w:val="24"/>
                <w:lang w:val="en-US" w:bidi="ar-SA"/>
              </w:rPr>
            </w:pPr>
          </w:p>
        </w:tc>
        <w:tc>
          <w:tcPr>
            <w:tcW w:w="5867" w:type="dxa"/>
            <w:vMerge w:val="continue"/>
            <w:vAlign w:val="center"/>
          </w:tcPr>
          <w:p>
            <w:pPr>
              <w:adjustRightInd w:val="0"/>
              <w:spacing w:line="300" w:lineRule="auto"/>
              <w:jc w:val="center"/>
              <w:rPr>
                <w:rFonts w:ascii="Times New Roman" w:hAnsi="Times New Roman" w:eastAsia="Times New Roman" w:cs="Times New Roman"/>
                <w:sz w:val="24"/>
                <w:szCs w:val="24"/>
                <w:lang w:val="en-US" w:bidi="ar-SA"/>
              </w:rPr>
            </w:pPr>
          </w:p>
        </w:tc>
        <w:tc>
          <w:tcPr>
            <w:tcW w:w="1344" w:type="dxa"/>
            <w:vAlign w:val="center"/>
          </w:tcPr>
          <w:p>
            <w:pPr>
              <w:adjustRightInd w:val="0"/>
              <w:spacing w:line="300" w:lineRule="auto"/>
              <w:jc w:val="center"/>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是</w:t>
            </w:r>
          </w:p>
        </w:tc>
        <w:tc>
          <w:tcPr>
            <w:tcW w:w="1344" w:type="dxa"/>
            <w:vAlign w:val="center"/>
          </w:tcPr>
          <w:p>
            <w:pPr>
              <w:adjustRightInd w:val="0"/>
              <w:spacing w:line="300" w:lineRule="auto"/>
              <w:jc w:val="center"/>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cs="Times New Roman"/>
                <w:b/>
                <w:bCs/>
                <w:color w:val="000000" w:themeColor="text1"/>
                <w:sz w:val="24"/>
                <w:szCs w:val="24"/>
                <w:lang w:val="en-US" w:bidi="ar-SA"/>
                <w14:textFill>
                  <w14:solidFill>
                    <w14:schemeClr w14:val="tx1"/>
                  </w14:solidFill>
                </w14:textFill>
              </w:rPr>
            </w:pPr>
            <w:r>
              <w:rPr>
                <w:rFonts w:ascii="宋体" w:hAnsi="宋体" w:cs="Times New Roman"/>
                <w:b/>
                <w:bCs/>
                <w:color w:val="000000" w:themeColor="text1"/>
                <w:sz w:val="24"/>
                <w:szCs w:val="24"/>
                <w:lang w:val="en-US" w:bidi="ar-SA"/>
                <w14:textFill>
                  <w14:solidFill>
                    <w14:schemeClr w14:val="tx1"/>
                  </w14:solidFill>
                </w14:textFill>
              </w:rPr>
              <w:t>1</w:t>
            </w:r>
          </w:p>
        </w:tc>
        <w:tc>
          <w:tcPr>
            <w:tcW w:w="5867"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Times New Roman" w:eastAsia="宋体" w:cs="Times New Roman"/>
                <w:b/>
                <w:bCs/>
                <w:color w:val="000000" w:themeColor="text1"/>
                <w:sz w:val="24"/>
                <w:szCs w:val="24"/>
                <w:lang w:val="en-US" w:eastAsia="zh-CN" w:bidi="ar-SA"/>
                <w14:textFill>
                  <w14:solidFill>
                    <w14:schemeClr w14:val="tx1"/>
                  </w14:solidFill>
                </w14:textFill>
              </w:rPr>
            </w:pPr>
            <w:r>
              <w:rPr>
                <w:rFonts w:hint="eastAsia" w:ascii="宋体" w:hAnsi="宋体" w:cs="Times New Roman"/>
                <w:b/>
                <w:bCs/>
                <w:color w:val="000000" w:themeColor="text1"/>
                <w:sz w:val="24"/>
                <w:szCs w:val="24"/>
                <w:lang w:val="en-US" w:bidi="ar-SA"/>
                <w14:textFill>
                  <w14:solidFill>
                    <w14:schemeClr w14:val="tx1"/>
                  </w14:solidFill>
                </w14:textFill>
              </w:rPr>
              <w:t>是否提供合格的营业执照副本原件的扫描件</w:t>
            </w:r>
            <w:r>
              <w:rPr>
                <w:rFonts w:hint="eastAsia" w:cs="Times New Roman"/>
                <w:b/>
                <w:bCs/>
                <w:color w:val="000000" w:themeColor="text1"/>
                <w:sz w:val="24"/>
                <w:szCs w:val="24"/>
                <w:lang w:val="en-US" w:eastAsia="zh-CN" w:bidi="ar-SA"/>
                <w14:textFill>
                  <w14:solidFill>
                    <w14:schemeClr w14:val="tx1"/>
                  </w14:solidFill>
                </w14:textFill>
              </w:rPr>
              <w:t>；</w:t>
            </w:r>
          </w:p>
        </w:tc>
        <w:tc>
          <w:tcPr>
            <w:tcW w:w="1344" w:type="dxa"/>
            <w:vAlign w:val="center"/>
          </w:tcPr>
          <w:p>
            <w:pPr>
              <w:adjustRightInd w:val="0"/>
              <w:spacing w:line="300" w:lineRule="auto"/>
              <w:jc w:val="center"/>
              <w:rPr>
                <w:rFonts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adjustRightInd w:val="0"/>
              <w:spacing w:line="300" w:lineRule="auto"/>
              <w:jc w:val="center"/>
              <w:rPr>
                <w:rFonts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cs="Times New Roman"/>
                <w:b/>
                <w:bCs/>
                <w:color w:val="000000" w:themeColor="text1"/>
                <w:sz w:val="24"/>
                <w:szCs w:val="24"/>
                <w:lang w:val="en-US" w:bidi="ar-SA"/>
                <w14:textFill>
                  <w14:solidFill>
                    <w14:schemeClr w14:val="tx1"/>
                  </w14:solidFill>
                </w14:textFill>
              </w:rPr>
            </w:pPr>
            <w:r>
              <w:rPr>
                <w:rFonts w:ascii="宋体" w:hAnsi="宋体" w:cs="Times New Roman"/>
                <w:b/>
                <w:bCs/>
                <w:color w:val="000000" w:themeColor="text1"/>
                <w:sz w:val="24"/>
                <w:szCs w:val="24"/>
                <w:lang w:val="en-US" w:bidi="ar-SA"/>
                <w14:textFill>
                  <w14:solidFill>
                    <w14:schemeClr w14:val="tx1"/>
                  </w14:solidFill>
                </w14:textFill>
              </w:rPr>
              <w:t>2</w:t>
            </w:r>
          </w:p>
        </w:tc>
        <w:tc>
          <w:tcPr>
            <w:tcW w:w="5867"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pPr>
            <w:r>
              <w:rPr>
                <w:rFonts w:hint="eastAsia" w:cs="Times New Roman"/>
                <w:b/>
                <w:bCs/>
                <w:color w:val="000000" w:themeColor="text1"/>
                <w:sz w:val="24"/>
                <w:szCs w:val="24"/>
                <w:lang w:val="en-US" w:eastAsia="zh-CN" w:bidi="ar-SA"/>
                <w14:textFill>
                  <w14:solidFill>
                    <w14:schemeClr w14:val="tx1"/>
                  </w14:solidFill>
                </w14:textFill>
              </w:rPr>
              <w:t>是否提供</w:t>
            </w:r>
            <w:r>
              <w:rPr>
                <w:rFonts w:hint="eastAsia" w:ascii="宋体" w:hAnsi="宋体" w:cs="Times New Roman"/>
                <w:b/>
                <w:bCs/>
                <w:color w:val="000000" w:themeColor="text1"/>
                <w:sz w:val="24"/>
                <w:szCs w:val="24"/>
                <w:lang w:val="en-US" w:bidi="ar-SA"/>
                <w14:textFill>
                  <w14:solidFill>
                    <w14:schemeClr w14:val="tx1"/>
                  </w14:solidFill>
                </w14:textFill>
              </w:rPr>
              <w:t>法定代表人身份证原件的扫描件或法人代表授权委托书原件的扫描件及被授权人身份证原件的扫描件</w:t>
            </w:r>
            <w:r>
              <w:rPr>
                <w:rFonts w:hint="eastAsia" w:cs="Times New Roman"/>
                <w:b/>
                <w:bCs/>
                <w:color w:val="000000" w:themeColor="text1"/>
                <w:sz w:val="24"/>
                <w:szCs w:val="24"/>
                <w:lang w:val="en-US" w:eastAsia="zh-CN" w:bidi="ar-SA"/>
                <w14:textFill>
                  <w14:solidFill>
                    <w14:schemeClr w14:val="tx1"/>
                  </w14:solidFill>
                </w14:textFill>
              </w:rPr>
              <w:t>；</w:t>
            </w:r>
          </w:p>
        </w:tc>
        <w:tc>
          <w:tcPr>
            <w:tcW w:w="1344" w:type="dxa"/>
            <w:vAlign w:val="center"/>
          </w:tcPr>
          <w:p>
            <w:pPr>
              <w:adjustRightInd w:val="0"/>
              <w:spacing w:line="300" w:lineRule="auto"/>
              <w:jc w:val="center"/>
              <w:rPr>
                <w:rFonts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adjustRightInd w:val="0"/>
              <w:spacing w:line="300" w:lineRule="auto"/>
              <w:jc w:val="center"/>
              <w:rPr>
                <w:rFonts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Times New Roman" w:hAnsi="Times New Roman" w:cs="Times New Roman"/>
                <w:b/>
                <w:bCs/>
                <w:color w:val="000000" w:themeColor="text1"/>
                <w:sz w:val="24"/>
                <w:szCs w:val="24"/>
                <w:lang w:val="en-US" w:bidi="ar-SA"/>
                <w14:textFill>
                  <w14:solidFill>
                    <w14:schemeClr w14:val="tx1"/>
                  </w14:solidFill>
                </w14:textFill>
              </w:rPr>
            </w:pPr>
            <w:r>
              <w:rPr>
                <w:rFonts w:ascii="宋体" w:hAnsi="宋体" w:cs="Times New Roman"/>
                <w:b/>
                <w:bCs/>
                <w:color w:val="000000" w:themeColor="text1"/>
                <w:sz w:val="24"/>
                <w:szCs w:val="24"/>
                <w:lang w:val="en-US" w:bidi="ar-SA"/>
                <w14:textFill>
                  <w14:solidFill>
                    <w14:schemeClr w14:val="tx1"/>
                  </w14:solidFill>
                </w14:textFill>
              </w:rPr>
              <w:t>3</w:t>
            </w:r>
          </w:p>
        </w:tc>
        <w:tc>
          <w:tcPr>
            <w:tcW w:w="5867"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ascii="Times New Roman" w:hAnsi="Times New Roman" w:cs="Times New Roman"/>
                <w:b/>
                <w:bCs/>
                <w:color w:val="000000" w:themeColor="text1"/>
                <w:sz w:val="24"/>
                <w:szCs w:val="24"/>
                <w:lang w:val="en-US" w:bidi="ar-SA"/>
                <w14:textFill>
                  <w14:solidFill>
                    <w14:schemeClr w14:val="tx1"/>
                  </w14:solidFill>
                </w14:textFill>
              </w:rPr>
            </w:pPr>
            <w:r>
              <w:rPr>
                <w:rFonts w:hint="eastAsia" w:ascii="宋体" w:hAnsi="宋体" w:cs="Times New Roman"/>
                <w:b/>
                <w:bCs/>
                <w:color w:val="000000" w:themeColor="text1"/>
                <w:sz w:val="24"/>
                <w:szCs w:val="24"/>
                <w:lang w:val="en-US" w:bidi="ar-SA"/>
                <w14:textFill>
                  <w14:solidFill>
                    <w14:schemeClr w14:val="tx1"/>
                  </w14:solidFill>
                </w14:textFill>
              </w:rPr>
              <w:t>是否提供有效的安全生产许可证原件的扫描件；</w:t>
            </w:r>
          </w:p>
        </w:tc>
        <w:tc>
          <w:tcPr>
            <w:tcW w:w="1344" w:type="dxa"/>
            <w:vAlign w:val="center"/>
          </w:tcPr>
          <w:p>
            <w:pPr>
              <w:adjustRightInd w:val="0"/>
              <w:spacing w:line="300" w:lineRule="auto"/>
              <w:jc w:val="center"/>
              <w:rPr>
                <w:rFonts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adjustRightInd w:val="0"/>
              <w:spacing w:line="300" w:lineRule="auto"/>
              <w:jc w:val="center"/>
              <w:rPr>
                <w:rFonts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Times New Roman"/>
                <w:b/>
                <w:bCs/>
                <w:color w:val="000000" w:themeColor="text1"/>
                <w:sz w:val="24"/>
                <w:szCs w:val="24"/>
                <w:lang w:val="en-US" w:eastAsia="zh-CN" w:bidi="ar-SA"/>
                <w14:textFill>
                  <w14:solidFill>
                    <w14:schemeClr w14:val="tx1"/>
                  </w14:solidFill>
                </w14:textFill>
              </w:rPr>
            </w:pPr>
            <w:r>
              <w:rPr>
                <w:rFonts w:hint="eastAsia" w:cs="Times New Roman"/>
                <w:b/>
                <w:bCs/>
                <w:color w:val="000000" w:themeColor="text1"/>
                <w:sz w:val="24"/>
                <w:szCs w:val="24"/>
                <w:lang w:val="en-US" w:eastAsia="zh-CN" w:bidi="ar-SA"/>
                <w14:textFill>
                  <w14:solidFill>
                    <w14:schemeClr w14:val="tx1"/>
                  </w14:solidFill>
                </w14:textFill>
              </w:rPr>
              <w:t>4</w:t>
            </w:r>
          </w:p>
        </w:tc>
        <w:tc>
          <w:tcPr>
            <w:tcW w:w="5867"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Times New Roman"/>
                <w:b/>
                <w:bCs/>
                <w:color w:val="000000" w:themeColor="text1"/>
                <w:sz w:val="24"/>
                <w:szCs w:val="24"/>
                <w:lang w:val="en-US" w:eastAsia="zh-CN" w:bidi="ar-SA"/>
                <w14:textFill>
                  <w14:solidFill>
                    <w14:schemeClr w14:val="tx1"/>
                  </w14:solidFill>
                </w14:textFill>
              </w:rPr>
            </w:pPr>
            <w:r>
              <w:rPr>
                <w:rFonts w:hint="eastAsia" w:ascii="宋体" w:hAnsi="宋体" w:eastAsia="宋体" w:cs="Times New Roman"/>
                <w:b/>
                <w:bCs/>
                <w:color w:val="000000" w:themeColor="text1"/>
                <w:sz w:val="24"/>
                <w:szCs w:val="24"/>
                <w:lang w:val="en-US" w:bidi="ar-SA"/>
                <w14:textFill>
                  <w14:solidFill>
                    <w14:schemeClr w14:val="tx1"/>
                  </w14:solidFill>
                </w14:textFill>
              </w:rPr>
              <w:t>是否提供</w:t>
            </w:r>
            <w:r>
              <w:rPr>
                <w:rFonts w:hint="eastAsia" w:ascii="宋体" w:hAnsi="宋体" w:eastAsia="宋体" w:cs="Times New Roman"/>
                <w:b/>
                <w:bCs/>
                <w:color w:val="000000" w:themeColor="text1"/>
                <w:sz w:val="24"/>
                <w:szCs w:val="24"/>
                <w:lang w:val="en-US" w:eastAsia="zh-CN" w:bidi="ar-SA"/>
                <w14:textFill>
                  <w14:solidFill>
                    <w14:schemeClr w14:val="tx1"/>
                  </w14:solidFill>
                </w14:textFill>
              </w:rPr>
              <w:t>自治区外企业进疆信息报送册</w:t>
            </w:r>
            <w:r>
              <w:rPr>
                <w:rFonts w:hint="eastAsia" w:ascii="宋体" w:hAnsi="宋体" w:eastAsia="宋体" w:cs="Times New Roman"/>
                <w:b/>
                <w:bCs/>
                <w:color w:val="000000" w:themeColor="text1"/>
                <w:sz w:val="24"/>
                <w:szCs w:val="24"/>
                <w:lang w:val="en-US" w:bidi="ar-SA"/>
                <w14:textFill>
                  <w14:solidFill>
                    <w14:schemeClr w14:val="tx1"/>
                  </w14:solidFill>
                </w14:textFill>
              </w:rPr>
              <w:t>原件的扫描件</w:t>
            </w:r>
            <w:r>
              <w:rPr>
                <w:rFonts w:hint="eastAsia" w:cs="Times New Roman"/>
                <w:b/>
                <w:bCs/>
                <w:color w:val="000000" w:themeColor="text1"/>
                <w:sz w:val="24"/>
                <w:szCs w:val="24"/>
                <w:lang w:val="en-US" w:eastAsia="zh-CN" w:bidi="ar-SA"/>
                <w14:textFill>
                  <w14:solidFill>
                    <w14:schemeClr w14:val="tx1"/>
                  </w14:solidFill>
                </w14:textFill>
              </w:rPr>
              <w:t>；</w:t>
            </w:r>
          </w:p>
        </w:tc>
        <w:tc>
          <w:tcPr>
            <w:tcW w:w="1344" w:type="dxa"/>
            <w:vAlign w:val="center"/>
          </w:tcPr>
          <w:p>
            <w:pPr>
              <w:adjustRightInd w:val="0"/>
              <w:spacing w:line="300" w:lineRule="auto"/>
              <w:jc w:val="center"/>
              <w:rPr>
                <w:rFonts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adjustRightInd w:val="0"/>
              <w:spacing w:line="300" w:lineRule="auto"/>
              <w:jc w:val="center"/>
              <w:rPr>
                <w:rFonts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Times New Roman" w:eastAsia="宋体" w:cs="Times New Roman"/>
                <w:b/>
                <w:bCs/>
                <w:color w:val="000000" w:themeColor="text1"/>
                <w:sz w:val="24"/>
                <w:szCs w:val="24"/>
                <w:lang w:val="en-US" w:eastAsia="zh-CN" w:bidi="ar-SA"/>
                <w14:textFill>
                  <w14:solidFill>
                    <w14:schemeClr w14:val="tx1"/>
                  </w14:solidFill>
                </w14:textFill>
              </w:rPr>
            </w:pPr>
            <w:r>
              <w:rPr>
                <w:rFonts w:hint="eastAsia" w:cs="Times New Roman"/>
                <w:b/>
                <w:bCs/>
                <w:color w:val="000000" w:themeColor="text1"/>
                <w:sz w:val="24"/>
                <w:szCs w:val="24"/>
                <w:lang w:val="en-US" w:eastAsia="zh-CN" w:bidi="ar-SA"/>
                <w14:textFill>
                  <w14:solidFill>
                    <w14:schemeClr w14:val="tx1"/>
                  </w14:solidFill>
                </w14:textFill>
              </w:rPr>
              <w:t>5</w:t>
            </w:r>
          </w:p>
        </w:tc>
        <w:tc>
          <w:tcPr>
            <w:tcW w:w="5867" w:type="dxa"/>
            <w:vAlign w:val="center"/>
          </w:tcPr>
          <w:p>
            <w:pPr>
              <w:pStyle w:val="21"/>
              <w:keepNext w:val="0"/>
              <w:keepLines w:val="0"/>
              <w:pageBreakBefore w:val="0"/>
              <w:widowControl w:val="0"/>
              <w:numPr>
                <w:ilvl w:val="0"/>
                <w:numId w:val="0"/>
              </w:numPr>
              <w:tabs>
                <w:tab w:val="left" w:pos="537"/>
              </w:tabs>
              <w:kinsoku/>
              <w:wordWrap/>
              <w:overflowPunct/>
              <w:topLinePunct w:val="0"/>
              <w:autoSpaceDE w:val="0"/>
              <w:autoSpaceDN w:val="0"/>
              <w:bidi w:val="0"/>
              <w:adjustRightInd/>
              <w:snapToGrid/>
              <w:spacing w:before="88" w:line="360" w:lineRule="auto"/>
              <w:ind w:right="99" w:rightChars="0"/>
              <w:jc w:val="both"/>
              <w:textAlignment w:val="auto"/>
              <w:rPr>
                <w:rFonts w:ascii="宋体" w:hAnsi="Times New Roman" w:eastAsia="Times New Roman" w:cs="Times New Roman"/>
                <w:b/>
                <w:bCs/>
                <w:color w:val="000000" w:themeColor="text1"/>
                <w:sz w:val="24"/>
                <w:szCs w:val="24"/>
                <w:lang w:val="en-US" w:bidi="ar-SA"/>
                <w14:textFill>
                  <w14:solidFill>
                    <w14:schemeClr w14:val="tx1"/>
                  </w14:solidFill>
                </w14:textFill>
              </w:rPr>
            </w:pPr>
            <w:r>
              <w:rPr>
                <w:rFonts w:hint="eastAsia" w:ascii="宋体" w:hAnsi="宋体" w:cs="Times New Roman"/>
                <w:b/>
                <w:bCs/>
                <w:color w:val="000000" w:themeColor="text1"/>
                <w:sz w:val="24"/>
                <w:szCs w:val="24"/>
                <w:lang w:val="en-US" w:bidi="ar-SA"/>
                <w14:textFill>
                  <w14:solidFill>
                    <w14:schemeClr w14:val="tx1"/>
                  </w14:solidFill>
                </w14:textFill>
              </w:rPr>
              <w:t>是否</w:t>
            </w:r>
            <w:r>
              <w:rPr>
                <w:rFonts w:hint="eastAsia" w:ascii="宋体" w:hAnsi="宋体" w:cs="Times New Roman"/>
                <w:b/>
                <w:bCs/>
                <w:color w:val="000000" w:themeColor="text1"/>
                <w:sz w:val="24"/>
                <w:szCs w:val="24"/>
                <w:lang w:val="en-US" w:eastAsia="zh-CN" w:bidi="ar-SA"/>
                <w14:textFill>
                  <w14:solidFill>
                    <w14:schemeClr w14:val="tx1"/>
                  </w14:solidFill>
                </w14:textFill>
              </w:rPr>
              <w:t>具备</w:t>
            </w:r>
            <w:r>
              <w:rPr>
                <w:rFonts w:hint="eastAsia" w:ascii="宋体" w:hAnsi="宋体" w:cs="Times New Roman"/>
                <w:b/>
                <w:bCs/>
                <w:color w:val="000000" w:themeColor="text1"/>
                <w:sz w:val="24"/>
                <w:szCs w:val="24"/>
                <w:lang w:val="en-US" w:bidi="ar-SA"/>
                <w14:textFill>
                  <w14:solidFill>
                    <w14:schemeClr w14:val="tx1"/>
                  </w14:solidFill>
                </w14:textFill>
              </w:rPr>
              <w:t>有效的公路工程施工总承包叁级及以上</w:t>
            </w:r>
            <w:r>
              <w:rPr>
                <w:rFonts w:hint="eastAsia" w:ascii="宋体" w:hAnsi="宋体" w:eastAsia="宋体" w:cs="Times New Roman"/>
                <w:b/>
                <w:bCs/>
                <w:color w:val="000000" w:themeColor="text1"/>
                <w:sz w:val="24"/>
                <w:szCs w:val="24"/>
                <w:lang w:val="en-US" w:eastAsia="zh-CN" w:bidi="ar-SA"/>
                <w14:textFill>
                  <w14:solidFill>
                    <w14:schemeClr w14:val="tx1"/>
                  </w14:solidFill>
                </w14:textFill>
              </w:rPr>
              <w:t>/或同时具备公路路基、公路路面专业承包叁级及以上</w:t>
            </w:r>
            <w:r>
              <w:rPr>
                <w:rFonts w:hint="eastAsia" w:ascii="宋体" w:hAnsi="宋体" w:eastAsia="宋体" w:cs="Times New Roman"/>
                <w:b/>
                <w:bCs/>
                <w:color w:val="000000" w:themeColor="text1"/>
                <w:sz w:val="24"/>
                <w:szCs w:val="24"/>
                <w:lang w:val="en-US" w:bidi="ar-SA"/>
                <w14:textFill>
                  <w14:solidFill>
                    <w14:schemeClr w14:val="tx1"/>
                  </w14:solidFill>
                </w14:textFill>
              </w:rPr>
              <w:t>资质</w:t>
            </w:r>
            <w:r>
              <w:rPr>
                <w:rFonts w:hint="eastAsia" w:ascii="宋体" w:hAnsi="宋体" w:eastAsia="宋体" w:cs="Times New Roman"/>
                <w:b/>
                <w:bCs/>
                <w:color w:val="000000" w:themeColor="text1"/>
                <w:sz w:val="24"/>
                <w:szCs w:val="24"/>
                <w:lang w:val="en-US" w:eastAsia="zh-CN" w:bidi="ar-SA"/>
                <w14:textFill>
                  <w14:solidFill>
                    <w14:schemeClr w14:val="tx1"/>
                  </w14:solidFill>
                </w14:textFill>
              </w:rPr>
              <w:t>证书</w:t>
            </w:r>
            <w:r>
              <w:rPr>
                <w:rFonts w:hint="eastAsia" w:ascii="宋体" w:hAnsi="宋体" w:eastAsia="宋体" w:cs="Times New Roman"/>
                <w:b/>
                <w:bCs/>
                <w:color w:val="000000" w:themeColor="text1"/>
                <w:sz w:val="24"/>
                <w:szCs w:val="24"/>
                <w:lang w:val="en-US" w:bidi="ar-SA"/>
                <w14:textFill>
                  <w14:solidFill>
                    <w14:schemeClr w14:val="tx1"/>
                  </w14:solidFill>
                </w14:textFill>
              </w:rPr>
              <w:t>原件的扫描件；</w:t>
            </w:r>
          </w:p>
        </w:tc>
        <w:tc>
          <w:tcPr>
            <w:tcW w:w="1344" w:type="dxa"/>
            <w:vAlign w:val="center"/>
          </w:tcPr>
          <w:p>
            <w:pPr>
              <w:adjustRightInd w:val="0"/>
              <w:spacing w:line="300" w:lineRule="auto"/>
              <w:jc w:val="center"/>
              <w:rPr>
                <w:rFonts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adjustRightInd w:val="0"/>
              <w:spacing w:line="300" w:lineRule="auto"/>
              <w:jc w:val="center"/>
              <w:rPr>
                <w:rFonts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Times New Roman"/>
                <w:b/>
                <w:bCs/>
                <w:color w:val="000000" w:themeColor="text1"/>
                <w:sz w:val="24"/>
                <w:szCs w:val="24"/>
                <w:lang w:val="en-US" w:eastAsia="zh-CN" w:bidi="ar-SA"/>
                <w14:textFill>
                  <w14:solidFill>
                    <w14:schemeClr w14:val="tx1"/>
                  </w14:solidFill>
                </w14:textFill>
              </w:rPr>
            </w:pPr>
            <w:r>
              <w:rPr>
                <w:rFonts w:hint="eastAsia" w:cs="Times New Roman"/>
                <w:b/>
                <w:bCs/>
                <w:color w:val="000000" w:themeColor="text1"/>
                <w:sz w:val="24"/>
                <w:szCs w:val="24"/>
                <w:lang w:val="en-US" w:eastAsia="zh-CN" w:bidi="ar-SA"/>
                <w14:textFill>
                  <w14:solidFill>
                    <w14:schemeClr w14:val="tx1"/>
                  </w14:solidFill>
                </w14:textFill>
              </w:rPr>
              <w:t>6</w:t>
            </w:r>
          </w:p>
        </w:tc>
        <w:tc>
          <w:tcPr>
            <w:tcW w:w="5867"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ascii="宋体" w:hAnsi="宋体" w:cs="Times New Roman"/>
                <w:b/>
                <w:bCs/>
                <w:color w:val="000000" w:themeColor="text1"/>
                <w:sz w:val="24"/>
                <w:szCs w:val="24"/>
                <w:lang w:val="en-US" w:bidi="ar-SA"/>
                <w14:textFill>
                  <w14:solidFill>
                    <w14:schemeClr w14:val="tx1"/>
                  </w14:solidFill>
                </w14:textFill>
              </w:rPr>
            </w:pPr>
            <w:r>
              <w:rPr>
                <w:rFonts w:hint="eastAsia" w:ascii="宋体" w:hAnsi="宋体" w:cs="Times New Roman"/>
                <w:b/>
                <w:bCs/>
                <w:color w:val="000000" w:themeColor="text1"/>
                <w:sz w:val="24"/>
                <w:szCs w:val="24"/>
                <w:lang w:val="en-US" w:bidi="ar-SA"/>
                <w14:textFill>
                  <w14:solidFill>
                    <w14:schemeClr w14:val="tx1"/>
                  </w14:solidFill>
                </w14:textFill>
              </w:rPr>
              <w:t>是否</w:t>
            </w:r>
            <w:r>
              <w:rPr>
                <w:rFonts w:hint="eastAsia" w:ascii="宋体" w:hAnsi="宋体" w:cs="Times New Roman"/>
                <w:b/>
                <w:bCs/>
                <w:color w:val="000000" w:themeColor="text1"/>
                <w:sz w:val="24"/>
                <w:szCs w:val="24"/>
                <w:lang w:val="en-US" w:eastAsia="zh-CN" w:bidi="ar-SA"/>
                <w14:textFill>
                  <w14:solidFill>
                    <w14:schemeClr w14:val="tx1"/>
                  </w14:solidFill>
                </w14:textFill>
              </w:rPr>
              <w:t>具备</w:t>
            </w:r>
            <w:r>
              <w:rPr>
                <w:rFonts w:hint="eastAsia" w:ascii="宋体" w:hAnsi="宋体" w:eastAsia="宋体" w:cs="Times New Roman"/>
                <w:b/>
                <w:color w:val="000000" w:themeColor="text1"/>
                <w:sz w:val="24"/>
                <w:szCs w:val="24"/>
                <w:lang w:val="en-US" w:eastAsia="zh-CN" w:bidi="ar-SA"/>
                <w14:textFill>
                  <w14:solidFill>
                    <w14:schemeClr w14:val="tx1"/>
                  </w14:solidFill>
                </w14:textFill>
              </w:rPr>
              <w:t>项目经理注册建造师证原件的扫描件及有效的交通运输主管部门颁发的安全生产考核合格证书（B类）原件的扫描件；</w:t>
            </w:r>
          </w:p>
        </w:tc>
        <w:tc>
          <w:tcPr>
            <w:tcW w:w="1344" w:type="dxa"/>
            <w:vAlign w:val="center"/>
          </w:tcPr>
          <w:p>
            <w:pPr>
              <w:adjustRightInd w:val="0"/>
              <w:spacing w:line="300" w:lineRule="auto"/>
              <w:jc w:val="center"/>
              <w:rPr>
                <w:rFonts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adjustRightInd w:val="0"/>
              <w:spacing w:line="300" w:lineRule="auto"/>
              <w:jc w:val="center"/>
              <w:rPr>
                <w:rFonts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Times New Roman" w:eastAsia="宋体" w:cs="Times New Roman"/>
                <w:b/>
                <w:bCs/>
                <w:color w:val="000000" w:themeColor="text1"/>
                <w:sz w:val="24"/>
                <w:szCs w:val="24"/>
                <w:lang w:val="en-US" w:eastAsia="zh-CN" w:bidi="ar-SA"/>
                <w14:textFill>
                  <w14:solidFill>
                    <w14:schemeClr w14:val="tx1"/>
                  </w14:solidFill>
                </w14:textFill>
              </w:rPr>
            </w:pPr>
            <w:r>
              <w:rPr>
                <w:rFonts w:hint="eastAsia" w:cs="Times New Roman"/>
                <w:b/>
                <w:bCs/>
                <w:color w:val="000000" w:themeColor="text1"/>
                <w:sz w:val="24"/>
                <w:szCs w:val="24"/>
                <w:lang w:val="en-US" w:eastAsia="zh-CN" w:bidi="ar-SA"/>
                <w14:textFill>
                  <w14:solidFill>
                    <w14:schemeClr w14:val="tx1"/>
                  </w14:solidFill>
                </w14:textFill>
              </w:rPr>
              <w:t>7</w:t>
            </w:r>
          </w:p>
        </w:tc>
        <w:tc>
          <w:tcPr>
            <w:tcW w:w="5867" w:type="dxa"/>
            <w:vAlign w:val="center"/>
          </w:tcPr>
          <w:p>
            <w:pPr>
              <w:widowControl w:val="0"/>
              <w:autoSpaceDE w:val="0"/>
              <w:autoSpaceDN w:val="0"/>
              <w:adjustRightInd w:val="0"/>
              <w:spacing w:before="0" w:after="0" w:line="440" w:lineRule="exact"/>
              <w:jc w:val="left"/>
              <w:rPr>
                <w:rFonts w:hint="eastAsia" w:ascii="宋体" w:hAnsi="Times New Roman" w:eastAsia="宋体" w:cs="Times New Roman"/>
                <w:b/>
                <w:bCs/>
                <w:color w:val="000000" w:themeColor="text1"/>
                <w:sz w:val="24"/>
                <w:szCs w:val="24"/>
                <w:lang w:val="en-US" w:eastAsia="zh-CN" w:bidi="ar-SA"/>
                <w14:textFill>
                  <w14:solidFill>
                    <w14:schemeClr w14:val="tx1"/>
                  </w14:solidFill>
                </w14:textFill>
              </w:rPr>
            </w:pPr>
            <w:r>
              <w:rPr>
                <w:rFonts w:hint="eastAsia" w:cs="Times New Roman"/>
                <w:b/>
                <w:color w:val="000000" w:themeColor="text1"/>
                <w:sz w:val="24"/>
                <w:szCs w:val="24"/>
                <w:lang w:val="en-US" w:eastAsia="zh-CN" w:bidi="ar-SA"/>
                <w14:textFill>
                  <w14:solidFill>
                    <w14:schemeClr w14:val="tx1"/>
                  </w14:solidFill>
                </w14:textFill>
              </w:rPr>
              <w:t>是否提供</w:t>
            </w:r>
            <w:r>
              <w:rPr>
                <w:rFonts w:hint="eastAsia" w:ascii="宋体" w:hAnsi="宋体" w:eastAsia="宋体" w:cs="Times New Roman"/>
                <w:b/>
                <w:color w:val="000000" w:themeColor="text1"/>
                <w:sz w:val="24"/>
                <w:szCs w:val="24"/>
                <w:lang w:val="en-US" w:eastAsia="zh-CN" w:bidi="ar-SA"/>
                <w14:textFill>
                  <w14:solidFill>
                    <w14:schemeClr w14:val="tx1"/>
                  </w14:solidFill>
                </w14:textFill>
              </w:rPr>
              <w:t>《中小企业声明函》原件的扫描件</w:t>
            </w:r>
            <w:r>
              <w:rPr>
                <w:rFonts w:hint="eastAsia" w:cs="Times New Roman"/>
                <w:b/>
                <w:color w:val="000000" w:themeColor="text1"/>
                <w:sz w:val="24"/>
                <w:szCs w:val="24"/>
                <w:lang w:val="en-US" w:eastAsia="zh-CN" w:bidi="ar-SA"/>
                <w14:textFill>
                  <w14:solidFill>
                    <w14:schemeClr w14:val="tx1"/>
                  </w14:solidFill>
                </w14:textFill>
              </w:rPr>
              <w:t>；</w:t>
            </w:r>
          </w:p>
        </w:tc>
        <w:tc>
          <w:tcPr>
            <w:tcW w:w="1344" w:type="dxa"/>
            <w:vAlign w:val="center"/>
          </w:tcPr>
          <w:p>
            <w:pPr>
              <w:adjustRightInd w:val="0"/>
              <w:spacing w:line="300" w:lineRule="auto"/>
              <w:jc w:val="center"/>
              <w:rPr>
                <w:rFonts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adjustRightInd w:val="0"/>
              <w:spacing w:line="300" w:lineRule="auto"/>
              <w:jc w:val="center"/>
              <w:rPr>
                <w:rFonts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Times New Roman" w:eastAsia="宋体" w:cs="Times New Roman"/>
                <w:b/>
                <w:bCs/>
                <w:color w:val="000000" w:themeColor="text1"/>
                <w:sz w:val="24"/>
                <w:szCs w:val="24"/>
                <w:lang w:val="en-US" w:eastAsia="zh-CN" w:bidi="ar-SA"/>
                <w14:textFill>
                  <w14:solidFill>
                    <w14:schemeClr w14:val="tx1"/>
                  </w14:solidFill>
                </w14:textFill>
              </w:rPr>
            </w:pPr>
            <w:r>
              <w:rPr>
                <w:rFonts w:hint="eastAsia" w:cs="Times New Roman"/>
                <w:b/>
                <w:bCs/>
                <w:color w:val="000000" w:themeColor="text1"/>
                <w:sz w:val="24"/>
                <w:szCs w:val="24"/>
                <w:lang w:val="en-US" w:eastAsia="zh-CN" w:bidi="ar-SA"/>
                <w14:textFill>
                  <w14:solidFill>
                    <w14:schemeClr w14:val="tx1"/>
                  </w14:solidFill>
                </w14:textFill>
              </w:rPr>
              <w:t>8</w:t>
            </w:r>
          </w:p>
        </w:tc>
        <w:tc>
          <w:tcPr>
            <w:tcW w:w="5867"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Times New Roman" w:eastAsia="宋体" w:cs="Times New Roman"/>
                <w:b/>
                <w:bCs/>
                <w:color w:val="000000" w:themeColor="text1"/>
                <w:sz w:val="24"/>
                <w:szCs w:val="24"/>
                <w:lang w:val="en-US" w:eastAsia="zh-CN" w:bidi="ar-SA"/>
                <w14:textFill>
                  <w14:solidFill>
                    <w14:schemeClr w14:val="tx1"/>
                  </w14:solidFill>
                </w14:textFill>
              </w:rPr>
            </w:pPr>
            <w:r>
              <w:rPr>
                <w:rFonts w:hint="eastAsia" w:ascii="宋体" w:hAnsi="宋体" w:cs="Times New Roman"/>
                <w:b/>
                <w:bCs/>
                <w:color w:val="000000" w:themeColor="text1"/>
                <w:sz w:val="24"/>
                <w:szCs w:val="24"/>
                <w:lang w:val="en-US" w:bidi="ar-SA"/>
                <w14:textFill>
                  <w14:solidFill>
                    <w14:schemeClr w14:val="tx1"/>
                  </w14:solidFill>
                </w14:textFill>
              </w:rPr>
              <w:t>是否提供磋商保证金缴纳凭证</w:t>
            </w:r>
            <w:r>
              <w:rPr>
                <w:rFonts w:hint="eastAsia" w:cs="Times New Roman"/>
                <w:b/>
                <w:bCs/>
                <w:color w:val="000000" w:themeColor="text1"/>
                <w:sz w:val="24"/>
                <w:szCs w:val="24"/>
                <w:lang w:val="en-US" w:eastAsia="zh-CN" w:bidi="ar-SA"/>
                <w14:textFill>
                  <w14:solidFill>
                    <w14:schemeClr w14:val="tx1"/>
                  </w14:solidFill>
                </w14:textFill>
              </w:rPr>
              <w:t>；</w:t>
            </w:r>
          </w:p>
        </w:tc>
        <w:tc>
          <w:tcPr>
            <w:tcW w:w="1344" w:type="dxa"/>
            <w:vAlign w:val="center"/>
          </w:tcPr>
          <w:p>
            <w:pPr>
              <w:adjustRightInd w:val="0"/>
              <w:spacing w:line="300" w:lineRule="auto"/>
              <w:jc w:val="center"/>
              <w:rPr>
                <w:rFonts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adjustRightInd w:val="0"/>
              <w:spacing w:line="300" w:lineRule="auto"/>
              <w:jc w:val="center"/>
              <w:rPr>
                <w:rFonts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31"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ascii="宋体" w:hAnsi="Times New Roman" w:eastAsia="Times New Roman" w:cs="Times New Roman"/>
                <w:b/>
                <w:bCs/>
                <w:color w:val="000000" w:themeColor="text1"/>
                <w:sz w:val="24"/>
                <w:szCs w:val="24"/>
                <w:lang w:val="en-US" w:bidi="ar-SA"/>
                <w14:textFill>
                  <w14:solidFill>
                    <w14:schemeClr w14:val="tx1"/>
                  </w14:solidFill>
                </w14:textFill>
              </w:rPr>
            </w:pPr>
          </w:p>
        </w:tc>
        <w:tc>
          <w:tcPr>
            <w:tcW w:w="5867"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ascii="宋体" w:hAnsi="Times New Roman" w:eastAsia="Times New Roman" w:cs="Times New Roman"/>
                <w:b/>
                <w:bCs/>
                <w:color w:val="000000" w:themeColor="text1"/>
                <w:sz w:val="24"/>
                <w:szCs w:val="24"/>
                <w:lang w:val="en-US" w:bidi="ar-SA"/>
                <w14:textFill>
                  <w14:solidFill>
                    <w14:schemeClr w14:val="tx1"/>
                  </w14:solidFill>
                </w14:textFill>
              </w:rPr>
            </w:pPr>
            <w:r>
              <w:rPr>
                <w:rFonts w:hint="eastAsia" w:ascii="宋体" w:hAnsi="宋体" w:cs="Times New Roman"/>
                <w:b/>
                <w:bCs/>
                <w:color w:val="000000" w:themeColor="text1"/>
                <w:sz w:val="24"/>
                <w:szCs w:val="24"/>
                <w:lang w:val="en-US" w:bidi="ar-SA"/>
                <w14:textFill>
                  <w14:solidFill>
                    <w14:schemeClr w14:val="tx1"/>
                  </w14:solidFill>
                </w14:textFill>
              </w:rPr>
              <w:t>结论：是否通过评审</w:t>
            </w:r>
          </w:p>
        </w:tc>
        <w:tc>
          <w:tcPr>
            <w:tcW w:w="1344" w:type="dxa"/>
            <w:vAlign w:val="center"/>
          </w:tcPr>
          <w:p>
            <w:pPr>
              <w:adjustRightInd w:val="0"/>
              <w:spacing w:line="300" w:lineRule="auto"/>
              <w:jc w:val="center"/>
              <w:rPr>
                <w:rFonts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adjustRightInd w:val="0"/>
              <w:spacing w:line="300" w:lineRule="auto"/>
              <w:jc w:val="center"/>
              <w:rPr>
                <w:rFonts w:ascii="Times New Roman" w:hAnsi="Times New Roman" w:eastAsia="Times New Roman" w:cs="Times New Roman"/>
                <w:color w:val="000000" w:themeColor="text1"/>
                <w:sz w:val="24"/>
                <w:szCs w:val="24"/>
                <w:lang w:val="en-US" w:bidi="ar-SA"/>
                <w14:textFill>
                  <w14:solidFill>
                    <w14:schemeClr w14:val="tx1"/>
                  </w14:solidFill>
                </w14:textFill>
              </w:rPr>
            </w:pPr>
          </w:p>
        </w:tc>
      </w:tr>
    </w:tbl>
    <w:p>
      <w:pPr>
        <w:adjustRightInd w:val="0"/>
        <w:spacing w:line="360" w:lineRule="auto"/>
        <w:rPr>
          <w:rFonts w:ascii="Times New Roman" w:hAnsi="Times New Roman" w:eastAsia="Times New Roman" w:cs="Times New Roman"/>
          <w:b/>
          <w:color w:val="000000" w:themeColor="text1"/>
          <w:sz w:val="24"/>
          <w:szCs w:val="24"/>
          <w:lang w:val="en-US" w:bidi="ar-SA"/>
          <w14:textFill>
            <w14:solidFill>
              <w14:schemeClr w14:val="tx1"/>
            </w14:solidFill>
          </w14:textFill>
        </w:rPr>
      </w:pPr>
    </w:p>
    <w:p>
      <w:pPr>
        <w:adjustRightInd w:val="0"/>
        <w:spacing w:line="360" w:lineRule="auto"/>
        <w:ind w:firstLine="482" w:firstLineChars="200"/>
        <w:rPr>
          <w:rFonts w:ascii="Times New Roman" w:hAnsi="Times New Roman" w:eastAsia="Times New Roman" w:cs="Times New Roman"/>
          <w:b/>
          <w:sz w:val="24"/>
          <w:szCs w:val="24"/>
          <w:lang w:val="zh-CN" w:bidi="ar-SA"/>
        </w:rPr>
      </w:pPr>
      <w:r>
        <w:rPr>
          <w:rFonts w:ascii="宋体" w:hAnsi="宋体" w:cs="Times New Roman"/>
          <w:b/>
          <w:sz w:val="24"/>
          <w:szCs w:val="24"/>
          <w:lang w:val="en-US" w:bidi="ar-SA"/>
        </w:rPr>
        <w:t>3</w:t>
      </w:r>
      <w:r>
        <w:rPr>
          <w:rFonts w:hint="eastAsia" w:ascii="宋体" w:hAnsi="宋体" w:cs="Times New Roman"/>
          <w:b/>
          <w:sz w:val="24"/>
          <w:szCs w:val="24"/>
          <w:lang w:val="en-US" w:bidi="ar-SA"/>
        </w:rPr>
        <w:t>、</w:t>
      </w:r>
      <w:r>
        <w:rPr>
          <w:rFonts w:hint="eastAsia" w:ascii="宋体" w:hAnsi="宋体" w:cs="Times New Roman"/>
          <w:b/>
          <w:sz w:val="24"/>
          <w:szCs w:val="24"/>
          <w:lang w:val="zh-CN" w:bidi="ar-SA"/>
        </w:rPr>
        <w:t>符合性审查</w:t>
      </w:r>
    </w:p>
    <w:p>
      <w:pPr>
        <w:adjustRightInd w:val="0"/>
        <w:spacing w:line="360" w:lineRule="auto"/>
        <w:ind w:firstLine="480" w:firstLineChars="200"/>
        <w:rPr>
          <w:rFonts w:ascii="Times New Roman" w:hAnsi="Times New Roman" w:eastAsia="Times New Roman" w:cs="Times New Roman"/>
          <w:sz w:val="24"/>
          <w:szCs w:val="24"/>
          <w:lang w:val="zh-CN" w:bidi="ar-SA"/>
        </w:rPr>
      </w:pPr>
      <w:r>
        <w:rPr>
          <w:rFonts w:ascii="宋体" w:hAnsi="宋体" w:cs="Times New Roman"/>
          <w:sz w:val="24"/>
          <w:szCs w:val="24"/>
          <w:lang w:val="en-US" w:bidi="ar-SA"/>
        </w:rPr>
        <w:t xml:space="preserve">3.1 </w:t>
      </w:r>
      <w:r>
        <w:rPr>
          <w:rFonts w:hint="eastAsia" w:ascii="宋体" w:hAnsi="宋体" w:cs="Times New Roman"/>
          <w:sz w:val="24"/>
          <w:szCs w:val="24"/>
          <w:lang w:val="en-US" w:bidi="ar-SA"/>
        </w:rPr>
        <w:t>磋商小组</w:t>
      </w:r>
      <w:r>
        <w:rPr>
          <w:rFonts w:hint="eastAsia" w:ascii="宋体" w:hAnsi="宋体" w:cs="Times New Roman"/>
          <w:sz w:val="24"/>
          <w:szCs w:val="24"/>
          <w:lang w:val="zh-CN" w:bidi="ar-SA"/>
        </w:rPr>
        <w:t>应依据磋商文件的规定，对供应商的响应文件的有效性、完整性和对磋商文件的响应程度进行审查，以确定是否对磋商文件的要求做出实质性响应，对磋商文件的要求未做出实质性响应的供应商，不得进入具体评标程序。</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ascii="宋体" w:hAnsi="宋体" w:cs="Times New Roman"/>
          <w:sz w:val="24"/>
          <w:szCs w:val="24"/>
          <w:lang w:val="en-US" w:bidi="ar-SA"/>
        </w:rPr>
        <w:t xml:space="preserve">3.2 </w:t>
      </w:r>
      <w:r>
        <w:rPr>
          <w:rFonts w:hint="eastAsia" w:ascii="宋体" w:hAnsi="宋体" w:cs="Times New Roman"/>
          <w:sz w:val="24"/>
          <w:szCs w:val="24"/>
          <w:lang w:val="en-US" w:bidi="ar-SA"/>
        </w:rPr>
        <w:t>磋商小组应当根据磋商文件，审查并逐项列出每一个响应文件的全部投标偏差。投标偏差分为重大偏差和细微偏差。</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w:t>
      </w:r>
      <w:r>
        <w:rPr>
          <w:rFonts w:ascii="宋体" w:hAnsi="宋体" w:cs="Times New Roman"/>
          <w:sz w:val="24"/>
          <w:szCs w:val="24"/>
          <w:lang w:val="en-US" w:bidi="ar-SA"/>
        </w:rPr>
        <w:t>1</w:t>
      </w:r>
      <w:r>
        <w:rPr>
          <w:rFonts w:hint="eastAsia" w:ascii="宋体" w:hAnsi="宋体" w:cs="Times New Roman"/>
          <w:sz w:val="24"/>
          <w:szCs w:val="24"/>
          <w:lang w:val="en-US" w:bidi="ar-SA"/>
        </w:rPr>
        <w:t>）细微偏差是指投标实质上响应了磋商文件要求，但在个别地方存在漏项或者提供了不完整的技术信息和数据等情况，并且补正这些遗漏或不完整不会对其他供应商造成不公平的结果。细微偏差不影响响应文件的有效性。</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w:t>
      </w:r>
      <w:r>
        <w:rPr>
          <w:rFonts w:ascii="宋体" w:hAnsi="宋体" w:cs="Times New Roman"/>
          <w:sz w:val="24"/>
          <w:szCs w:val="24"/>
          <w:lang w:val="en-US" w:bidi="ar-SA"/>
        </w:rPr>
        <w:t>2</w:t>
      </w:r>
      <w:r>
        <w:rPr>
          <w:rFonts w:hint="eastAsia" w:ascii="宋体" w:hAnsi="宋体" w:cs="Times New Roman"/>
          <w:sz w:val="24"/>
          <w:szCs w:val="24"/>
          <w:lang w:val="en-US" w:bidi="ar-SA"/>
        </w:rPr>
        <w:t>）应当要求存在细小偏差的供应商在评标结束前以书面形式予以补正。拒绝补正的，在综合评审时可以对细微偏差作不利于该供应商的量化。</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w:t>
      </w:r>
      <w:r>
        <w:rPr>
          <w:rFonts w:ascii="宋体" w:hAnsi="宋体" w:cs="Times New Roman"/>
          <w:sz w:val="24"/>
          <w:szCs w:val="24"/>
          <w:lang w:val="en-US" w:bidi="ar-SA"/>
        </w:rPr>
        <w:t>3</w:t>
      </w:r>
      <w:r>
        <w:rPr>
          <w:rFonts w:hint="eastAsia" w:ascii="宋体" w:hAnsi="宋体" w:cs="Times New Roman"/>
          <w:sz w:val="24"/>
          <w:szCs w:val="24"/>
          <w:lang w:val="en-US" w:bidi="ar-SA"/>
        </w:rPr>
        <w:t>）重大偏离或保留系指影响到磋商文件规定的招标范围、技术要求、质量要求和商务条款，响应文件中附有采购人不能接受的条件的，或限制了采购人的权力和义务的规定，和不符合磋商文件中规定的其他实质性要求的等。</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hint="eastAsia" w:ascii="宋体" w:hAnsi="宋体" w:cs="Times New Roman"/>
          <w:sz w:val="24"/>
          <w:szCs w:val="24"/>
          <w:lang w:val="en-US" w:bidi="ar-SA"/>
        </w:rPr>
        <w:t>（</w:t>
      </w:r>
      <w:r>
        <w:rPr>
          <w:rFonts w:ascii="宋体" w:hAnsi="宋体" w:cs="Times New Roman"/>
          <w:sz w:val="24"/>
          <w:szCs w:val="24"/>
          <w:lang w:val="en-US" w:bidi="ar-SA"/>
        </w:rPr>
        <w:t>4</w:t>
      </w:r>
      <w:r>
        <w:rPr>
          <w:rFonts w:hint="eastAsia" w:ascii="宋体" w:hAnsi="宋体" w:cs="Times New Roman"/>
          <w:sz w:val="24"/>
          <w:szCs w:val="24"/>
          <w:lang w:val="en-US" w:bidi="ar-SA"/>
        </w:rPr>
        <w:t>）发现有重大偏差时，磋商小组及其成员应按磋商文件中的规定，可以取消其投标的权利。</w:t>
      </w:r>
    </w:p>
    <w:p>
      <w:pPr>
        <w:keepNext w:val="0"/>
        <w:keepLines w:val="0"/>
        <w:pageBreakBefore w:val="0"/>
        <w:widowControl w:val="0"/>
        <w:wordWrap/>
        <w:topLinePunct w:val="0"/>
        <w:autoSpaceDE w:val="0"/>
        <w:autoSpaceDN w:val="0"/>
        <w:bidi w:val="0"/>
        <w:adjustRightInd w:val="0"/>
        <w:snapToGrid/>
        <w:spacing w:line="360" w:lineRule="auto"/>
        <w:ind w:firstLine="482" w:firstLineChars="200"/>
        <w:textAlignment w:val="auto"/>
        <w:rPr>
          <w:rFonts w:ascii="Times New Roman" w:hAnsi="Times New Roman" w:eastAsia="Times New Roman" w:cs="Times New Roman"/>
          <w:b/>
          <w:sz w:val="24"/>
          <w:szCs w:val="24"/>
          <w:lang w:val="en-US" w:bidi="ar-SA"/>
        </w:rPr>
      </w:pPr>
      <w:r>
        <w:rPr>
          <w:rFonts w:ascii="宋体" w:hAnsi="宋体" w:cs="Times New Roman"/>
          <w:b/>
          <w:sz w:val="24"/>
          <w:szCs w:val="24"/>
          <w:lang w:val="en-US" w:bidi="ar-SA"/>
        </w:rPr>
        <w:t xml:space="preserve">3.3 </w:t>
      </w:r>
      <w:r>
        <w:rPr>
          <w:rFonts w:hint="eastAsia" w:ascii="宋体" w:hAnsi="宋体" w:cs="Times New Roman"/>
          <w:b/>
          <w:sz w:val="24"/>
          <w:szCs w:val="24"/>
          <w:lang w:val="zh-CN" w:bidi="ar-SA"/>
        </w:rPr>
        <w:t>进行符合性审查时，磋商小组及成员</w:t>
      </w:r>
      <w:r>
        <w:rPr>
          <w:rFonts w:hint="eastAsia" w:ascii="宋体" w:hAnsi="宋体" w:cs="Times New Roman"/>
          <w:b/>
          <w:sz w:val="24"/>
          <w:szCs w:val="24"/>
          <w:lang w:val="en-US" w:bidi="ar-SA"/>
        </w:rPr>
        <w:t>应当审查每一个响应文件是否对磋商文件提出的所有实质性要求和条件作出响应。未能实质上响应的，视情况按照磋商文件的规定，应不得进入综合评审程序。主要有下列情况：</w:t>
      </w:r>
    </w:p>
    <w:p>
      <w:pPr>
        <w:adjustRightInd w:val="0"/>
        <w:snapToGrid w:val="0"/>
        <w:spacing w:line="440" w:lineRule="exact"/>
        <w:ind w:firstLine="352" w:firstLineChars="146"/>
        <w:jc w:val="center"/>
        <w:rPr>
          <w:rFonts w:ascii="宋体" w:hAnsi="Times New Roman" w:cs="宋体"/>
          <w:b/>
          <w:sz w:val="24"/>
          <w:szCs w:val="24"/>
          <w:lang w:val="en-US" w:bidi="ar-SA"/>
        </w:rPr>
      </w:pPr>
      <w:r>
        <w:rPr>
          <w:rFonts w:hint="eastAsia" w:ascii="宋体" w:hAnsi="宋体" w:cs="宋体"/>
          <w:b/>
          <w:sz w:val="24"/>
          <w:szCs w:val="24"/>
          <w:lang w:val="en-US" w:bidi="ar-SA"/>
        </w:rPr>
        <w:t>符合性审查表</w:t>
      </w:r>
    </w:p>
    <w:tbl>
      <w:tblPr>
        <w:tblStyle w:val="18"/>
        <w:tblW w:w="92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7"/>
        <w:gridCol w:w="6258"/>
        <w:gridCol w:w="608"/>
        <w:gridCol w:w="608"/>
        <w:gridCol w:w="608"/>
        <w:gridCol w:w="5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865" w:type="dxa"/>
            <w:gridSpan w:val="2"/>
            <w:vMerge w:val="restart"/>
            <w:tcBorders>
              <w:top w:val="single" w:color="auto" w:sz="12" w:space="0"/>
              <w:right w:val="single" w:color="auto" w:sz="4" w:space="0"/>
            </w:tcBorders>
            <w:vAlign w:val="center"/>
          </w:tcPr>
          <w:p>
            <w:pPr>
              <w:adjustRightInd w:val="0"/>
              <w:jc w:val="center"/>
              <w:rPr>
                <w:rFonts w:ascii="宋体" w:hAnsi="Times New Roman" w:cs="Times New Roman"/>
                <w:b/>
                <w:sz w:val="24"/>
                <w:szCs w:val="24"/>
                <w:lang w:val="en-US" w:bidi="ar-SA"/>
              </w:rPr>
            </w:pPr>
            <w:r>
              <w:rPr>
                <w:rFonts w:hint="eastAsia" w:ascii="宋体" w:hAnsi="宋体" w:cs="Times New Roman"/>
                <w:b/>
                <w:sz w:val="24"/>
                <w:szCs w:val="24"/>
                <w:lang w:val="en-US" w:bidi="ar-SA"/>
              </w:rPr>
              <w:t>评审内容</w:t>
            </w:r>
          </w:p>
        </w:tc>
        <w:tc>
          <w:tcPr>
            <w:tcW w:w="2383" w:type="dxa"/>
            <w:gridSpan w:val="4"/>
            <w:tcBorders>
              <w:top w:val="single" w:color="auto" w:sz="12" w:space="0"/>
              <w:left w:val="single" w:color="auto" w:sz="4" w:space="0"/>
              <w:bottom w:val="single" w:color="auto" w:sz="4" w:space="0"/>
            </w:tcBorders>
            <w:vAlign w:val="center"/>
          </w:tcPr>
          <w:p>
            <w:pPr>
              <w:adjustRightInd w:val="0"/>
              <w:jc w:val="center"/>
              <w:rPr>
                <w:rFonts w:ascii="宋体" w:hAnsi="Times New Roman" w:cs="Times New Roman"/>
                <w:b/>
                <w:sz w:val="24"/>
                <w:szCs w:val="24"/>
                <w:lang w:val="en-US" w:bidi="ar-SA"/>
              </w:rPr>
            </w:pPr>
            <w:r>
              <w:rPr>
                <w:rFonts w:hint="eastAsia" w:ascii="宋体" w:hAnsi="宋体" w:cs="Times New Roman"/>
                <w:b/>
                <w:sz w:val="24"/>
                <w:szCs w:val="24"/>
                <w:lang w:val="en-US" w:bidi="ar-SA"/>
              </w:rPr>
              <w:t>投标供应商名称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6865" w:type="dxa"/>
            <w:gridSpan w:val="2"/>
            <w:vMerge w:val="continue"/>
            <w:tcBorders>
              <w:right w:val="single" w:color="auto" w:sz="4" w:space="0"/>
            </w:tcBorders>
          </w:tcPr>
          <w:p>
            <w:pPr>
              <w:adjustRightInd w:val="0"/>
              <w:rPr>
                <w:rFonts w:ascii="宋体" w:hAnsi="Times New Roman" w:cs="Times New Roman"/>
                <w:b/>
                <w:sz w:val="24"/>
                <w:szCs w:val="21"/>
                <w:lang w:val="en-US" w:bidi="ar-SA"/>
              </w:rPr>
            </w:pPr>
          </w:p>
        </w:tc>
        <w:tc>
          <w:tcPr>
            <w:tcW w:w="608" w:type="dxa"/>
            <w:tcBorders>
              <w:top w:val="single" w:color="auto" w:sz="4" w:space="0"/>
              <w:left w:val="single" w:color="auto" w:sz="4" w:space="0"/>
              <w:right w:val="single" w:color="auto" w:sz="4" w:space="0"/>
            </w:tcBorders>
            <w:vAlign w:val="center"/>
          </w:tcPr>
          <w:p>
            <w:pPr>
              <w:adjustRightInd w:val="0"/>
              <w:jc w:val="center"/>
              <w:rPr>
                <w:rFonts w:ascii="宋体" w:hAnsi="宋体" w:cs="Times New Roman"/>
                <w:b/>
                <w:sz w:val="24"/>
                <w:szCs w:val="21"/>
                <w:lang w:val="en-US" w:bidi="ar-SA"/>
              </w:rPr>
            </w:pPr>
            <w:r>
              <w:rPr>
                <w:rFonts w:ascii="宋体" w:hAnsi="宋体" w:cs="Times New Roman"/>
                <w:b/>
                <w:sz w:val="24"/>
                <w:szCs w:val="21"/>
                <w:lang w:val="en-US" w:bidi="ar-SA"/>
              </w:rPr>
              <w:t>1</w:t>
            </w:r>
          </w:p>
        </w:tc>
        <w:tc>
          <w:tcPr>
            <w:tcW w:w="608" w:type="dxa"/>
            <w:tcBorders>
              <w:top w:val="single" w:color="auto" w:sz="4" w:space="0"/>
              <w:left w:val="single" w:color="auto" w:sz="4" w:space="0"/>
            </w:tcBorders>
            <w:vAlign w:val="center"/>
          </w:tcPr>
          <w:p>
            <w:pPr>
              <w:adjustRightInd w:val="0"/>
              <w:jc w:val="center"/>
              <w:rPr>
                <w:rFonts w:ascii="宋体" w:hAnsi="宋体" w:cs="Times New Roman"/>
                <w:b/>
                <w:sz w:val="24"/>
                <w:szCs w:val="21"/>
                <w:lang w:val="en-US" w:bidi="ar-SA"/>
              </w:rPr>
            </w:pPr>
            <w:r>
              <w:rPr>
                <w:rFonts w:ascii="宋体" w:hAnsi="宋体" w:cs="Times New Roman"/>
                <w:b/>
                <w:sz w:val="24"/>
                <w:szCs w:val="21"/>
                <w:lang w:val="en-US" w:bidi="ar-SA"/>
              </w:rPr>
              <w:t>2</w:t>
            </w:r>
          </w:p>
        </w:tc>
        <w:tc>
          <w:tcPr>
            <w:tcW w:w="608" w:type="dxa"/>
            <w:vAlign w:val="center"/>
          </w:tcPr>
          <w:p>
            <w:pPr>
              <w:adjustRightInd w:val="0"/>
              <w:jc w:val="center"/>
              <w:rPr>
                <w:rFonts w:ascii="宋体" w:hAnsi="宋体" w:cs="Times New Roman"/>
                <w:b/>
                <w:sz w:val="24"/>
                <w:szCs w:val="21"/>
                <w:lang w:val="en-US" w:bidi="ar-SA"/>
              </w:rPr>
            </w:pPr>
            <w:r>
              <w:rPr>
                <w:rFonts w:ascii="宋体" w:hAnsi="宋体" w:cs="Times New Roman"/>
                <w:b/>
                <w:sz w:val="24"/>
                <w:szCs w:val="21"/>
                <w:lang w:val="en-US" w:bidi="ar-SA"/>
              </w:rPr>
              <w:t>3</w:t>
            </w:r>
          </w:p>
        </w:tc>
        <w:tc>
          <w:tcPr>
            <w:tcW w:w="559" w:type="dxa"/>
            <w:vAlign w:val="center"/>
          </w:tcPr>
          <w:p>
            <w:pPr>
              <w:adjustRightInd w:val="0"/>
              <w:jc w:val="center"/>
              <w:rPr>
                <w:rFonts w:ascii="宋体" w:hAnsi="Times New Roman" w:cs="Times New Roman"/>
                <w:b/>
                <w:sz w:val="24"/>
                <w:szCs w:val="21"/>
                <w:lang w:val="en-US" w:bidi="ar-SA"/>
              </w:rPr>
            </w:pPr>
            <w:r>
              <w:rPr>
                <w:rFonts w:hint="eastAsia" w:ascii="宋体" w:hAnsi="宋体" w:cs="Times New Roman"/>
                <w:b/>
                <w:sz w:val="24"/>
                <w:szCs w:val="21"/>
                <w:lang w:val="en-US"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keepNext w:val="0"/>
              <w:keepLines w:val="0"/>
              <w:pageBreakBefore w:val="0"/>
              <w:widowControl w:val="0"/>
              <w:wordWrap/>
              <w:topLinePunct w:val="0"/>
              <w:autoSpaceDE w:val="0"/>
              <w:autoSpaceDN w:val="0"/>
              <w:bidi w:val="0"/>
              <w:adjustRightInd w:val="0"/>
              <w:spacing w:line="360" w:lineRule="auto"/>
              <w:jc w:val="center"/>
              <w:textAlignment w:val="auto"/>
              <w:rPr>
                <w:rFonts w:ascii="宋体" w:hAnsi="宋体" w:cs="Times New Roman"/>
                <w:b/>
                <w:bCs/>
                <w:sz w:val="24"/>
                <w:szCs w:val="24"/>
                <w:lang w:val="en-US" w:bidi="ar-SA"/>
              </w:rPr>
            </w:pPr>
            <w:r>
              <w:rPr>
                <w:rFonts w:hint="eastAsia" w:ascii="宋体" w:hAnsi="宋体" w:cs="Times New Roman"/>
                <w:b/>
                <w:bCs/>
                <w:sz w:val="24"/>
                <w:szCs w:val="24"/>
                <w:lang w:val="en-US" w:bidi="ar-SA"/>
              </w:rPr>
              <w:t>1</w:t>
            </w:r>
          </w:p>
        </w:tc>
        <w:tc>
          <w:tcPr>
            <w:tcW w:w="6258" w:type="dxa"/>
            <w:tcBorders>
              <w:righ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b/>
                <w:bCs/>
                <w:sz w:val="24"/>
                <w:szCs w:val="24"/>
                <w:lang w:val="en-US" w:bidi="ar-SA"/>
              </w:rPr>
            </w:pPr>
            <w:r>
              <w:rPr>
                <w:rFonts w:hint="eastAsia" w:ascii="宋体" w:hAnsi="宋体" w:eastAsia="宋体" w:cs="Times New Roman"/>
                <w:b/>
                <w:bCs/>
                <w:sz w:val="24"/>
                <w:szCs w:val="24"/>
                <w:lang w:val="en-US" w:eastAsia="zh-CN" w:bidi="ar-SA"/>
              </w:rPr>
              <w:t>未按照磋商文件规定要求签署、盖章的；</w:t>
            </w:r>
          </w:p>
        </w:tc>
        <w:tc>
          <w:tcPr>
            <w:tcW w:w="608" w:type="dxa"/>
            <w:tcBorders>
              <w:left w:val="single" w:color="auto" w:sz="4" w:space="0"/>
              <w:righ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608" w:type="dxa"/>
            <w:tcBorders>
              <w:lef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608" w:type="dxa"/>
            <w:tcBorders>
              <w:righ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559" w:type="dxa"/>
            <w:tcBorders>
              <w:lef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keepNext w:val="0"/>
              <w:keepLines w:val="0"/>
              <w:pageBreakBefore w:val="0"/>
              <w:widowControl w:val="0"/>
              <w:wordWrap/>
              <w:topLinePunct w:val="0"/>
              <w:autoSpaceDE w:val="0"/>
              <w:autoSpaceDN w:val="0"/>
              <w:bidi w:val="0"/>
              <w:adjustRightInd w:val="0"/>
              <w:spacing w:line="360" w:lineRule="auto"/>
              <w:jc w:val="center"/>
              <w:textAlignment w:val="auto"/>
              <w:rPr>
                <w:rFonts w:ascii="宋体" w:hAnsi="宋体" w:cs="Times New Roman"/>
                <w:b/>
                <w:bCs/>
                <w:sz w:val="24"/>
                <w:szCs w:val="24"/>
                <w:lang w:val="en-US" w:bidi="ar-SA"/>
              </w:rPr>
            </w:pPr>
            <w:r>
              <w:rPr>
                <w:rFonts w:hint="eastAsia" w:ascii="宋体" w:hAnsi="宋体" w:cs="Times New Roman"/>
                <w:b/>
                <w:bCs/>
                <w:sz w:val="24"/>
                <w:szCs w:val="24"/>
                <w:lang w:val="en-US" w:bidi="ar-SA"/>
              </w:rPr>
              <w:t>2</w:t>
            </w:r>
          </w:p>
        </w:tc>
        <w:tc>
          <w:tcPr>
            <w:tcW w:w="6258" w:type="dxa"/>
            <w:tcBorders>
              <w:right w:val="single" w:color="auto" w:sz="4" w:space="0"/>
            </w:tcBorders>
            <w:vAlign w:val="center"/>
          </w:tcPr>
          <w:p>
            <w:pPr>
              <w:keepNext w:val="0"/>
              <w:keepLines w:val="0"/>
              <w:pageBreakBefore w:val="0"/>
              <w:widowControl w:val="0"/>
              <w:kinsoku w:val="0"/>
              <w:wordWrap/>
              <w:overflowPunct w:val="0"/>
              <w:topLinePunct w:val="0"/>
              <w:autoSpaceDE w:val="0"/>
              <w:autoSpaceDN w:val="0"/>
              <w:bidi w:val="0"/>
              <w:adjustRightInd w:val="0"/>
              <w:snapToGrid/>
              <w:spacing w:before="57" w:line="360" w:lineRule="auto"/>
              <w:ind w:right="112"/>
              <w:jc w:val="both"/>
              <w:textAlignment w:val="auto"/>
              <w:rPr>
                <w:rFonts w:ascii="宋体" w:hAnsi="宋体" w:eastAsia="Times New Roman" w:cs="Times New Roman"/>
                <w:b/>
                <w:bCs/>
                <w:sz w:val="24"/>
                <w:szCs w:val="24"/>
                <w:lang w:val="en-US" w:eastAsia="zh-CN" w:bidi="ar-SA"/>
              </w:rPr>
            </w:pPr>
            <w:r>
              <w:rPr>
                <w:rFonts w:hint="eastAsia" w:ascii="宋体" w:hAnsi="宋体" w:eastAsia="宋体" w:cs="Times New Roman"/>
                <w:b/>
                <w:bCs/>
                <w:sz w:val="24"/>
                <w:szCs w:val="24"/>
                <w:lang w:val="en-US" w:eastAsia="zh-CN" w:bidi="ar-SA"/>
              </w:rPr>
              <w:t>响应文件明显不符合磋商文件规定的技术以及商务条款要求的；</w:t>
            </w:r>
          </w:p>
        </w:tc>
        <w:tc>
          <w:tcPr>
            <w:tcW w:w="608" w:type="dxa"/>
            <w:tcBorders>
              <w:left w:val="single" w:color="auto" w:sz="4" w:space="0"/>
              <w:righ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608" w:type="dxa"/>
            <w:tcBorders>
              <w:lef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608" w:type="dxa"/>
            <w:tcBorders>
              <w:righ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559" w:type="dxa"/>
            <w:tcBorders>
              <w:lef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keepNext w:val="0"/>
              <w:keepLines w:val="0"/>
              <w:pageBreakBefore w:val="0"/>
              <w:widowControl w:val="0"/>
              <w:wordWrap/>
              <w:topLinePunct w:val="0"/>
              <w:autoSpaceDE w:val="0"/>
              <w:autoSpaceDN w:val="0"/>
              <w:bidi w:val="0"/>
              <w:adjustRightInd w:val="0"/>
              <w:spacing w:line="360" w:lineRule="auto"/>
              <w:jc w:val="center"/>
              <w:textAlignment w:val="auto"/>
              <w:rPr>
                <w:rFonts w:ascii="宋体" w:hAnsi="宋体" w:cs="Times New Roman"/>
                <w:b/>
                <w:bCs/>
                <w:sz w:val="24"/>
                <w:szCs w:val="24"/>
                <w:lang w:val="en-US" w:bidi="ar-SA"/>
              </w:rPr>
            </w:pPr>
            <w:r>
              <w:rPr>
                <w:rFonts w:hint="eastAsia" w:ascii="宋体" w:hAnsi="宋体" w:cs="Times New Roman"/>
                <w:b/>
                <w:bCs/>
                <w:sz w:val="24"/>
                <w:szCs w:val="24"/>
                <w:lang w:val="en-US" w:bidi="ar-SA"/>
              </w:rPr>
              <w:t>3</w:t>
            </w:r>
          </w:p>
        </w:tc>
        <w:tc>
          <w:tcPr>
            <w:tcW w:w="6258" w:type="dxa"/>
            <w:tcBorders>
              <w:righ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宋体" w:cs="宋体"/>
                <w:b/>
                <w:bCs/>
                <w:sz w:val="24"/>
                <w:szCs w:val="24"/>
                <w:lang w:val="en-US" w:bidi="ar-SA"/>
              </w:rPr>
            </w:pPr>
            <w:r>
              <w:rPr>
                <w:rFonts w:hint="eastAsia" w:ascii="宋体" w:hAnsi="宋体" w:eastAsia="宋体" w:cs="Times New Roman"/>
                <w:b/>
                <w:bCs/>
                <w:sz w:val="24"/>
                <w:szCs w:val="24"/>
                <w:lang w:val="en-US" w:eastAsia="zh-CN" w:bidi="ar-SA"/>
              </w:rPr>
              <w:t>响应文件载明的工期、质量标准</w:t>
            </w:r>
            <w:r>
              <w:rPr>
                <w:rFonts w:hint="eastAsia" w:cs="Times New Roman"/>
                <w:b/>
                <w:bCs/>
                <w:sz w:val="24"/>
                <w:szCs w:val="24"/>
                <w:lang w:val="en-US" w:eastAsia="zh-CN" w:bidi="ar-SA"/>
              </w:rPr>
              <w:t>、安全目标</w:t>
            </w:r>
            <w:r>
              <w:rPr>
                <w:rFonts w:hint="eastAsia" w:ascii="宋体" w:hAnsi="宋体" w:eastAsia="宋体" w:cs="Times New Roman"/>
                <w:b/>
                <w:bCs/>
                <w:sz w:val="24"/>
                <w:szCs w:val="24"/>
                <w:lang w:val="en-US" w:eastAsia="zh-CN" w:bidi="ar-SA"/>
              </w:rPr>
              <w:t>等明显不符合磋商文件要求的；</w:t>
            </w:r>
          </w:p>
        </w:tc>
        <w:tc>
          <w:tcPr>
            <w:tcW w:w="608" w:type="dxa"/>
            <w:tcBorders>
              <w:left w:val="single" w:color="auto" w:sz="4" w:space="0"/>
              <w:righ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608" w:type="dxa"/>
            <w:tcBorders>
              <w:lef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608" w:type="dxa"/>
            <w:tcBorders>
              <w:righ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559" w:type="dxa"/>
            <w:tcBorders>
              <w:lef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keepNext w:val="0"/>
              <w:keepLines w:val="0"/>
              <w:pageBreakBefore w:val="0"/>
              <w:widowControl w:val="0"/>
              <w:wordWrap/>
              <w:topLinePunct w:val="0"/>
              <w:autoSpaceDE w:val="0"/>
              <w:autoSpaceDN w:val="0"/>
              <w:bidi w:val="0"/>
              <w:adjustRightInd w:val="0"/>
              <w:spacing w:line="360" w:lineRule="auto"/>
              <w:jc w:val="center"/>
              <w:textAlignment w:val="auto"/>
              <w:rPr>
                <w:rFonts w:ascii="宋体" w:hAnsi="Times New Roman" w:cs="Times New Roman"/>
                <w:b/>
                <w:bCs/>
                <w:sz w:val="24"/>
                <w:szCs w:val="24"/>
                <w:lang w:val="en-US" w:bidi="ar-SA"/>
              </w:rPr>
            </w:pPr>
            <w:r>
              <w:rPr>
                <w:rFonts w:hint="eastAsia" w:ascii="宋体" w:hAnsi="宋体" w:cs="Times New Roman"/>
                <w:b/>
                <w:bCs/>
                <w:sz w:val="24"/>
                <w:szCs w:val="24"/>
                <w:lang w:val="en-US" w:bidi="ar-SA"/>
              </w:rPr>
              <w:t>4</w:t>
            </w:r>
          </w:p>
        </w:tc>
        <w:tc>
          <w:tcPr>
            <w:tcW w:w="6258" w:type="dxa"/>
            <w:tcBorders>
              <w:righ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宋体"/>
                <w:b/>
                <w:bCs/>
                <w:sz w:val="24"/>
                <w:szCs w:val="24"/>
                <w:lang w:val="en-US" w:bidi="ar-SA"/>
              </w:rPr>
            </w:pPr>
            <w:r>
              <w:rPr>
                <w:rFonts w:hint="eastAsia" w:ascii="宋体" w:hAnsi="宋体" w:eastAsia="宋体" w:cs="Times New Roman"/>
                <w:b/>
                <w:bCs/>
                <w:sz w:val="24"/>
                <w:szCs w:val="24"/>
                <w:lang w:val="en-US" w:eastAsia="zh-CN" w:bidi="ar-SA"/>
              </w:rPr>
              <w:t>供应商对同一招标项目作出两个以上报价未明确效力的；</w:t>
            </w:r>
          </w:p>
        </w:tc>
        <w:tc>
          <w:tcPr>
            <w:tcW w:w="608" w:type="dxa"/>
            <w:tcBorders>
              <w:left w:val="single" w:color="auto" w:sz="4" w:space="0"/>
              <w:righ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608" w:type="dxa"/>
            <w:tcBorders>
              <w:lef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608" w:type="dxa"/>
            <w:tcBorders>
              <w:righ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559" w:type="dxa"/>
            <w:tcBorders>
              <w:lef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keepNext w:val="0"/>
              <w:keepLines w:val="0"/>
              <w:pageBreakBefore w:val="0"/>
              <w:widowControl w:val="0"/>
              <w:wordWrap/>
              <w:topLinePunct w:val="0"/>
              <w:autoSpaceDE w:val="0"/>
              <w:autoSpaceDN w:val="0"/>
              <w:bidi w:val="0"/>
              <w:adjustRightInd w:val="0"/>
              <w:spacing w:line="360" w:lineRule="auto"/>
              <w:jc w:val="center"/>
              <w:textAlignment w:val="auto"/>
              <w:rPr>
                <w:rFonts w:ascii="宋体" w:hAnsi="Times New Roman" w:cs="Times New Roman"/>
                <w:b/>
                <w:bCs/>
                <w:sz w:val="24"/>
                <w:szCs w:val="24"/>
                <w:lang w:val="en-US" w:bidi="ar-SA"/>
              </w:rPr>
            </w:pPr>
            <w:r>
              <w:rPr>
                <w:rFonts w:hint="eastAsia" w:ascii="宋体" w:hAnsi="宋体" w:cs="Times New Roman"/>
                <w:b/>
                <w:bCs/>
                <w:sz w:val="24"/>
                <w:szCs w:val="24"/>
                <w:lang w:val="en-US" w:bidi="ar-SA"/>
              </w:rPr>
              <w:t>5</w:t>
            </w:r>
          </w:p>
        </w:tc>
        <w:tc>
          <w:tcPr>
            <w:tcW w:w="6258" w:type="dxa"/>
            <w:tcBorders>
              <w:right w:val="single" w:color="auto" w:sz="4" w:space="0"/>
            </w:tcBorders>
            <w:vAlign w:val="center"/>
          </w:tcPr>
          <w:p>
            <w:pPr>
              <w:keepNext w:val="0"/>
              <w:keepLines w:val="0"/>
              <w:pageBreakBefore w:val="0"/>
              <w:widowControl w:val="0"/>
              <w:kinsoku w:val="0"/>
              <w:wordWrap/>
              <w:overflowPunct w:val="0"/>
              <w:topLinePunct w:val="0"/>
              <w:autoSpaceDE w:val="0"/>
              <w:autoSpaceDN w:val="0"/>
              <w:bidi w:val="0"/>
              <w:adjustRightInd w:val="0"/>
              <w:snapToGrid/>
              <w:spacing w:before="57" w:line="360" w:lineRule="auto"/>
              <w:ind w:right="112"/>
              <w:jc w:val="both"/>
              <w:textAlignment w:val="auto"/>
              <w:rPr>
                <w:rFonts w:hint="eastAsia" w:ascii="宋体" w:hAnsi="Times New Roman" w:eastAsia="宋体" w:cs="Times New Roman"/>
                <w:b/>
                <w:bCs/>
                <w:sz w:val="24"/>
                <w:szCs w:val="24"/>
                <w:lang w:val="en-US" w:eastAsia="zh-CN" w:bidi="ar-SA"/>
              </w:rPr>
            </w:pPr>
            <w:r>
              <w:rPr>
                <w:rFonts w:hint="eastAsia" w:ascii="宋体" w:hAnsi="宋体" w:eastAsia="宋体" w:cs="Times New Roman"/>
                <w:b/>
                <w:bCs/>
                <w:sz w:val="24"/>
                <w:szCs w:val="24"/>
                <w:lang w:val="en-US" w:eastAsia="zh-CN" w:bidi="ar-SA"/>
              </w:rPr>
              <w:t>在评标过程中，发现供应商的最终报价明显低于其他投标报价，使得其报价可能低于其个别成本的，应当要求该供应商做出书面说明并提供相关证明材料。供应商不能合理说明或者不能提供相关证明材料的，磋商小组可以认定该供应商以低于成本报价竞标的；</w:t>
            </w:r>
          </w:p>
        </w:tc>
        <w:tc>
          <w:tcPr>
            <w:tcW w:w="608" w:type="dxa"/>
            <w:tcBorders>
              <w:left w:val="single" w:color="auto" w:sz="4" w:space="0"/>
              <w:righ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608" w:type="dxa"/>
            <w:tcBorders>
              <w:lef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608" w:type="dxa"/>
            <w:tcBorders>
              <w:righ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559" w:type="dxa"/>
            <w:tcBorders>
              <w:lef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keepNext w:val="0"/>
              <w:keepLines w:val="0"/>
              <w:pageBreakBefore w:val="0"/>
              <w:widowControl w:val="0"/>
              <w:wordWrap/>
              <w:topLinePunct w:val="0"/>
              <w:autoSpaceDE w:val="0"/>
              <w:autoSpaceDN w:val="0"/>
              <w:bidi w:val="0"/>
              <w:adjustRightInd w:val="0"/>
              <w:spacing w:line="360" w:lineRule="auto"/>
              <w:jc w:val="center"/>
              <w:textAlignment w:val="auto"/>
              <w:rPr>
                <w:rFonts w:ascii="宋体" w:hAnsi="Times New Roman" w:cs="Times New Roman"/>
                <w:b/>
                <w:bCs/>
                <w:sz w:val="24"/>
                <w:szCs w:val="24"/>
                <w:lang w:val="en-US" w:bidi="ar-SA"/>
              </w:rPr>
            </w:pPr>
            <w:r>
              <w:rPr>
                <w:rFonts w:hint="eastAsia" w:ascii="宋体" w:hAnsi="宋体" w:cs="Times New Roman"/>
                <w:b/>
                <w:bCs/>
                <w:sz w:val="24"/>
                <w:szCs w:val="24"/>
                <w:lang w:val="en-US" w:bidi="ar-SA"/>
              </w:rPr>
              <w:t>6</w:t>
            </w:r>
          </w:p>
        </w:tc>
        <w:tc>
          <w:tcPr>
            <w:tcW w:w="6258" w:type="dxa"/>
            <w:tcBorders>
              <w:righ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宋体"/>
                <w:b/>
                <w:bCs/>
                <w:sz w:val="24"/>
                <w:szCs w:val="24"/>
                <w:lang w:val="en-US" w:bidi="ar-SA"/>
              </w:rPr>
            </w:pPr>
            <w:r>
              <w:rPr>
                <w:rFonts w:hint="eastAsia" w:ascii="宋体" w:hAnsi="宋体" w:eastAsia="宋体" w:cs="Times New Roman"/>
                <w:b/>
                <w:bCs/>
                <w:sz w:val="24"/>
                <w:szCs w:val="24"/>
                <w:lang w:val="en-US" w:eastAsia="zh-CN" w:bidi="ar-SA"/>
              </w:rPr>
              <w:t>供应商的投标报价超过采购预算价，且采购人不能支付的；</w:t>
            </w:r>
          </w:p>
        </w:tc>
        <w:tc>
          <w:tcPr>
            <w:tcW w:w="608" w:type="dxa"/>
            <w:tcBorders>
              <w:left w:val="single" w:color="auto" w:sz="4" w:space="0"/>
              <w:righ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608" w:type="dxa"/>
            <w:tcBorders>
              <w:lef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608" w:type="dxa"/>
            <w:tcBorders>
              <w:righ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559" w:type="dxa"/>
            <w:tcBorders>
              <w:lef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keepNext w:val="0"/>
              <w:keepLines w:val="0"/>
              <w:pageBreakBefore w:val="0"/>
              <w:widowControl w:val="0"/>
              <w:wordWrap/>
              <w:topLinePunct w:val="0"/>
              <w:autoSpaceDE w:val="0"/>
              <w:autoSpaceDN w:val="0"/>
              <w:bidi w:val="0"/>
              <w:adjustRightInd w:val="0"/>
              <w:spacing w:line="360" w:lineRule="auto"/>
              <w:jc w:val="center"/>
              <w:textAlignment w:val="auto"/>
              <w:rPr>
                <w:rFonts w:ascii="宋体" w:hAnsi="Times New Roman" w:cs="Times New Roman"/>
                <w:b/>
                <w:bCs/>
                <w:sz w:val="24"/>
                <w:szCs w:val="24"/>
                <w:lang w:val="en-US" w:bidi="ar-SA"/>
              </w:rPr>
            </w:pPr>
            <w:r>
              <w:rPr>
                <w:rFonts w:hint="eastAsia" w:ascii="宋体" w:hAnsi="宋体" w:cs="Times New Roman"/>
                <w:b/>
                <w:bCs/>
                <w:sz w:val="24"/>
                <w:szCs w:val="24"/>
                <w:lang w:val="en-US" w:bidi="ar-SA"/>
              </w:rPr>
              <w:t>7</w:t>
            </w:r>
          </w:p>
        </w:tc>
        <w:tc>
          <w:tcPr>
            <w:tcW w:w="6258" w:type="dxa"/>
            <w:tcBorders>
              <w:right w:val="single" w:color="auto" w:sz="4" w:space="0"/>
            </w:tcBorders>
            <w:vAlign w:val="center"/>
          </w:tcPr>
          <w:p>
            <w:pPr>
              <w:keepNext w:val="0"/>
              <w:keepLines w:val="0"/>
              <w:pageBreakBefore w:val="0"/>
              <w:widowControl w:val="0"/>
              <w:wordWrap/>
              <w:topLinePunct w:val="0"/>
              <w:autoSpaceDE w:val="0"/>
              <w:autoSpaceDN w:val="0"/>
              <w:bidi w:val="0"/>
              <w:adjustRightInd w:val="0"/>
              <w:snapToGrid w:val="0"/>
              <w:spacing w:line="360" w:lineRule="auto"/>
              <w:textAlignment w:val="auto"/>
              <w:rPr>
                <w:rFonts w:ascii="宋体" w:hAnsi="Times New Roman" w:cs="宋体"/>
                <w:b/>
                <w:bCs/>
                <w:sz w:val="24"/>
                <w:szCs w:val="24"/>
                <w:lang w:val="en-US" w:bidi="ar-SA"/>
              </w:rPr>
            </w:pPr>
            <w:r>
              <w:rPr>
                <w:rFonts w:hint="eastAsia" w:ascii="宋体" w:hAnsi="宋体" w:eastAsia="宋体" w:cs="Times New Roman"/>
                <w:b/>
                <w:bCs/>
                <w:color w:val="auto"/>
                <w:sz w:val="24"/>
                <w:szCs w:val="24"/>
                <w:lang w:val="en-US" w:eastAsia="zh-CN" w:bidi="ar-SA"/>
              </w:rPr>
              <w:t>供应商填写完毕的工程量固化清单对工程量固化清单电子文件中的数据、格式和运算定义进行修改；工程量固化清单中的投标报价和投标函大写金额报价不一致</w:t>
            </w:r>
            <w:r>
              <w:rPr>
                <w:rFonts w:hint="eastAsia" w:cs="Times New Roman"/>
                <w:b/>
                <w:bCs/>
                <w:color w:val="auto"/>
                <w:sz w:val="24"/>
                <w:szCs w:val="24"/>
                <w:lang w:val="en-US" w:eastAsia="zh-CN" w:bidi="ar-SA"/>
              </w:rPr>
              <w:t>的；</w:t>
            </w:r>
          </w:p>
        </w:tc>
        <w:tc>
          <w:tcPr>
            <w:tcW w:w="608" w:type="dxa"/>
            <w:tcBorders>
              <w:left w:val="single" w:color="auto" w:sz="4" w:space="0"/>
              <w:righ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608" w:type="dxa"/>
            <w:tcBorders>
              <w:lef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608" w:type="dxa"/>
            <w:tcBorders>
              <w:righ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559" w:type="dxa"/>
            <w:tcBorders>
              <w:lef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keepNext w:val="0"/>
              <w:keepLines w:val="0"/>
              <w:pageBreakBefore w:val="0"/>
              <w:widowControl w:val="0"/>
              <w:wordWrap/>
              <w:topLinePunct w:val="0"/>
              <w:autoSpaceDE w:val="0"/>
              <w:autoSpaceDN w:val="0"/>
              <w:bidi w:val="0"/>
              <w:adjustRightInd w:val="0"/>
              <w:spacing w:line="360" w:lineRule="auto"/>
              <w:jc w:val="center"/>
              <w:textAlignment w:val="auto"/>
              <w:rPr>
                <w:rFonts w:ascii="宋体" w:hAnsi="Times New Roman" w:cs="Times New Roman"/>
                <w:b/>
                <w:bCs/>
                <w:sz w:val="24"/>
                <w:szCs w:val="24"/>
                <w:lang w:val="en-US" w:bidi="ar-SA"/>
              </w:rPr>
            </w:pPr>
            <w:r>
              <w:rPr>
                <w:rFonts w:hint="eastAsia" w:ascii="宋体" w:hAnsi="宋体" w:cs="Times New Roman"/>
                <w:b/>
                <w:bCs/>
                <w:sz w:val="24"/>
                <w:szCs w:val="24"/>
                <w:lang w:val="en-US" w:bidi="ar-SA"/>
              </w:rPr>
              <w:t>8</w:t>
            </w:r>
          </w:p>
        </w:tc>
        <w:tc>
          <w:tcPr>
            <w:tcW w:w="6258" w:type="dxa"/>
            <w:tcBorders>
              <w:right w:val="single" w:color="auto" w:sz="4" w:space="0"/>
            </w:tcBorders>
            <w:vAlign w:val="center"/>
          </w:tcPr>
          <w:p>
            <w:pPr>
              <w:keepNext w:val="0"/>
              <w:keepLines w:val="0"/>
              <w:pageBreakBefore w:val="0"/>
              <w:widowControl w:val="0"/>
              <w:kinsoku w:val="0"/>
              <w:wordWrap/>
              <w:overflowPunct w:val="0"/>
              <w:topLinePunct w:val="0"/>
              <w:autoSpaceDE w:val="0"/>
              <w:autoSpaceDN w:val="0"/>
              <w:bidi w:val="0"/>
              <w:adjustRightInd w:val="0"/>
              <w:snapToGrid/>
              <w:spacing w:before="57" w:line="360" w:lineRule="auto"/>
              <w:ind w:right="112"/>
              <w:jc w:val="both"/>
              <w:textAlignment w:val="auto"/>
              <w:rPr>
                <w:rFonts w:ascii="宋体" w:hAnsi="Times New Roman" w:cs="Times New Roman"/>
                <w:b/>
                <w:bCs/>
                <w:sz w:val="24"/>
                <w:szCs w:val="24"/>
                <w:lang w:val="en-US" w:bidi="ar-SA"/>
              </w:rPr>
            </w:pPr>
            <w:r>
              <w:rPr>
                <w:rFonts w:hint="eastAsia" w:ascii="宋体" w:hAnsi="宋体" w:eastAsia="宋体" w:cs="Times New Roman"/>
                <w:b/>
                <w:bCs/>
                <w:sz w:val="24"/>
                <w:szCs w:val="24"/>
                <w:lang w:val="en-US" w:eastAsia="zh-CN" w:bidi="ar-SA"/>
              </w:rPr>
              <w:t>响应文件未按磋商文件规定的格式填写，内容不全或关键字迹模糊、无法辨认的；</w:t>
            </w:r>
          </w:p>
        </w:tc>
        <w:tc>
          <w:tcPr>
            <w:tcW w:w="608" w:type="dxa"/>
            <w:tcBorders>
              <w:left w:val="single" w:color="auto" w:sz="4" w:space="0"/>
              <w:right w:val="single" w:color="auto" w:sz="4" w:space="0"/>
            </w:tcBorders>
            <w:vAlign w:val="center"/>
          </w:tcPr>
          <w:p>
            <w:pPr>
              <w:keepNext w:val="0"/>
              <w:keepLines w:val="0"/>
              <w:pageBreakBefore w:val="0"/>
              <w:widowControl w:val="0"/>
              <w:wordWrap/>
              <w:topLinePunct w:val="0"/>
              <w:autoSpaceDE w:val="0"/>
              <w:autoSpaceDN w:val="0"/>
              <w:bidi w:val="0"/>
              <w:adjustRightInd w:val="0"/>
              <w:snapToGrid w:val="0"/>
              <w:spacing w:line="360" w:lineRule="auto"/>
              <w:textAlignment w:val="auto"/>
              <w:rPr>
                <w:rFonts w:ascii="宋体" w:hAnsi="Times New Roman" w:cs="Times New Roman"/>
                <w:sz w:val="24"/>
                <w:szCs w:val="21"/>
                <w:lang w:val="en-US" w:bidi="ar-SA"/>
              </w:rPr>
            </w:pPr>
          </w:p>
        </w:tc>
        <w:tc>
          <w:tcPr>
            <w:tcW w:w="608" w:type="dxa"/>
            <w:tcBorders>
              <w:lef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608" w:type="dxa"/>
            <w:tcBorders>
              <w:righ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559" w:type="dxa"/>
            <w:tcBorders>
              <w:lef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keepNext w:val="0"/>
              <w:keepLines w:val="0"/>
              <w:pageBreakBefore w:val="0"/>
              <w:widowControl w:val="0"/>
              <w:wordWrap/>
              <w:topLinePunct w:val="0"/>
              <w:autoSpaceDE w:val="0"/>
              <w:autoSpaceDN w:val="0"/>
              <w:bidi w:val="0"/>
              <w:adjustRightInd w:val="0"/>
              <w:spacing w:line="360" w:lineRule="auto"/>
              <w:jc w:val="center"/>
              <w:textAlignment w:val="auto"/>
              <w:rPr>
                <w:rFonts w:ascii="宋体" w:hAnsi="宋体" w:cs="Times New Roman"/>
                <w:b/>
                <w:bCs/>
                <w:sz w:val="24"/>
                <w:szCs w:val="24"/>
                <w:lang w:val="en-US" w:bidi="ar-SA"/>
              </w:rPr>
            </w:pPr>
            <w:r>
              <w:rPr>
                <w:rFonts w:hint="eastAsia" w:ascii="宋体" w:hAnsi="宋体" w:cs="Times New Roman"/>
                <w:b/>
                <w:bCs/>
                <w:sz w:val="24"/>
                <w:szCs w:val="24"/>
                <w:lang w:val="en-US" w:bidi="ar-SA"/>
              </w:rPr>
              <w:t>9</w:t>
            </w:r>
          </w:p>
        </w:tc>
        <w:tc>
          <w:tcPr>
            <w:tcW w:w="6258" w:type="dxa"/>
            <w:tcBorders>
              <w:righ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宋体"/>
                <w:b/>
                <w:bCs/>
                <w:sz w:val="24"/>
                <w:szCs w:val="24"/>
                <w:lang w:val="en-US" w:bidi="ar-SA"/>
              </w:rPr>
            </w:pPr>
            <w:r>
              <w:rPr>
                <w:rFonts w:hint="eastAsia" w:ascii="宋体" w:hAnsi="宋体" w:eastAsia="宋体" w:cs="Times New Roman"/>
                <w:b/>
                <w:bCs/>
                <w:sz w:val="24"/>
                <w:szCs w:val="24"/>
                <w:lang w:val="en-US" w:eastAsia="zh-CN" w:bidi="ar-SA"/>
              </w:rPr>
              <w:t>在评标过程中，发现供应商以他人名义投标、串通投标、以行贿手段谋取成交或者以其他弄虚作假方式投标的；</w:t>
            </w:r>
          </w:p>
        </w:tc>
        <w:tc>
          <w:tcPr>
            <w:tcW w:w="608" w:type="dxa"/>
            <w:tcBorders>
              <w:left w:val="single" w:color="auto" w:sz="4" w:space="0"/>
              <w:right w:val="single" w:color="auto" w:sz="4" w:space="0"/>
            </w:tcBorders>
            <w:vAlign w:val="center"/>
          </w:tcPr>
          <w:p>
            <w:pPr>
              <w:keepNext w:val="0"/>
              <w:keepLines w:val="0"/>
              <w:pageBreakBefore w:val="0"/>
              <w:widowControl w:val="0"/>
              <w:wordWrap/>
              <w:topLinePunct w:val="0"/>
              <w:autoSpaceDE w:val="0"/>
              <w:autoSpaceDN w:val="0"/>
              <w:bidi w:val="0"/>
              <w:adjustRightInd w:val="0"/>
              <w:snapToGrid w:val="0"/>
              <w:spacing w:line="360" w:lineRule="auto"/>
              <w:textAlignment w:val="auto"/>
              <w:rPr>
                <w:rFonts w:ascii="宋体" w:hAnsi="Times New Roman" w:cs="Times New Roman"/>
                <w:sz w:val="24"/>
                <w:szCs w:val="21"/>
                <w:lang w:val="en-US" w:bidi="ar-SA"/>
              </w:rPr>
            </w:pPr>
          </w:p>
        </w:tc>
        <w:tc>
          <w:tcPr>
            <w:tcW w:w="608" w:type="dxa"/>
            <w:tcBorders>
              <w:lef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608" w:type="dxa"/>
            <w:tcBorders>
              <w:righ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559" w:type="dxa"/>
            <w:tcBorders>
              <w:lef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keepNext w:val="0"/>
              <w:keepLines w:val="0"/>
              <w:pageBreakBefore w:val="0"/>
              <w:widowControl w:val="0"/>
              <w:wordWrap/>
              <w:topLinePunct w:val="0"/>
              <w:autoSpaceDE w:val="0"/>
              <w:autoSpaceDN w:val="0"/>
              <w:bidi w:val="0"/>
              <w:adjustRightInd w:val="0"/>
              <w:spacing w:line="360" w:lineRule="auto"/>
              <w:jc w:val="center"/>
              <w:textAlignment w:val="auto"/>
              <w:rPr>
                <w:rFonts w:ascii="宋体" w:hAnsi="宋体" w:cs="Times New Roman"/>
                <w:b/>
                <w:bCs/>
                <w:sz w:val="24"/>
                <w:szCs w:val="24"/>
                <w:lang w:val="en-US" w:bidi="ar-SA"/>
              </w:rPr>
            </w:pPr>
            <w:r>
              <w:rPr>
                <w:rFonts w:ascii="宋体" w:hAnsi="宋体" w:cs="Times New Roman"/>
                <w:b/>
                <w:bCs/>
                <w:sz w:val="24"/>
                <w:szCs w:val="24"/>
                <w:lang w:val="en-US" w:bidi="ar-SA"/>
              </w:rPr>
              <w:t>1</w:t>
            </w:r>
            <w:r>
              <w:rPr>
                <w:rFonts w:hint="eastAsia" w:ascii="宋体" w:hAnsi="宋体" w:cs="Times New Roman"/>
                <w:b/>
                <w:bCs/>
                <w:sz w:val="24"/>
                <w:szCs w:val="24"/>
                <w:lang w:val="en-US" w:bidi="ar-SA"/>
              </w:rPr>
              <w:t>0</w:t>
            </w:r>
          </w:p>
        </w:tc>
        <w:tc>
          <w:tcPr>
            <w:tcW w:w="6258" w:type="dxa"/>
            <w:tcBorders>
              <w:righ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宋体"/>
                <w:b/>
                <w:bCs/>
                <w:sz w:val="24"/>
                <w:szCs w:val="24"/>
                <w:lang w:val="en-US" w:bidi="ar-SA"/>
              </w:rPr>
            </w:pPr>
            <w:r>
              <w:rPr>
                <w:rFonts w:hint="eastAsia" w:ascii="宋体" w:hAnsi="宋体" w:eastAsia="宋体" w:cs="Times New Roman"/>
                <w:b/>
                <w:bCs/>
                <w:sz w:val="24"/>
                <w:szCs w:val="24"/>
                <w:lang w:val="en-US" w:eastAsia="zh-CN" w:bidi="ar-SA"/>
              </w:rPr>
              <w:t>响应文件附有采购人不能接受的条件的；</w:t>
            </w:r>
          </w:p>
        </w:tc>
        <w:tc>
          <w:tcPr>
            <w:tcW w:w="608" w:type="dxa"/>
            <w:tcBorders>
              <w:left w:val="single" w:color="auto" w:sz="4" w:space="0"/>
              <w:right w:val="single" w:color="auto" w:sz="4" w:space="0"/>
            </w:tcBorders>
            <w:vAlign w:val="center"/>
          </w:tcPr>
          <w:p>
            <w:pPr>
              <w:keepNext w:val="0"/>
              <w:keepLines w:val="0"/>
              <w:pageBreakBefore w:val="0"/>
              <w:widowControl w:val="0"/>
              <w:wordWrap/>
              <w:topLinePunct w:val="0"/>
              <w:autoSpaceDE w:val="0"/>
              <w:autoSpaceDN w:val="0"/>
              <w:bidi w:val="0"/>
              <w:adjustRightInd w:val="0"/>
              <w:snapToGrid w:val="0"/>
              <w:spacing w:line="360" w:lineRule="auto"/>
              <w:textAlignment w:val="auto"/>
              <w:rPr>
                <w:rFonts w:ascii="宋体" w:hAnsi="Times New Roman" w:cs="Times New Roman"/>
                <w:sz w:val="24"/>
                <w:szCs w:val="21"/>
                <w:lang w:val="en-US" w:bidi="ar-SA"/>
              </w:rPr>
            </w:pPr>
          </w:p>
        </w:tc>
        <w:tc>
          <w:tcPr>
            <w:tcW w:w="608" w:type="dxa"/>
            <w:tcBorders>
              <w:lef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608" w:type="dxa"/>
            <w:tcBorders>
              <w:righ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559" w:type="dxa"/>
            <w:tcBorders>
              <w:lef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keepNext w:val="0"/>
              <w:keepLines w:val="0"/>
              <w:pageBreakBefore w:val="0"/>
              <w:widowControl w:val="0"/>
              <w:wordWrap/>
              <w:topLinePunct w:val="0"/>
              <w:autoSpaceDE w:val="0"/>
              <w:autoSpaceDN w:val="0"/>
              <w:bidi w:val="0"/>
              <w:adjustRightInd w:val="0"/>
              <w:spacing w:line="360" w:lineRule="auto"/>
              <w:jc w:val="center"/>
              <w:textAlignment w:val="auto"/>
              <w:rPr>
                <w:rFonts w:ascii="宋体" w:hAnsi="宋体" w:cs="Times New Roman"/>
                <w:b/>
                <w:bCs/>
                <w:sz w:val="24"/>
                <w:szCs w:val="24"/>
                <w:lang w:val="en-US" w:bidi="ar-SA"/>
              </w:rPr>
            </w:pPr>
            <w:r>
              <w:rPr>
                <w:rFonts w:ascii="宋体" w:hAnsi="宋体" w:cs="Times New Roman"/>
                <w:b/>
                <w:bCs/>
                <w:sz w:val="24"/>
                <w:szCs w:val="24"/>
                <w:lang w:val="en-US" w:bidi="ar-SA"/>
              </w:rPr>
              <w:t>1</w:t>
            </w:r>
            <w:r>
              <w:rPr>
                <w:rFonts w:hint="eastAsia" w:ascii="宋体" w:hAnsi="宋体" w:cs="Times New Roman"/>
                <w:b/>
                <w:bCs/>
                <w:sz w:val="24"/>
                <w:szCs w:val="24"/>
                <w:lang w:val="en-US" w:bidi="ar-SA"/>
              </w:rPr>
              <w:t>1</w:t>
            </w:r>
          </w:p>
        </w:tc>
        <w:tc>
          <w:tcPr>
            <w:tcW w:w="6258" w:type="dxa"/>
            <w:tcBorders>
              <w:righ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宋体"/>
                <w:b/>
                <w:bCs/>
                <w:sz w:val="24"/>
                <w:szCs w:val="24"/>
                <w:lang w:val="en-US" w:bidi="ar-SA"/>
              </w:rPr>
            </w:pPr>
            <w:r>
              <w:rPr>
                <w:rFonts w:hint="eastAsia" w:ascii="宋体" w:hAnsi="宋体" w:eastAsia="宋体" w:cs="Times New Roman"/>
                <w:b/>
                <w:bCs/>
                <w:sz w:val="24"/>
                <w:szCs w:val="24"/>
                <w:lang w:val="en-US" w:eastAsia="zh-CN" w:bidi="ar-SA"/>
              </w:rPr>
              <w:t>响应文件不符合磋商文件规定的其他实质性要求的。</w:t>
            </w:r>
          </w:p>
        </w:tc>
        <w:tc>
          <w:tcPr>
            <w:tcW w:w="608" w:type="dxa"/>
            <w:tcBorders>
              <w:left w:val="single" w:color="auto" w:sz="4" w:space="0"/>
              <w:right w:val="single" w:color="auto" w:sz="4" w:space="0"/>
            </w:tcBorders>
            <w:vAlign w:val="center"/>
          </w:tcPr>
          <w:p>
            <w:pPr>
              <w:keepNext w:val="0"/>
              <w:keepLines w:val="0"/>
              <w:pageBreakBefore w:val="0"/>
              <w:widowControl w:val="0"/>
              <w:wordWrap/>
              <w:topLinePunct w:val="0"/>
              <w:autoSpaceDE w:val="0"/>
              <w:autoSpaceDN w:val="0"/>
              <w:bidi w:val="0"/>
              <w:adjustRightInd w:val="0"/>
              <w:snapToGrid w:val="0"/>
              <w:spacing w:line="360" w:lineRule="auto"/>
              <w:textAlignment w:val="auto"/>
              <w:rPr>
                <w:rFonts w:ascii="宋体" w:hAnsi="Times New Roman" w:cs="Times New Roman"/>
                <w:sz w:val="24"/>
                <w:szCs w:val="21"/>
                <w:lang w:val="en-US" w:bidi="ar-SA"/>
              </w:rPr>
            </w:pPr>
          </w:p>
        </w:tc>
        <w:tc>
          <w:tcPr>
            <w:tcW w:w="608" w:type="dxa"/>
            <w:tcBorders>
              <w:left w:val="single" w:color="auto" w:sz="4" w:space="0"/>
            </w:tcBorders>
            <w:vAlign w:val="center"/>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608" w:type="dxa"/>
            <w:tcBorders>
              <w:righ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559" w:type="dxa"/>
            <w:tcBorders>
              <w:lef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865" w:type="dxa"/>
            <w:gridSpan w:val="2"/>
            <w:tcBorders>
              <w:bottom w:val="single" w:color="auto" w:sz="12" w:space="0"/>
              <w:righ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4"/>
                <w:lang w:val="en-US" w:bidi="ar-SA"/>
              </w:rPr>
            </w:pPr>
            <w:r>
              <w:rPr>
                <w:rFonts w:hint="eastAsia" w:ascii="宋体" w:hAnsi="宋体" w:cs="Times New Roman"/>
                <w:b/>
                <w:bCs/>
                <w:sz w:val="24"/>
                <w:szCs w:val="24"/>
                <w:lang w:val="en-US" w:bidi="ar-SA"/>
              </w:rPr>
              <w:t>结论：是否通过评审</w:t>
            </w:r>
          </w:p>
        </w:tc>
        <w:tc>
          <w:tcPr>
            <w:tcW w:w="608" w:type="dxa"/>
            <w:tcBorders>
              <w:left w:val="single" w:color="auto" w:sz="4" w:space="0"/>
              <w:bottom w:val="single" w:color="auto" w:sz="12" w:space="0"/>
              <w:right w:val="single" w:color="auto" w:sz="4"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608" w:type="dxa"/>
            <w:tcBorders>
              <w:left w:val="single" w:color="auto" w:sz="4" w:space="0"/>
              <w:bottom w:val="single" w:color="auto" w:sz="12"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608" w:type="dxa"/>
            <w:tcBorders>
              <w:bottom w:val="single" w:color="auto" w:sz="12"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c>
          <w:tcPr>
            <w:tcW w:w="559" w:type="dxa"/>
            <w:tcBorders>
              <w:bottom w:val="single" w:color="auto" w:sz="12" w:space="0"/>
            </w:tcBorders>
          </w:tcPr>
          <w:p>
            <w:pPr>
              <w:keepNext w:val="0"/>
              <w:keepLines w:val="0"/>
              <w:pageBreakBefore w:val="0"/>
              <w:widowControl w:val="0"/>
              <w:wordWrap/>
              <w:topLinePunct w:val="0"/>
              <w:autoSpaceDE w:val="0"/>
              <w:autoSpaceDN w:val="0"/>
              <w:bidi w:val="0"/>
              <w:adjustRightInd w:val="0"/>
              <w:spacing w:line="360" w:lineRule="auto"/>
              <w:textAlignment w:val="auto"/>
              <w:rPr>
                <w:rFonts w:ascii="宋体" w:hAnsi="Times New Roman" w:cs="Times New Roman"/>
                <w:sz w:val="24"/>
                <w:szCs w:val="21"/>
                <w:lang w:val="en-US" w:bidi="ar-SA"/>
              </w:rPr>
            </w:pPr>
          </w:p>
        </w:tc>
      </w:tr>
    </w:tbl>
    <w:p>
      <w:pPr>
        <w:keepNext w:val="0"/>
        <w:keepLines w:val="0"/>
        <w:pageBreakBefore w:val="0"/>
        <w:widowControl w:val="0"/>
        <w:kinsoku w:val="0"/>
        <w:wordWrap/>
        <w:overflowPunct w:val="0"/>
        <w:topLinePunct w:val="0"/>
        <w:autoSpaceDE w:val="0"/>
        <w:autoSpaceDN w:val="0"/>
        <w:bidi w:val="0"/>
        <w:adjustRightInd w:val="0"/>
        <w:spacing w:before="57" w:line="360" w:lineRule="auto"/>
        <w:ind w:left="0" w:right="112"/>
        <w:jc w:val="both"/>
        <w:textAlignment w:val="auto"/>
        <w:rPr>
          <w:rFonts w:ascii="宋体" w:hAnsi="宋体" w:eastAsia="宋体" w:cs="Times New Roman"/>
          <w:b/>
          <w:sz w:val="24"/>
          <w:szCs w:val="24"/>
          <w:lang w:val="en-US" w:eastAsia="zh-CN" w:bidi="ar-SA"/>
        </w:rPr>
      </w:pP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ascii="宋体" w:hAnsi="宋体" w:cs="Times New Roman"/>
          <w:sz w:val="24"/>
          <w:szCs w:val="24"/>
          <w:lang w:val="en-US" w:bidi="ar-SA"/>
        </w:rPr>
        <w:t xml:space="preserve">3.4 </w:t>
      </w:r>
      <w:r>
        <w:rPr>
          <w:rFonts w:hint="eastAsia" w:ascii="宋体" w:hAnsi="宋体" w:cs="Times New Roman"/>
          <w:sz w:val="24"/>
          <w:szCs w:val="24"/>
          <w:lang w:val="en-US" w:bidi="ar-SA"/>
        </w:rPr>
        <w:t>磋商小组根据上述规定否决不合格投标或者界定为废标后，因有效投标不足三个使得投标明显缺乏竞争性时，根据《中华人民共和国政府采购法》及磋商文件的相关规定，可以作出废标处理，并由采购人依法重新组织采购活动。</w:t>
      </w:r>
    </w:p>
    <w:p>
      <w:pPr>
        <w:adjustRightInd w:val="0"/>
        <w:spacing w:line="360" w:lineRule="auto"/>
        <w:ind w:firstLine="482" w:firstLineChars="200"/>
        <w:rPr>
          <w:rFonts w:hint="eastAsia" w:ascii="宋体" w:hAnsi="宋体" w:eastAsia="宋体" w:cs="宋体"/>
          <w:b/>
          <w:sz w:val="24"/>
          <w:szCs w:val="24"/>
          <w:lang w:val="zh-CN" w:bidi="ar-SA"/>
        </w:rPr>
      </w:pPr>
      <w:r>
        <w:rPr>
          <w:rFonts w:hint="eastAsia" w:ascii="宋体" w:hAnsi="宋体" w:eastAsia="宋体" w:cs="宋体"/>
          <w:b/>
          <w:sz w:val="24"/>
          <w:szCs w:val="24"/>
          <w:lang w:val="en-US" w:bidi="ar-SA"/>
        </w:rPr>
        <w:t>4、</w:t>
      </w:r>
      <w:r>
        <w:rPr>
          <w:rFonts w:hint="eastAsia" w:ascii="宋体" w:hAnsi="宋体" w:eastAsia="宋体" w:cs="宋体"/>
          <w:b/>
          <w:sz w:val="24"/>
          <w:szCs w:val="24"/>
          <w:lang w:val="zh-CN" w:bidi="ar-SA"/>
        </w:rPr>
        <w:t>详细评审标准</w:t>
      </w:r>
    </w:p>
    <w:p>
      <w:pPr>
        <w:spacing w:line="440" w:lineRule="exact"/>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rPr>
        <w:t>4.1竞争性磋商步骤</w:t>
      </w:r>
    </w:p>
    <w:p>
      <w:pPr>
        <w:pStyle w:val="28"/>
        <w:widowControl w:val="0"/>
        <w:autoSpaceDE w:val="0"/>
        <w:autoSpaceDN w:val="0"/>
        <w:spacing w:before="0" w:after="0" w:line="440" w:lineRule="exact"/>
        <w:ind w:firstLine="360" w:firstLineChars="15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（1）磋商小组全体成员集中与单一供应商就采购需求、质量和服务等分别进行磋商。逐家磋商一次为一个轮次，磋商轮次由磋商小组视情况决定。</w:t>
      </w:r>
    </w:p>
    <w:p>
      <w:pPr>
        <w:pStyle w:val="10"/>
        <w:kinsoku w:val="0"/>
        <w:overflowPunct w:val="0"/>
        <w:spacing w:line="440" w:lineRule="exact"/>
        <w:ind w:left="111" w:right="110" w:firstLine="240" w:firstLineChars="1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1"/>
          <w:sz w:val="24"/>
          <w:szCs w:val="24"/>
        </w:rPr>
        <w:t>在磋商过程中，磋商小组可以根据磋商文件和磋商情况变动采购需求中</w:t>
      </w:r>
      <w:r>
        <w:rPr>
          <w:rFonts w:hint="eastAsia" w:ascii="宋体" w:hAnsi="宋体" w:eastAsia="宋体" w:cs="宋体"/>
          <w:sz w:val="24"/>
          <w:szCs w:val="24"/>
        </w:rPr>
        <w:t>的技术、商务要求以及合同草案条款，实质性变动的内容，须经采购人代表确认。</w:t>
      </w:r>
    </w:p>
    <w:p>
      <w:pPr>
        <w:pStyle w:val="10"/>
        <w:kinsoku w:val="0"/>
        <w:overflowPunct w:val="0"/>
        <w:spacing w:before="56" w:line="440" w:lineRule="exact"/>
        <w:ind w:left="111" w:right="110" w:firstLine="240" w:firstLineChars="1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pacing w:val="1"/>
          <w:sz w:val="24"/>
          <w:szCs w:val="24"/>
        </w:rPr>
        <w:t>对磋商文件作出的实质性变动是磋商文件的有效组成部分，磋商小组应</w:t>
      </w:r>
      <w:r>
        <w:rPr>
          <w:rFonts w:hint="eastAsia" w:ascii="宋体" w:hAnsi="宋体" w:eastAsia="宋体" w:cs="宋体"/>
          <w:sz w:val="24"/>
          <w:szCs w:val="24"/>
        </w:rPr>
        <w:t>当及时以书面形式同时通知所有参加磋商的供应商。</w:t>
      </w:r>
    </w:p>
    <w:p>
      <w:pPr>
        <w:pStyle w:val="10"/>
        <w:kinsoku w:val="0"/>
        <w:overflowPunct w:val="0"/>
        <w:spacing w:line="440" w:lineRule="exact"/>
        <w:ind w:left="111" w:right="110" w:firstLine="240" w:firstLineChars="100"/>
        <w:rPr>
          <w:rFonts w:hint="eastAsia" w:ascii="宋体" w:hAnsi="宋体" w:eastAsia="宋体" w:cs="宋体"/>
          <w:sz w:val="24"/>
          <w:szCs w:val="24"/>
        </w:rPr>
      </w:pPr>
      <w:r>
        <w:rPr>
          <w:rFonts w:hint="eastAsia" w:ascii="宋体" w:hAnsi="宋体" w:eastAsia="宋体" w:cs="宋体"/>
          <w:sz w:val="24"/>
          <w:szCs w:val="24"/>
        </w:rPr>
        <w:t>（4）磋商结束后，磋商小组将要求实质性响应</w:t>
      </w:r>
      <w:r>
        <w:rPr>
          <w:rFonts w:hint="eastAsia" w:ascii="宋体" w:hAnsi="宋体" w:eastAsia="宋体" w:cs="宋体"/>
          <w:sz w:val="24"/>
          <w:szCs w:val="24"/>
          <w:lang w:eastAsia="zh-CN"/>
        </w:rPr>
        <w:t>磋商</w:t>
      </w:r>
      <w:r>
        <w:rPr>
          <w:rFonts w:hint="eastAsia" w:ascii="宋体" w:hAnsi="宋体" w:eastAsia="宋体" w:cs="宋体"/>
          <w:sz w:val="24"/>
          <w:szCs w:val="24"/>
        </w:rPr>
        <w:t>文件的供应商在规定时间内在线提交最后报价，磋商小组将现场公开唱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pStyle w:val="10"/>
        <w:kinsoku w:val="0"/>
        <w:overflowPunct w:val="0"/>
        <w:spacing w:line="440" w:lineRule="exact"/>
        <w:ind w:left="111" w:right="110" w:firstLine="240" w:firstLineChars="100"/>
        <w:rPr>
          <w:rFonts w:hint="eastAsia" w:ascii="宋体" w:hAnsi="宋体" w:eastAsia="宋体" w:cs="宋体"/>
          <w:sz w:val="24"/>
          <w:szCs w:val="24"/>
        </w:rPr>
      </w:pPr>
      <w:r>
        <w:rPr>
          <w:rFonts w:hint="eastAsia" w:ascii="宋体" w:hAnsi="宋体" w:eastAsia="宋体" w:cs="宋体"/>
          <w:sz w:val="24"/>
          <w:szCs w:val="24"/>
        </w:rPr>
        <w:t>（5）磋商结束后，参加磋商的供应商应当对磋商达成的意向，以书面形式由全权代表签字确认后提交。</w:t>
      </w:r>
    </w:p>
    <w:p>
      <w:pPr>
        <w:pStyle w:val="10"/>
        <w:kinsoku w:val="0"/>
        <w:overflowPunct w:val="0"/>
        <w:spacing w:before="56" w:line="440" w:lineRule="exact"/>
        <w:ind w:left="111" w:right="110" w:firstLine="240" w:firstLineChars="100"/>
        <w:rPr>
          <w:rFonts w:hint="eastAsia" w:ascii="宋体" w:hAnsi="宋体" w:eastAsia="宋体" w:cs="宋体"/>
          <w:sz w:val="24"/>
          <w:szCs w:val="24"/>
        </w:rPr>
      </w:pPr>
      <w:r>
        <w:rPr>
          <w:rFonts w:hint="eastAsia" w:ascii="宋体" w:hAnsi="宋体" w:eastAsia="宋体" w:cs="宋体"/>
          <w:sz w:val="24"/>
          <w:szCs w:val="24"/>
        </w:rPr>
        <w:t>（6）磋商小组依据本须知35.5条规定的评审标准和方法，对实质性响应采购文件的供应商进行评审和比较，向采购人提出书面的评审报告，并推荐合格的成交候选人。采购人根据磋商小组提出的书面评审报告和推荐的成交候选人确定中标人，也可以授权磋商小组直接确定中标人。</w:t>
      </w:r>
    </w:p>
    <w:p>
      <w:pPr>
        <w:spacing w:line="440" w:lineRule="exact"/>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rPr>
        <w:t>4.2、评审方法及标准：</w:t>
      </w:r>
    </w:p>
    <w:p>
      <w:pPr>
        <w:spacing w:line="440" w:lineRule="exact"/>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rPr>
        <w:t>评审方法：本项目采用综合评分法，总分为 100 分。综合评分法，是指响应文件满足采购文件全部实质性要求且按评审因素的量化指标评审得分最高的供应商为成交候选供应商的评审方法。磋商小组按照采购文件的要求和条件，根据各供应商的</w:t>
      </w:r>
      <w:r>
        <w:rPr>
          <w:rFonts w:hint="eastAsia" w:ascii="宋体" w:hAnsi="宋体" w:eastAsia="宋体" w:cs="宋体"/>
          <w:spacing w:val="-1"/>
          <w:sz w:val="24"/>
          <w:szCs w:val="24"/>
          <w:lang w:eastAsia="zh-CN"/>
        </w:rPr>
        <w:t>施工组织设计</w:t>
      </w:r>
      <w:r>
        <w:rPr>
          <w:rFonts w:hint="eastAsia" w:ascii="宋体" w:hAnsi="宋体" w:eastAsia="宋体" w:cs="宋体"/>
          <w:spacing w:val="-1"/>
          <w:sz w:val="24"/>
          <w:szCs w:val="24"/>
        </w:rPr>
        <w:t>、</w:t>
      </w:r>
      <w:r>
        <w:rPr>
          <w:rFonts w:hint="eastAsia" w:cs="宋体"/>
          <w:spacing w:val="-1"/>
          <w:sz w:val="24"/>
          <w:szCs w:val="24"/>
          <w:lang w:val="en-US" w:eastAsia="zh-CN"/>
        </w:rPr>
        <w:t>综合实力</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价格对采购文件的响应程度等进行综合评价、评分，将评审总得分按由高到低的顺序进行排列，并依此顺序推荐前3名成交候选供应商；评审总得分相同的按最后报价由低到高顺序排列，评审总得分且最终报价相同的，按技术部分得分顺序排列。</w:t>
      </w:r>
    </w:p>
    <w:p>
      <w:pPr>
        <w:spacing w:line="440" w:lineRule="exact"/>
        <w:ind w:firstLine="478" w:firstLineChars="200"/>
        <w:rPr>
          <w:rFonts w:hint="eastAsia" w:ascii="宋体" w:hAnsi="宋体" w:eastAsia="宋体" w:cs="宋体"/>
          <w:b/>
          <w:bCs/>
          <w:spacing w:val="-1"/>
          <w:sz w:val="24"/>
          <w:szCs w:val="24"/>
        </w:rPr>
      </w:pPr>
      <w:r>
        <w:rPr>
          <w:rFonts w:hint="eastAsia" w:ascii="宋体" w:hAnsi="宋体" w:eastAsia="宋体" w:cs="宋体"/>
          <w:b/>
          <w:bCs/>
          <w:spacing w:val="-1"/>
          <w:sz w:val="24"/>
          <w:szCs w:val="24"/>
        </w:rPr>
        <w:t>详细评审标准：</w:t>
      </w:r>
    </w:p>
    <w:tbl>
      <w:tblPr>
        <w:tblStyle w:val="18"/>
        <w:tblpPr w:leftFromText="180" w:rightFromText="180" w:vertAnchor="text" w:horzAnchor="page" w:tblpX="1730" w:tblpY="2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700"/>
        <w:gridCol w:w="1770"/>
        <w:gridCol w:w="958"/>
        <w:gridCol w:w="2"/>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3" w:type="dxa"/>
            <w:gridSpan w:val="4"/>
            <w:tcBorders>
              <w:top w:val="single" w:color="000000" w:sz="0" w:space="0"/>
              <w:left w:val="single" w:color="auto" w:sz="4"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highlight w:val="white"/>
              </w:rPr>
            </w:pPr>
            <w:r>
              <w:rPr>
                <w:rFonts w:ascii="宋体" w:hAnsi="宋体" w:eastAsia="宋体" w:cs="宋体"/>
                <w:color w:val="auto"/>
                <w:sz w:val="21"/>
                <w:highlight w:val="white"/>
              </w:rPr>
              <w:t>评分因素与权重分值</w:t>
            </w:r>
          </w:p>
        </w:tc>
        <w:tc>
          <w:tcPr>
            <w:tcW w:w="4790" w:type="dxa"/>
            <w:gridSpan w:val="2"/>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Borders>
              <w:top w:val="single" w:color="000000" w:sz="0" w:space="0"/>
              <w:left w:val="single" w:color="auto" w:sz="4"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评分因素</w:t>
            </w:r>
          </w:p>
        </w:tc>
        <w:tc>
          <w:tcPr>
            <w:tcW w:w="700"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评分因素</w:t>
            </w:r>
          </w:p>
          <w:p>
            <w:pPr>
              <w:pStyle w:val="31"/>
              <w:jc w:val="center"/>
              <w:rPr>
                <w:rFonts w:ascii="宋体" w:hAnsi="宋体" w:eastAsia="宋体" w:cs="宋体"/>
                <w:color w:val="auto"/>
                <w:sz w:val="21"/>
              </w:rPr>
            </w:pPr>
            <w:r>
              <w:rPr>
                <w:rFonts w:ascii="宋体" w:hAnsi="宋体" w:eastAsia="宋体" w:cs="宋体"/>
                <w:color w:val="auto"/>
                <w:sz w:val="21"/>
                <w:highlight w:val="white"/>
              </w:rPr>
              <w:t>权重分值</w:t>
            </w:r>
          </w:p>
        </w:tc>
        <w:tc>
          <w:tcPr>
            <w:tcW w:w="1770"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各评分因素细分项</w:t>
            </w:r>
          </w:p>
        </w:tc>
        <w:tc>
          <w:tcPr>
            <w:tcW w:w="960" w:type="dxa"/>
            <w:gridSpan w:val="2"/>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分值</w:t>
            </w:r>
          </w:p>
        </w:tc>
        <w:tc>
          <w:tcPr>
            <w:tcW w:w="478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restart"/>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施工组织设计</w:t>
            </w:r>
          </w:p>
        </w:tc>
        <w:tc>
          <w:tcPr>
            <w:tcW w:w="700" w:type="dxa"/>
            <w:vMerge w:val="restart"/>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hint="eastAsia" w:ascii="宋体" w:hAnsi="宋体" w:eastAsia="宋体" w:cs="宋体"/>
                <w:color w:val="auto"/>
                <w:sz w:val="21"/>
                <w:highlight w:val="white"/>
                <w:lang w:val="en-US" w:eastAsia="zh-CN"/>
              </w:rPr>
              <w:t>60</w:t>
            </w:r>
            <w:r>
              <w:rPr>
                <w:rFonts w:ascii="宋体" w:hAnsi="宋体" w:eastAsia="宋体" w:cs="宋体"/>
                <w:color w:val="auto"/>
                <w:sz w:val="21"/>
                <w:highlight w:val="white"/>
              </w:rPr>
              <w:t>分</w:t>
            </w:r>
          </w:p>
        </w:tc>
        <w:tc>
          <w:tcPr>
            <w:tcW w:w="1770"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总体施工组织布置及规划</w:t>
            </w:r>
          </w:p>
        </w:tc>
        <w:tc>
          <w:tcPr>
            <w:tcW w:w="960" w:type="dxa"/>
            <w:gridSpan w:val="2"/>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hint="eastAsia" w:ascii="宋体" w:hAnsi="宋体" w:eastAsia="宋体" w:cs="宋体"/>
                <w:color w:val="auto"/>
                <w:sz w:val="21"/>
                <w:highlight w:val="white"/>
                <w:lang w:val="en-US" w:eastAsia="zh-CN"/>
              </w:rPr>
              <w:t>10</w:t>
            </w:r>
            <w:r>
              <w:rPr>
                <w:rFonts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总体施工组织布置及规划合理得</w:t>
            </w:r>
            <w:r>
              <w:rPr>
                <w:rFonts w:hint="eastAsia" w:ascii="宋体" w:hAnsi="宋体" w:eastAsia="宋体" w:cs="宋体"/>
                <w:color w:val="auto"/>
                <w:sz w:val="21"/>
                <w:highlight w:val="white"/>
                <w:lang w:val="en-US" w:eastAsia="zh-CN"/>
              </w:rPr>
              <w:t>5</w:t>
            </w:r>
            <w:r>
              <w:rPr>
                <w:rFonts w:ascii="宋体" w:hAnsi="宋体" w:eastAsia="宋体" w:cs="宋体"/>
                <w:color w:val="auto"/>
                <w:sz w:val="21"/>
                <w:highlight w:val="white"/>
              </w:rPr>
              <w:t>分，否则酌情扣分；施工总平面图布置合理得</w:t>
            </w:r>
            <w:r>
              <w:rPr>
                <w:rFonts w:hint="eastAsia" w:ascii="宋体" w:hAnsi="宋体" w:eastAsia="宋体" w:cs="宋体"/>
                <w:color w:val="auto"/>
                <w:sz w:val="21"/>
                <w:highlight w:val="white"/>
                <w:lang w:val="en-US" w:eastAsia="zh-CN"/>
              </w:rPr>
              <w:t>5</w:t>
            </w:r>
            <w:r>
              <w:rPr>
                <w:rFonts w:ascii="宋体" w:hAnsi="宋体" w:eastAsia="宋体" w:cs="宋体"/>
                <w:color w:val="auto"/>
                <w:sz w:val="21"/>
                <w:highlight w:val="whit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主要工程项目的施工方案、方法与技术措施</w:t>
            </w:r>
          </w:p>
        </w:tc>
        <w:tc>
          <w:tcPr>
            <w:tcW w:w="960" w:type="dxa"/>
            <w:gridSpan w:val="2"/>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hint="eastAsia" w:ascii="宋体" w:hAnsi="宋体" w:eastAsia="宋体" w:cs="宋体"/>
                <w:color w:val="auto"/>
                <w:sz w:val="21"/>
                <w:highlight w:val="white"/>
                <w:lang w:val="en-US" w:eastAsia="zh-CN"/>
              </w:rPr>
              <w:t>15</w:t>
            </w:r>
            <w:r>
              <w:rPr>
                <w:rFonts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施工方法先进得</w:t>
            </w:r>
            <w:r>
              <w:rPr>
                <w:rFonts w:hint="eastAsia" w:ascii="宋体" w:hAnsi="宋体" w:eastAsia="宋体" w:cs="宋体"/>
                <w:color w:val="auto"/>
                <w:sz w:val="21"/>
                <w:highlight w:val="white"/>
                <w:lang w:val="en-US" w:eastAsia="zh-CN"/>
              </w:rPr>
              <w:t>6</w:t>
            </w:r>
            <w:r>
              <w:rPr>
                <w:rFonts w:ascii="宋体" w:hAnsi="宋体" w:eastAsia="宋体" w:cs="宋体"/>
                <w:color w:val="auto"/>
                <w:sz w:val="21"/>
                <w:highlight w:val="white"/>
              </w:rPr>
              <w:t>分，一般得</w:t>
            </w:r>
            <w:r>
              <w:rPr>
                <w:rFonts w:hint="eastAsia" w:ascii="宋体" w:hAnsi="宋体" w:eastAsia="宋体" w:cs="宋体"/>
                <w:color w:val="auto"/>
                <w:sz w:val="21"/>
                <w:highlight w:val="white"/>
                <w:lang w:val="en-US" w:eastAsia="zh-CN"/>
              </w:rPr>
              <w:t>3</w:t>
            </w:r>
            <w:r>
              <w:rPr>
                <w:rFonts w:ascii="宋体" w:hAnsi="宋体" w:eastAsia="宋体" w:cs="宋体"/>
                <w:color w:val="auto"/>
                <w:sz w:val="21"/>
                <w:highlight w:val="white"/>
              </w:rPr>
              <w:t>分，否则酌情扣分；</w:t>
            </w:r>
          </w:p>
          <w:p>
            <w:pPr>
              <w:pStyle w:val="31"/>
              <w:jc w:val="center"/>
              <w:rPr>
                <w:rFonts w:ascii="宋体" w:hAnsi="宋体" w:eastAsia="宋体" w:cs="宋体"/>
                <w:color w:val="auto"/>
                <w:sz w:val="21"/>
              </w:rPr>
            </w:pPr>
            <w:r>
              <w:rPr>
                <w:rFonts w:ascii="宋体" w:hAnsi="宋体" w:eastAsia="宋体" w:cs="宋体"/>
                <w:color w:val="auto"/>
                <w:sz w:val="21"/>
                <w:highlight w:val="white"/>
              </w:rPr>
              <w:t>采用新工艺、新技术、新设备得</w:t>
            </w:r>
            <w:r>
              <w:rPr>
                <w:rFonts w:hint="eastAsia" w:ascii="宋体" w:hAnsi="宋体" w:eastAsia="宋体" w:cs="宋体"/>
                <w:color w:val="auto"/>
                <w:sz w:val="21"/>
                <w:highlight w:val="white"/>
                <w:lang w:val="en-US" w:eastAsia="zh-CN"/>
              </w:rPr>
              <w:t>3</w:t>
            </w:r>
            <w:r>
              <w:rPr>
                <w:rFonts w:ascii="宋体" w:hAnsi="宋体" w:eastAsia="宋体" w:cs="宋体"/>
                <w:color w:val="auto"/>
                <w:sz w:val="21"/>
                <w:highlight w:val="white"/>
              </w:rPr>
              <w:t>分，没有不得分；</w:t>
            </w:r>
          </w:p>
          <w:p>
            <w:pPr>
              <w:pStyle w:val="31"/>
              <w:jc w:val="both"/>
              <w:rPr>
                <w:rFonts w:ascii="宋体" w:hAnsi="宋体" w:eastAsia="宋体" w:cs="宋体"/>
                <w:color w:val="auto"/>
                <w:sz w:val="21"/>
              </w:rPr>
            </w:pPr>
            <w:r>
              <w:rPr>
                <w:rFonts w:ascii="宋体" w:hAnsi="宋体" w:eastAsia="宋体" w:cs="宋体"/>
                <w:color w:val="auto"/>
                <w:sz w:val="21"/>
                <w:highlight w:val="white"/>
              </w:rPr>
              <w:t>主要工程项目的施工方案齐全措施计划详尽得</w:t>
            </w:r>
            <w:r>
              <w:rPr>
                <w:rFonts w:hint="eastAsia" w:ascii="宋体" w:hAnsi="宋体" w:eastAsia="宋体" w:cs="宋体"/>
                <w:color w:val="auto"/>
                <w:sz w:val="21"/>
                <w:highlight w:val="white"/>
                <w:lang w:val="en-US" w:eastAsia="zh-CN"/>
              </w:rPr>
              <w:t>4</w:t>
            </w:r>
            <w:r>
              <w:rPr>
                <w:rFonts w:ascii="宋体" w:hAnsi="宋体" w:eastAsia="宋体" w:cs="宋体"/>
                <w:color w:val="auto"/>
                <w:sz w:val="21"/>
                <w:highlight w:val="white"/>
              </w:rPr>
              <w:t>分，一般得</w:t>
            </w:r>
            <w:r>
              <w:rPr>
                <w:rFonts w:hint="eastAsia" w:ascii="宋体" w:hAnsi="宋体" w:eastAsia="宋体" w:cs="宋体"/>
                <w:color w:val="auto"/>
                <w:sz w:val="21"/>
                <w:highlight w:val="white"/>
                <w:lang w:val="en-US" w:eastAsia="zh-CN"/>
              </w:rPr>
              <w:t>2</w:t>
            </w:r>
            <w:r>
              <w:rPr>
                <w:rFonts w:ascii="宋体" w:hAnsi="宋体" w:eastAsia="宋体" w:cs="宋体"/>
                <w:color w:val="auto"/>
                <w:sz w:val="21"/>
                <w:highlight w:val="white"/>
              </w:rPr>
              <w:t>分，否则酌情扣分；</w:t>
            </w:r>
          </w:p>
          <w:p>
            <w:pPr>
              <w:pStyle w:val="31"/>
              <w:jc w:val="center"/>
              <w:rPr>
                <w:rFonts w:ascii="宋体" w:hAnsi="宋体" w:eastAsia="宋体" w:cs="宋体"/>
                <w:color w:val="auto"/>
                <w:sz w:val="21"/>
                <w:highlight w:val="white"/>
              </w:rPr>
            </w:pPr>
            <w:r>
              <w:rPr>
                <w:rFonts w:ascii="宋体" w:hAnsi="宋体" w:eastAsia="宋体" w:cs="宋体"/>
                <w:color w:val="auto"/>
                <w:sz w:val="21"/>
                <w:highlight w:val="white"/>
              </w:rPr>
              <w:t>执行国家强制性条文、有切实可行的保证措施得2</w:t>
            </w:r>
          </w:p>
          <w:p>
            <w:pPr>
              <w:pStyle w:val="31"/>
              <w:jc w:val="both"/>
              <w:rPr>
                <w:rFonts w:ascii="宋体" w:hAnsi="宋体" w:eastAsia="宋体" w:cs="宋体"/>
                <w:color w:val="auto"/>
                <w:sz w:val="21"/>
              </w:rPr>
            </w:pPr>
            <w:r>
              <w:rPr>
                <w:rFonts w:ascii="宋体" w:hAnsi="宋体" w:eastAsia="宋体" w:cs="宋体"/>
                <w:color w:val="auto"/>
                <w:sz w:val="21"/>
                <w:highlight w:val="whit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工期保证体系及保证措施</w:t>
            </w:r>
          </w:p>
        </w:tc>
        <w:tc>
          <w:tcPr>
            <w:tcW w:w="960" w:type="dxa"/>
            <w:gridSpan w:val="2"/>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hint="eastAsia" w:ascii="宋体" w:hAnsi="宋体" w:eastAsia="宋体" w:cs="宋体"/>
                <w:color w:val="auto"/>
                <w:sz w:val="21"/>
                <w:highlight w:val="white"/>
                <w:lang w:val="en-US" w:eastAsia="zh-CN"/>
              </w:rPr>
              <w:t>8</w:t>
            </w:r>
            <w:r>
              <w:rPr>
                <w:rFonts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highlight w:val="white"/>
              </w:rPr>
            </w:pPr>
            <w:r>
              <w:rPr>
                <w:rFonts w:ascii="宋体" w:hAnsi="宋体" w:eastAsia="宋体" w:cs="宋体"/>
                <w:color w:val="auto"/>
                <w:sz w:val="21"/>
                <w:highlight w:val="white"/>
              </w:rPr>
              <w:t>工期保证体系及保证措施健全得</w:t>
            </w:r>
            <w:r>
              <w:rPr>
                <w:rFonts w:hint="eastAsia" w:ascii="宋体" w:hAnsi="宋体" w:eastAsia="宋体" w:cs="宋体"/>
                <w:color w:val="auto"/>
                <w:sz w:val="21"/>
                <w:highlight w:val="white"/>
                <w:lang w:val="en-US" w:eastAsia="zh-CN"/>
              </w:rPr>
              <w:t>8</w:t>
            </w:r>
            <w:r>
              <w:rPr>
                <w:rFonts w:ascii="宋体" w:hAnsi="宋体" w:eastAsia="宋体" w:cs="宋体"/>
                <w:color w:val="auto"/>
                <w:sz w:val="21"/>
                <w:highlight w:val="white"/>
              </w:rPr>
              <w:t>分，否则酌情扣</w:t>
            </w:r>
          </w:p>
          <w:p>
            <w:pPr>
              <w:pStyle w:val="31"/>
              <w:jc w:val="both"/>
              <w:rPr>
                <w:rFonts w:ascii="宋体" w:hAnsi="宋体" w:eastAsia="宋体" w:cs="宋体"/>
                <w:color w:val="auto"/>
                <w:sz w:val="21"/>
              </w:rPr>
            </w:pPr>
            <w:r>
              <w:rPr>
                <w:rFonts w:ascii="宋体" w:hAnsi="宋体" w:eastAsia="宋体" w:cs="宋体"/>
                <w:color w:val="auto"/>
                <w:sz w:val="21"/>
                <w:highlight w:val="whit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工程质量管理体系及保证措施</w:t>
            </w:r>
          </w:p>
        </w:tc>
        <w:tc>
          <w:tcPr>
            <w:tcW w:w="960" w:type="dxa"/>
            <w:gridSpan w:val="2"/>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hint="eastAsia" w:ascii="宋体" w:hAnsi="宋体" w:eastAsia="宋体" w:cs="宋体"/>
                <w:color w:val="auto"/>
                <w:sz w:val="21"/>
                <w:highlight w:val="white"/>
                <w:lang w:val="en-US" w:eastAsia="zh-CN"/>
              </w:rPr>
              <w:t>8</w:t>
            </w:r>
            <w:r>
              <w:rPr>
                <w:rFonts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工程项目的质保体系健全得</w:t>
            </w:r>
            <w:r>
              <w:rPr>
                <w:rFonts w:hint="eastAsia" w:ascii="宋体" w:hAnsi="宋体" w:eastAsia="宋体" w:cs="宋体"/>
                <w:color w:val="auto"/>
                <w:sz w:val="21"/>
                <w:highlight w:val="white"/>
                <w:lang w:val="en-US" w:eastAsia="zh-CN"/>
              </w:rPr>
              <w:t>4</w:t>
            </w:r>
            <w:r>
              <w:rPr>
                <w:rFonts w:ascii="宋体" w:hAnsi="宋体" w:eastAsia="宋体" w:cs="宋体"/>
                <w:color w:val="auto"/>
                <w:sz w:val="21"/>
                <w:highlight w:val="white"/>
              </w:rPr>
              <w:t>分，否则酌情扣分；</w:t>
            </w:r>
          </w:p>
          <w:p>
            <w:pPr>
              <w:pStyle w:val="31"/>
              <w:jc w:val="center"/>
              <w:rPr>
                <w:rFonts w:hint="eastAsia" w:ascii="宋体" w:hAnsi="宋体" w:eastAsia="宋体" w:cs="宋体"/>
                <w:color w:val="auto"/>
                <w:sz w:val="21"/>
                <w:highlight w:val="white"/>
                <w:lang w:eastAsia="zh-CN"/>
              </w:rPr>
            </w:pPr>
            <w:r>
              <w:rPr>
                <w:rFonts w:ascii="宋体" w:hAnsi="宋体" w:eastAsia="宋体" w:cs="宋体"/>
                <w:color w:val="auto"/>
                <w:sz w:val="21"/>
                <w:highlight w:val="white"/>
              </w:rPr>
              <w:t>执行国家强制性条文、有切实可行的保证措施得</w:t>
            </w:r>
            <w:r>
              <w:rPr>
                <w:rFonts w:hint="eastAsia" w:ascii="宋体" w:hAnsi="宋体" w:eastAsia="宋体" w:cs="宋体"/>
                <w:color w:val="auto"/>
                <w:sz w:val="21"/>
                <w:highlight w:val="white"/>
                <w:lang w:val="en-US" w:eastAsia="zh-CN"/>
              </w:rPr>
              <w:t>2</w:t>
            </w:r>
          </w:p>
          <w:p>
            <w:pPr>
              <w:pStyle w:val="31"/>
              <w:jc w:val="both"/>
              <w:rPr>
                <w:rFonts w:ascii="宋体" w:hAnsi="宋体" w:eastAsia="宋体" w:cs="宋体"/>
                <w:color w:val="auto"/>
                <w:sz w:val="21"/>
              </w:rPr>
            </w:pPr>
            <w:r>
              <w:rPr>
                <w:rFonts w:ascii="宋体" w:hAnsi="宋体" w:eastAsia="宋体" w:cs="宋体"/>
                <w:color w:val="auto"/>
                <w:sz w:val="21"/>
                <w:highlight w:val="white"/>
              </w:rPr>
              <w:t>分，否则酌情扣分；</w:t>
            </w:r>
          </w:p>
          <w:p>
            <w:pPr>
              <w:pStyle w:val="31"/>
              <w:jc w:val="center"/>
              <w:rPr>
                <w:rFonts w:ascii="宋体" w:hAnsi="宋体" w:eastAsia="宋体" w:cs="宋体"/>
                <w:color w:val="auto"/>
                <w:sz w:val="21"/>
                <w:highlight w:val="white"/>
              </w:rPr>
            </w:pPr>
            <w:r>
              <w:rPr>
                <w:rFonts w:ascii="宋体" w:hAnsi="宋体" w:eastAsia="宋体" w:cs="宋体"/>
                <w:color w:val="auto"/>
                <w:sz w:val="21"/>
                <w:highlight w:val="white"/>
              </w:rPr>
              <w:t>制定了质量通病预防措施、措施可行得</w:t>
            </w:r>
            <w:r>
              <w:rPr>
                <w:rFonts w:hint="eastAsia" w:ascii="宋体" w:hAnsi="宋体" w:eastAsia="宋体" w:cs="宋体"/>
                <w:color w:val="auto"/>
                <w:sz w:val="21"/>
                <w:highlight w:val="white"/>
                <w:lang w:val="en-US" w:eastAsia="zh-CN"/>
              </w:rPr>
              <w:t>2</w:t>
            </w:r>
            <w:r>
              <w:rPr>
                <w:rFonts w:ascii="宋体" w:hAnsi="宋体" w:eastAsia="宋体" w:cs="宋体"/>
                <w:color w:val="auto"/>
                <w:sz w:val="21"/>
                <w:highlight w:val="white"/>
              </w:rPr>
              <w:t>分，否则</w:t>
            </w:r>
          </w:p>
          <w:p>
            <w:pPr>
              <w:pStyle w:val="31"/>
              <w:jc w:val="both"/>
              <w:rPr>
                <w:rFonts w:ascii="宋体" w:hAnsi="宋体" w:eastAsia="宋体" w:cs="宋体"/>
                <w:color w:val="auto"/>
                <w:sz w:val="21"/>
              </w:rPr>
            </w:pPr>
            <w:r>
              <w:rPr>
                <w:rFonts w:ascii="宋体" w:hAnsi="宋体" w:eastAsia="宋体" w:cs="宋体"/>
                <w:color w:val="auto"/>
                <w:sz w:val="21"/>
                <w:highlight w:val="white"/>
              </w:rPr>
              <w:t>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安全生产管理体系及保证措施</w:t>
            </w:r>
          </w:p>
        </w:tc>
        <w:tc>
          <w:tcPr>
            <w:tcW w:w="960" w:type="dxa"/>
            <w:gridSpan w:val="2"/>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hint="eastAsia" w:ascii="宋体" w:hAnsi="宋体" w:eastAsia="宋体" w:cs="宋体"/>
                <w:color w:val="auto"/>
                <w:sz w:val="21"/>
                <w:highlight w:val="white"/>
                <w:lang w:val="en-US" w:eastAsia="zh-CN"/>
              </w:rPr>
              <w:t>6</w:t>
            </w:r>
            <w:r>
              <w:rPr>
                <w:rFonts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安全体系健全有效得</w:t>
            </w:r>
            <w:r>
              <w:rPr>
                <w:rFonts w:hint="eastAsia" w:ascii="宋体" w:hAnsi="宋体" w:eastAsia="宋体" w:cs="宋体"/>
                <w:color w:val="auto"/>
                <w:sz w:val="21"/>
                <w:highlight w:val="white"/>
                <w:lang w:val="en-US" w:eastAsia="zh-CN"/>
              </w:rPr>
              <w:t>6</w:t>
            </w:r>
            <w:r>
              <w:rPr>
                <w:rFonts w:ascii="宋体" w:hAnsi="宋体" w:eastAsia="宋体" w:cs="宋体"/>
                <w:color w:val="auto"/>
                <w:sz w:val="21"/>
                <w:highlight w:val="whit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环境保护、水土保持保证体系及保证措施</w:t>
            </w:r>
          </w:p>
        </w:tc>
        <w:tc>
          <w:tcPr>
            <w:tcW w:w="960" w:type="dxa"/>
            <w:gridSpan w:val="2"/>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hint="eastAsia" w:ascii="宋体" w:hAnsi="宋体" w:eastAsia="宋体" w:cs="宋体"/>
                <w:color w:val="auto"/>
                <w:sz w:val="21"/>
                <w:highlight w:val="white"/>
                <w:lang w:val="en-US" w:eastAsia="zh-CN"/>
              </w:rPr>
              <w:t>5</w:t>
            </w:r>
            <w:r>
              <w:rPr>
                <w:rFonts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环境保护、水土保持保证体系及保证措施得力得</w:t>
            </w:r>
            <w:r>
              <w:rPr>
                <w:rFonts w:hint="eastAsia" w:ascii="宋体" w:hAnsi="宋体" w:eastAsia="宋体" w:cs="宋体"/>
                <w:color w:val="auto"/>
                <w:sz w:val="21"/>
                <w:highlight w:val="white"/>
                <w:lang w:val="en-US" w:eastAsia="zh-CN"/>
              </w:rPr>
              <w:t>5</w:t>
            </w:r>
            <w:r>
              <w:rPr>
                <w:rFonts w:ascii="宋体" w:hAnsi="宋体" w:eastAsia="宋体" w:cs="宋体"/>
                <w:color w:val="auto"/>
                <w:sz w:val="21"/>
                <w:highlight w:val="whit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文明施工、文物保护保证体系及保证措施</w:t>
            </w:r>
          </w:p>
        </w:tc>
        <w:tc>
          <w:tcPr>
            <w:tcW w:w="960" w:type="dxa"/>
            <w:gridSpan w:val="2"/>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hint="eastAsia" w:ascii="宋体" w:hAnsi="宋体" w:eastAsia="宋体" w:cs="宋体"/>
                <w:color w:val="auto"/>
                <w:sz w:val="21"/>
                <w:highlight w:val="white"/>
                <w:lang w:val="en-US" w:eastAsia="zh-CN"/>
              </w:rPr>
              <w:t>4</w:t>
            </w:r>
            <w:r>
              <w:rPr>
                <w:rFonts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both"/>
              <w:rPr>
                <w:rFonts w:ascii="宋体" w:hAnsi="宋体" w:eastAsia="宋体" w:cs="宋体"/>
                <w:color w:val="auto"/>
                <w:sz w:val="21"/>
              </w:rPr>
            </w:pPr>
            <w:r>
              <w:rPr>
                <w:rFonts w:ascii="宋体" w:hAnsi="宋体" w:eastAsia="宋体" w:cs="宋体"/>
                <w:color w:val="auto"/>
                <w:sz w:val="21"/>
                <w:highlight w:val="white"/>
              </w:rPr>
              <w:t>文明施工措施得力</w:t>
            </w:r>
            <w:r>
              <w:rPr>
                <w:rFonts w:hint="eastAsia" w:ascii="宋体" w:hAnsi="宋体" w:eastAsia="宋体" w:cs="宋体"/>
                <w:color w:val="auto"/>
                <w:sz w:val="21"/>
                <w:highlight w:val="white"/>
                <w:lang w:eastAsia="zh-CN"/>
              </w:rPr>
              <w:t>得</w:t>
            </w:r>
            <w:r>
              <w:rPr>
                <w:rFonts w:hint="eastAsia" w:ascii="宋体" w:hAnsi="宋体" w:eastAsia="宋体" w:cs="宋体"/>
                <w:color w:val="auto"/>
                <w:sz w:val="21"/>
                <w:highlight w:val="white"/>
                <w:lang w:val="en-US" w:eastAsia="zh-CN"/>
              </w:rPr>
              <w:t>2</w:t>
            </w:r>
            <w:r>
              <w:rPr>
                <w:rFonts w:ascii="宋体" w:hAnsi="宋体" w:eastAsia="宋体" w:cs="宋体"/>
                <w:color w:val="auto"/>
                <w:sz w:val="21"/>
                <w:highlight w:val="white"/>
              </w:rPr>
              <w:t>分，否则酌情扣分；</w:t>
            </w:r>
          </w:p>
          <w:p>
            <w:pPr>
              <w:pStyle w:val="31"/>
              <w:jc w:val="center"/>
              <w:rPr>
                <w:rFonts w:ascii="宋体" w:hAnsi="宋体" w:eastAsia="宋体" w:cs="宋体"/>
                <w:color w:val="auto"/>
                <w:sz w:val="21"/>
              </w:rPr>
            </w:pPr>
            <w:r>
              <w:rPr>
                <w:rFonts w:ascii="宋体" w:hAnsi="宋体" w:eastAsia="宋体" w:cs="宋体"/>
                <w:color w:val="auto"/>
                <w:sz w:val="21"/>
                <w:highlight w:val="white"/>
              </w:rPr>
              <w:t>文物保护保证体系及保证措施得力得</w:t>
            </w:r>
            <w:r>
              <w:rPr>
                <w:rFonts w:hint="eastAsia" w:ascii="宋体" w:hAnsi="宋体" w:eastAsia="宋体" w:cs="宋体"/>
                <w:color w:val="auto"/>
                <w:sz w:val="21"/>
                <w:highlight w:val="white"/>
                <w:lang w:val="en-US" w:eastAsia="zh-CN"/>
              </w:rPr>
              <w:t>2</w:t>
            </w:r>
            <w:r>
              <w:rPr>
                <w:rFonts w:ascii="宋体" w:hAnsi="宋体" w:eastAsia="宋体" w:cs="宋体"/>
                <w:color w:val="auto"/>
                <w:sz w:val="21"/>
                <w:highlight w:val="whit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项目风险预测与防范，事故应急预案</w:t>
            </w:r>
          </w:p>
        </w:tc>
        <w:tc>
          <w:tcPr>
            <w:tcW w:w="960" w:type="dxa"/>
            <w:gridSpan w:val="2"/>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hint="eastAsia" w:ascii="宋体" w:hAnsi="宋体" w:eastAsia="宋体" w:cs="宋体"/>
                <w:color w:val="auto"/>
                <w:sz w:val="21"/>
                <w:highlight w:val="white"/>
                <w:lang w:val="en-US" w:eastAsia="zh-CN"/>
              </w:rPr>
              <w:t>4</w:t>
            </w:r>
            <w:r>
              <w:rPr>
                <w:rFonts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项目风险预测与防范合理，事故应急预案可行得</w:t>
            </w:r>
            <w:r>
              <w:rPr>
                <w:rFonts w:hint="eastAsia" w:ascii="宋体" w:hAnsi="宋体" w:eastAsia="宋体" w:cs="宋体"/>
                <w:color w:val="auto"/>
                <w:sz w:val="21"/>
                <w:highlight w:val="white"/>
                <w:lang w:val="en-US" w:eastAsia="zh-CN"/>
              </w:rPr>
              <w:t>4</w:t>
            </w:r>
            <w:r>
              <w:rPr>
                <w:rFonts w:ascii="宋体" w:hAnsi="宋体" w:eastAsia="宋体" w:cs="宋体"/>
                <w:color w:val="auto"/>
                <w:sz w:val="21"/>
                <w:highlight w:val="whit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restart"/>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hint="default" w:ascii="宋体" w:hAnsi="宋体" w:eastAsia="宋体" w:cs="宋体"/>
                <w:color w:val="auto"/>
                <w:sz w:val="21"/>
                <w:lang w:val="en-US" w:eastAsia="zh-CN"/>
              </w:rPr>
            </w:pPr>
            <w:r>
              <w:rPr>
                <w:rFonts w:hint="eastAsia" w:ascii="宋体" w:hAnsi="宋体" w:eastAsia="宋体" w:cs="宋体"/>
                <w:color w:val="auto"/>
                <w:sz w:val="21"/>
                <w:highlight w:val="white"/>
                <w:lang w:val="en-US" w:eastAsia="zh-CN"/>
              </w:rPr>
              <w:t>综合实力</w:t>
            </w:r>
          </w:p>
        </w:tc>
        <w:tc>
          <w:tcPr>
            <w:tcW w:w="700" w:type="dxa"/>
            <w:vMerge w:val="restart"/>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hint="eastAsia" w:ascii="宋体" w:hAnsi="宋体" w:eastAsia="宋体" w:cs="宋体"/>
                <w:color w:val="auto"/>
                <w:sz w:val="21"/>
                <w:highlight w:val="white"/>
                <w:lang w:val="en-US" w:eastAsia="zh-CN"/>
              </w:rPr>
              <w:t>10</w:t>
            </w:r>
            <w:r>
              <w:rPr>
                <w:rFonts w:ascii="宋体" w:hAnsi="宋体" w:eastAsia="宋体" w:cs="宋体"/>
                <w:color w:val="auto"/>
                <w:sz w:val="21"/>
                <w:highlight w:val="white"/>
              </w:rPr>
              <w:t>分</w:t>
            </w:r>
          </w:p>
        </w:tc>
        <w:tc>
          <w:tcPr>
            <w:tcW w:w="1770"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技术能力</w:t>
            </w:r>
          </w:p>
        </w:tc>
        <w:tc>
          <w:tcPr>
            <w:tcW w:w="960" w:type="dxa"/>
            <w:gridSpan w:val="2"/>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hint="eastAsia" w:ascii="宋体" w:hAnsi="宋体" w:eastAsia="宋体" w:cs="宋体"/>
                <w:color w:val="auto"/>
                <w:sz w:val="21"/>
                <w:highlight w:val="white"/>
                <w:lang w:val="en-US" w:eastAsia="zh-CN"/>
              </w:rPr>
              <w:t>4</w:t>
            </w:r>
            <w:r>
              <w:rPr>
                <w:rFonts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满足招标文件中主要技术要求</w:t>
            </w:r>
            <w:r>
              <w:rPr>
                <w:rFonts w:hint="eastAsia" w:ascii="宋体" w:hAnsi="宋体" w:eastAsia="宋体" w:cs="宋体"/>
                <w:color w:val="auto"/>
                <w:sz w:val="21"/>
                <w:highlight w:val="white"/>
                <w:lang w:val="en-US" w:eastAsia="zh-CN"/>
              </w:rPr>
              <w:t>4</w:t>
            </w:r>
            <w:r>
              <w:rPr>
                <w:rFonts w:ascii="宋体" w:hAnsi="宋体" w:eastAsia="宋体" w:cs="宋体"/>
                <w:color w:val="auto"/>
                <w:sz w:val="21"/>
                <w:highlight w:val="whit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hint="eastAsia" w:ascii="宋体" w:hAnsi="宋体" w:eastAsia="宋体" w:cs="宋体"/>
                <w:color w:val="auto"/>
                <w:sz w:val="21"/>
                <w:highlight w:val="white"/>
                <w:lang w:eastAsia="zh-CN"/>
              </w:rPr>
              <w:t>企业</w:t>
            </w:r>
            <w:r>
              <w:rPr>
                <w:rFonts w:ascii="宋体" w:hAnsi="宋体" w:eastAsia="宋体" w:cs="宋体"/>
                <w:color w:val="auto"/>
                <w:sz w:val="21"/>
                <w:highlight w:val="white"/>
              </w:rPr>
              <w:t>业绩</w:t>
            </w:r>
          </w:p>
        </w:tc>
        <w:tc>
          <w:tcPr>
            <w:tcW w:w="960" w:type="dxa"/>
            <w:gridSpan w:val="2"/>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hint="eastAsia" w:ascii="宋体" w:hAnsi="宋体" w:eastAsia="宋体" w:cs="宋体"/>
                <w:color w:val="auto"/>
                <w:sz w:val="21"/>
                <w:highlight w:val="white"/>
                <w:lang w:val="en-US" w:eastAsia="zh-CN"/>
              </w:rPr>
              <w:t>3</w:t>
            </w:r>
            <w:r>
              <w:rPr>
                <w:rFonts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left"/>
              <w:rPr>
                <w:rFonts w:ascii="宋体" w:hAnsi="宋体" w:eastAsia="宋体" w:cs="宋体"/>
                <w:color w:val="auto"/>
                <w:sz w:val="21"/>
              </w:rPr>
            </w:pPr>
            <w:r>
              <w:rPr>
                <w:rFonts w:hint="eastAsia" w:cs="宋体" w:asciiTheme="minorEastAsia" w:hAnsiTheme="minorEastAsia" w:eastAsiaTheme="minorEastAsia"/>
                <w:color w:val="auto"/>
                <w:sz w:val="21"/>
                <w:szCs w:val="21"/>
              </w:rPr>
              <w:t>供应商近三年承担过类似项目业绩的，每提供一个得</w:t>
            </w:r>
            <w:r>
              <w:rPr>
                <w:rFonts w:hint="eastAsia" w:cs="宋体" w:asciiTheme="minorEastAsia" w:hAnsiTheme="minorEastAsia" w:eastAsiaTheme="minorEastAsia"/>
                <w:color w:val="auto"/>
                <w:sz w:val="21"/>
                <w:szCs w:val="21"/>
                <w:lang w:val="en-US" w:eastAsia="zh-CN"/>
              </w:rPr>
              <w:t>1</w:t>
            </w:r>
            <w:r>
              <w:rPr>
                <w:rFonts w:hint="eastAsia" w:cs="宋体" w:asciiTheme="minorEastAsia" w:hAnsiTheme="minorEastAsia" w:eastAsiaTheme="minorEastAsia"/>
                <w:color w:val="auto"/>
                <w:sz w:val="21"/>
                <w:szCs w:val="21"/>
              </w:rPr>
              <w:t>分，最高得</w:t>
            </w:r>
            <w:r>
              <w:rPr>
                <w:rFonts w:hint="eastAsia" w:cs="宋体" w:asciiTheme="minorEastAsia" w:hAnsiTheme="minorEastAsia" w:eastAsiaTheme="minorEastAsia"/>
                <w:color w:val="auto"/>
                <w:sz w:val="21"/>
                <w:szCs w:val="21"/>
                <w:lang w:val="en-US" w:eastAsia="zh-CN"/>
              </w:rPr>
              <w:t>3</w:t>
            </w:r>
            <w:r>
              <w:rPr>
                <w:rFonts w:hint="eastAsia" w:cs="宋体" w:asciiTheme="minorEastAsia" w:hAnsiTheme="minorEastAsia" w:eastAsiaTheme="minorEastAsia"/>
                <w:color w:val="auto"/>
                <w:sz w:val="21"/>
                <w:szCs w:val="21"/>
              </w:rPr>
              <w:t>分。（响应文件中附合同原件的扫描件）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white"/>
              </w:rPr>
              <w:t>履约信誉</w:t>
            </w:r>
          </w:p>
        </w:tc>
        <w:tc>
          <w:tcPr>
            <w:tcW w:w="960" w:type="dxa"/>
            <w:gridSpan w:val="2"/>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hint="eastAsia" w:ascii="宋体" w:hAnsi="宋体" w:eastAsia="宋体" w:cs="宋体"/>
                <w:color w:val="auto"/>
                <w:sz w:val="21"/>
                <w:highlight w:val="white"/>
                <w:lang w:val="en-US" w:eastAsia="zh-CN"/>
              </w:rPr>
              <w:t>3</w:t>
            </w:r>
            <w:r>
              <w:rPr>
                <w:rFonts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ascii="宋体" w:hAnsi="宋体" w:eastAsia="宋体" w:cs="宋体"/>
                <w:color w:val="auto"/>
                <w:sz w:val="21"/>
              </w:rPr>
            </w:pPr>
            <w:r>
              <w:rPr>
                <w:rFonts w:ascii="宋体" w:hAnsi="宋体" w:eastAsia="宋体" w:cs="宋体"/>
                <w:color w:val="auto"/>
                <w:sz w:val="21"/>
                <w:highlight w:val="none"/>
              </w:rPr>
              <w:t>在“信用中国”网站（http://www.creditchina.gov.cn/）中被未列入失信被执行人名单的投标人；近三年内没有骗取中标或严重违约或重大工程质量问题的得</w:t>
            </w:r>
            <w:r>
              <w:rPr>
                <w:rFonts w:hint="eastAsia" w:ascii="宋体" w:hAnsi="宋体" w:eastAsia="宋体" w:cs="宋体"/>
                <w:color w:val="auto"/>
                <w:sz w:val="21"/>
                <w:highlight w:val="none"/>
                <w:lang w:val="en-US" w:eastAsia="zh-CN"/>
              </w:rPr>
              <w:t>3</w:t>
            </w:r>
            <w:r>
              <w:rPr>
                <w:rFonts w:ascii="宋体" w:hAnsi="宋体" w:eastAsia="宋体" w:cs="宋体"/>
                <w:color w:val="auto"/>
                <w:sz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hint="eastAsia" w:ascii="宋体" w:hAnsi="宋体" w:eastAsia="宋体" w:cs="宋体"/>
                <w:color w:val="auto"/>
                <w:sz w:val="21"/>
                <w:lang w:eastAsia="zh-CN"/>
              </w:rPr>
            </w:pPr>
            <w:r>
              <w:rPr>
                <w:rFonts w:hint="eastAsia" w:ascii="宋体" w:hAnsi="宋体" w:eastAsia="宋体" w:cs="宋体"/>
                <w:color w:val="auto"/>
                <w:sz w:val="21"/>
                <w:lang w:eastAsia="zh-CN"/>
              </w:rPr>
              <w:t>价格评分</w:t>
            </w:r>
          </w:p>
        </w:tc>
        <w:tc>
          <w:tcPr>
            <w:tcW w:w="700"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30分</w:t>
            </w:r>
          </w:p>
        </w:tc>
        <w:tc>
          <w:tcPr>
            <w:tcW w:w="1770"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hint="eastAsia" w:ascii="宋体" w:hAnsi="宋体" w:eastAsia="宋体" w:cs="宋体"/>
                <w:color w:val="auto"/>
                <w:sz w:val="21"/>
                <w:highlight w:val="white"/>
                <w:lang w:eastAsia="zh-CN"/>
              </w:rPr>
            </w:pPr>
            <w:r>
              <w:rPr>
                <w:rFonts w:hint="eastAsia" w:ascii="宋体" w:hAnsi="宋体" w:eastAsia="宋体" w:cs="宋体"/>
                <w:color w:val="auto"/>
                <w:sz w:val="21"/>
                <w:highlight w:val="white"/>
                <w:lang w:eastAsia="zh-CN"/>
              </w:rPr>
              <w:t>最终报价</w:t>
            </w:r>
          </w:p>
        </w:tc>
        <w:tc>
          <w:tcPr>
            <w:tcW w:w="960" w:type="dxa"/>
            <w:gridSpan w:val="2"/>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hint="default" w:ascii="宋体" w:hAnsi="宋体" w:eastAsia="宋体" w:cs="宋体"/>
                <w:color w:val="auto"/>
                <w:sz w:val="21"/>
                <w:highlight w:val="white"/>
                <w:lang w:val="en-US" w:eastAsia="zh-CN"/>
              </w:rPr>
            </w:pPr>
            <w:r>
              <w:rPr>
                <w:rFonts w:hint="eastAsia" w:ascii="宋体" w:hAnsi="宋体" w:eastAsia="宋体" w:cs="宋体"/>
                <w:color w:val="auto"/>
                <w:sz w:val="21"/>
                <w:highlight w:val="white"/>
                <w:lang w:val="en-US" w:eastAsia="zh-CN"/>
              </w:rPr>
              <w:t>30.00分</w:t>
            </w:r>
          </w:p>
        </w:tc>
        <w:tc>
          <w:tcPr>
            <w:tcW w:w="478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综合评分法中的价格分统一采用低价优先法计算，即满足磋商文件要求且最后报价最低的供应商的价格为磋商基准价，其价格分为满分。其他供应商</w:t>
            </w:r>
          </w:p>
          <w:p>
            <w:pPr>
              <w:pStyle w:val="31"/>
              <w:jc w:val="both"/>
              <w:rPr>
                <w:rFonts w:ascii="宋体" w:hAnsi="宋体" w:eastAsia="宋体" w:cs="宋体"/>
                <w:color w:val="auto"/>
                <w:sz w:val="21"/>
                <w:highlight w:val="none"/>
              </w:rPr>
            </w:pPr>
            <w:r>
              <w:rPr>
                <w:rFonts w:hint="eastAsia" w:ascii="宋体" w:hAnsi="宋体" w:eastAsia="宋体" w:cs="宋体"/>
                <w:color w:val="auto"/>
                <w:sz w:val="21"/>
                <w:highlight w:val="none"/>
              </w:rPr>
              <w:t>的价格分统一按照下列公式计算：</w:t>
            </w:r>
            <w:r>
              <w:rPr>
                <w:rFonts w:hint="eastAsia" w:ascii="宋体" w:hAnsi="宋体" w:eastAsia="宋体" w:cs="宋体"/>
                <w:color w:val="auto"/>
                <w:sz w:val="21"/>
                <w:highlight w:val="none"/>
              </w:rPr>
              <w:br w:type="textWrapping"/>
            </w:r>
            <w:r>
              <w:rPr>
                <w:rFonts w:hint="eastAsia" w:ascii="宋体" w:hAnsi="宋体" w:eastAsia="宋体" w:cs="宋体"/>
                <w:color w:val="auto"/>
                <w:sz w:val="21"/>
                <w:highlight w:val="none"/>
              </w:rPr>
              <w:t>磋商报价得分=（磋商基准价/最后磋商报价）×价格权值×100(保留两位小数)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hint="eastAsia" w:ascii="宋体" w:hAnsi="宋体" w:eastAsia="宋体" w:cs="宋体"/>
                <w:color w:val="auto"/>
                <w:sz w:val="21"/>
                <w:lang w:eastAsia="zh-CN"/>
              </w:rPr>
            </w:pPr>
            <w:r>
              <w:rPr>
                <w:rFonts w:hint="eastAsia" w:ascii="宋体" w:hAnsi="宋体" w:eastAsia="宋体" w:cs="宋体"/>
                <w:color w:val="auto"/>
                <w:sz w:val="21"/>
                <w:lang w:eastAsia="zh-CN"/>
              </w:rPr>
              <w:t>合计</w:t>
            </w:r>
          </w:p>
        </w:tc>
        <w:tc>
          <w:tcPr>
            <w:tcW w:w="8218" w:type="dxa"/>
            <w:gridSpan w:val="5"/>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31"/>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100分</w:t>
            </w:r>
          </w:p>
        </w:tc>
      </w:tr>
    </w:tbl>
    <w:p>
      <w:pPr>
        <w:pStyle w:val="13"/>
        <w:spacing w:line="360" w:lineRule="exact"/>
        <w:rPr>
          <w:rFonts w:hAnsi="宋体"/>
          <w:b/>
          <w:color w:val="000000" w:themeColor="text1"/>
          <w14:textFill>
            <w14:solidFill>
              <w14:schemeClr w14:val="tx1"/>
            </w14:solidFill>
          </w14:textFill>
        </w:rPr>
      </w:pPr>
    </w:p>
    <w:p>
      <w:pPr>
        <w:pStyle w:val="13"/>
        <w:spacing w:line="360" w:lineRule="auto"/>
        <w:rPr>
          <w:rFonts w:hint="eastAsia" w:hAnsi="宋体" w:eastAsia="宋体"/>
          <w:b/>
          <w:lang w:eastAsia="zh-CN"/>
        </w:rPr>
      </w:pPr>
      <w:r>
        <w:rPr>
          <w:rFonts w:hint="eastAsia" w:hAnsi="宋体"/>
          <w:b/>
        </w:rPr>
        <w:t>中小企业和节能、环境标志产品评审优惠内容及加分幅度</w:t>
      </w:r>
      <w:r>
        <w:rPr>
          <w:rFonts w:hint="eastAsia" w:hAnsi="宋体"/>
          <w:b/>
          <w:lang w:eastAsia="zh-CN"/>
        </w:rPr>
        <w:t>（</w:t>
      </w:r>
      <w:r>
        <w:rPr>
          <w:rFonts w:hint="eastAsia" w:hAnsi="宋体"/>
          <w:b/>
          <w:lang w:val="en-US" w:eastAsia="zh-CN"/>
        </w:rPr>
        <w:t>本项目为中小企业/小微企业预留</w:t>
      </w:r>
      <w:r>
        <w:rPr>
          <w:rFonts w:hint="eastAsia" w:hAnsi="宋体"/>
          <w:b/>
          <w:lang w:eastAsia="zh-CN"/>
        </w:rPr>
        <w:t>）</w:t>
      </w:r>
    </w:p>
    <w:tbl>
      <w:tblPr>
        <w:tblStyle w:val="18"/>
        <w:tblW w:w="952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5"/>
        <w:gridCol w:w="2192"/>
        <w:gridCol w:w="68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19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Ansi="宋体" w:cs="Courier New"/>
                <w:b/>
              </w:rPr>
            </w:pPr>
            <w:r>
              <w:rPr>
                <w:rFonts w:hint="eastAsia" w:hAnsi="宋体" w:cs="Courier New"/>
                <w:b/>
              </w:rPr>
              <w:t>属于中小企业评审优惠内容及价格扣除幅度</w:t>
            </w:r>
          </w:p>
        </w:tc>
        <w:tc>
          <w:tcPr>
            <w:tcW w:w="6869" w:type="dxa"/>
            <w:tcBorders>
              <w:top w:val="single" w:color="auto" w:sz="4" w:space="0"/>
              <w:left w:val="single" w:color="auto" w:sz="4" w:space="0"/>
              <w:bottom w:val="single" w:color="auto" w:sz="4" w:space="0"/>
              <w:right w:val="single" w:color="auto" w:sz="4" w:space="0"/>
            </w:tcBorders>
            <w:vAlign w:val="center"/>
          </w:tcPr>
          <w:p>
            <w:pPr>
              <w:pStyle w:val="13"/>
              <w:spacing w:line="360" w:lineRule="auto"/>
              <w:ind w:firstLine="440" w:firstLineChars="200"/>
              <w:rPr>
                <w:rFonts w:hAnsi="宋体"/>
              </w:rPr>
            </w:pPr>
            <w:r>
              <w:rPr>
                <w:rFonts w:hint="eastAsia" w:hAnsi="宋体"/>
              </w:rPr>
              <w:t>根据中华人民共和国财政部、中华人民共和国工业和信息化部《政府采购促进中小企业发展管理办法》（财库[2020]46号）文件</w:t>
            </w:r>
            <w:r>
              <w:rPr>
                <w:rFonts w:hint="eastAsia" w:hAnsi="宋体"/>
                <w:lang w:val="en-US" w:eastAsia="zh-CN"/>
              </w:rPr>
              <w:t>和财库（2022）19号文</w:t>
            </w:r>
            <w:r>
              <w:rPr>
                <w:rFonts w:hint="eastAsia" w:hAnsi="宋体"/>
              </w:rPr>
              <w:t>的规定，属于中小企业评审优惠内容及幅度如下：</w:t>
            </w:r>
          </w:p>
          <w:p>
            <w:pPr>
              <w:pStyle w:val="13"/>
              <w:spacing w:line="360" w:lineRule="auto"/>
              <w:ind w:firstLine="440" w:firstLineChars="200"/>
              <w:rPr>
                <w:rFonts w:hAnsi="宋体"/>
              </w:rPr>
            </w:pPr>
            <w:r>
              <w:rPr>
                <w:rFonts w:hint="eastAsia" w:hAnsi="宋体"/>
              </w:rPr>
              <w:t>（一）中小企业（含中型、小型、微型企业）应当同时符合以下条件：</w:t>
            </w:r>
          </w:p>
          <w:p>
            <w:pPr>
              <w:pStyle w:val="13"/>
              <w:spacing w:line="360" w:lineRule="auto"/>
              <w:ind w:firstLine="440" w:firstLineChars="200"/>
              <w:rPr>
                <w:rFonts w:hAnsi="宋体"/>
              </w:rPr>
            </w:pPr>
            <w:r>
              <w:rPr>
                <w:rFonts w:hint="eastAsia" w:hAnsi="宋体"/>
              </w:rPr>
              <w:t>①符合中小企业划分标准（按《关于印发中小企业划型标准规定的通知》（工信部联企业〔2011〕300号）执行）；</w:t>
            </w:r>
          </w:p>
          <w:p>
            <w:pPr>
              <w:pStyle w:val="13"/>
              <w:spacing w:line="360" w:lineRule="auto"/>
              <w:ind w:firstLine="440" w:firstLineChars="200"/>
              <w:rPr>
                <w:rFonts w:hAnsi="宋体"/>
              </w:rPr>
            </w:pPr>
            <w:r>
              <w:rPr>
                <w:rFonts w:hint="eastAsia" w:hAnsi="宋体"/>
              </w:rPr>
              <w:t>②提供本企业制造的货物、承担的项目或者服务，或者提供其他中小企业制造的货物。本项所称货物不包括使用大型企业注册商标的货物；</w:t>
            </w:r>
          </w:p>
          <w:p>
            <w:pPr>
              <w:pStyle w:val="13"/>
              <w:spacing w:line="360" w:lineRule="auto"/>
              <w:ind w:firstLine="440" w:firstLineChars="200"/>
              <w:rPr>
                <w:rFonts w:hAnsi="宋体"/>
              </w:rPr>
            </w:pPr>
            <w:r>
              <w:rPr>
                <w:rFonts w:hint="eastAsia" w:hAnsi="宋体"/>
              </w:rPr>
              <w:t>③小型、微型企业提供中型企业制造的货物的，视同为中型企业。</w:t>
            </w:r>
          </w:p>
          <w:p>
            <w:pPr>
              <w:pStyle w:val="13"/>
              <w:spacing w:line="360" w:lineRule="auto"/>
              <w:ind w:firstLine="440" w:firstLineChars="200"/>
              <w:rPr>
                <w:rFonts w:hAnsi="宋体"/>
              </w:rPr>
            </w:pPr>
            <w:r>
              <w:rPr>
                <w:rFonts w:hint="eastAsia" w:hAnsi="宋体"/>
              </w:rPr>
              <w:t>（二）价格扣除办法：</w:t>
            </w:r>
          </w:p>
          <w:p>
            <w:pPr>
              <w:pStyle w:val="13"/>
              <w:spacing w:line="360" w:lineRule="auto"/>
              <w:ind w:firstLine="440" w:firstLineChars="200"/>
              <w:rPr>
                <w:rFonts w:hAnsi="宋体"/>
              </w:rPr>
            </w:pPr>
            <w:r>
              <w:rPr>
                <w:rFonts w:hint="eastAsia" w:hAnsi="宋体"/>
              </w:rPr>
              <w:t>①对于非专门面向中小企业的项目，对小型和微型企业（或联合体各方均为小型、微型企业的）产品的价格给予</w:t>
            </w:r>
            <w:r>
              <w:rPr>
                <w:rFonts w:hint="eastAsia" w:hAnsi="宋体"/>
                <w:lang w:val="en-US" w:eastAsia="zh-CN"/>
              </w:rPr>
              <w:t>6</w:t>
            </w:r>
            <w:r>
              <w:rPr>
                <w:rFonts w:hint="eastAsia" w:hAnsi="宋体"/>
              </w:rPr>
              <w:t>%的扣除，用扣除后的价格参与价格分的评审。</w:t>
            </w:r>
          </w:p>
          <w:p>
            <w:pPr>
              <w:pStyle w:val="13"/>
              <w:spacing w:line="360" w:lineRule="auto"/>
              <w:ind w:firstLine="440" w:firstLineChars="200"/>
              <w:rPr>
                <w:rFonts w:hAnsi="宋体"/>
              </w:rPr>
            </w:pPr>
            <w:r>
              <w:rPr>
                <w:rFonts w:hint="eastAsia" w:hAnsi="宋体"/>
              </w:rPr>
              <w:t>（三）小型和微型企业适用价格扣除办法时应提供的相关资料：</w:t>
            </w:r>
          </w:p>
          <w:p>
            <w:pPr>
              <w:pStyle w:val="13"/>
              <w:spacing w:line="360" w:lineRule="auto"/>
              <w:ind w:firstLine="440" w:firstLineChars="200"/>
              <w:rPr>
                <w:rFonts w:hAnsi="宋体"/>
              </w:rPr>
            </w:pPr>
            <w:r>
              <w:rPr>
                <w:rFonts w:hint="eastAsia" w:hAnsi="宋体"/>
              </w:rPr>
              <w:t>①、《中小企业声明函》；</w:t>
            </w:r>
          </w:p>
          <w:p>
            <w:pPr>
              <w:pStyle w:val="13"/>
              <w:spacing w:line="360" w:lineRule="auto"/>
              <w:ind w:firstLine="440" w:firstLineChars="200"/>
              <w:rPr>
                <w:rFonts w:hAnsi="宋体"/>
              </w:rPr>
            </w:pPr>
            <w:r>
              <w:rPr>
                <w:rFonts w:hint="eastAsia" w:hAnsi="宋体"/>
              </w:rPr>
              <w:t>中小企业应当按照《办法》规定和《中小企业划型标准规定》（工信部联企业〔2011〕300号），如实填写并提交《中小企业声明函》，中小企业对其声明内容的真实性负责，声明函内容不实的，属于提供虚假材料谋取中标、成交，依照《中华人民共和国政府采购法》等国家有关规定追究相应责任。</w:t>
            </w:r>
          </w:p>
          <w:p>
            <w:pPr>
              <w:pStyle w:val="13"/>
              <w:spacing w:line="360" w:lineRule="auto"/>
              <w:ind w:firstLine="440" w:firstLineChars="200"/>
              <w:rPr>
                <w:rFonts w:hAnsi="宋体" w:cs="Courier New"/>
              </w:rPr>
            </w:pPr>
            <w:r>
              <w:rPr>
                <w:rFonts w:hint="eastAsia" w:hAnsi="宋体"/>
              </w:rPr>
              <w:t>进口产品不享受中小企业评审优惠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2</w:t>
            </w:r>
          </w:p>
        </w:tc>
        <w:tc>
          <w:tcPr>
            <w:tcW w:w="219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rPr>
                <w:rFonts w:hAnsi="宋体" w:cs="Courier New"/>
              </w:rPr>
            </w:pPr>
            <w:r>
              <w:rPr>
                <w:rFonts w:hint="eastAsia" w:hAnsi="宋体" w:cs="Courier New"/>
                <w:b/>
              </w:rPr>
              <w:t>节能、环境标志产品评审优惠内容及加分幅度</w:t>
            </w:r>
          </w:p>
        </w:tc>
        <w:tc>
          <w:tcPr>
            <w:tcW w:w="6869" w:type="dxa"/>
            <w:tcBorders>
              <w:top w:val="single" w:color="auto" w:sz="4" w:space="0"/>
              <w:left w:val="single" w:color="auto" w:sz="4" w:space="0"/>
              <w:bottom w:val="single" w:color="auto" w:sz="4" w:space="0"/>
              <w:right w:val="single" w:color="auto" w:sz="4" w:space="0"/>
            </w:tcBorders>
            <w:vAlign w:val="center"/>
          </w:tcPr>
          <w:p>
            <w:pPr>
              <w:pStyle w:val="13"/>
              <w:spacing w:line="360" w:lineRule="auto"/>
              <w:ind w:firstLine="440" w:firstLineChars="200"/>
              <w:rPr>
                <w:rFonts w:hAnsi="宋体" w:cs="Courier New"/>
              </w:rPr>
            </w:pPr>
            <w:r>
              <w:rPr>
                <w:rFonts w:hint="eastAsia" w:hAnsi="宋体" w:cs="Courier New"/>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13"/>
              <w:spacing w:line="360" w:lineRule="auto"/>
              <w:ind w:firstLine="440" w:firstLineChars="200"/>
              <w:rPr>
                <w:rFonts w:hAnsi="宋体" w:cs="Courier New"/>
              </w:rPr>
            </w:pPr>
            <w:r>
              <w:rPr>
                <w:rFonts w:hint="eastAsia" w:hAnsi="宋体" w:cs="Courier New"/>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ascii="宋体" w:hAnsi="宋体"/>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3"/>
              <w:spacing w:line="360" w:lineRule="auto"/>
              <w:ind w:firstLine="440" w:firstLineChars="200"/>
              <w:rPr>
                <w:rFonts w:hAnsi="宋体" w:cs="Courier New"/>
              </w:rPr>
            </w:pPr>
            <w:r>
              <w:rPr>
                <w:rFonts w:hint="eastAsia" w:hAnsi="宋体" w:cs="Courier New"/>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ascii="宋体" w:hAnsi="宋体"/>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3"/>
              <w:spacing w:line="360" w:lineRule="auto"/>
              <w:ind w:firstLine="440" w:firstLineChars="200"/>
              <w:rPr>
                <w:rFonts w:hAnsi="宋体" w:cs="Courier New"/>
              </w:rPr>
            </w:pPr>
            <w:r>
              <w:rPr>
                <w:rFonts w:hint="eastAsia" w:hAnsi="宋体" w:cs="Courier New"/>
              </w:rPr>
              <w:t>价格项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ascii="宋体" w:hAnsi="宋体"/>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3"/>
              <w:spacing w:line="360" w:lineRule="auto"/>
              <w:ind w:firstLine="440" w:firstLineChars="200"/>
              <w:rPr>
                <w:rFonts w:hAnsi="宋体" w:cs="Courier New"/>
              </w:rPr>
            </w:pPr>
            <w:r>
              <w:rPr>
                <w:rFonts w:hint="eastAsia" w:hAnsi="宋体" w:cs="Courier New"/>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ascii="宋体" w:hAnsi="宋体"/>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3"/>
              <w:spacing w:line="360" w:lineRule="auto"/>
              <w:ind w:firstLine="440" w:firstLineChars="200"/>
              <w:rPr>
                <w:rFonts w:hAnsi="宋体" w:cs="Courier New"/>
              </w:rPr>
            </w:pPr>
            <w:r>
              <w:rPr>
                <w:rFonts w:hint="eastAsia" w:hAnsi="宋体" w:cs="Courier New"/>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continue"/>
            <w:tcBorders>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3"/>
              <w:spacing w:line="360" w:lineRule="auto"/>
              <w:ind w:firstLine="440" w:firstLineChars="200"/>
              <w:rPr>
                <w:rFonts w:hAnsi="宋体" w:cs="Courier New"/>
              </w:rPr>
            </w:pPr>
            <w:r>
              <w:rPr>
                <w:rFonts w:hint="eastAsia" w:hAnsi="宋体" w:cs="Courier New"/>
              </w:rPr>
              <w:t>注：1、提供近两期《节能产品政府采购清单》关于投标产品当前页的打印件；</w:t>
            </w:r>
          </w:p>
          <w:p>
            <w:pPr>
              <w:pStyle w:val="13"/>
              <w:spacing w:line="360" w:lineRule="auto"/>
              <w:ind w:firstLine="440" w:firstLineChars="200"/>
              <w:rPr>
                <w:rFonts w:hAnsi="宋体" w:cs="Courier New"/>
              </w:rPr>
            </w:pPr>
            <w:r>
              <w:rPr>
                <w:rFonts w:hint="eastAsia" w:hAnsi="宋体" w:cs="Courier New"/>
              </w:rPr>
              <w:t>2、提供近两期《环境标志产品政府采购清单》关于投标产品当前页的打印件。</w:t>
            </w:r>
          </w:p>
          <w:p>
            <w:pPr>
              <w:pStyle w:val="13"/>
              <w:spacing w:line="360" w:lineRule="auto"/>
              <w:ind w:firstLine="440" w:firstLineChars="200"/>
              <w:rPr>
                <w:rFonts w:hAnsi="宋体" w:cs="Courier New"/>
              </w:rPr>
            </w:pPr>
            <w:r>
              <w:rPr>
                <w:rFonts w:hint="eastAsia" w:hAnsi="宋体" w:cs="Courier New"/>
              </w:rPr>
              <w:t>未单独分项报价且未提供属于清单内产品的证明资料的不给予加分</w:t>
            </w:r>
          </w:p>
        </w:tc>
      </w:tr>
    </w:tbl>
    <w:p>
      <w:pPr>
        <w:pStyle w:val="13"/>
        <w:spacing w:line="360" w:lineRule="auto"/>
        <w:rPr>
          <w:rFonts w:hint="eastAsia" w:hAnsi="宋体"/>
        </w:rPr>
      </w:pP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评分说明：</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a.评标委员会小组成员打分时不得协商,应独立完成。</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b.未满足招标文件要求的投标方,不予评分。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c.投标人报价超财政预算的按无效投标处理。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d.属于中小企业评审优惠内容及价格扣除幅度，本项目的价格扣除为</w:t>
      </w:r>
      <w:r>
        <w:rPr>
          <w:rFonts w:hint="eastAsia" w:cs="宋体"/>
          <w:sz w:val="24"/>
          <w:szCs w:val="24"/>
          <w:lang w:val="en-US" w:eastAsia="zh-CN"/>
        </w:rPr>
        <w:t>6</w:t>
      </w:r>
      <w:r>
        <w:rPr>
          <w:rFonts w:hint="eastAsia" w:ascii="宋体" w:hAnsi="宋体" w:eastAsia="宋体" w:cs="宋体"/>
          <w:sz w:val="24"/>
          <w:szCs w:val="24"/>
        </w:rPr>
        <w:t>%。</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根据中华人民共和国财政部、中华人民共和国工业和信息化部《政府采购促进中小企业发展管理办法》（财库[2020]46号）文件</w:t>
      </w:r>
      <w:r>
        <w:rPr>
          <w:rFonts w:hint="eastAsia" w:ascii="宋体" w:hAnsi="宋体" w:eastAsia="宋体" w:cs="宋体"/>
          <w:sz w:val="24"/>
          <w:szCs w:val="24"/>
          <w:lang w:val="en-US" w:eastAsia="zh-CN"/>
        </w:rPr>
        <w:t>和财库（2022）19号文</w:t>
      </w:r>
      <w:r>
        <w:rPr>
          <w:rFonts w:hint="eastAsia" w:ascii="宋体" w:hAnsi="宋体" w:eastAsia="宋体" w:cs="宋体"/>
          <w:sz w:val="24"/>
          <w:szCs w:val="24"/>
        </w:rPr>
        <w:t>的规定，属于中小企业评审优惠内容及幅度如下：</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（一）中小企业（含中型、小型、微型企业）应当同时符合以下条件：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①符合中小企业划分标准（按《关于印发中小企业划型标准规定的通知》（工信部联企业（2011）300号）执行）；</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②提供本企业制造的货物、承担的项目或者服务，或者提供其他中小企业制造的货物。本项所称货物不包括使用大型企业注册商标的货物；</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③小型、微型企业提供中型企业制造的货物的，视同为中型企业。</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（二）价格扣除办法：</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对于非专门面向中小企业的项目，对小型和微型企业产品的价格给予</w:t>
      </w:r>
      <w:r>
        <w:rPr>
          <w:rFonts w:hint="eastAsia" w:cs="宋体"/>
          <w:sz w:val="24"/>
          <w:szCs w:val="24"/>
          <w:lang w:val="en-US" w:eastAsia="zh-CN"/>
        </w:rPr>
        <w:t>6</w:t>
      </w:r>
      <w:r>
        <w:rPr>
          <w:rFonts w:hint="eastAsia" w:ascii="宋体" w:hAnsi="宋体" w:eastAsia="宋体" w:cs="宋体"/>
          <w:sz w:val="24"/>
          <w:szCs w:val="24"/>
        </w:rPr>
        <w:t>%的扣除，用扣除后的价格参与价格分的评审。</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（三）小型和微型企业适用价格扣除办法时应提供的相关资料：</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①《中小企业声明函》;</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中小企业应当按照《办法》规定和《中小企业划型标准规定》（工信部联企业〔2011〕300号），如实填写并提交《中小企业声明函》，中小企业对其声明内容的真实性负责，声明函内容不实的，属于提供虚假材料谋取中标、成交，依照《中华人民共和国政府采购法》等国家有关规定追究相应责任。</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属于享受政府采购支持政策的残疾人福利性单位评审优惠内容及价格扣除幅度按小型、微型企业评审中价格扣除（须提供投标供应商所在地政府管理部门出具的相关证明原件，另提供相关证明原件复印件加盖投标人公章），残疾人福利性单位属于小型、微型企业的，不重复享受政策。本项目的价格扣除为</w:t>
      </w:r>
      <w:r>
        <w:rPr>
          <w:rFonts w:hint="eastAsia" w:cs="宋体"/>
          <w:sz w:val="24"/>
          <w:szCs w:val="24"/>
          <w:lang w:val="en-US" w:eastAsia="zh-CN"/>
        </w:rPr>
        <w:t>6</w:t>
      </w:r>
      <w:r>
        <w:rPr>
          <w:rFonts w:hint="eastAsia" w:ascii="宋体" w:hAnsi="宋体" w:eastAsia="宋体" w:cs="宋体"/>
          <w:sz w:val="24"/>
          <w:szCs w:val="24"/>
        </w:rPr>
        <w:t>%。</w:t>
      </w:r>
    </w:p>
    <w:p>
      <w:pP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五、评标保密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ind w:firstLine="482" w:firstLineChars="200"/>
        <w:rPr>
          <w:rFonts w:hint="eastAsia" w:ascii="宋体" w:hAnsi="宋体" w:eastAsia="宋体" w:cs="宋体"/>
          <w:b/>
          <w:spacing w:val="-1"/>
          <w:sz w:val="24"/>
          <w:szCs w:val="24"/>
        </w:rPr>
      </w:pPr>
      <w:r>
        <w:rPr>
          <w:rFonts w:hint="eastAsia" w:ascii="宋体" w:hAnsi="宋体" w:eastAsia="宋体" w:cs="宋体"/>
          <w:b/>
          <w:sz w:val="24"/>
          <w:szCs w:val="24"/>
        </w:rPr>
        <w:t>六、成交通知</w:t>
      </w:r>
    </w:p>
    <w:p>
      <w:pPr>
        <w:spacing w:line="440" w:lineRule="exact"/>
        <w:ind w:firstLine="552" w:firstLineChars="200"/>
        <w:rPr>
          <w:rFonts w:hint="eastAsia" w:ascii="宋体" w:hAnsi="宋体" w:eastAsia="宋体" w:cs="宋体"/>
          <w:spacing w:val="-1"/>
          <w:sz w:val="24"/>
          <w:szCs w:val="24"/>
        </w:rPr>
      </w:pPr>
      <w:r>
        <w:rPr>
          <w:rFonts w:hint="eastAsia" w:ascii="宋体" w:hAnsi="宋体" w:eastAsia="宋体" w:cs="宋体"/>
          <w:spacing w:val="18"/>
          <w:sz w:val="24"/>
          <w:szCs w:val="24"/>
        </w:rPr>
        <w:t>6.1</w:t>
      </w:r>
      <w:r>
        <w:rPr>
          <w:rFonts w:hint="eastAsia" w:ascii="宋体" w:hAnsi="宋体" w:eastAsia="宋体" w:cs="宋体"/>
          <w:spacing w:val="-1"/>
          <w:sz w:val="24"/>
          <w:szCs w:val="24"/>
        </w:rPr>
        <w:t>确定成交人</w:t>
      </w:r>
    </w:p>
    <w:p>
      <w:pPr>
        <w:spacing w:line="440" w:lineRule="exact"/>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rPr>
        <w:t>评标委员会根据最终评审向采购人推荐前3名成交候选人。</w:t>
      </w:r>
    </w:p>
    <w:p>
      <w:pPr>
        <w:spacing w:line="440" w:lineRule="exact"/>
        <w:ind w:firstLine="552" w:firstLineChars="200"/>
        <w:rPr>
          <w:rFonts w:hint="eastAsia" w:ascii="宋体" w:hAnsi="宋体" w:eastAsia="宋体" w:cs="宋体"/>
          <w:spacing w:val="-1"/>
          <w:sz w:val="24"/>
          <w:szCs w:val="24"/>
        </w:rPr>
      </w:pPr>
      <w:r>
        <w:rPr>
          <w:rFonts w:hint="eastAsia" w:ascii="宋体" w:hAnsi="宋体" w:eastAsia="宋体" w:cs="宋体"/>
          <w:spacing w:val="18"/>
          <w:sz w:val="24"/>
          <w:szCs w:val="24"/>
        </w:rPr>
        <w:t>6.2</w:t>
      </w:r>
      <w:r>
        <w:rPr>
          <w:rFonts w:hint="eastAsia" w:ascii="宋体" w:hAnsi="宋体" w:eastAsia="宋体" w:cs="宋体"/>
          <w:spacing w:val="-1"/>
          <w:sz w:val="24"/>
          <w:szCs w:val="24"/>
        </w:rPr>
        <w:t>中标通知</w:t>
      </w:r>
    </w:p>
    <w:p>
      <w:pPr>
        <w:pStyle w:val="10"/>
        <w:rPr>
          <w:sz w:val="20"/>
        </w:rPr>
      </w:pPr>
      <w:r>
        <w:rPr>
          <w:rFonts w:hint="eastAsia" w:ascii="宋体" w:hAnsi="宋体" w:eastAsia="宋体" w:cs="宋体"/>
          <w:spacing w:val="-1"/>
          <w:sz w:val="24"/>
          <w:szCs w:val="24"/>
        </w:rPr>
        <w:t>确定出成交人后，采购人将以书面形式通知成交的竞争性磋商响应人。</w:t>
      </w:r>
      <w:bookmarkStart w:id="112" w:name="第八章__工程量清单计量规则"/>
      <w:bookmarkEnd w:id="112"/>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4"/>
        <w:rPr>
          <w:sz w:val="18"/>
        </w:rPr>
      </w:pPr>
    </w:p>
    <w:p>
      <w:pPr>
        <w:adjustRightInd w:val="0"/>
        <w:spacing w:line="360" w:lineRule="auto"/>
        <w:ind w:firstLine="482" w:firstLineChars="200"/>
        <w:rPr>
          <w:rFonts w:ascii="宋体" w:hAnsi="宋体" w:cs="Times New Roman"/>
          <w:b/>
          <w:sz w:val="24"/>
          <w:szCs w:val="24"/>
          <w:lang w:val="en-US" w:bidi="ar-SA"/>
        </w:rPr>
      </w:pPr>
      <w:bookmarkStart w:id="113" w:name="_TOC_250018"/>
      <w:bookmarkEnd w:id="113"/>
    </w:p>
    <w:sectPr>
      <w:headerReference r:id="rId32" w:type="default"/>
      <w:footerReference r:id="rId33" w:type="default"/>
      <w:pgSz w:w="11910" w:h="16840"/>
      <w:pgMar w:top="1580" w:right="1240" w:bottom="1040" w:left="1260" w:header="0" w:footer="84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BRGEKD+??¨¬?">
    <w:altName w:val="Times New Roman"/>
    <w:panose1 w:val="00000000000000000000"/>
    <w:charset w:val="00"/>
    <w:family w:val="auto"/>
    <w:pitch w:val="default"/>
    <w:sig w:usb0="00000000" w:usb1="00000000" w:usb2="00000000" w:usb3="00000000" w:csb0="00000001" w:csb1="00000000"/>
  </w:font>
  <w:font w:name="PQPMNW+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SCOJMQ+ËÎÌå">
    <w:altName w:val="宋体"/>
    <w:panose1 w:val="00000000000000000000"/>
    <w:charset w:val="01"/>
    <w:family w:val="auto"/>
    <w:pitch w:val="default"/>
    <w:sig w:usb0="00000000" w:usb1="00000000" w:usb2="01010101" w:usb3="01010101" w:csb0="01010101" w:csb1="01010101"/>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kinsoku w:val="0"/>
      <w:overflowPunct w:val="0"/>
      <w:autoSpaceDE w:val="0"/>
      <w:autoSpaceDN w:val="0"/>
      <w:adjustRightInd w:val="0"/>
      <w:spacing w:line="14" w:lineRule="auto"/>
      <w:ind w:left="0"/>
      <w:rPr>
        <w:rFonts w:ascii="宋体" w:hAnsi="宋体" w:eastAsia="Times New Roman" w:cs="Times New Roman"/>
        <w:sz w:val="20"/>
        <w:szCs w:val="24"/>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r>
      <w:rPr>
        <w:sz w:val="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111</w:t>
                          </w:r>
                          <w:r>
                            <w:fldChar w:fldCharType="end"/>
                          </w:r>
                        </w:p>
                      </w:txbxContent>
                    </wps:txbx>
                    <wps:bodyPr wrap="none" lIns="0" tIns="0" rIns="0" bIns="0" upright="1">
                      <a:spAutoFit/>
                    </wps:bodyPr>
                  </wps:wsp>
                </a:graphicData>
              </a:graphic>
            </wp:anchor>
          </w:drawing>
        </mc:Choice>
        <mc:Fallback>
          <w:pict>
            <v:shape id="文本框 119"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HtiU2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6"/>
      </w:rPr>
    </w:pPr>
    <w:r>
      <w:rPr>
        <w:sz w:val="6"/>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120</w:t>
                          </w:r>
                          <w:r>
                            <w:fldChar w:fldCharType="end"/>
                          </w:r>
                        </w:p>
                      </w:txbxContent>
                    </wps:txbx>
                    <wps:bodyPr wrap="none" lIns="0" tIns="0" rIns="0" bIns="0" upright="1">
                      <a:spAutoFit/>
                    </wps:bodyPr>
                  </wps:wsp>
                </a:graphicData>
              </a:graphic>
            </wp:anchor>
          </w:drawing>
        </mc:Choice>
        <mc:Fallback>
          <w:pict>
            <v:shape id="文本框 120"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4qTrpyQEAAJw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130</w:t>
                          </w:r>
                          <w:r>
                            <w:fldChar w:fldCharType="end"/>
                          </w:r>
                        </w:p>
                      </w:txbxContent>
                    </wps:txbx>
                    <wps:bodyPr wrap="none" lIns="0" tIns="0" rIns="0" bIns="0" upright="1">
                      <a:spAutoFit/>
                    </wps:bodyPr>
                  </wps:wsp>
                </a:graphicData>
              </a:graphic>
            </wp:anchor>
          </w:drawing>
        </mc:Choice>
        <mc:Fallback>
          <w:pict>
            <v:shape id="文本框 12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TYald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140</w:t>
                          </w:r>
                          <w:r>
                            <w:fldChar w:fldCharType="end"/>
                          </w:r>
                        </w:p>
                      </w:txbxContent>
                    </wps:txbx>
                    <wps:bodyPr wrap="none" lIns="0" tIns="0" rIns="0" bIns="0" upright="1">
                      <a:spAutoFit/>
                    </wps:bodyPr>
                  </wps:wsp>
                </a:graphicData>
              </a:graphic>
            </wp:anchor>
          </w:drawing>
        </mc:Choice>
        <mc:Fallback>
          <w:pict>
            <v:shape id="文本框 122"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fhBOMoBAACcAwAADgAAAAAAAAABACAAAAAeAQAAZHJzL2Uyb0Rv&#10;Yy54bWxQSwUGAAAAAAYABgBZAQAAWg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150</w:t>
                          </w:r>
                          <w:r>
                            <w:fldChar w:fldCharType="end"/>
                          </w:r>
                        </w:p>
                      </w:txbxContent>
                    </wps:txbx>
                    <wps:bodyPr wrap="none" lIns="0" tIns="0" rIns="0" bIns="0" upright="1">
                      <a:spAutoFit/>
                    </wps:bodyPr>
                  </wps:wsp>
                </a:graphicData>
              </a:graphic>
            </wp:anchor>
          </w:drawing>
        </mc:Choice>
        <mc:Fallback>
          <w:pict>
            <v:shape id="文本框 123"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1rcoBAACb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7Jc&#10;vcwN6gPUmHcXMDMNb/2AazP7AZ1Z96CizV9URDCO7T1f2yuHRER+tF6t1xWGBMbmC+Kzh+chQnon&#10;vSXZaGjE+ZW28tMHSGPqnJKrOX+rjSkzNO4vB2JmD8vcR47ZSsN+mATtfXtGPT2OvqEON50S895h&#10;Z/OWzEacjf1sHEPUhw6pLQsvCG+OCUkUbrnCCDsVxpkVddN+5aX4816yHv6p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Y1rcoBAACbAwAADgAAAAAAAAABACAAAAAeAQAAZHJzL2Uyb0Rv&#10;Yy54bWxQSwUGAAAAAAYABgBZAQAAWg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154</w:t>
                          </w:r>
                          <w:r>
                            <w:fldChar w:fldCharType="end"/>
                          </w:r>
                        </w:p>
                      </w:txbxContent>
                    </wps:txbx>
                    <wps:bodyPr wrap="none" lIns="0" tIns="0" rIns="0" bIns="0" upright="1">
                      <a:spAutoFit/>
                    </wps:bodyPr>
                  </wps:wsp>
                </a:graphicData>
              </a:graphic>
            </wp:anchor>
          </w:drawing>
        </mc:Choice>
        <mc:Fallback>
          <w:pict>
            <v:shape id="文本框 124"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J6Wuf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157</w:t>
                          </w:r>
                          <w:r>
                            <w:fldChar w:fldCharType="end"/>
                          </w:r>
                        </w:p>
                      </w:txbxContent>
                    </wps:txbx>
                    <wps:bodyPr wrap="none" lIns="0" tIns="0" rIns="0" bIns="0" upright="1">
                      <a:spAutoFit/>
                    </wps:bodyPr>
                  </wps:wsp>
                </a:graphicData>
              </a:graphic>
            </wp:anchor>
          </w:drawing>
        </mc:Choice>
        <mc:Fallback>
          <w:pict>
            <v:shape id="文本框 125"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sslT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164</w:t>
                          </w:r>
                          <w:r>
                            <w:fldChar w:fldCharType="end"/>
                          </w:r>
                        </w:p>
                      </w:txbxContent>
                    </wps:txbx>
                    <wps:bodyPr wrap="none" lIns="0" tIns="0" rIns="0" bIns="0" upright="1">
                      <a:spAutoFit/>
                    </wps:bodyPr>
                  </wps:wsp>
                </a:graphicData>
              </a:graphic>
            </wp:anchor>
          </w:drawing>
        </mc:Choice>
        <mc:Fallback>
          <w:pict>
            <v:shape id="文本框 1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u052H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164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166</w:t>
                          </w:r>
                          <w:r>
                            <w:fldChar w:fldCharType="end"/>
                          </w:r>
                        </w:p>
                      </w:txbxContent>
                    </wps:txbx>
                    <wps:bodyPr wrap="none" lIns="0" tIns="0" rIns="0" bIns="0" upright="1">
                      <a:spAutoFit/>
                    </wps:bodyPr>
                  </wps:wsp>
                </a:graphicData>
              </a:graphic>
            </wp:anchor>
          </w:drawing>
        </mc:Choice>
        <mc:Fallback>
          <w:pict>
            <v:shape id="文本框 127"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FGw4z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166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170</w:t>
                          </w:r>
                          <w:r>
                            <w:fldChar w:fldCharType="end"/>
                          </w:r>
                        </w:p>
                      </w:txbxContent>
                    </wps:txbx>
                    <wps:bodyPr wrap="none" lIns="0" tIns="0" rIns="0" bIns="0" upright="1">
                      <a:spAutoFit/>
                    </wps:bodyPr>
                  </wps:wsp>
                </a:graphicData>
              </a:graphic>
            </wp:anchor>
          </w:drawing>
        </mc:Choice>
        <mc:Fallback>
          <w:pict>
            <v:shape id="文本框 128"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kcg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rS6ocQygxM/f/92/vHr/PMr&#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V5HIL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170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kinsoku w:val="0"/>
      <w:overflowPunct w:val="0"/>
      <w:autoSpaceDE w:val="0"/>
      <w:autoSpaceDN w:val="0"/>
      <w:adjustRightInd w:val="0"/>
      <w:spacing w:line="14" w:lineRule="auto"/>
      <w:ind w:left="0"/>
      <w:rPr>
        <w:rFonts w:ascii="宋体" w:hAnsi="宋体" w:eastAsia="Times New Roman" w:cs="Times New Roman"/>
        <w:sz w:val="20"/>
        <w:szCs w:val="24"/>
        <w:lang w:val="en-US" w:eastAsia="zh-CN" w:bidi="ar-SA"/>
      </w:rPr>
    </w:pPr>
  </w:p>
  <w:p>
    <w:pPr>
      <w:widowControl w:val="0"/>
      <w:kinsoku w:val="0"/>
      <w:overflowPunct w:val="0"/>
      <w:autoSpaceDE w:val="0"/>
      <w:autoSpaceDN w:val="0"/>
      <w:adjustRightInd w:val="0"/>
      <w:spacing w:line="14" w:lineRule="auto"/>
      <w:ind w:left="0"/>
      <w:rPr>
        <w:rFonts w:ascii="宋体" w:hAnsi="宋体" w:eastAsia="Times New Roman" w:cs="Times New Roman"/>
        <w:sz w:val="20"/>
        <w:szCs w:val="24"/>
        <w:lang w:val="en-US" w:eastAsia="zh-CN" w:bidi="ar-SA"/>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171</w:t>
                          </w:r>
                          <w:r>
                            <w:fldChar w:fldCharType="end"/>
                          </w:r>
                        </w:p>
                      </w:txbxContent>
                    </wps:txbx>
                    <wps:bodyPr wrap="none" lIns="0" tIns="0" rIns="0" bIns="0" upright="1">
                      <a:spAutoFit/>
                    </wps:bodyPr>
                  </wps:wsp>
                </a:graphicData>
              </a:graphic>
            </wp:anchor>
          </w:drawing>
        </mc:Choice>
        <mc:Fallback>
          <w:pict>
            <v:shape id="文本框 129"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esY82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171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文本框 1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swHhX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文本框 1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yciuX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71</w:t>
                          </w:r>
                          <w:r>
                            <w:fldChar w:fldCharType="end"/>
                          </w:r>
                        </w:p>
                      </w:txbxContent>
                    </wps:txbx>
                    <wps:bodyPr wrap="none" lIns="0" tIns="0" rIns="0" bIns="0" upright="1">
                      <a:spAutoFit/>
                    </wps:bodyPr>
                  </wps:wsp>
                </a:graphicData>
              </a:graphic>
            </wp:anchor>
          </w:drawing>
        </mc:Choice>
        <mc:Fallback>
          <w:pict>
            <v:shape id="文本框 1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Mpkin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81</w:t>
                          </w:r>
                          <w:r>
                            <w:fldChar w:fldCharType="end"/>
                          </w:r>
                        </w:p>
                      </w:txbxContent>
                    </wps:txbx>
                    <wps:bodyPr wrap="none" lIns="0" tIns="0" rIns="0" bIns="0" upright="1">
                      <a:spAutoFit/>
                    </wps:bodyPr>
                  </wps:wsp>
                </a:graphicData>
              </a:graphic>
            </wp:anchor>
          </w:drawing>
        </mc:Choice>
        <mc:Fallback>
          <w:pict>
            <v:shape id="文本框 11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h8DBI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91</w:t>
                          </w:r>
                          <w:r>
                            <w:fldChar w:fldCharType="end"/>
                          </w:r>
                        </w:p>
                      </w:txbxContent>
                    </wps:txbx>
                    <wps:bodyPr wrap="none" lIns="0" tIns="0" rIns="0" bIns="0" upright="1">
                      <a:spAutoFit/>
                    </wps:bodyPr>
                  </wps:wsp>
                </a:graphicData>
              </a:graphic>
            </wp:anchor>
          </w:drawing>
        </mc:Choice>
        <mc:Fallback>
          <w:pict>
            <v:shape id="文本框 11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0G8Kq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6"/>
      </w:rPr>
    </w:pPr>
    <w:r>
      <w:rPr>
        <w:sz w:val="16"/>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101</w:t>
                          </w:r>
                          <w:r>
                            <w:fldChar w:fldCharType="end"/>
                          </w:r>
                        </w:p>
                      </w:txbxContent>
                    </wps:txbx>
                    <wps:bodyPr wrap="none" lIns="0" tIns="0" rIns="0" bIns="0" upright="1">
                      <a:spAutoFit/>
                    </wps:bodyPr>
                  </wps:wsp>
                </a:graphicData>
              </a:graphic>
            </wp:anchor>
          </w:drawing>
        </mc:Choice>
        <mc:Fallback>
          <w:pict>
            <v:shape id="文本框 11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dWfco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110</w:t>
                          </w:r>
                          <w:r>
                            <w:fldChar w:fldCharType="end"/>
                          </w:r>
                        </w:p>
                      </w:txbxContent>
                    </wps:txbx>
                    <wps:bodyPr wrap="none" lIns="0" tIns="0" rIns="0" bIns="0" upright="1">
                      <a:spAutoFit/>
                    </wps:bodyPr>
                  </wps:wsp>
                </a:graphicData>
              </a:graphic>
            </wp:anchor>
          </w:drawing>
        </mc:Choice>
        <mc:Fallback>
          <w:pict>
            <v:shape id="文本框 118"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x+toL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kinsoku w:val="0"/>
      <w:overflowPunct w:val="0"/>
      <w:autoSpaceDE w:val="0"/>
      <w:autoSpaceDN w:val="0"/>
      <w:adjustRightInd w:val="0"/>
      <w:spacing w:line="14" w:lineRule="auto"/>
      <w:ind w:left="0"/>
      <w:rPr>
        <w:rFonts w:ascii="宋体" w:hAnsi="宋体" w:eastAsia="Times New Roman" w:cs="Times New Roman"/>
        <w:sz w:val="20"/>
        <w:szCs w:val="24"/>
        <w:lang w:val="en-US" w:eastAsia="zh-CN" w:bidi="ar-S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71552" behindDoc="1" locked="0" layoutInCell="1" allowOverlap="1">
              <wp:simplePos x="0" y="0"/>
              <wp:positionH relativeFrom="page">
                <wp:posOffset>1033780</wp:posOffset>
              </wp:positionH>
              <wp:positionV relativeFrom="page">
                <wp:posOffset>547370</wp:posOffset>
              </wp:positionV>
              <wp:extent cx="1290955" cy="158115"/>
              <wp:effectExtent l="0" t="0" r="0" b="0"/>
              <wp:wrapNone/>
              <wp:docPr id="59" name="文本框 50"/>
              <wp:cNvGraphicFramePr/>
              <a:graphic xmlns:a="http://schemas.openxmlformats.org/drawingml/2006/main">
                <a:graphicData uri="http://schemas.microsoft.com/office/word/2010/wordprocessingShape">
                  <wps:wsp>
                    <wps:cNvSpPr txBox="1"/>
                    <wps:spPr>
                      <a:xfrm>
                        <a:off x="0" y="0"/>
                        <a:ext cx="1290955" cy="158115"/>
                      </a:xfrm>
                      <a:prstGeom prst="rect">
                        <a:avLst/>
                      </a:prstGeom>
                      <a:noFill/>
                      <a:ln>
                        <a:noFill/>
                      </a:ln>
                    </wps:spPr>
                    <wps:txbx>
                      <w:txbxContent>
                        <w:p>
                          <w:pPr>
                            <w:spacing w:line="249" w:lineRule="exact"/>
                            <w:ind w:left="20"/>
                            <w:rPr>
                              <w:sz w:val="21"/>
                            </w:rPr>
                          </w:pPr>
                        </w:p>
                      </w:txbxContent>
                    </wps:txbx>
                    <wps:bodyPr lIns="0" tIns="0" rIns="0" bIns="0" upright="1"/>
                  </wps:wsp>
                </a:graphicData>
              </a:graphic>
            </wp:anchor>
          </w:drawing>
        </mc:Choice>
        <mc:Fallback>
          <w:pict>
            <v:shape id="文本框 50" o:spid="_x0000_s1026" o:spt="202" type="#_x0000_t202" style="position:absolute;left:0pt;margin-left:81.4pt;margin-top:43.1pt;height:12.45pt;width:101.65pt;mso-position-horizontal-relative:page;mso-position-vertical-relative:page;z-index:-251644928;mso-width-relative:page;mso-height-relative:page;" filled="f" stroked="f" coordsize="21600,21600" o:gfxdata="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YSSjP1gAAAAoBAAAPAAAAAAAAAAEAIAAAACIAAABkcnMvZG93bnJldi54bWxQSwECFAAU&#10;AAAACACHTuJAxPehGboBAAB0AwAADgAAAAAAAAABACAAAAAlAQAAZHJzL2Uyb0RvYy54bWxQSwUG&#10;AAAAAAYABgBZAQAAUQUAAAAA&#10;">
              <v:fill on="f" focussize="0,0"/>
              <v:stroke on="f"/>
              <v:imagedata o:title=""/>
              <o:lock v:ext="edit" aspectratio="f"/>
              <v:textbox inset="0mm,0mm,0mm,0mm">
                <w:txbxContent>
                  <w:p>
                    <w:pPr>
                      <w:spacing w:line="249" w:lineRule="exact"/>
                      <w:ind w:left="20"/>
                      <w:rPr>
                        <w:sz w:val="21"/>
                      </w:rPr>
                    </w:pP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1043305</wp:posOffset>
              </wp:positionH>
              <wp:positionV relativeFrom="page">
                <wp:posOffset>728345</wp:posOffset>
              </wp:positionV>
              <wp:extent cx="5387975" cy="0"/>
              <wp:effectExtent l="0" t="0" r="0" b="0"/>
              <wp:wrapNone/>
              <wp:docPr id="45" name="直线 22"/>
              <wp:cNvGraphicFramePr/>
              <a:graphic xmlns:a="http://schemas.openxmlformats.org/drawingml/2006/main">
                <a:graphicData uri="http://schemas.microsoft.com/office/word/2010/wordprocessingShape">
                  <wps:wsp>
                    <wps:cNvCnPr/>
                    <wps:spPr>
                      <a:xfrm>
                        <a:off x="0" y="0"/>
                        <a:ext cx="538797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2" o:spid="_x0000_s1026" o:spt="20" style="position:absolute;left:0pt;margin-left:82.15pt;margin-top:57.35pt;height:0pt;width:424.25pt;mso-position-horizontal-relative:page;mso-position-vertical-relative:page;z-index:-251657216;mso-width-relative:page;mso-height-relative:page;" filled="f" stroked="t" coordsize="21600,21600" o:gfxdata="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qxoAtkAAAAMAQAADwAAAAAAAAABACAAAAAiAAAAZHJzL2Rvd25yZXYueG1sUEsBAhQAFAAAAAgA&#10;h07iQBp7uDbrAQAA3QMAAA4AAAAAAAAAAQAgAAAAKAEAAGRycy9lMm9Eb2MueG1sUEsFBgAAAAAG&#10;AAYAWQEAAIUFAAAAAA==&#10;">
              <v:fill on="f" focussize="0,0"/>
              <v:stroke weight="0.48pt" color="#000000" joinstyle="round"/>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1239520</wp:posOffset>
              </wp:positionH>
              <wp:positionV relativeFrom="page">
                <wp:posOffset>547370</wp:posOffset>
              </wp:positionV>
              <wp:extent cx="1426845" cy="236855"/>
              <wp:effectExtent l="0" t="0" r="0" b="0"/>
              <wp:wrapNone/>
              <wp:docPr id="49" name="文本框 33"/>
              <wp:cNvGraphicFramePr/>
              <a:graphic xmlns:a="http://schemas.openxmlformats.org/drawingml/2006/main">
                <a:graphicData uri="http://schemas.microsoft.com/office/word/2010/wordprocessingShape">
                  <wps:wsp>
                    <wps:cNvSpPr txBox="1"/>
                    <wps:spPr>
                      <a:xfrm>
                        <a:off x="0" y="0"/>
                        <a:ext cx="1426845" cy="236855"/>
                      </a:xfrm>
                      <a:prstGeom prst="rect">
                        <a:avLst/>
                      </a:prstGeom>
                      <a:noFill/>
                      <a:ln>
                        <a:noFill/>
                      </a:ln>
                    </wps:spPr>
                    <wps:txbx>
                      <w:txbxContent>
                        <w:p>
                          <w:pPr>
                            <w:pStyle w:val="17"/>
                            <w:numPr>
                              <w:ilvl w:val="0"/>
                              <w:numId w:val="0"/>
                            </w:numPr>
                            <w:rPr>
                              <w:rFonts w:hint="default"/>
                              <w:lang w:val="en-US" w:eastAsia="zh-CN"/>
                            </w:rPr>
                          </w:pPr>
                        </w:p>
                      </w:txbxContent>
                    </wps:txbx>
                    <wps:bodyPr lIns="0" tIns="0" rIns="0" bIns="0" upright="1"/>
                  </wps:wsp>
                </a:graphicData>
              </a:graphic>
            </wp:anchor>
          </w:drawing>
        </mc:Choice>
        <mc:Fallback>
          <w:pict>
            <v:shape id="文本框 33" o:spid="_x0000_s1026" o:spt="202" type="#_x0000_t202" style="position:absolute;left:0pt;margin-left:97.6pt;margin-top:43.1pt;height:18.65pt;width:112.35pt;mso-position-horizontal-relative:page;mso-position-vertical-relative:page;z-index:-251656192;mso-width-relative:page;mso-height-relative:page;" filled="f" stroked="f" coordsize="21600,21600" o:gfxdata="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sFkkfZAAAACgEAAA8AAAAAAAAAAQAgAAAAIgAAAGRycy9kb3ducmV2LnhtbFBL&#10;AQIUABQAAAAIAIdO4kDaKpj6vAEAAHQDAAAOAAAAAAAAAAEAIAAAACgBAABkcnMvZTJvRG9jLnht&#10;bFBLBQYAAAAABgAGAFkBAABWBQAAAAA=&#10;">
              <v:fill on="f" focussize="0,0"/>
              <v:stroke on="f"/>
              <v:imagedata o:title=""/>
              <o:lock v:ext="edit" aspectratio="f"/>
              <v:textbox inset="0mm,0mm,0mm,0mm">
                <w:txbxContent>
                  <w:p>
                    <w:pPr>
                      <w:pStyle w:val="17"/>
                      <w:numPr>
                        <w:ilvl w:val="0"/>
                        <w:numId w:val="0"/>
                      </w:numPr>
                      <w:rPr>
                        <w:rFonts w:hint="default"/>
                        <w:lang w:val="en-US" w:eastAsia="zh-CN"/>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73600" behindDoc="1" locked="0" layoutInCell="1" allowOverlap="1">
              <wp:simplePos x="0" y="0"/>
              <wp:positionH relativeFrom="page">
                <wp:posOffset>1239520</wp:posOffset>
              </wp:positionH>
              <wp:positionV relativeFrom="page">
                <wp:posOffset>547370</wp:posOffset>
              </wp:positionV>
              <wp:extent cx="1090930" cy="158115"/>
              <wp:effectExtent l="0" t="0" r="0" b="0"/>
              <wp:wrapNone/>
              <wp:docPr id="51" name="文本框 36"/>
              <wp:cNvGraphicFramePr/>
              <a:graphic xmlns:a="http://schemas.openxmlformats.org/drawingml/2006/main">
                <a:graphicData uri="http://schemas.microsoft.com/office/word/2010/wordprocessingShape">
                  <wps:wsp>
                    <wps:cNvSpPr txBox="1"/>
                    <wps:spPr>
                      <a:xfrm>
                        <a:off x="0" y="0"/>
                        <a:ext cx="1090930" cy="158115"/>
                      </a:xfrm>
                      <a:prstGeom prst="rect">
                        <a:avLst/>
                      </a:prstGeom>
                      <a:noFill/>
                      <a:ln>
                        <a:noFill/>
                      </a:ln>
                    </wps:spPr>
                    <wps:txbx>
                      <w:txbxContent>
                        <w:p>
                          <w:pPr>
                            <w:tabs>
                              <w:tab w:val="left" w:pos="859"/>
                            </w:tabs>
                            <w:spacing w:line="249" w:lineRule="exact"/>
                            <w:ind w:left="20"/>
                            <w:rPr>
                              <w:sz w:val="21"/>
                            </w:rPr>
                          </w:pPr>
                        </w:p>
                        <w:p>
                          <w:pPr>
                            <w:pStyle w:val="17"/>
                          </w:pPr>
                        </w:p>
                      </w:txbxContent>
                    </wps:txbx>
                    <wps:bodyPr lIns="0" tIns="0" rIns="0" bIns="0" upright="1"/>
                  </wps:wsp>
                </a:graphicData>
              </a:graphic>
            </wp:anchor>
          </w:drawing>
        </mc:Choice>
        <mc:Fallback>
          <w:pict>
            <v:shape id="文本框 36" o:spid="_x0000_s1026" o:spt="202" type="#_x0000_t202" style="position:absolute;left:0pt;margin-left:97.6pt;margin-top:43.1pt;height:12.45pt;width:85.9pt;mso-position-horizontal-relative:page;mso-position-vertical-relative:page;z-index:-251642880;mso-width-relative:page;mso-height-relative:page;" filled="f" stroked="f" coordsize="21600,21600" o:gfxdata="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88YsdYAAAAKAQAADwAAAAAAAAABACAAAAAiAAAAZHJzL2Rvd25yZXYueG1sUEsBAhQA&#10;FAAAAAgAh07iQF77PuW7AQAAdAMAAA4AAAAAAAAAAQAgAAAAJQEAAGRycy9lMm9Eb2MueG1sUEsF&#10;BgAAAAAGAAYAWQEAAFIFAAAAAA==&#10;">
              <v:fill on="f" focussize="0,0"/>
              <v:stroke on="f"/>
              <v:imagedata o:title=""/>
              <o:lock v:ext="edit" aspectratio="f"/>
              <v:textbox inset="0mm,0mm,0mm,0mm">
                <w:txbxContent>
                  <w:p>
                    <w:pPr>
                      <w:tabs>
                        <w:tab w:val="left" w:pos="859"/>
                      </w:tabs>
                      <w:spacing w:line="249" w:lineRule="exact"/>
                      <w:ind w:left="20"/>
                      <w:rPr>
                        <w:sz w:val="21"/>
                      </w:rPr>
                    </w:pPr>
                  </w:p>
                  <w:p>
                    <w:pPr>
                      <w:pStyle w:val="17"/>
                    </w:pP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74624" behindDoc="1" locked="0" layoutInCell="1" allowOverlap="1">
              <wp:simplePos x="0" y="0"/>
              <wp:positionH relativeFrom="page">
                <wp:posOffset>1239520</wp:posOffset>
              </wp:positionH>
              <wp:positionV relativeFrom="page">
                <wp:posOffset>547370</wp:posOffset>
              </wp:positionV>
              <wp:extent cx="1090930" cy="158115"/>
              <wp:effectExtent l="0" t="0" r="0" b="0"/>
              <wp:wrapNone/>
              <wp:docPr id="5" name="文本框 36"/>
              <wp:cNvGraphicFramePr/>
              <a:graphic xmlns:a="http://schemas.openxmlformats.org/drawingml/2006/main">
                <a:graphicData uri="http://schemas.microsoft.com/office/word/2010/wordprocessingShape">
                  <wps:wsp>
                    <wps:cNvSpPr txBox="1"/>
                    <wps:spPr>
                      <a:xfrm>
                        <a:off x="0" y="0"/>
                        <a:ext cx="1090930" cy="158115"/>
                      </a:xfrm>
                      <a:prstGeom prst="rect">
                        <a:avLst/>
                      </a:prstGeom>
                      <a:noFill/>
                      <a:ln>
                        <a:noFill/>
                      </a:ln>
                    </wps:spPr>
                    <wps:txbx>
                      <w:txbxContent>
                        <w:p>
                          <w:pPr>
                            <w:tabs>
                              <w:tab w:val="left" w:pos="859"/>
                            </w:tabs>
                            <w:spacing w:line="249" w:lineRule="exact"/>
                            <w:ind w:left="20"/>
                            <w:rPr>
                              <w:sz w:val="21"/>
                            </w:rPr>
                          </w:pPr>
                        </w:p>
                        <w:p>
                          <w:pPr>
                            <w:pStyle w:val="17"/>
                          </w:pPr>
                        </w:p>
                      </w:txbxContent>
                    </wps:txbx>
                    <wps:bodyPr lIns="0" tIns="0" rIns="0" bIns="0" upright="1"/>
                  </wps:wsp>
                </a:graphicData>
              </a:graphic>
            </wp:anchor>
          </w:drawing>
        </mc:Choice>
        <mc:Fallback>
          <w:pict>
            <v:shape id="文本框 36" o:spid="_x0000_s1026" o:spt="202" type="#_x0000_t202" style="position:absolute;left:0pt;margin-left:97.6pt;margin-top:43.1pt;height:12.45pt;width:85.9pt;mso-position-horizontal-relative:page;mso-position-vertical-relative:page;z-index:-251641856;mso-width-relative:page;mso-height-relative:page;" filled="f" stroked="f" coordsize="21600,21600" o:gfxdata="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88YsdYAAAAKAQAADwAAAAAAAAABACAAAAAiAAAAZHJzL2Rvd25yZXYueG1sUEsBAhQA&#10;FAAAAAgAh07iQIjBVgC7AQAAcwMAAA4AAAAAAAAAAQAgAAAAJQEAAGRycy9lMm9Eb2MueG1sUEsF&#10;BgAAAAAGAAYAWQEAAFIFAAAAAA==&#10;">
              <v:fill on="f" focussize="0,0"/>
              <v:stroke on="f"/>
              <v:imagedata o:title=""/>
              <o:lock v:ext="edit" aspectratio="f"/>
              <v:textbox inset="0mm,0mm,0mm,0mm">
                <w:txbxContent>
                  <w:p>
                    <w:pPr>
                      <w:tabs>
                        <w:tab w:val="left" w:pos="859"/>
                      </w:tabs>
                      <w:spacing w:line="249" w:lineRule="exact"/>
                      <w:ind w:left="20"/>
                      <w:rPr>
                        <w:sz w:val="21"/>
                      </w:rPr>
                    </w:pPr>
                  </w:p>
                  <w:p>
                    <w:pPr>
                      <w:pStyle w:val="17"/>
                    </w:pP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70528" behindDoc="1" locked="0" layoutInCell="1" allowOverlap="1">
              <wp:simplePos x="0" y="0"/>
              <wp:positionH relativeFrom="page">
                <wp:posOffset>1140460</wp:posOffset>
              </wp:positionH>
              <wp:positionV relativeFrom="page">
                <wp:posOffset>547370</wp:posOffset>
              </wp:positionV>
              <wp:extent cx="759460" cy="158115"/>
              <wp:effectExtent l="0" t="0" r="0" b="0"/>
              <wp:wrapNone/>
              <wp:docPr id="55" name="文本框 43"/>
              <wp:cNvGraphicFramePr/>
              <a:graphic xmlns:a="http://schemas.openxmlformats.org/drawingml/2006/main">
                <a:graphicData uri="http://schemas.microsoft.com/office/word/2010/wordprocessingShape">
                  <wps:wsp>
                    <wps:cNvSpPr txBox="1"/>
                    <wps:spPr>
                      <a:xfrm>
                        <a:off x="0" y="0"/>
                        <a:ext cx="759460" cy="158115"/>
                      </a:xfrm>
                      <a:prstGeom prst="rect">
                        <a:avLst/>
                      </a:prstGeom>
                      <a:noFill/>
                      <a:ln>
                        <a:noFill/>
                      </a:ln>
                    </wps:spPr>
                    <wps:txbx>
                      <w:txbxContent>
                        <w:p/>
                      </w:txbxContent>
                    </wps:txbx>
                    <wps:bodyPr lIns="0" tIns="0" rIns="0" bIns="0" upright="1"/>
                  </wps:wsp>
                </a:graphicData>
              </a:graphic>
            </wp:anchor>
          </w:drawing>
        </mc:Choice>
        <mc:Fallback>
          <w:pict>
            <v:shape id="文本框 43" o:spid="_x0000_s1026" o:spt="202" type="#_x0000_t202" style="position:absolute;left:0pt;margin-left:89.8pt;margin-top:43.1pt;height:12.45pt;width:59.8pt;mso-position-horizontal-relative:page;mso-position-vertical-relative:page;z-index:-251645952;mso-width-relative:page;mso-height-relative:page;" filled="f" stroked="f" coordsize="21600,21600" o:gfxdata="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BgLQ1gAAAAoBAAAPAAAAAAAAAAEAIAAAACIAAABkcnMvZG93bnJldi54bWxQSwEC&#10;FAAUAAAACACHTuJA1BFTWb0BAABzAwAADgAAAAAAAAABACAAAAAlAQAAZHJzL2Uyb0RvYy54bWxQ&#10;SwUGAAAAAAYABgBZAQAAVAUAAAAA&#10;">
              <v:fill on="f" focussize="0,0"/>
              <v:stroke on="f"/>
              <v:imagedata o:title=""/>
              <o:lock v:ext="edit" aspectratio="f"/>
              <v:textbox inset="0mm,0mm,0mm,0mm">
                <w:txbxContent>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EC3C5"/>
    <w:multiLevelType w:val="multilevel"/>
    <w:tmpl w:val="825EC3C5"/>
    <w:lvl w:ilvl="0" w:tentative="0">
      <w:start w:val="1"/>
      <w:numFmt w:val="decimal"/>
      <w:lvlText w:val="（%1）"/>
      <w:lvlJc w:val="left"/>
      <w:pPr>
        <w:ind w:left="384" w:hanging="601"/>
      </w:pPr>
      <w:rPr>
        <w:rFonts w:hint="default" w:ascii="宋体" w:hAnsi="宋体" w:eastAsia="宋体" w:cs="宋体"/>
        <w:spacing w:val="-22"/>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1">
    <w:nsid w:val="87B75F0A"/>
    <w:multiLevelType w:val="multilevel"/>
    <w:tmpl w:val="87B75F0A"/>
    <w:lvl w:ilvl="0" w:tentative="0">
      <w:start w:val="1"/>
      <w:numFmt w:val="decimal"/>
      <w:lvlText w:val="%1."/>
      <w:lvlJc w:val="left"/>
      <w:pPr>
        <w:ind w:left="116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996" w:hanging="300"/>
      </w:pPr>
      <w:rPr>
        <w:rFonts w:hint="default"/>
        <w:lang w:val="zh-CN" w:eastAsia="zh-CN" w:bidi="zh-CN"/>
      </w:rPr>
    </w:lvl>
    <w:lvl w:ilvl="2" w:tentative="0">
      <w:start w:val="0"/>
      <w:numFmt w:val="bullet"/>
      <w:lvlText w:val="•"/>
      <w:lvlJc w:val="left"/>
      <w:pPr>
        <w:ind w:left="2833" w:hanging="300"/>
      </w:pPr>
      <w:rPr>
        <w:rFonts w:hint="default"/>
        <w:lang w:val="zh-CN" w:eastAsia="zh-CN" w:bidi="zh-CN"/>
      </w:rPr>
    </w:lvl>
    <w:lvl w:ilvl="3" w:tentative="0">
      <w:start w:val="0"/>
      <w:numFmt w:val="bullet"/>
      <w:lvlText w:val="•"/>
      <w:lvlJc w:val="left"/>
      <w:pPr>
        <w:ind w:left="3670" w:hanging="300"/>
      </w:pPr>
      <w:rPr>
        <w:rFonts w:hint="default"/>
        <w:lang w:val="zh-CN" w:eastAsia="zh-CN" w:bidi="zh-CN"/>
      </w:rPr>
    </w:lvl>
    <w:lvl w:ilvl="4" w:tentative="0">
      <w:start w:val="0"/>
      <w:numFmt w:val="bullet"/>
      <w:lvlText w:val="•"/>
      <w:lvlJc w:val="left"/>
      <w:pPr>
        <w:ind w:left="4506" w:hanging="300"/>
      </w:pPr>
      <w:rPr>
        <w:rFonts w:hint="default"/>
        <w:lang w:val="zh-CN" w:eastAsia="zh-CN" w:bidi="zh-CN"/>
      </w:rPr>
    </w:lvl>
    <w:lvl w:ilvl="5" w:tentative="0">
      <w:start w:val="0"/>
      <w:numFmt w:val="bullet"/>
      <w:lvlText w:val="•"/>
      <w:lvlJc w:val="left"/>
      <w:pPr>
        <w:ind w:left="5343" w:hanging="300"/>
      </w:pPr>
      <w:rPr>
        <w:rFonts w:hint="default"/>
        <w:lang w:val="zh-CN" w:eastAsia="zh-CN" w:bidi="zh-CN"/>
      </w:rPr>
    </w:lvl>
    <w:lvl w:ilvl="6" w:tentative="0">
      <w:start w:val="0"/>
      <w:numFmt w:val="bullet"/>
      <w:lvlText w:val="•"/>
      <w:lvlJc w:val="left"/>
      <w:pPr>
        <w:ind w:left="6180" w:hanging="300"/>
      </w:pPr>
      <w:rPr>
        <w:rFonts w:hint="default"/>
        <w:lang w:val="zh-CN" w:eastAsia="zh-CN" w:bidi="zh-CN"/>
      </w:rPr>
    </w:lvl>
    <w:lvl w:ilvl="7" w:tentative="0">
      <w:start w:val="0"/>
      <w:numFmt w:val="bullet"/>
      <w:lvlText w:val="•"/>
      <w:lvlJc w:val="left"/>
      <w:pPr>
        <w:ind w:left="7016" w:hanging="300"/>
      </w:pPr>
      <w:rPr>
        <w:rFonts w:hint="default"/>
        <w:lang w:val="zh-CN" w:eastAsia="zh-CN" w:bidi="zh-CN"/>
      </w:rPr>
    </w:lvl>
    <w:lvl w:ilvl="8" w:tentative="0">
      <w:start w:val="0"/>
      <w:numFmt w:val="bullet"/>
      <w:lvlText w:val="•"/>
      <w:lvlJc w:val="left"/>
      <w:pPr>
        <w:ind w:left="7853" w:hanging="300"/>
      </w:pPr>
      <w:rPr>
        <w:rFonts w:hint="default"/>
        <w:lang w:val="zh-CN" w:eastAsia="zh-CN" w:bidi="zh-CN"/>
      </w:rPr>
    </w:lvl>
  </w:abstractNum>
  <w:abstractNum w:abstractNumId="2">
    <w:nsid w:val="883B3669"/>
    <w:multiLevelType w:val="multilevel"/>
    <w:tmpl w:val="883B3669"/>
    <w:lvl w:ilvl="0" w:tentative="0">
      <w:start w:val="11"/>
      <w:numFmt w:val="decimal"/>
      <w:lvlText w:val="%1"/>
      <w:lvlJc w:val="left"/>
      <w:pPr>
        <w:ind w:left="1404" w:hanging="540"/>
      </w:pPr>
      <w:rPr>
        <w:rFonts w:hint="default"/>
        <w:lang w:val="zh-CN" w:eastAsia="zh-CN" w:bidi="zh-CN"/>
      </w:rPr>
    </w:lvl>
    <w:lvl w:ilvl="1" w:tentative="0">
      <w:start w:val="6"/>
      <w:numFmt w:val="decimal"/>
      <w:lvlText w:val="%1.%2"/>
      <w:lvlJc w:val="left"/>
      <w:pPr>
        <w:ind w:left="1404" w:hanging="540"/>
      </w:pPr>
      <w:rPr>
        <w:rFonts w:hint="default" w:ascii="Times New Roman" w:hAnsi="Times New Roman" w:eastAsia="Times New Roman" w:cs="Times New Roman"/>
        <w:w w:val="100"/>
        <w:sz w:val="24"/>
        <w:szCs w:val="24"/>
        <w:lang w:val="zh-CN" w:eastAsia="zh-CN" w:bidi="zh-CN"/>
      </w:rPr>
    </w:lvl>
    <w:lvl w:ilvl="2" w:tentative="0">
      <w:start w:val="1"/>
      <w:numFmt w:val="decimal"/>
      <w:lvlText w:val="%1.%2.%3"/>
      <w:lvlJc w:val="left"/>
      <w:pPr>
        <w:ind w:left="384" w:hanging="720"/>
      </w:pPr>
      <w:rPr>
        <w:rFonts w:hint="default" w:ascii="Times New Roman" w:hAnsi="Times New Roman" w:eastAsia="Times New Roman" w:cs="Times New Roman"/>
        <w:spacing w:val="-19"/>
        <w:w w:val="100"/>
        <w:sz w:val="24"/>
        <w:szCs w:val="24"/>
        <w:lang w:val="zh-CN" w:eastAsia="zh-CN" w:bidi="zh-CN"/>
      </w:rPr>
    </w:lvl>
    <w:lvl w:ilvl="3" w:tentative="0">
      <w:start w:val="0"/>
      <w:numFmt w:val="bullet"/>
      <w:lvlText w:val="•"/>
      <w:lvlJc w:val="left"/>
      <w:pPr>
        <w:ind w:left="3206" w:hanging="720"/>
      </w:pPr>
      <w:rPr>
        <w:rFonts w:hint="default"/>
        <w:lang w:val="zh-CN" w:eastAsia="zh-CN" w:bidi="zh-CN"/>
      </w:rPr>
    </w:lvl>
    <w:lvl w:ilvl="4" w:tentative="0">
      <w:start w:val="0"/>
      <w:numFmt w:val="bullet"/>
      <w:lvlText w:val="•"/>
      <w:lvlJc w:val="left"/>
      <w:pPr>
        <w:ind w:left="4109" w:hanging="720"/>
      </w:pPr>
      <w:rPr>
        <w:rFonts w:hint="default"/>
        <w:lang w:val="zh-CN" w:eastAsia="zh-CN" w:bidi="zh-CN"/>
      </w:rPr>
    </w:lvl>
    <w:lvl w:ilvl="5" w:tentative="0">
      <w:start w:val="0"/>
      <w:numFmt w:val="bullet"/>
      <w:lvlText w:val="•"/>
      <w:lvlJc w:val="left"/>
      <w:pPr>
        <w:ind w:left="5012" w:hanging="720"/>
      </w:pPr>
      <w:rPr>
        <w:rFonts w:hint="default"/>
        <w:lang w:val="zh-CN" w:eastAsia="zh-CN" w:bidi="zh-CN"/>
      </w:rPr>
    </w:lvl>
    <w:lvl w:ilvl="6" w:tentative="0">
      <w:start w:val="0"/>
      <w:numFmt w:val="bullet"/>
      <w:lvlText w:val="•"/>
      <w:lvlJc w:val="left"/>
      <w:pPr>
        <w:ind w:left="5915" w:hanging="720"/>
      </w:pPr>
      <w:rPr>
        <w:rFonts w:hint="default"/>
        <w:lang w:val="zh-CN" w:eastAsia="zh-CN" w:bidi="zh-CN"/>
      </w:rPr>
    </w:lvl>
    <w:lvl w:ilvl="7" w:tentative="0">
      <w:start w:val="0"/>
      <w:numFmt w:val="bullet"/>
      <w:lvlText w:val="•"/>
      <w:lvlJc w:val="left"/>
      <w:pPr>
        <w:ind w:left="6818" w:hanging="720"/>
      </w:pPr>
      <w:rPr>
        <w:rFonts w:hint="default"/>
        <w:lang w:val="zh-CN" w:eastAsia="zh-CN" w:bidi="zh-CN"/>
      </w:rPr>
    </w:lvl>
    <w:lvl w:ilvl="8" w:tentative="0">
      <w:start w:val="0"/>
      <w:numFmt w:val="bullet"/>
      <w:lvlText w:val="•"/>
      <w:lvlJc w:val="left"/>
      <w:pPr>
        <w:ind w:left="7721" w:hanging="720"/>
      </w:pPr>
      <w:rPr>
        <w:rFonts w:hint="default"/>
        <w:lang w:val="zh-CN" w:eastAsia="zh-CN" w:bidi="zh-CN"/>
      </w:rPr>
    </w:lvl>
  </w:abstractNum>
  <w:abstractNum w:abstractNumId="3">
    <w:nsid w:val="95E682A1"/>
    <w:multiLevelType w:val="multilevel"/>
    <w:tmpl w:val="95E682A1"/>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4">
    <w:nsid w:val="98CD717A"/>
    <w:multiLevelType w:val="multilevel"/>
    <w:tmpl w:val="98CD717A"/>
    <w:lvl w:ilvl="0" w:tentative="0">
      <w:start w:val="103"/>
      <w:numFmt w:val="decimal"/>
      <w:lvlText w:val="%1"/>
      <w:lvlJc w:val="left"/>
      <w:pPr>
        <w:ind w:left="384" w:hanging="620"/>
      </w:pPr>
      <w:rPr>
        <w:rFonts w:hint="default"/>
        <w:lang w:val="zh-CN" w:eastAsia="zh-CN" w:bidi="zh-CN"/>
      </w:rPr>
    </w:lvl>
    <w:lvl w:ilvl="1" w:tentative="0">
      <w:start w:val="1"/>
      <w:numFmt w:val="decimal"/>
      <w:lvlText w:val="%1-%2"/>
      <w:lvlJc w:val="left"/>
      <w:pPr>
        <w:ind w:left="384" w:hanging="620"/>
      </w:pPr>
      <w:rPr>
        <w:rFonts w:hint="default" w:ascii="Times New Roman" w:hAnsi="Times New Roman" w:eastAsia="Times New Roman" w:cs="Times New Roman"/>
        <w:spacing w:val="-27"/>
        <w:w w:val="100"/>
        <w:sz w:val="24"/>
        <w:szCs w:val="24"/>
        <w:lang w:val="zh-CN" w:eastAsia="zh-CN" w:bidi="zh-CN"/>
      </w:rPr>
    </w:lvl>
    <w:lvl w:ilvl="2" w:tentative="0">
      <w:start w:val="0"/>
      <w:numFmt w:val="bullet"/>
      <w:lvlText w:val="•"/>
      <w:lvlJc w:val="left"/>
      <w:pPr>
        <w:ind w:left="2209" w:hanging="620"/>
      </w:pPr>
      <w:rPr>
        <w:rFonts w:hint="default"/>
        <w:lang w:val="zh-CN" w:eastAsia="zh-CN" w:bidi="zh-CN"/>
      </w:rPr>
    </w:lvl>
    <w:lvl w:ilvl="3" w:tentative="0">
      <w:start w:val="0"/>
      <w:numFmt w:val="bullet"/>
      <w:lvlText w:val="•"/>
      <w:lvlJc w:val="left"/>
      <w:pPr>
        <w:ind w:left="3124" w:hanging="620"/>
      </w:pPr>
      <w:rPr>
        <w:rFonts w:hint="default"/>
        <w:lang w:val="zh-CN" w:eastAsia="zh-CN" w:bidi="zh-CN"/>
      </w:rPr>
    </w:lvl>
    <w:lvl w:ilvl="4" w:tentative="0">
      <w:start w:val="0"/>
      <w:numFmt w:val="bullet"/>
      <w:lvlText w:val="•"/>
      <w:lvlJc w:val="left"/>
      <w:pPr>
        <w:ind w:left="4038" w:hanging="620"/>
      </w:pPr>
      <w:rPr>
        <w:rFonts w:hint="default"/>
        <w:lang w:val="zh-CN" w:eastAsia="zh-CN" w:bidi="zh-CN"/>
      </w:rPr>
    </w:lvl>
    <w:lvl w:ilvl="5" w:tentative="0">
      <w:start w:val="0"/>
      <w:numFmt w:val="bullet"/>
      <w:lvlText w:val="•"/>
      <w:lvlJc w:val="left"/>
      <w:pPr>
        <w:ind w:left="4953" w:hanging="620"/>
      </w:pPr>
      <w:rPr>
        <w:rFonts w:hint="default"/>
        <w:lang w:val="zh-CN" w:eastAsia="zh-CN" w:bidi="zh-CN"/>
      </w:rPr>
    </w:lvl>
    <w:lvl w:ilvl="6" w:tentative="0">
      <w:start w:val="0"/>
      <w:numFmt w:val="bullet"/>
      <w:lvlText w:val="•"/>
      <w:lvlJc w:val="left"/>
      <w:pPr>
        <w:ind w:left="5868" w:hanging="620"/>
      </w:pPr>
      <w:rPr>
        <w:rFonts w:hint="default"/>
        <w:lang w:val="zh-CN" w:eastAsia="zh-CN" w:bidi="zh-CN"/>
      </w:rPr>
    </w:lvl>
    <w:lvl w:ilvl="7" w:tentative="0">
      <w:start w:val="0"/>
      <w:numFmt w:val="bullet"/>
      <w:lvlText w:val="•"/>
      <w:lvlJc w:val="left"/>
      <w:pPr>
        <w:ind w:left="6782" w:hanging="620"/>
      </w:pPr>
      <w:rPr>
        <w:rFonts w:hint="default"/>
        <w:lang w:val="zh-CN" w:eastAsia="zh-CN" w:bidi="zh-CN"/>
      </w:rPr>
    </w:lvl>
    <w:lvl w:ilvl="8" w:tentative="0">
      <w:start w:val="0"/>
      <w:numFmt w:val="bullet"/>
      <w:lvlText w:val="•"/>
      <w:lvlJc w:val="left"/>
      <w:pPr>
        <w:ind w:left="7697" w:hanging="620"/>
      </w:pPr>
      <w:rPr>
        <w:rFonts w:hint="default"/>
        <w:lang w:val="zh-CN" w:eastAsia="zh-CN" w:bidi="zh-CN"/>
      </w:rPr>
    </w:lvl>
  </w:abstractNum>
  <w:abstractNum w:abstractNumId="5">
    <w:nsid w:val="9C11E984"/>
    <w:multiLevelType w:val="multilevel"/>
    <w:tmpl w:val="9C11E984"/>
    <w:lvl w:ilvl="0" w:tentative="0">
      <w:start w:val="1"/>
      <w:numFmt w:val="decimal"/>
      <w:lvlText w:val="（%1）"/>
      <w:lvlJc w:val="left"/>
      <w:pPr>
        <w:ind w:left="384" w:hanging="601"/>
      </w:pPr>
      <w:rPr>
        <w:rFonts w:hint="default" w:ascii="宋体" w:hAnsi="宋体" w:eastAsia="宋体" w:cs="宋体"/>
        <w:spacing w:val="-8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6">
    <w:nsid w:val="9C7198AA"/>
    <w:multiLevelType w:val="multilevel"/>
    <w:tmpl w:val="9C7198AA"/>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7">
    <w:nsid w:val="9D7EB8E6"/>
    <w:multiLevelType w:val="multilevel"/>
    <w:tmpl w:val="9D7EB8E6"/>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8">
    <w:nsid w:val="9DFC6F65"/>
    <w:multiLevelType w:val="multilevel"/>
    <w:tmpl w:val="9DFC6F65"/>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9">
    <w:nsid w:val="9F81B9F9"/>
    <w:multiLevelType w:val="multilevel"/>
    <w:tmpl w:val="9F81B9F9"/>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10">
    <w:nsid w:val="A521A01A"/>
    <w:multiLevelType w:val="multilevel"/>
    <w:tmpl w:val="A521A01A"/>
    <w:lvl w:ilvl="0" w:tentative="0">
      <w:start w:val="1"/>
      <w:numFmt w:val="decimal"/>
      <w:lvlText w:val="（%1）"/>
      <w:lvlJc w:val="left"/>
      <w:pPr>
        <w:ind w:left="507" w:hanging="500"/>
      </w:pPr>
      <w:rPr>
        <w:rFonts w:hint="default" w:ascii="宋体" w:hAnsi="宋体" w:eastAsia="宋体" w:cs="宋体"/>
        <w:w w:val="99"/>
        <w:sz w:val="18"/>
        <w:szCs w:val="18"/>
        <w:lang w:val="zh-CN" w:eastAsia="zh-CN" w:bidi="zh-CN"/>
      </w:rPr>
    </w:lvl>
    <w:lvl w:ilvl="1" w:tentative="0">
      <w:start w:val="0"/>
      <w:numFmt w:val="bullet"/>
      <w:lvlText w:val="•"/>
      <w:lvlJc w:val="left"/>
      <w:pPr>
        <w:ind w:left="1151" w:hanging="500"/>
      </w:pPr>
      <w:rPr>
        <w:rFonts w:hint="default"/>
        <w:lang w:val="zh-CN" w:eastAsia="zh-CN" w:bidi="zh-CN"/>
      </w:rPr>
    </w:lvl>
    <w:lvl w:ilvl="2" w:tentative="0">
      <w:start w:val="0"/>
      <w:numFmt w:val="bullet"/>
      <w:lvlText w:val="•"/>
      <w:lvlJc w:val="left"/>
      <w:pPr>
        <w:ind w:left="1802" w:hanging="500"/>
      </w:pPr>
      <w:rPr>
        <w:rFonts w:hint="default"/>
        <w:lang w:val="zh-CN" w:eastAsia="zh-CN" w:bidi="zh-CN"/>
      </w:rPr>
    </w:lvl>
    <w:lvl w:ilvl="3" w:tentative="0">
      <w:start w:val="0"/>
      <w:numFmt w:val="bullet"/>
      <w:lvlText w:val="•"/>
      <w:lvlJc w:val="left"/>
      <w:pPr>
        <w:ind w:left="2453" w:hanging="500"/>
      </w:pPr>
      <w:rPr>
        <w:rFonts w:hint="default"/>
        <w:lang w:val="zh-CN" w:eastAsia="zh-CN" w:bidi="zh-CN"/>
      </w:rPr>
    </w:lvl>
    <w:lvl w:ilvl="4" w:tentative="0">
      <w:start w:val="0"/>
      <w:numFmt w:val="bullet"/>
      <w:lvlText w:val="•"/>
      <w:lvlJc w:val="left"/>
      <w:pPr>
        <w:ind w:left="3104" w:hanging="500"/>
      </w:pPr>
      <w:rPr>
        <w:rFonts w:hint="default"/>
        <w:lang w:val="zh-CN" w:eastAsia="zh-CN" w:bidi="zh-CN"/>
      </w:rPr>
    </w:lvl>
    <w:lvl w:ilvl="5" w:tentative="0">
      <w:start w:val="0"/>
      <w:numFmt w:val="bullet"/>
      <w:lvlText w:val="•"/>
      <w:lvlJc w:val="left"/>
      <w:pPr>
        <w:ind w:left="3755" w:hanging="500"/>
      </w:pPr>
      <w:rPr>
        <w:rFonts w:hint="default"/>
        <w:lang w:val="zh-CN" w:eastAsia="zh-CN" w:bidi="zh-CN"/>
      </w:rPr>
    </w:lvl>
    <w:lvl w:ilvl="6" w:tentative="0">
      <w:start w:val="0"/>
      <w:numFmt w:val="bullet"/>
      <w:lvlText w:val="•"/>
      <w:lvlJc w:val="left"/>
      <w:pPr>
        <w:ind w:left="4406" w:hanging="500"/>
      </w:pPr>
      <w:rPr>
        <w:rFonts w:hint="default"/>
        <w:lang w:val="zh-CN" w:eastAsia="zh-CN" w:bidi="zh-CN"/>
      </w:rPr>
    </w:lvl>
    <w:lvl w:ilvl="7" w:tentative="0">
      <w:start w:val="0"/>
      <w:numFmt w:val="bullet"/>
      <w:lvlText w:val="•"/>
      <w:lvlJc w:val="left"/>
      <w:pPr>
        <w:ind w:left="5057" w:hanging="500"/>
      </w:pPr>
      <w:rPr>
        <w:rFonts w:hint="default"/>
        <w:lang w:val="zh-CN" w:eastAsia="zh-CN" w:bidi="zh-CN"/>
      </w:rPr>
    </w:lvl>
    <w:lvl w:ilvl="8" w:tentative="0">
      <w:start w:val="0"/>
      <w:numFmt w:val="bullet"/>
      <w:lvlText w:val="•"/>
      <w:lvlJc w:val="left"/>
      <w:pPr>
        <w:ind w:left="5708" w:hanging="500"/>
      </w:pPr>
      <w:rPr>
        <w:rFonts w:hint="default"/>
        <w:lang w:val="zh-CN" w:eastAsia="zh-CN" w:bidi="zh-CN"/>
      </w:rPr>
    </w:lvl>
  </w:abstractNum>
  <w:abstractNum w:abstractNumId="11">
    <w:nsid w:val="A97D620A"/>
    <w:multiLevelType w:val="multilevel"/>
    <w:tmpl w:val="A97D620A"/>
    <w:lvl w:ilvl="0" w:tentative="0">
      <w:start w:val="1"/>
      <w:numFmt w:val="decimal"/>
      <w:lvlText w:val="%1."/>
      <w:lvlJc w:val="left"/>
      <w:pPr>
        <w:ind w:left="116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996" w:hanging="300"/>
      </w:pPr>
      <w:rPr>
        <w:rFonts w:hint="default"/>
        <w:lang w:val="zh-CN" w:eastAsia="zh-CN" w:bidi="zh-CN"/>
      </w:rPr>
    </w:lvl>
    <w:lvl w:ilvl="2" w:tentative="0">
      <w:start w:val="0"/>
      <w:numFmt w:val="bullet"/>
      <w:lvlText w:val="•"/>
      <w:lvlJc w:val="left"/>
      <w:pPr>
        <w:ind w:left="2833" w:hanging="300"/>
      </w:pPr>
      <w:rPr>
        <w:rFonts w:hint="default"/>
        <w:lang w:val="zh-CN" w:eastAsia="zh-CN" w:bidi="zh-CN"/>
      </w:rPr>
    </w:lvl>
    <w:lvl w:ilvl="3" w:tentative="0">
      <w:start w:val="0"/>
      <w:numFmt w:val="bullet"/>
      <w:lvlText w:val="•"/>
      <w:lvlJc w:val="left"/>
      <w:pPr>
        <w:ind w:left="3670" w:hanging="300"/>
      </w:pPr>
      <w:rPr>
        <w:rFonts w:hint="default"/>
        <w:lang w:val="zh-CN" w:eastAsia="zh-CN" w:bidi="zh-CN"/>
      </w:rPr>
    </w:lvl>
    <w:lvl w:ilvl="4" w:tentative="0">
      <w:start w:val="0"/>
      <w:numFmt w:val="bullet"/>
      <w:lvlText w:val="•"/>
      <w:lvlJc w:val="left"/>
      <w:pPr>
        <w:ind w:left="4506" w:hanging="300"/>
      </w:pPr>
      <w:rPr>
        <w:rFonts w:hint="default"/>
        <w:lang w:val="zh-CN" w:eastAsia="zh-CN" w:bidi="zh-CN"/>
      </w:rPr>
    </w:lvl>
    <w:lvl w:ilvl="5" w:tentative="0">
      <w:start w:val="0"/>
      <w:numFmt w:val="bullet"/>
      <w:lvlText w:val="•"/>
      <w:lvlJc w:val="left"/>
      <w:pPr>
        <w:ind w:left="5343" w:hanging="300"/>
      </w:pPr>
      <w:rPr>
        <w:rFonts w:hint="default"/>
        <w:lang w:val="zh-CN" w:eastAsia="zh-CN" w:bidi="zh-CN"/>
      </w:rPr>
    </w:lvl>
    <w:lvl w:ilvl="6" w:tentative="0">
      <w:start w:val="0"/>
      <w:numFmt w:val="bullet"/>
      <w:lvlText w:val="•"/>
      <w:lvlJc w:val="left"/>
      <w:pPr>
        <w:ind w:left="6180" w:hanging="300"/>
      </w:pPr>
      <w:rPr>
        <w:rFonts w:hint="default"/>
        <w:lang w:val="zh-CN" w:eastAsia="zh-CN" w:bidi="zh-CN"/>
      </w:rPr>
    </w:lvl>
    <w:lvl w:ilvl="7" w:tentative="0">
      <w:start w:val="0"/>
      <w:numFmt w:val="bullet"/>
      <w:lvlText w:val="•"/>
      <w:lvlJc w:val="left"/>
      <w:pPr>
        <w:ind w:left="7016" w:hanging="300"/>
      </w:pPr>
      <w:rPr>
        <w:rFonts w:hint="default"/>
        <w:lang w:val="zh-CN" w:eastAsia="zh-CN" w:bidi="zh-CN"/>
      </w:rPr>
    </w:lvl>
    <w:lvl w:ilvl="8" w:tentative="0">
      <w:start w:val="0"/>
      <w:numFmt w:val="bullet"/>
      <w:lvlText w:val="•"/>
      <w:lvlJc w:val="left"/>
      <w:pPr>
        <w:ind w:left="7853" w:hanging="300"/>
      </w:pPr>
      <w:rPr>
        <w:rFonts w:hint="default"/>
        <w:lang w:val="zh-CN" w:eastAsia="zh-CN" w:bidi="zh-CN"/>
      </w:rPr>
    </w:lvl>
  </w:abstractNum>
  <w:abstractNum w:abstractNumId="12">
    <w:nsid w:val="A9AC3AA7"/>
    <w:multiLevelType w:val="multilevel"/>
    <w:tmpl w:val="A9AC3AA7"/>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13">
    <w:nsid w:val="B08374AC"/>
    <w:multiLevelType w:val="multilevel"/>
    <w:tmpl w:val="B08374AC"/>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14">
    <w:nsid w:val="B1CC6FF1"/>
    <w:multiLevelType w:val="multilevel"/>
    <w:tmpl w:val="B1CC6FF1"/>
    <w:lvl w:ilvl="0" w:tentative="0">
      <w:start w:val="1"/>
      <w:numFmt w:val="decimal"/>
      <w:lvlText w:val="%1."/>
      <w:lvlJc w:val="left"/>
      <w:pPr>
        <w:ind w:left="1041"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876" w:hanging="181"/>
      </w:pPr>
      <w:rPr>
        <w:rFonts w:hint="default"/>
        <w:lang w:val="zh-CN" w:eastAsia="zh-CN" w:bidi="zh-CN"/>
      </w:rPr>
    </w:lvl>
    <w:lvl w:ilvl="2" w:tentative="0">
      <w:start w:val="0"/>
      <w:numFmt w:val="bullet"/>
      <w:lvlText w:val="•"/>
      <w:lvlJc w:val="left"/>
      <w:pPr>
        <w:ind w:left="2713" w:hanging="181"/>
      </w:pPr>
      <w:rPr>
        <w:rFonts w:hint="default"/>
        <w:lang w:val="zh-CN" w:eastAsia="zh-CN" w:bidi="zh-CN"/>
      </w:rPr>
    </w:lvl>
    <w:lvl w:ilvl="3" w:tentative="0">
      <w:start w:val="0"/>
      <w:numFmt w:val="bullet"/>
      <w:lvlText w:val="•"/>
      <w:lvlJc w:val="left"/>
      <w:pPr>
        <w:ind w:left="3550" w:hanging="181"/>
      </w:pPr>
      <w:rPr>
        <w:rFonts w:hint="default"/>
        <w:lang w:val="zh-CN" w:eastAsia="zh-CN" w:bidi="zh-CN"/>
      </w:rPr>
    </w:lvl>
    <w:lvl w:ilvl="4" w:tentative="0">
      <w:start w:val="0"/>
      <w:numFmt w:val="bullet"/>
      <w:lvlText w:val="•"/>
      <w:lvlJc w:val="left"/>
      <w:pPr>
        <w:ind w:left="4386" w:hanging="181"/>
      </w:pPr>
      <w:rPr>
        <w:rFonts w:hint="default"/>
        <w:lang w:val="zh-CN" w:eastAsia="zh-CN" w:bidi="zh-CN"/>
      </w:rPr>
    </w:lvl>
    <w:lvl w:ilvl="5" w:tentative="0">
      <w:start w:val="0"/>
      <w:numFmt w:val="bullet"/>
      <w:lvlText w:val="•"/>
      <w:lvlJc w:val="left"/>
      <w:pPr>
        <w:ind w:left="5223" w:hanging="181"/>
      </w:pPr>
      <w:rPr>
        <w:rFonts w:hint="default"/>
        <w:lang w:val="zh-CN" w:eastAsia="zh-CN" w:bidi="zh-CN"/>
      </w:rPr>
    </w:lvl>
    <w:lvl w:ilvl="6" w:tentative="0">
      <w:start w:val="0"/>
      <w:numFmt w:val="bullet"/>
      <w:lvlText w:val="•"/>
      <w:lvlJc w:val="left"/>
      <w:pPr>
        <w:ind w:left="6060" w:hanging="181"/>
      </w:pPr>
      <w:rPr>
        <w:rFonts w:hint="default"/>
        <w:lang w:val="zh-CN" w:eastAsia="zh-CN" w:bidi="zh-CN"/>
      </w:rPr>
    </w:lvl>
    <w:lvl w:ilvl="7" w:tentative="0">
      <w:start w:val="0"/>
      <w:numFmt w:val="bullet"/>
      <w:lvlText w:val="•"/>
      <w:lvlJc w:val="left"/>
      <w:pPr>
        <w:ind w:left="6896" w:hanging="181"/>
      </w:pPr>
      <w:rPr>
        <w:rFonts w:hint="default"/>
        <w:lang w:val="zh-CN" w:eastAsia="zh-CN" w:bidi="zh-CN"/>
      </w:rPr>
    </w:lvl>
    <w:lvl w:ilvl="8" w:tentative="0">
      <w:start w:val="0"/>
      <w:numFmt w:val="bullet"/>
      <w:lvlText w:val="•"/>
      <w:lvlJc w:val="left"/>
      <w:pPr>
        <w:ind w:left="7733" w:hanging="181"/>
      </w:pPr>
      <w:rPr>
        <w:rFonts w:hint="default"/>
        <w:lang w:val="zh-CN" w:eastAsia="zh-CN" w:bidi="zh-CN"/>
      </w:rPr>
    </w:lvl>
  </w:abstractNum>
  <w:abstractNum w:abstractNumId="15">
    <w:nsid w:val="B4E02BC3"/>
    <w:multiLevelType w:val="multilevel"/>
    <w:tmpl w:val="B4E02BC3"/>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16">
    <w:nsid w:val="BF50FE6B"/>
    <w:multiLevelType w:val="multilevel"/>
    <w:tmpl w:val="BF50FE6B"/>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17">
    <w:nsid w:val="C90D1B09"/>
    <w:multiLevelType w:val="multilevel"/>
    <w:tmpl w:val="C90D1B09"/>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18">
    <w:nsid w:val="C9412743"/>
    <w:multiLevelType w:val="multilevel"/>
    <w:tmpl w:val="C9412743"/>
    <w:lvl w:ilvl="0" w:tentative="0">
      <w:start w:val="1"/>
      <w:numFmt w:val="decimal"/>
      <w:lvlText w:val="（%1）"/>
      <w:lvlJc w:val="left"/>
      <w:pPr>
        <w:ind w:left="384" w:hanging="604"/>
      </w:pPr>
      <w:rPr>
        <w:rFonts w:hint="default" w:ascii="宋体" w:hAnsi="宋体" w:eastAsia="宋体" w:cs="宋体"/>
        <w:w w:val="100"/>
        <w:sz w:val="22"/>
        <w:szCs w:val="22"/>
        <w:lang w:val="zh-CN" w:eastAsia="zh-CN" w:bidi="zh-CN"/>
      </w:rPr>
    </w:lvl>
    <w:lvl w:ilvl="1" w:tentative="0">
      <w:start w:val="0"/>
      <w:numFmt w:val="bullet"/>
      <w:lvlText w:val="•"/>
      <w:lvlJc w:val="left"/>
      <w:pPr>
        <w:ind w:left="1294" w:hanging="604"/>
      </w:pPr>
      <w:rPr>
        <w:rFonts w:hint="default"/>
        <w:lang w:val="zh-CN" w:eastAsia="zh-CN" w:bidi="zh-CN"/>
      </w:rPr>
    </w:lvl>
    <w:lvl w:ilvl="2" w:tentative="0">
      <w:start w:val="0"/>
      <w:numFmt w:val="bullet"/>
      <w:lvlText w:val="•"/>
      <w:lvlJc w:val="left"/>
      <w:pPr>
        <w:ind w:left="2209" w:hanging="604"/>
      </w:pPr>
      <w:rPr>
        <w:rFonts w:hint="default"/>
        <w:lang w:val="zh-CN" w:eastAsia="zh-CN" w:bidi="zh-CN"/>
      </w:rPr>
    </w:lvl>
    <w:lvl w:ilvl="3" w:tentative="0">
      <w:start w:val="0"/>
      <w:numFmt w:val="bullet"/>
      <w:lvlText w:val="•"/>
      <w:lvlJc w:val="left"/>
      <w:pPr>
        <w:ind w:left="3124" w:hanging="604"/>
      </w:pPr>
      <w:rPr>
        <w:rFonts w:hint="default"/>
        <w:lang w:val="zh-CN" w:eastAsia="zh-CN" w:bidi="zh-CN"/>
      </w:rPr>
    </w:lvl>
    <w:lvl w:ilvl="4" w:tentative="0">
      <w:start w:val="0"/>
      <w:numFmt w:val="bullet"/>
      <w:lvlText w:val="•"/>
      <w:lvlJc w:val="left"/>
      <w:pPr>
        <w:ind w:left="4038" w:hanging="604"/>
      </w:pPr>
      <w:rPr>
        <w:rFonts w:hint="default"/>
        <w:lang w:val="zh-CN" w:eastAsia="zh-CN" w:bidi="zh-CN"/>
      </w:rPr>
    </w:lvl>
    <w:lvl w:ilvl="5" w:tentative="0">
      <w:start w:val="0"/>
      <w:numFmt w:val="bullet"/>
      <w:lvlText w:val="•"/>
      <w:lvlJc w:val="left"/>
      <w:pPr>
        <w:ind w:left="4953" w:hanging="604"/>
      </w:pPr>
      <w:rPr>
        <w:rFonts w:hint="default"/>
        <w:lang w:val="zh-CN" w:eastAsia="zh-CN" w:bidi="zh-CN"/>
      </w:rPr>
    </w:lvl>
    <w:lvl w:ilvl="6" w:tentative="0">
      <w:start w:val="0"/>
      <w:numFmt w:val="bullet"/>
      <w:lvlText w:val="•"/>
      <w:lvlJc w:val="left"/>
      <w:pPr>
        <w:ind w:left="5868" w:hanging="604"/>
      </w:pPr>
      <w:rPr>
        <w:rFonts w:hint="default"/>
        <w:lang w:val="zh-CN" w:eastAsia="zh-CN" w:bidi="zh-CN"/>
      </w:rPr>
    </w:lvl>
    <w:lvl w:ilvl="7" w:tentative="0">
      <w:start w:val="0"/>
      <w:numFmt w:val="bullet"/>
      <w:lvlText w:val="•"/>
      <w:lvlJc w:val="left"/>
      <w:pPr>
        <w:ind w:left="6782" w:hanging="604"/>
      </w:pPr>
      <w:rPr>
        <w:rFonts w:hint="default"/>
        <w:lang w:val="zh-CN" w:eastAsia="zh-CN" w:bidi="zh-CN"/>
      </w:rPr>
    </w:lvl>
    <w:lvl w:ilvl="8" w:tentative="0">
      <w:start w:val="0"/>
      <w:numFmt w:val="bullet"/>
      <w:lvlText w:val="•"/>
      <w:lvlJc w:val="left"/>
      <w:pPr>
        <w:ind w:left="7697" w:hanging="604"/>
      </w:pPr>
      <w:rPr>
        <w:rFonts w:hint="default"/>
        <w:lang w:val="zh-CN" w:eastAsia="zh-CN" w:bidi="zh-CN"/>
      </w:rPr>
    </w:lvl>
  </w:abstractNum>
  <w:abstractNum w:abstractNumId="19">
    <w:nsid w:val="CD699D1D"/>
    <w:multiLevelType w:val="multilevel"/>
    <w:tmpl w:val="CD699D1D"/>
    <w:lvl w:ilvl="0" w:tentative="0">
      <w:start w:val="1"/>
      <w:numFmt w:val="decimal"/>
      <w:lvlText w:val="（%1）"/>
      <w:lvlJc w:val="left"/>
      <w:pPr>
        <w:ind w:left="384" w:hanging="604"/>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1294" w:hanging="604"/>
      </w:pPr>
      <w:rPr>
        <w:rFonts w:hint="default"/>
        <w:lang w:val="zh-CN" w:eastAsia="zh-CN" w:bidi="zh-CN"/>
      </w:rPr>
    </w:lvl>
    <w:lvl w:ilvl="2" w:tentative="0">
      <w:start w:val="0"/>
      <w:numFmt w:val="bullet"/>
      <w:lvlText w:val="•"/>
      <w:lvlJc w:val="left"/>
      <w:pPr>
        <w:ind w:left="2209" w:hanging="604"/>
      </w:pPr>
      <w:rPr>
        <w:rFonts w:hint="default"/>
        <w:lang w:val="zh-CN" w:eastAsia="zh-CN" w:bidi="zh-CN"/>
      </w:rPr>
    </w:lvl>
    <w:lvl w:ilvl="3" w:tentative="0">
      <w:start w:val="0"/>
      <w:numFmt w:val="bullet"/>
      <w:lvlText w:val="•"/>
      <w:lvlJc w:val="left"/>
      <w:pPr>
        <w:ind w:left="3124" w:hanging="604"/>
      </w:pPr>
      <w:rPr>
        <w:rFonts w:hint="default"/>
        <w:lang w:val="zh-CN" w:eastAsia="zh-CN" w:bidi="zh-CN"/>
      </w:rPr>
    </w:lvl>
    <w:lvl w:ilvl="4" w:tentative="0">
      <w:start w:val="0"/>
      <w:numFmt w:val="bullet"/>
      <w:lvlText w:val="•"/>
      <w:lvlJc w:val="left"/>
      <w:pPr>
        <w:ind w:left="4038" w:hanging="604"/>
      </w:pPr>
      <w:rPr>
        <w:rFonts w:hint="default"/>
        <w:lang w:val="zh-CN" w:eastAsia="zh-CN" w:bidi="zh-CN"/>
      </w:rPr>
    </w:lvl>
    <w:lvl w:ilvl="5" w:tentative="0">
      <w:start w:val="0"/>
      <w:numFmt w:val="bullet"/>
      <w:lvlText w:val="•"/>
      <w:lvlJc w:val="left"/>
      <w:pPr>
        <w:ind w:left="4953" w:hanging="604"/>
      </w:pPr>
      <w:rPr>
        <w:rFonts w:hint="default"/>
        <w:lang w:val="zh-CN" w:eastAsia="zh-CN" w:bidi="zh-CN"/>
      </w:rPr>
    </w:lvl>
    <w:lvl w:ilvl="6" w:tentative="0">
      <w:start w:val="0"/>
      <w:numFmt w:val="bullet"/>
      <w:lvlText w:val="•"/>
      <w:lvlJc w:val="left"/>
      <w:pPr>
        <w:ind w:left="5868" w:hanging="604"/>
      </w:pPr>
      <w:rPr>
        <w:rFonts w:hint="default"/>
        <w:lang w:val="zh-CN" w:eastAsia="zh-CN" w:bidi="zh-CN"/>
      </w:rPr>
    </w:lvl>
    <w:lvl w:ilvl="7" w:tentative="0">
      <w:start w:val="0"/>
      <w:numFmt w:val="bullet"/>
      <w:lvlText w:val="•"/>
      <w:lvlJc w:val="left"/>
      <w:pPr>
        <w:ind w:left="6782" w:hanging="604"/>
      </w:pPr>
      <w:rPr>
        <w:rFonts w:hint="default"/>
        <w:lang w:val="zh-CN" w:eastAsia="zh-CN" w:bidi="zh-CN"/>
      </w:rPr>
    </w:lvl>
    <w:lvl w:ilvl="8" w:tentative="0">
      <w:start w:val="0"/>
      <w:numFmt w:val="bullet"/>
      <w:lvlText w:val="•"/>
      <w:lvlJc w:val="left"/>
      <w:pPr>
        <w:ind w:left="7697" w:hanging="604"/>
      </w:pPr>
      <w:rPr>
        <w:rFonts w:hint="default"/>
        <w:lang w:val="zh-CN" w:eastAsia="zh-CN" w:bidi="zh-CN"/>
      </w:rPr>
    </w:lvl>
  </w:abstractNum>
  <w:abstractNum w:abstractNumId="20">
    <w:nsid w:val="D1EB1714"/>
    <w:multiLevelType w:val="multilevel"/>
    <w:tmpl w:val="D1EB1714"/>
    <w:lvl w:ilvl="0" w:tentative="0">
      <w:start w:val="1"/>
      <w:numFmt w:val="decimal"/>
      <w:lvlText w:val="%1."/>
      <w:lvlJc w:val="left"/>
      <w:pPr>
        <w:ind w:left="564" w:hanging="351"/>
      </w:pPr>
      <w:rPr>
        <w:rFonts w:hint="default" w:ascii="Times New Roman" w:hAnsi="Times New Roman" w:eastAsia="Times New Roman" w:cs="Times New Roman"/>
        <w:b/>
        <w:bCs/>
        <w:spacing w:val="0"/>
        <w:w w:val="100"/>
        <w:sz w:val="28"/>
        <w:szCs w:val="28"/>
        <w:lang w:val="zh-CN" w:eastAsia="zh-CN" w:bidi="zh-CN"/>
      </w:rPr>
    </w:lvl>
    <w:lvl w:ilvl="1" w:tentative="0">
      <w:start w:val="1"/>
      <w:numFmt w:val="decimal"/>
      <w:lvlText w:val="%1.%2"/>
      <w:lvlJc w:val="left"/>
      <w:pPr>
        <w:ind w:left="633" w:hanging="420"/>
      </w:pPr>
      <w:rPr>
        <w:rFonts w:hint="default" w:ascii="Times New Roman" w:hAnsi="Times New Roman" w:eastAsia="Times New Roman" w:cs="Times New Roman"/>
        <w:b/>
        <w:bCs/>
        <w:w w:val="99"/>
        <w:sz w:val="24"/>
        <w:szCs w:val="24"/>
        <w:lang w:val="zh-CN" w:eastAsia="zh-CN" w:bidi="zh-CN"/>
      </w:rPr>
    </w:lvl>
    <w:lvl w:ilvl="2" w:tentative="0">
      <w:start w:val="1"/>
      <w:numFmt w:val="decimal"/>
      <w:lvlText w:val="%1.%2.%3"/>
      <w:lvlJc w:val="left"/>
      <w:pPr>
        <w:ind w:left="1293" w:hanging="600"/>
      </w:pPr>
      <w:rPr>
        <w:rFonts w:hint="default" w:ascii="Times New Roman" w:hAnsi="Times New Roman" w:eastAsia="Times New Roman" w:cs="Times New Roman"/>
        <w:w w:val="100"/>
        <w:sz w:val="24"/>
        <w:szCs w:val="24"/>
        <w:lang w:val="zh-CN" w:eastAsia="zh-CN" w:bidi="zh-CN"/>
      </w:rPr>
    </w:lvl>
    <w:lvl w:ilvl="3" w:tentative="0">
      <w:start w:val="1"/>
      <w:numFmt w:val="decimal"/>
      <w:lvlText w:val="%4."/>
      <w:lvlJc w:val="left"/>
      <w:pPr>
        <w:ind w:left="1004" w:hanging="181"/>
        <w:jc w:val="right"/>
      </w:pPr>
      <w:rPr>
        <w:rFonts w:hint="default" w:ascii="Times New Roman" w:hAnsi="Times New Roman" w:eastAsia="Times New Roman" w:cs="Times New Roman"/>
        <w:w w:val="100"/>
        <w:sz w:val="22"/>
        <w:szCs w:val="22"/>
        <w:lang w:val="zh-CN" w:eastAsia="zh-CN" w:bidi="zh-CN"/>
      </w:rPr>
    </w:lvl>
    <w:lvl w:ilvl="4" w:tentative="0">
      <w:start w:val="1"/>
      <w:numFmt w:val="decimal"/>
      <w:lvlText w:val="%4.%5"/>
      <w:lvlJc w:val="left"/>
      <w:pPr>
        <w:ind w:left="1404" w:hanging="540"/>
      </w:pPr>
      <w:rPr>
        <w:rFonts w:hint="default" w:ascii="Times New Roman" w:hAnsi="Times New Roman" w:eastAsia="Times New Roman" w:cs="Times New Roman"/>
        <w:w w:val="100"/>
        <w:sz w:val="24"/>
        <w:szCs w:val="24"/>
        <w:lang w:val="zh-CN" w:eastAsia="zh-CN" w:bidi="zh-CN"/>
      </w:rPr>
    </w:lvl>
    <w:lvl w:ilvl="5" w:tentative="0">
      <w:start w:val="1"/>
      <w:numFmt w:val="decimal"/>
      <w:lvlText w:val="%4.%5.%6"/>
      <w:lvlJc w:val="left"/>
      <w:pPr>
        <w:ind w:left="384" w:hanging="720"/>
      </w:pPr>
      <w:rPr>
        <w:rFonts w:hint="default" w:ascii="Times New Roman" w:hAnsi="Times New Roman" w:eastAsia="Times New Roman" w:cs="Times New Roman"/>
        <w:spacing w:val="-60"/>
        <w:w w:val="100"/>
        <w:sz w:val="24"/>
        <w:szCs w:val="24"/>
        <w:lang w:val="zh-CN" w:eastAsia="zh-CN" w:bidi="zh-CN"/>
      </w:rPr>
    </w:lvl>
    <w:lvl w:ilvl="6" w:tentative="0">
      <w:start w:val="0"/>
      <w:numFmt w:val="bullet"/>
      <w:lvlText w:val="•"/>
      <w:lvlJc w:val="left"/>
      <w:pPr>
        <w:ind w:left="1400" w:hanging="720"/>
      </w:pPr>
      <w:rPr>
        <w:rFonts w:hint="default"/>
        <w:lang w:val="zh-CN" w:eastAsia="zh-CN" w:bidi="zh-CN"/>
      </w:rPr>
    </w:lvl>
    <w:lvl w:ilvl="7" w:tentative="0">
      <w:start w:val="0"/>
      <w:numFmt w:val="bullet"/>
      <w:lvlText w:val="•"/>
      <w:lvlJc w:val="left"/>
      <w:pPr>
        <w:ind w:left="1520" w:hanging="720"/>
      </w:pPr>
      <w:rPr>
        <w:rFonts w:hint="default"/>
        <w:lang w:val="zh-CN" w:eastAsia="zh-CN" w:bidi="zh-CN"/>
      </w:rPr>
    </w:lvl>
    <w:lvl w:ilvl="8" w:tentative="0">
      <w:start w:val="0"/>
      <w:numFmt w:val="bullet"/>
      <w:lvlText w:val="•"/>
      <w:lvlJc w:val="left"/>
      <w:pPr>
        <w:ind w:left="1700" w:hanging="720"/>
      </w:pPr>
      <w:rPr>
        <w:rFonts w:hint="default"/>
        <w:lang w:val="zh-CN" w:eastAsia="zh-CN" w:bidi="zh-CN"/>
      </w:rPr>
    </w:lvl>
  </w:abstractNum>
  <w:abstractNum w:abstractNumId="21">
    <w:nsid w:val="D7936317"/>
    <w:multiLevelType w:val="multilevel"/>
    <w:tmpl w:val="D7936317"/>
    <w:lvl w:ilvl="0" w:tentative="0">
      <w:start w:val="1"/>
      <w:numFmt w:val="decimal"/>
      <w:lvlText w:val="%1."/>
      <w:lvlJc w:val="left"/>
      <w:pPr>
        <w:ind w:left="384"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294" w:hanging="181"/>
      </w:pPr>
      <w:rPr>
        <w:rFonts w:hint="default"/>
        <w:lang w:val="zh-CN" w:eastAsia="zh-CN" w:bidi="zh-CN"/>
      </w:rPr>
    </w:lvl>
    <w:lvl w:ilvl="2" w:tentative="0">
      <w:start w:val="0"/>
      <w:numFmt w:val="bullet"/>
      <w:lvlText w:val="•"/>
      <w:lvlJc w:val="left"/>
      <w:pPr>
        <w:ind w:left="2209" w:hanging="181"/>
      </w:pPr>
      <w:rPr>
        <w:rFonts w:hint="default"/>
        <w:lang w:val="zh-CN" w:eastAsia="zh-CN" w:bidi="zh-CN"/>
      </w:rPr>
    </w:lvl>
    <w:lvl w:ilvl="3" w:tentative="0">
      <w:start w:val="0"/>
      <w:numFmt w:val="bullet"/>
      <w:lvlText w:val="•"/>
      <w:lvlJc w:val="left"/>
      <w:pPr>
        <w:ind w:left="3124" w:hanging="181"/>
      </w:pPr>
      <w:rPr>
        <w:rFonts w:hint="default"/>
        <w:lang w:val="zh-CN" w:eastAsia="zh-CN" w:bidi="zh-CN"/>
      </w:rPr>
    </w:lvl>
    <w:lvl w:ilvl="4" w:tentative="0">
      <w:start w:val="0"/>
      <w:numFmt w:val="bullet"/>
      <w:lvlText w:val="•"/>
      <w:lvlJc w:val="left"/>
      <w:pPr>
        <w:ind w:left="4038" w:hanging="181"/>
      </w:pPr>
      <w:rPr>
        <w:rFonts w:hint="default"/>
        <w:lang w:val="zh-CN" w:eastAsia="zh-CN" w:bidi="zh-CN"/>
      </w:rPr>
    </w:lvl>
    <w:lvl w:ilvl="5" w:tentative="0">
      <w:start w:val="0"/>
      <w:numFmt w:val="bullet"/>
      <w:lvlText w:val="•"/>
      <w:lvlJc w:val="left"/>
      <w:pPr>
        <w:ind w:left="4953" w:hanging="181"/>
      </w:pPr>
      <w:rPr>
        <w:rFonts w:hint="default"/>
        <w:lang w:val="zh-CN" w:eastAsia="zh-CN" w:bidi="zh-CN"/>
      </w:rPr>
    </w:lvl>
    <w:lvl w:ilvl="6" w:tentative="0">
      <w:start w:val="0"/>
      <w:numFmt w:val="bullet"/>
      <w:lvlText w:val="•"/>
      <w:lvlJc w:val="left"/>
      <w:pPr>
        <w:ind w:left="5868" w:hanging="181"/>
      </w:pPr>
      <w:rPr>
        <w:rFonts w:hint="default"/>
        <w:lang w:val="zh-CN" w:eastAsia="zh-CN" w:bidi="zh-CN"/>
      </w:rPr>
    </w:lvl>
    <w:lvl w:ilvl="7" w:tentative="0">
      <w:start w:val="0"/>
      <w:numFmt w:val="bullet"/>
      <w:lvlText w:val="•"/>
      <w:lvlJc w:val="left"/>
      <w:pPr>
        <w:ind w:left="6782" w:hanging="181"/>
      </w:pPr>
      <w:rPr>
        <w:rFonts w:hint="default"/>
        <w:lang w:val="zh-CN" w:eastAsia="zh-CN" w:bidi="zh-CN"/>
      </w:rPr>
    </w:lvl>
    <w:lvl w:ilvl="8" w:tentative="0">
      <w:start w:val="0"/>
      <w:numFmt w:val="bullet"/>
      <w:lvlText w:val="•"/>
      <w:lvlJc w:val="left"/>
      <w:pPr>
        <w:ind w:left="7697" w:hanging="181"/>
      </w:pPr>
      <w:rPr>
        <w:rFonts w:hint="default"/>
        <w:lang w:val="zh-CN" w:eastAsia="zh-CN" w:bidi="zh-CN"/>
      </w:rPr>
    </w:lvl>
  </w:abstractNum>
  <w:abstractNum w:abstractNumId="22">
    <w:nsid w:val="DAE62134"/>
    <w:multiLevelType w:val="multilevel"/>
    <w:tmpl w:val="DAE62134"/>
    <w:lvl w:ilvl="0" w:tentative="0">
      <w:start w:val="1"/>
      <w:numFmt w:val="decimal"/>
      <w:lvlText w:val="（%1）"/>
      <w:lvlJc w:val="left"/>
      <w:pPr>
        <w:ind w:left="384" w:hanging="601"/>
      </w:pPr>
      <w:rPr>
        <w:rFonts w:hint="default" w:ascii="宋体" w:hAnsi="宋体" w:eastAsia="宋体" w:cs="宋体"/>
        <w:spacing w:val="-1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23">
    <w:nsid w:val="DDDBB5A9"/>
    <w:multiLevelType w:val="multilevel"/>
    <w:tmpl w:val="DDDBB5A9"/>
    <w:lvl w:ilvl="0" w:tentative="0">
      <w:start w:val="1"/>
      <w:numFmt w:val="chineseCounting"/>
      <w:suff w:val="nothing"/>
      <w:lvlText w:val="%1、"/>
      <w:lvlJc w:val="left"/>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24">
    <w:nsid w:val="E0294EC7"/>
    <w:multiLevelType w:val="multilevel"/>
    <w:tmpl w:val="E0294EC7"/>
    <w:lvl w:ilvl="0" w:tentative="0">
      <w:start w:val="1"/>
      <w:numFmt w:val="decimal"/>
      <w:lvlText w:val="（%1）"/>
      <w:lvlJc w:val="left"/>
      <w:pPr>
        <w:ind w:left="384"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25">
    <w:nsid w:val="E43A772E"/>
    <w:multiLevelType w:val="multilevel"/>
    <w:tmpl w:val="E43A772E"/>
    <w:lvl w:ilvl="0" w:tentative="0">
      <w:start w:val="1"/>
      <w:numFmt w:val="decimal"/>
      <w:lvlText w:val="（%1）"/>
      <w:lvlJc w:val="left"/>
      <w:pPr>
        <w:ind w:left="384" w:hanging="601"/>
      </w:pPr>
      <w:rPr>
        <w:rFonts w:hint="default" w:ascii="宋体" w:hAnsi="宋体" w:eastAsia="宋体" w:cs="宋体"/>
        <w:spacing w:val="-16"/>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26">
    <w:nsid w:val="E52D9448"/>
    <w:multiLevelType w:val="multilevel"/>
    <w:tmpl w:val="E52D9448"/>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27">
    <w:nsid w:val="E7B2FB88"/>
    <w:multiLevelType w:val="multilevel"/>
    <w:tmpl w:val="E7B2FB88"/>
    <w:lvl w:ilvl="0" w:tentative="0">
      <w:start w:val="3"/>
      <w:numFmt w:val="chineseCounting"/>
      <w:suff w:val="nothing"/>
      <w:lvlText w:val="（%1）"/>
      <w:lvlJc w:val="left"/>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28">
    <w:nsid w:val="E9630B91"/>
    <w:multiLevelType w:val="multilevel"/>
    <w:tmpl w:val="E9630B91"/>
    <w:lvl w:ilvl="0" w:tentative="0">
      <w:start w:val="1"/>
      <w:numFmt w:val="decimal"/>
      <w:lvlText w:val="%1."/>
      <w:lvlJc w:val="left"/>
      <w:pPr>
        <w:ind w:left="224" w:hanging="361"/>
      </w:pPr>
      <w:rPr>
        <w:rFonts w:hint="default" w:ascii="Times New Roman" w:hAnsi="Times New Roman" w:eastAsia="Times New Roman" w:cs="Times New Roman"/>
        <w:spacing w:val="-19"/>
        <w:w w:val="100"/>
        <w:sz w:val="22"/>
        <w:szCs w:val="22"/>
        <w:lang w:val="zh-CN" w:eastAsia="zh-CN" w:bidi="zh-CN"/>
      </w:rPr>
    </w:lvl>
    <w:lvl w:ilvl="1" w:tentative="0">
      <w:start w:val="0"/>
      <w:numFmt w:val="bullet"/>
      <w:lvlText w:val="•"/>
      <w:lvlJc w:val="left"/>
      <w:pPr>
        <w:ind w:left="1138" w:hanging="361"/>
      </w:pPr>
      <w:rPr>
        <w:rFonts w:hint="default"/>
        <w:lang w:val="zh-CN" w:eastAsia="zh-CN" w:bidi="zh-CN"/>
      </w:rPr>
    </w:lvl>
    <w:lvl w:ilvl="2" w:tentative="0">
      <w:start w:val="0"/>
      <w:numFmt w:val="bullet"/>
      <w:lvlText w:val="•"/>
      <w:lvlJc w:val="left"/>
      <w:pPr>
        <w:ind w:left="2057" w:hanging="361"/>
      </w:pPr>
      <w:rPr>
        <w:rFonts w:hint="default"/>
        <w:lang w:val="zh-CN" w:eastAsia="zh-CN" w:bidi="zh-CN"/>
      </w:rPr>
    </w:lvl>
    <w:lvl w:ilvl="3" w:tentative="0">
      <w:start w:val="0"/>
      <w:numFmt w:val="bullet"/>
      <w:lvlText w:val="•"/>
      <w:lvlJc w:val="left"/>
      <w:pPr>
        <w:ind w:left="2976" w:hanging="361"/>
      </w:pPr>
      <w:rPr>
        <w:rFonts w:hint="default"/>
        <w:lang w:val="zh-CN" w:eastAsia="zh-CN" w:bidi="zh-CN"/>
      </w:rPr>
    </w:lvl>
    <w:lvl w:ilvl="4" w:tentative="0">
      <w:start w:val="0"/>
      <w:numFmt w:val="bullet"/>
      <w:lvlText w:val="•"/>
      <w:lvlJc w:val="left"/>
      <w:pPr>
        <w:ind w:left="3894" w:hanging="361"/>
      </w:pPr>
      <w:rPr>
        <w:rFonts w:hint="default"/>
        <w:lang w:val="zh-CN" w:eastAsia="zh-CN" w:bidi="zh-CN"/>
      </w:rPr>
    </w:lvl>
    <w:lvl w:ilvl="5" w:tentative="0">
      <w:start w:val="0"/>
      <w:numFmt w:val="bullet"/>
      <w:lvlText w:val="•"/>
      <w:lvlJc w:val="left"/>
      <w:pPr>
        <w:ind w:left="4813" w:hanging="361"/>
      </w:pPr>
      <w:rPr>
        <w:rFonts w:hint="default"/>
        <w:lang w:val="zh-CN" w:eastAsia="zh-CN" w:bidi="zh-CN"/>
      </w:rPr>
    </w:lvl>
    <w:lvl w:ilvl="6" w:tentative="0">
      <w:start w:val="0"/>
      <w:numFmt w:val="bullet"/>
      <w:lvlText w:val="•"/>
      <w:lvlJc w:val="left"/>
      <w:pPr>
        <w:ind w:left="5732" w:hanging="361"/>
      </w:pPr>
      <w:rPr>
        <w:rFonts w:hint="default"/>
        <w:lang w:val="zh-CN" w:eastAsia="zh-CN" w:bidi="zh-CN"/>
      </w:rPr>
    </w:lvl>
    <w:lvl w:ilvl="7" w:tentative="0">
      <w:start w:val="0"/>
      <w:numFmt w:val="bullet"/>
      <w:lvlText w:val="•"/>
      <w:lvlJc w:val="left"/>
      <w:pPr>
        <w:ind w:left="6650" w:hanging="361"/>
      </w:pPr>
      <w:rPr>
        <w:rFonts w:hint="default"/>
        <w:lang w:val="zh-CN" w:eastAsia="zh-CN" w:bidi="zh-CN"/>
      </w:rPr>
    </w:lvl>
    <w:lvl w:ilvl="8" w:tentative="0">
      <w:start w:val="0"/>
      <w:numFmt w:val="bullet"/>
      <w:lvlText w:val="•"/>
      <w:lvlJc w:val="left"/>
      <w:pPr>
        <w:ind w:left="7569" w:hanging="361"/>
      </w:pPr>
      <w:rPr>
        <w:rFonts w:hint="default"/>
        <w:lang w:val="zh-CN" w:eastAsia="zh-CN" w:bidi="zh-CN"/>
      </w:rPr>
    </w:lvl>
  </w:abstractNum>
  <w:abstractNum w:abstractNumId="29">
    <w:nsid w:val="EA28CC15"/>
    <w:multiLevelType w:val="multilevel"/>
    <w:tmpl w:val="EA28CC15"/>
    <w:lvl w:ilvl="0" w:tentative="0">
      <w:start w:val="8"/>
      <w:numFmt w:val="decimal"/>
      <w:lvlText w:val="(%1)"/>
      <w:lvlJc w:val="left"/>
      <w:pPr>
        <w:ind w:left="1144" w:hanging="281"/>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1978" w:hanging="281"/>
      </w:pPr>
      <w:rPr>
        <w:rFonts w:hint="default"/>
        <w:lang w:val="zh-CN" w:eastAsia="zh-CN" w:bidi="zh-CN"/>
      </w:rPr>
    </w:lvl>
    <w:lvl w:ilvl="2" w:tentative="0">
      <w:start w:val="0"/>
      <w:numFmt w:val="bullet"/>
      <w:lvlText w:val="•"/>
      <w:lvlJc w:val="left"/>
      <w:pPr>
        <w:ind w:left="2817" w:hanging="281"/>
      </w:pPr>
      <w:rPr>
        <w:rFonts w:hint="default"/>
        <w:lang w:val="zh-CN" w:eastAsia="zh-CN" w:bidi="zh-CN"/>
      </w:rPr>
    </w:lvl>
    <w:lvl w:ilvl="3" w:tentative="0">
      <w:start w:val="0"/>
      <w:numFmt w:val="bullet"/>
      <w:lvlText w:val="•"/>
      <w:lvlJc w:val="left"/>
      <w:pPr>
        <w:ind w:left="3656" w:hanging="281"/>
      </w:pPr>
      <w:rPr>
        <w:rFonts w:hint="default"/>
        <w:lang w:val="zh-CN" w:eastAsia="zh-CN" w:bidi="zh-CN"/>
      </w:rPr>
    </w:lvl>
    <w:lvl w:ilvl="4" w:tentative="0">
      <w:start w:val="0"/>
      <w:numFmt w:val="bullet"/>
      <w:lvlText w:val="•"/>
      <w:lvlJc w:val="left"/>
      <w:pPr>
        <w:ind w:left="4494" w:hanging="281"/>
      </w:pPr>
      <w:rPr>
        <w:rFonts w:hint="default"/>
        <w:lang w:val="zh-CN" w:eastAsia="zh-CN" w:bidi="zh-CN"/>
      </w:rPr>
    </w:lvl>
    <w:lvl w:ilvl="5" w:tentative="0">
      <w:start w:val="0"/>
      <w:numFmt w:val="bullet"/>
      <w:lvlText w:val="•"/>
      <w:lvlJc w:val="left"/>
      <w:pPr>
        <w:ind w:left="5333" w:hanging="281"/>
      </w:pPr>
      <w:rPr>
        <w:rFonts w:hint="default"/>
        <w:lang w:val="zh-CN" w:eastAsia="zh-CN" w:bidi="zh-CN"/>
      </w:rPr>
    </w:lvl>
    <w:lvl w:ilvl="6" w:tentative="0">
      <w:start w:val="0"/>
      <w:numFmt w:val="bullet"/>
      <w:lvlText w:val="•"/>
      <w:lvlJc w:val="left"/>
      <w:pPr>
        <w:ind w:left="6172" w:hanging="281"/>
      </w:pPr>
      <w:rPr>
        <w:rFonts w:hint="default"/>
        <w:lang w:val="zh-CN" w:eastAsia="zh-CN" w:bidi="zh-CN"/>
      </w:rPr>
    </w:lvl>
    <w:lvl w:ilvl="7" w:tentative="0">
      <w:start w:val="0"/>
      <w:numFmt w:val="bullet"/>
      <w:lvlText w:val="•"/>
      <w:lvlJc w:val="left"/>
      <w:pPr>
        <w:ind w:left="7010" w:hanging="281"/>
      </w:pPr>
      <w:rPr>
        <w:rFonts w:hint="default"/>
        <w:lang w:val="zh-CN" w:eastAsia="zh-CN" w:bidi="zh-CN"/>
      </w:rPr>
    </w:lvl>
    <w:lvl w:ilvl="8" w:tentative="0">
      <w:start w:val="0"/>
      <w:numFmt w:val="bullet"/>
      <w:lvlText w:val="•"/>
      <w:lvlJc w:val="left"/>
      <w:pPr>
        <w:ind w:left="7849" w:hanging="281"/>
      </w:pPr>
      <w:rPr>
        <w:rFonts w:hint="default"/>
        <w:lang w:val="zh-CN" w:eastAsia="zh-CN" w:bidi="zh-CN"/>
      </w:rPr>
    </w:lvl>
  </w:abstractNum>
  <w:abstractNum w:abstractNumId="30">
    <w:nsid w:val="ED6CD060"/>
    <w:multiLevelType w:val="multilevel"/>
    <w:tmpl w:val="ED6CD060"/>
    <w:lvl w:ilvl="0" w:tentative="0">
      <w:start w:val="1"/>
      <w:numFmt w:val="chineseCounting"/>
      <w:lvlText w:val="第%1章"/>
      <w:lvlJc w:val="left"/>
      <w:rPr>
        <w:rFonts w:ascii="Times New Roman" w:hAnsi="Times New Roman" w:eastAsia="宋体" w:cs="Times New Roman"/>
      </w:rPr>
    </w:lvl>
    <w:lvl w:ilvl="1" w:tentative="0">
      <w:start w:val="1"/>
      <w:numFmt w:val="decimal"/>
      <w:lvlText w:val="第"/>
      <w:lvlJc w:val="left"/>
      <w:rPr>
        <w:rFonts w:ascii="Times New Roman" w:hAnsi="Times New Roman" w:eastAsia="宋体" w:cs="Times New Roman"/>
      </w:rPr>
    </w:lvl>
    <w:lvl w:ilvl="2" w:tentative="0">
      <w:start w:val="1"/>
      <w:numFmt w:val="decimal"/>
      <w:lvlText w:val="第"/>
      <w:lvlJc w:val="left"/>
      <w:rPr>
        <w:rFonts w:ascii="Times New Roman" w:hAnsi="Times New Roman" w:eastAsia="宋体" w:cs="Times New Roman"/>
      </w:rPr>
    </w:lvl>
    <w:lvl w:ilvl="3" w:tentative="0">
      <w:start w:val="1"/>
      <w:numFmt w:val="decimal"/>
      <w:lvlText w:val="第"/>
      <w:lvlJc w:val="left"/>
      <w:rPr>
        <w:rFonts w:ascii="Times New Roman" w:hAnsi="Times New Roman" w:eastAsia="宋体" w:cs="Times New Roman"/>
      </w:rPr>
    </w:lvl>
    <w:lvl w:ilvl="4" w:tentative="0">
      <w:start w:val="1"/>
      <w:numFmt w:val="decimal"/>
      <w:lvlText w:val="第"/>
      <w:lvlJc w:val="left"/>
      <w:rPr>
        <w:rFonts w:ascii="Times New Roman" w:hAnsi="Times New Roman" w:eastAsia="宋体" w:cs="Times New Roman"/>
      </w:rPr>
    </w:lvl>
    <w:lvl w:ilvl="5" w:tentative="0">
      <w:start w:val="1"/>
      <w:numFmt w:val="decimal"/>
      <w:lvlText w:val="第"/>
      <w:lvlJc w:val="left"/>
      <w:rPr>
        <w:rFonts w:ascii="Times New Roman" w:hAnsi="Times New Roman" w:eastAsia="宋体" w:cs="Times New Roman"/>
      </w:rPr>
    </w:lvl>
    <w:lvl w:ilvl="6" w:tentative="0">
      <w:start w:val="1"/>
      <w:numFmt w:val="decimal"/>
      <w:lvlText w:val="第"/>
      <w:lvlJc w:val="left"/>
      <w:rPr>
        <w:rFonts w:ascii="Times New Roman" w:hAnsi="Times New Roman" w:eastAsia="宋体" w:cs="Times New Roman"/>
      </w:rPr>
    </w:lvl>
    <w:lvl w:ilvl="7" w:tentative="0">
      <w:start w:val="1"/>
      <w:numFmt w:val="decimal"/>
      <w:lvlText w:val="第"/>
      <w:lvlJc w:val="left"/>
      <w:rPr>
        <w:rFonts w:ascii="Times New Roman" w:hAnsi="Times New Roman" w:eastAsia="宋体" w:cs="Times New Roman"/>
      </w:rPr>
    </w:lvl>
    <w:lvl w:ilvl="8" w:tentative="0">
      <w:start w:val="1"/>
      <w:numFmt w:val="decimal"/>
      <w:lvlText w:val="第"/>
      <w:lvlJc w:val="left"/>
      <w:rPr>
        <w:rFonts w:ascii="Times New Roman" w:hAnsi="Times New Roman" w:eastAsia="宋体" w:cs="Times New Roman"/>
      </w:rPr>
    </w:lvl>
  </w:abstractNum>
  <w:abstractNum w:abstractNumId="31">
    <w:nsid w:val="F1FCDEFA"/>
    <w:multiLevelType w:val="multilevel"/>
    <w:tmpl w:val="F1FCDEFA"/>
    <w:lvl w:ilvl="0" w:tentative="0">
      <w:start w:val="1"/>
      <w:numFmt w:val="decimal"/>
      <w:lvlText w:val="（%1）"/>
      <w:lvlJc w:val="left"/>
      <w:pPr>
        <w:ind w:left="384" w:hanging="601"/>
      </w:pPr>
      <w:rPr>
        <w:rFonts w:hint="default" w:ascii="宋体" w:hAnsi="宋体" w:eastAsia="宋体" w:cs="宋体"/>
        <w:spacing w:val="-10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2">
    <w:nsid w:val="F237ACA1"/>
    <w:multiLevelType w:val="multilevel"/>
    <w:tmpl w:val="F237ACA1"/>
    <w:lvl w:ilvl="0" w:tentative="0">
      <w:start w:val="12"/>
      <w:numFmt w:val="decimal"/>
      <w:lvlText w:val="(%1)"/>
      <w:lvlJc w:val="left"/>
      <w:pPr>
        <w:ind w:left="384" w:hanging="404"/>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1294" w:hanging="404"/>
      </w:pPr>
      <w:rPr>
        <w:rFonts w:hint="default"/>
        <w:lang w:val="zh-CN" w:eastAsia="zh-CN" w:bidi="zh-CN"/>
      </w:rPr>
    </w:lvl>
    <w:lvl w:ilvl="2" w:tentative="0">
      <w:start w:val="0"/>
      <w:numFmt w:val="bullet"/>
      <w:lvlText w:val="•"/>
      <w:lvlJc w:val="left"/>
      <w:pPr>
        <w:ind w:left="2209" w:hanging="404"/>
      </w:pPr>
      <w:rPr>
        <w:rFonts w:hint="default"/>
        <w:lang w:val="zh-CN" w:eastAsia="zh-CN" w:bidi="zh-CN"/>
      </w:rPr>
    </w:lvl>
    <w:lvl w:ilvl="3" w:tentative="0">
      <w:start w:val="0"/>
      <w:numFmt w:val="bullet"/>
      <w:lvlText w:val="•"/>
      <w:lvlJc w:val="left"/>
      <w:pPr>
        <w:ind w:left="3124" w:hanging="404"/>
      </w:pPr>
      <w:rPr>
        <w:rFonts w:hint="default"/>
        <w:lang w:val="zh-CN" w:eastAsia="zh-CN" w:bidi="zh-CN"/>
      </w:rPr>
    </w:lvl>
    <w:lvl w:ilvl="4" w:tentative="0">
      <w:start w:val="0"/>
      <w:numFmt w:val="bullet"/>
      <w:lvlText w:val="•"/>
      <w:lvlJc w:val="left"/>
      <w:pPr>
        <w:ind w:left="4038" w:hanging="404"/>
      </w:pPr>
      <w:rPr>
        <w:rFonts w:hint="default"/>
        <w:lang w:val="zh-CN" w:eastAsia="zh-CN" w:bidi="zh-CN"/>
      </w:rPr>
    </w:lvl>
    <w:lvl w:ilvl="5" w:tentative="0">
      <w:start w:val="0"/>
      <w:numFmt w:val="bullet"/>
      <w:lvlText w:val="•"/>
      <w:lvlJc w:val="left"/>
      <w:pPr>
        <w:ind w:left="4953" w:hanging="404"/>
      </w:pPr>
      <w:rPr>
        <w:rFonts w:hint="default"/>
        <w:lang w:val="zh-CN" w:eastAsia="zh-CN" w:bidi="zh-CN"/>
      </w:rPr>
    </w:lvl>
    <w:lvl w:ilvl="6" w:tentative="0">
      <w:start w:val="0"/>
      <w:numFmt w:val="bullet"/>
      <w:lvlText w:val="•"/>
      <w:lvlJc w:val="left"/>
      <w:pPr>
        <w:ind w:left="5868" w:hanging="404"/>
      </w:pPr>
      <w:rPr>
        <w:rFonts w:hint="default"/>
        <w:lang w:val="zh-CN" w:eastAsia="zh-CN" w:bidi="zh-CN"/>
      </w:rPr>
    </w:lvl>
    <w:lvl w:ilvl="7" w:tentative="0">
      <w:start w:val="0"/>
      <w:numFmt w:val="bullet"/>
      <w:lvlText w:val="•"/>
      <w:lvlJc w:val="left"/>
      <w:pPr>
        <w:ind w:left="6782" w:hanging="404"/>
      </w:pPr>
      <w:rPr>
        <w:rFonts w:hint="default"/>
        <w:lang w:val="zh-CN" w:eastAsia="zh-CN" w:bidi="zh-CN"/>
      </w:rPr>
    </w:lvl>
    <w:lvl w:ilvl="8" w:tentative="0">
      <w:start w:val="0"/>
      <w:numFmt w:val="bullet"/>
      <w:lvlText w:val="•"/>
      <w:lvlJc w:val="left"/>
      <w:pPr>
        <w:ind w:left="7697" w:hanging="404"/>
      </w:pPr>
      <w:rPr>
        <w:rFonts w:hint="default"/>
        <w:lang w:val="zh-CN" w:eastAsia="zh-CN" w:bidi="zh-CN"/>
      </w:rPr>
    </w:lvl>
  </w:abstractNum>
  <w:abstractNum w:abstractNumId="33">
    <w:nsid w:val="F2A81E1A"/>
    <w:multiLevelType w:val="multilevel"/>
    <w:tmpl w:val="F2A81E1A"/>
    <w:lvl w:ilvl="0" w:tentative="0">
      <w:start w:val="1"/>
      <w:numFmt w:val="decimal"/>
      <w:lvlText w:val="（%1）"/>
      <w:lvlJc w:val="left"/>
      <w:pPr>
        <w:ind w:left="384" w:hanging="601"/>
      </w:pPr>
      <w:rPr>
        <w:rFonts w:hint="default" w:ascii="宋体" w:hAnsi="宋体" w:eastAsia="宋体" w:cs="宋体"/>
        <w:spacing w:val="-17"/>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4">
    <w:nsid w:val="F3A33954"/>
    <w:multiLevelType w:val="multilevel"/>
    <w:tmpl w:val="F3A33954"/>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5">
    <w:nsid w:val="F46CCC20"/>
    <w:multiLevelType w:val="multilevel"/>
    <w:tmpl w:val="F46CCC20"/>
    <w:lvl w:ilvl="0" w:tentative="0">
      <w:start w:val="1"/>
      <w:numFmt w:val="decimal"/>
      <w:lvlText w:val="%1."/>
      <w:lvlJc w:val="left"/>
      <w:pPr>
        <w:ind w:left="116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996" w:hanging="300"/>
      </w:pPr>
      <w:rPr>
        <w:rFonts w:hint="default"/>
        <w:lang w:val="zh-CN" w:eastAsia="zh-CN" w:bidi="zh-CN"/>
      </w:rPr>
    </w:lvl>
    <w:lvl w:ilvl="2" w:tentative="0">
      <w:start w:val="0"/>
      <w:numFmt w:val="bullet"/>
      <w:lvlText w:val="•"/>
      <w:lvlJc w:val="left"/>
      <w:pPr>
        <w:ind w:left="2833" w:hanging="300"/>
      </w:pPr>
      <w:rPr>
        <w:rFonts w:hint="default"/>
        <w:lang w:val="zh-CN" w:eastAsia="zh-CN" w:bidi="zh-CN"/>
      </w:rPr>
    </w:lvl>
    <w:lvl w:ilvl="3" w:tentative="0">
      <w:start w:val="0"/>
      <w:numFmt w:val="bullet"/>
      <w:lvlText w:val="•"/>
      <w:lvlJc w:val="left"/>
      <w:pPr>
        <w:ind w:left="3670" w:hanging="300"/>
      </w:pPr>
      <w:rPr>
        <w:rFonts w:hint="default"/>
        <w:lang w:val="zh-CN" w:eastAsia="zh-CN" w:bidi="zh-CN"/>
      </w:rPr>
    </w:lvl>
    <w:lvl w:ilvl="4" w:tentative="0">
      <w:start w:val="0"/>
      <w:numFmt w:val="bullet"/>
      <w:lvlText w:val="•"/>
      <w:lvlJc w:val="left"/>
      <w:pPr>
        <w:ind w:left="4506" w:hanging="300"/>
      </w:pPr>
      <w:rPr>
        <w:rFonts w:hint="default"/>
        <w:lang w:val="zh-CN" w:eastAsia="zh-CN" w:bidi="zh-CN"/>
      </w:rPr>
    </w:lvl>
    <w:lvl w:ilvl="5" w:tentative="0">
      <w:start w:val="0"/>
      <w:numFmt w:val="bullet"/>
      <w:lvlText w:val="•"/>
      <w:lvlJc w:val="left"/>
      <w:pPr>
        <w:ind w:left="5343" w:hanging="300"/>
      </w:pPr>
      <w:rPr>
        <w:rFonts w:hint="default"/>
        <w:lang w:val="zh-CN" w:eastAsia="zh-CN" w:bidi="zh-CN"/>
      </w:rPr>
    </w:lvl>
    <w:lvl w:ilvl="6" w:tentative="0">
      <w:start w:val="0"/>
      <w:numFmt w:val="bullet"/>
      <w:lvlText w:val="•"/>
      <w:lvlJc w:val="left"/>
      <w:pPr>
        <w:ind w:left="6180" w:hanging="300"/>
      </w:pPr>
      <w:rPr>
        <w:rFonts w:hint="default"/>
        <w:lang w:val="zh-CN" w:eastAsia="zh-CN" w:bidi="zh-CN"/>
      </w:rPr>
    </w:lvl>
    <w:lvl w:ilvl="7" w:tentative="0">
      <w:start w:val="0"/>
      <w:numFmt w:val="bullet"/>
      <w:lvlText w:val="•"/>
      <w:lvlJc w:val="left"/>
      <w:pPr>
        <w:ind w:left="7016" w:hanging="300"/>
      </w:pPr>
      <w:rPr>
        <w:rFonts w:hint="default"/>
        <w:lang w:val="zh-CN" w:eastAsia="zh-CN" w:bidi="zh-CN"/>
      </w:rPr>
    </w:lvl>
    <w:lvl w:ilvl="8" w:tentative="0">
      <w:start w:val="0"/>
      <w:numFmt w:val="bullet"/>
      <w:lvlText w:val="•"/>
      <w:lvlJc w:val="left"/>
      <w:pPr>
        <w:ind w:left="7853" w:hanging="300"/>
      </w:pPr>
      <w:rPr>
        <w:rFonts w:hint="default"/>
        <w:lang w:val="zh-CN" w:eastAsia="zh-CN" w:bidi="zh-CN"/>
      </w:rPr>
    </w:lvl>
  </w:abstractNum>
  <w:abstractNum w:abstractNumId="36">
    <w:nsid w:val="F4A942FE"/>
    <w:multiLevelType w:val="multilevel"/>
    <w:tmpl w:val="F4A942FE"/>
    <w:lvl w:ilvl="0" w:tentative="0">
      <w:start w:val="1"/>
      <w:numFmt w:val="decimal"/>
      <w:lvlText w:val="（%1）"/>
      <w:lvlJc w:val="left"/>
      <w:pPr>
        <w:ind w:left="384" w:hanging="601"/>
      </w:pPr>
      <w:rPr>
        <w:rFonts w:hint="default" w:ascii="宋体" w:hAnsi="宋体" w:eastAsia="宋体" w:cs="宋体"/>
        <w:spacing w:val="-22"/>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7">
    <w:nsid w:val="FFD3F04B"/>
    <w:multiLevelType w:val="multilevel"/>
    <w:tmpl w:val="FFD3F04B"/>
    <w:lvl w:ilvl="0" w:tentative="0">
      <w:start w:val="1"/>
      <w:numFmt w:val="decimal"/>
      <w:lvlText w:val="（%1）"/>
      <w:lvlJc w:val="left"/>
      <w:pPr>
        <w:ind w:left="130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110" w:hanging="601"/>
      </w:pPr>
      <w:rPr>
        <w:rFonts w:hint="default"/>
        <w:lang w:val="zh-CN" w:eastAsia="zh-CN" w:bidi="zh-CN"/>
      </w:rPr>
    </w:lvl>
    <w:lvl w:ilvl="2" w:tentative="0">
      <w:start w:val="0"/>
      <w:numFmt w:val="bullet"/>
      <w:lvlText w:val="•"/>
      <w:lvlJc w:val="left"/>
      <w:pPr>
        <w:ind w:left="2921" w:hanging="601"/>
      </w:pPr>
      <w:rPr>
        <w:rFonts w:hint="default"/>
        <w:lang w:val="zh-CN" w:eastAsia="zh-CN" w:bidi="zh-CN"/>
      </w:rPr>
    </w:lvl>
    <w:lvl w:ilvl="3" w:tentative="0">
      <w:start w:val="0"/>
      <w:numFmt w:val="bullet"/>
      <w:lvlText w:val="•"/>
      <w:lvlJc w:val="left"/>
      <w:pPr>
        <w:ind w:left="3732" w:hanging="601"/>
      </w:pPr>
      <w:rPr>
        <w:rFonts w:hint="default"/>
        <w:lang w:val="zh-CN" w:eastAsia="zh-CN" w:bidi="zh-CN"/>
      </w:rPr>
    </w:lvl>
    <w:lvl w:ilvl="4" w:tentative="0">
      <w:start w:val="0"/>
      <w:numFmt w:val="bullet"/>
      <w:lvlText w:val="•"/>
      <w:lvlJc w:val="left"/>
      <w:pPr>
        <w:ind w:left="4542" w:hanging="601"/>
      </w:pPr>
      <w:rPr>
        <w:rFonts w:hint="default"/>
        <w:lang w:val="zh-CN" w:eastAsia="zh-CN" w:bidi="zh-CN"/>
      </w:rPr>
    </w:lvl>
    <w:lvl w:ilvl="5" w:tentative="0">
      <w:start w:val="0"/>
      <w:numFmt w:val="bullet"/>
      <w:lvlText w:val="•"/>
      <w:lvlJc w:val="left"/>
      <w:pPr>
        <w:ind w:left="5353" w:hanging="601"/>
      </w:pPr>
      <w:rPr>
        <w:rFonts w:hint="default"/>
        <w:lang w:val="zh-CN" w:eastAsia="zh-CN" w:bidi="zh-CN"/>
      </w:rPr>
    </w:lvl>
    <w:lvl w:ilvl="6" w:tentative="0">
      <w:start w:val="0"/>
      <w:numFmt w:val="bullet"/>
      <w:lvlText w:val="•"/>
      <w:lvlJc w:val="left"/>
      <w:pPr>
        <w:ind w:left="6164" w:hanging="601"/>
      </w:pPr>
      <w:rPr>
        <w:rFonts w:hint="default"/>
        <w:lang w:val="zh-CN" w:eastAsia="zh-CN" w:bidi="zh-CN"/>
      </w:rPr>
    </w:lvl>
    <w:lvl w:ilvl="7" w:tentative="0">
      <w:start w:val="0"/>
      <w:numFmt w:val="bullet"/>
      <w:lvlText w:val="•"/>
      <w:lvlJc w:val="left"/>
      <w:pPr>
        <w:ind w:left="6974" w:hanging="601"/>
      </w:pPr>
      <w:rPr>
        <w:rFonts w:hint="default"/>
        <w:lang w:val="zh-CN" w:eastAsia="zh-CN" w:bidi="zh-CN"/>
      </w:rPr>
    </w:lvl>
    <w:lvl w:ilvl="8" w:tentative="0">
      <w:start w:val="0"/>
      <w:numFmt w:val="bullet"/>
      <w:lvlText w:val="•"/>
      <w:lvlJc w:val="left"/>
      <w:pPr>
        <w:ind w:left="7785" w:hanging="601"/>
      </w:pPr>
      <w:rPr>
        <w:rFonts w:hint="default"/>
        <w:lang w:val="zh-CN" w:eastAsia="zh-CN" w:bidi="zh-CN"/>
      </w:rPr>
    </w:lvl>
  </w:abstractNum>
  <w:abstractNum w:abstractNumId="38">
    <w:nsid w:val="01836A6D"/>
    <w:multiLevelType w:val="multilevel"/>
    <w:tmpl w:val="01836A6D"/>
    <w:lvl w:ilvl="0" w:tentative="0">
      <w:start w:val="1"/>
      <w:numFmt w:val="decimal"/>
      <w:lvlText w:val="（%1）"/>
      <w:lvlJc w:val="left"/>
      <w:pPr>
        <w:ind w:left="384" w:hanging="601"/>
      </w:pPr>
      <w:rPr>
        <w:rFonts w:hint="default" w:ascii="宋体" w:hAnsi="宋体" w:eastAsia="宋体" w:cs="宋体"/>
        <w:spacing w:val="-1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9">
    <w:nsid w:val="01D7E1C7"/>
    <w:multiLevelType w:val="multilevel"/>
    <w:tmpl w:val="01D7E1C7"/>
    <w:lvl w:ilvl="0" w:tentative="0">
      <w:start w:val="1"/>
      <w:numFmt w:val="decimal"/>
      <w:lvlText w:val="（%1）"/>
      <w:lvlJc w:val="left"/>
      <w:pPr>
        <w:ind w:left="384" w:hanging="601"/>
      </w:pPr>
      <w:rPr>
        <w:rFonts w:hint="default" w:ascii="宋体" w:hAnsi="宋体" w:eastAsia="宋体" w:cs="宋体"/>
        <w:spacing w:val="-10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40">
    <w:nsid w:val="03C240C0"/>
    <w:multiLevelType w:val="multilevel"/>
    <w:tmpl w:val="03C240C0"/>
    <w:lvl w:ilvl="0" w:tentative="0">
      <w:start w:val="1"/>
      <w:numFmt w:val="decimal"/>
      <w:lvlText w:val="（%1）"/>
      <w:lvlJc w:val="left"/>
      <w:pPr>
        <w:ind w:left="1467" w:hanging="604"/>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2266" w:hanging="604"/>
      </w:pPr>
      <w:rPr>
        <w:rFonts w:hint="default"/>
        <w:lang w:val="zh-CN" w:eastAsia="zh-CN" w:bidi="zh-CN"/>
      </w:rPr>
    </w:lvl>
    <w:lvl w:ilvl="2" w:tentative="0">
      <w:start w:val="0"/>
      <w:numFmt w:val="bullet"/>
      <w:lvlText w:val="•"/>
      <w:lvlJc w:val="left"/>
      <w:pPr>
        <w:ind w:left="3073" w:hanging="604"/>
      </w:pPr>
      <w:rPr>
        <w:rFonts w:hint="default"/>
        <w:lang w:val="zh-CN" w:eastAsia="zh-CN" w:bidi="zh-CN"/>
      </w:rPr>
    </w:lvl>
    <w:lvl w:ilvl="3" w:tentative="0">
      <w:start w:val="0"/>
      <w:numFmt w:val="bullet"/>
      <w:lvlText w:val="•"/>
      <w:lvlJc w:val="left"/>
      <w:pPr>
        <w:ind w:left="3880" w:hanging="604"/>
      </w:pPr>
      <w:rPr>
        <w:rFonts w:hint="default"/>
        <w:lang w:val="zh-CN" w:eastAsia="zh-CN" w:bidi="zh-CN"/>
      </w:rPr>
    </w:lvl>
    <w:lvl w:ilvl="4" w:tentative="0">
      <w:start w:val="0"/>
      <w:numFmt w:val="bullet"/>
      <w:lvlText w:val="•"/>
      <w:lvlJc w:val="left"/>
      <w:pPr>
        <w:ind w:left="4686" w:hanging="604"/>
      </w:pPr>
      <w:rPr>
        <w:rFonts w:hint="default"/>
        <w:lang w:val="zh-CN" w:eastAsia="zh-CN" w:bidi="zh-CN"/>
      </w:rPr>
    </w:lvl>
    <w:lvl w:ilvl="5" w:tentative="0">
      <w:start w:val="0"/>
      <w:numFmt w:val="bullet"/>
      <w:lvlText w:val="•"/>
      <w:lvlJc w:val="left"/>
      <w:pPr>
        <w:ind w:left="5493" w:hanging="604"/>
      </w:pPr>
      <w:rPr>
        <w:rFonts w:hint="default"/>
        <w:lang w:val="zh-CN" w:eastAsia="zh-CN" w:bidi="zh-CN"/>
      </w:rPr>
    </w:lvl>
    <w:lvl w:ilvl="6" w:tentative="0">
      <w:start w:val="0"/>
      <w:numFmt w:val="bullet"/>
      <w:lvlText w:val="•"/>
      <w:lvlJc w:val="left"/>
      <w:pPr>
        <w:ind w:left="6300" w:hanging="604"/>
      </w:pPr>
      <w:rPr>
        <w:rFonts w:hint="default"/>
        <w:lang w:val="zh-CN" w:eastAsia="zh-CN" w:bidi="zh-CN"/>
      </w:rPr>
    </w:lvl>
    <w:lvl w:ilvl="7" w:tentative="0">
      <w:start w:val="0"/>
      <w:numFmt w:val="bullet"/>
      <w:lvlText w:val="•"/>
      <w:lvlJc w:val="left"/>
      <w:pPr>
        <w:ind w:left="7106" w:hanging="604"/>
      </w:pPr>
      <w:rPr>
        <w:rFonts w:hint="default"/>
        <w:lang w:val="zh-CN" w:eastAsia="zh-CN" w:bidi="zh-CN"/>
      </w:rPr>
    </w:lvl>
    <w:lvl w:ilvl="8" w:tentative="0">
      <w:start w:val="0"/>
      <w:numFmt w:val="bullet"/>
      <w:lvlText w:val="•"/>
      <w:lvlJc w:val="left"/>
      <w:pPr>
        <w:ind w:left="7913" w:hanging="604"/>
      </w:pPr>
      <w:rPr>
        <w:rFonts w:hint="default"/>
        <w:lang w:val="zh-CN" w:eastAsia="zh-CN" w:bidi="zh-CN"/>
      </w:rPr>
    </w:lvl>
  </w:abstractNum>
  <w:abstractNum w:abstractNumId="41">
    <w:nsid w:val="07F5BCC3"/>
    <w:multiLevelType w:val="multilevel"/>
    <w:tmpl w:val="07F5BCC3"/>
    <w:lvl w:ilvl="0" w:tentative="0">
      <w:start w:val="1"/>
      <w:numFmt w:val="decimal"/>
      <w:lvlText w:val="（%1）"/>
      <w:lvlJc w:val="left"/>
      <w:pPr>
        <w:ind w:left="384" w:hanging="601"/>
      </w:pPr>
      <w:rPr>
        <w:rFonts w:hint="default" w:ascii="宋体" w:hAnsi="宋体" w:eastAsia="宋体" w:cs="宋体"/>
        <w:spacing w:val="-22"/>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42">
    <w:nsid w:val="0C0E1E13"/>
    <w:multiLevelType w:val="multilevel"/>
    <w:tmpl w:val="0C0E1E13"/>
    <w:lvl w:ilvl="0" w:tentative="0">
      <w:start w:val="1"/>
      <w:numFmt w:val="decimal"/>
      <w:lvlText w:val="(%1)"/>
      <w:lvlJc w:val="left"/>
      <w:pPr>
        <w:ind w:left="1144" w:hanging="281"/>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1978" w:hanging="281"/>
      </w:pPr>
      <w:rPr>
        <w:rFonts w:hint="default"/>
        <w:lang w:val="zh-CN" w:eastAsia="zh-CN" w:bidi="zh-CN"/>
      </w:rPr>
    </w:lvl>
    <w:lvl w:ilvl="2" w:tentative="0">
      <w:start w:val="0"/>
      <w:numFmt w:val="bullet"/>
      <w:lvlText w:val="•"/>
      <w:lvlJc w:val="left"/>
      <w:pPr>
        <w:ind w:left="2817" w:hanging="281"/>
      </w:pPr>
      <w:rPr>
        <w:rFonts w:hint="default"/>
        <w:lang w:val="zh-CN" w:eastAsia="zh-CN" w:bidi="zh-CN"/>
      </w:rPr>
    </w:lvl>
    <w:lvl w:ilvl="3" w:tentative="0">
      <w:start w:val="0"/>
      <w:numFmt w:val="bullet"/>
      <w:lvlText w:val="•"/>
      <w:lvlJc w:val="left"/>
      <w:pPr>
        <w:ind w:left="3656" w:hanging="281"/>
      </w:pPr>
      <w:rPr>
        <w:rFonts w:hint="default"/>
        <w:lang w:val="zh-CN" w:eastAsia="zh-CN" w:bidi="zh-CN"/>
      </w:rPr>
    </w:lvl>
    <w:lvl w:ilvl="4" w:tentative="0">
      <w:start w:val="0"/>
      <w:numFmt w:val="bullet"/>
      <w:lvlText w:val="•"/>
      <w:lvlJc w:val="left"/>
      <w:pPr>
        <w:ind w:left="4494" w:hanging="281"/>
      </w:pPr>
      <w:rPr>
        <w:rFonts w:hint="default"/>
        <w:lang w:val="zh-CN" w:eastAsia="zh-CN" w:bidi="zh-CN"/>
      </w:rPr>
    </w:lvl>
    <w:lvl w:ilvl="5" w:tentative="0">
      <w:start w:val="0"/>
      <w:numFmt w:val="bullet"/>
      <w:lvlText w:val="•"/>
      <w:lvlJc w:val="left"/>
      <w:pPr>
        <w:ind w:left="5333" w:hanging="281"/>
      </w:pPr>
      <w:rPr>
        <w:rFonts w:hint="default"/>
        <w:lang w:val="zh-CN" w:eastAsia="zh-CN" w:bidi="zh-CN"/>
      </w:rPr>
    </w:lvl>
    <w:lvl w:ilvl="6" w:tentative="0">
      <w:start w:val="0"/>
      <w:numFmt w:val="bullet"/>
      <w:lvlText w:val="•"/>
      <w:lvlJc w:val="left"/>
      <w:pPr>
        <w:ind w:left="6172" w:hanging="281"/>
      </w:pPr>
      <w:rPr>
        <w:rFonts w:hint="default"/>
        <w:lang w:val="zh-CN" w:eastAsia="zh-CN" w:bidi="zh-CN"/>
      </w:rPr>
    </w:lvl>
    <w:lvl w:ilvl="7" w:tentative="0">
      <w:start w:val="0"/>
      <w:numFmt w:val="bullet"/>
      <w:lvlText w:val="•"/>
      <w:lvlJc w:val="left"/>
      <w:pPr>
        <w:ind w:left="7010" w:hanging="281"/>
      </w:pPr>
      <w:rPr>
        <w:rFonts w:hint="default"/>
        <w:lang w:val="zh-CN" w:eastAsia="zh-CN" w:bidi="zh-CN"/>
      </w:rPr>
    </w:lvl>
    <w:lvl w:ilvl="8" w:tentative="0">
      <w:start w:val="0"/>
      <w:numFmt w:val="bullet"/>
      <w:lvlText w:val="•"/>
      <w:lvlJc w:val="left"/>
      <w:pPr>
        <w:ind w:left="7849" w:hanging="281"/>
      </w:pPr>
      <w:rPr>
        <w:rFonts w:hint="default"/>
        <w:lang w:val="zh-CN" w:eastAsia="zh-CN" w:bidi="zh-CN"/>
      </w:rPr>
    </w:lvl>
  </w:abstractNum>
  <w:abstractNum w:abstractNumId="43">
    <w:nsid w:val="0DC629B0"/>
    <w:multiLevelType w:val="multilevel"/>
    <w:tmpl w:val="0DC629B0"/>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44">
    <w:nsid w:val="10D591E5"/>
    <w:multiLevelType w:val="multilevel"/>
    <w:tmpl w:val="10D591E5"/>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45">
    <w:nsid w:val="10F0DB0B"/>
    <w:multiLevelType w:val="multilevel"/>
    <w:tmpl w:val="10F0DB0B"/>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46">
    <w:nsid w:val="1AD50295"/>
    <w:multiLevelType w:val="multilevel"/>
    <w:tmpl w:val="1AD50295"/>
    <w:lvl w:ilvl="0" w:tentative="0">
      <w:start w:val="1"/>
      <w:numFmt w:val="decimal"/>
      <w:lvlText w:val="（%1）"/>
      <w:lvlJc w:val="left"/>
      <w:pPr>
        <w:ind w:left="384" w:hanging="604"/>
      </w:pPr>
      <w:rPr>
        <w:rFonts w:hint="default" w:ascii="宋体" w:hAnsi="宋体" w:eastAsia="宋体" w:cs="宋体"/>
        <w:spacing w:val="-58"/>
        <w:w w:val="100"/>
        <w:sz w:val="22"/>
        <w:szCs w:val="22"/>
        <w:lang w:val="zh-CN" w:eastAsia="zh-CN" w:bidi="zh-CN"/>
      </w:rPr>
    </w:lvl>
    <w:lvl w:ilvl="1" w:tentative="0">
      <w:start w:val="0"/>
      <w:numFmt w:val="bullet"/>
      <w:lvlText w:val="•"/>
      <w:lvlJc w:val="left"/>
      <w:pPr>
        <w:ind w:left="1294" w:hanging="604"/>
      </w:pPr>
      <w:rPr>
        <w:rFonts w:hint="default"/>
        <w:lang w:val="zh-CN" w:eastAsia="zh-CN" w:bidi="zh-CN"/>
      </w:rPr>
    </w:lvl>
    <w:lvl w:ilvl="2" w:tentative="0">
      <w:start w:val="0"/>
      <w:numFmt w:val="bullet"/>
      <w:lvlText w:val="•"/>
      <w:lvlJc w:val="left"/>
      <w:pPr>
        <w:ind w:left="2209" w:hanging="604"/>
      </w:pPr>
      <w:rPr>
        <w:rFonts w:hint="default"/>
        <w:lang w:val="zh-CN" w:eastAsia="zh-CN" w:bidi="zh-CN"/>
      </w:rPr>
    </w:lvl>
    <w:lvl w:ilvl="3" w:tentative="0">
      <w:start w:val="0"/>
      <w:numFmt w:val="bullet"/>
      <w:lvlText w:val="•"/>
      <w:lvlJc w:val="left"/>
      <w:pPr>
        <w:ind w:left="3124" w:hanging="604"/>
      </w:pPr>
      <w:rPr>
        <w:rFonts w:hint="default"/>
        <w:lang w:val="zh-CN" w:eastAsia="zh-CN" w:bidi="zh-CN"/>
      </w:rPr>
    </w:lvl>
    <w:lvl w:ilvl="4" w:tentative="0">
      <w:start w:val="0"/>
      <w:numFmt w:val="bullet"/>
      <w:lvlText w:val="•"/>
      <w:lvlJc w:val="left"/>
      <w:pPr>
        <w:ind w:left="4038" w:hanging="604"/>
      </w:pPr>
      <w:rPr>
        <w:rFonts w:hint="default"/>
        <w:lang w:val="zh-CN" w:eastAsia="zh-CN" w:bidi="zh-CN"/>
      </w:rPr>
    </w:lvl>
    <w:lvl w:ilvl="5" w:tentative="0">
      <w:start w:val="0"/>
      <w:numFmt w:val="bullet"/>
      <w:lvlText w:val="•"/>
      <w:lvlJc w:val="left"/>
      <w:pPr>
        <w:ind w:left="4953" w:hanging="604"/>
      </w:pPr>
      <w:rPr>
        <w:rFonts w:hint="default"/>
        <w:lang w:val="zh-CN" w:eastAsia="zh-CN" w:bidi="zh-CN"/>
      </w:rPr>
    </w:lvl>
    <w:lvl w:ilvl="6" w:tentative="0">
      <w:start w:val="0"/>
      <w:numFmt w:val="bullet"/>
      <w:lvlText w:val="•"/>
      <w:lvlJc w:val="left"/>
      <w:pPr>
        <w:ind w:left="5868" w:hanging="604"/>
      </w:pPr>
      <w:rPr>
        <w:rFonts w:hint="default"/>
        <w:lang w:val="zh-CN" w:eastAsia="zh-CN" w:bidi="zh-CN"/>
      </w:rPr>
    </w:lvl>
    <w:lvl w:ilvl="7" w:tentative="0">
      <w:start w:val="0"/>
      <w:numFmt w:val="bullet"/>
      <w:lvlText w:val="•"/>
      <w:lvlJc w:val="left"/>
      <w:pPr>
        <w:ind w:left="6782" w:hanging="604"/>
      </w:pPr>
      <w:rPr>
        <w:rFonts w:hint="default"/>
        <w:lang w:val="zh-CN" w:eastAsia="zh-CN" w:bidi="zh-CN"/>
      </w:rPr>
    </w:lvl>
    <w:lvl w:ilvl="8" w:tentative="0">
      <w:start w:val="0"/>
      <w:numFmt w:val="bullet"/>
      <w:lvlText w:val="•"/>
      <w:lvlJc w:val="left"/>
      <w:pPr>
        <w:ind w:left="7697" w:hanging="604"/>
      </w:pPr>
      <w:rPr>
        <w:rFonts w:hint="default"/>
        <w:lang w:val="zh-CN" w:eastAsia="zh-CN" w:bidi="zh-CN"/>
      </w:rPr>
    </w:lvl>
  </w:abstractNum>
  <w:abstractNum w:abstractNumId="47">
    <w:nsid w:val="2007DCFD"/>
    <w:multiLevelType w:val="multilevel"/>
    <w:tmpl w:val="2007DCFD"/>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48">
    <w:nsid w:val="21B3B1B1"/>
    <w:multiLevelType w:val="multilevel"/>
    <w:tmpl w:val="21B3B1B1"/>
    <w:lvl w:ilvl="0" w:tentative="0">
      <w:start w:val="102"/>
      <w:numFmt w:val="decimal"/>
      <w:lvlText w:val="%1"/>
      <w:lvlJc w:val="left"/>
      <w:pPr>
        <w:ind w:left="1483" w:hanging="620"/>
      </w:pPr>
      <w:rPr>
        <w:rFonts w:hint="default"/>
        <w:lang w:val="zh-CN" w:eastAsia="zh-CN" w:bidi="zh-CN"/>
      </w:rPr>
    </w:lvl>
    <w:lvl w:ilvl="1" w:tentative="0">
      <w:start w:val="1"/>
      <w:numFmt w:val="decimal"/>
      <w:lvlText w:val="%1-%2"/>
      <w:lvlJc w:val="left"/>
      <w:pPr>
        <w:ind w:left="1483" w:hanging="620"/>
      </w:pPr>
      <w:rPr>
        <w:rFonts w:hint="default" w:ascii="Times New Roman" w:hAnsi="Times New Roman" w:eastAsia="Times New Roman" w:cs="Times New Roman"/>
        <w:spacing w:val="-104"/>
        <w:w w:val="100"/>
        <w:sz w:val="24"/>
        <w:szCs w:val="24"/>
        <w:lang w:val="zh-CN" w:eastAsia="zh-CN" w:bidi="zh-CN"/>
      </w:rPr>
    </w:lvl>
    <w:lvl w:ilvl="2" w:tentative="0">
      <w:start w:val="0"/>
      <w:numFmt w:val="bullet"/>
      <w:lvlText w:val="•"/>
      <w:lvlJc w:val="left"/>
      <w:pPr>
        <w:ind w:left="3089" w:hanging="620"/>
      </w:pPr>
      <w:rPr>
        <w:rFonts w:hint="default"/>
        <w:lang w:val="zh-CN" w:eastAsia="zh-CN" w:bidi="zh-CN"/>
      </w:rPr>
    </w:lvl>
    <w:lvl w:ilvl="3" w:tentative="0">
      <w:start w:val="0"/>
      <w:numFmt w:val="bullet"/>
      <w:lvlText w:val="•"/>
      <w:lvlJc w:val="left"/>
      <w:pPr>
        <w:ind w:left="3894" w:hanging="620"/>
      </w:pPr>
      <w:rPr>
        <w:rFonts w:hint="default"/>
        <w:lang w:val="zh-CN" w:eastAsia="zh-CN" w:bidi="zh-CN"/>
      </w:rPr>
    </w:lvl>
    <w:lvl w:ilvl="4" w:tentative="0">
      <w:start w:val="0"/>
      <w:numFmt w:val="bullet"/>
      <w:lvlText w:val="•"/>
      <w:lvlJc w:val="left"/>
      <w:pPr>
        <w:ind w:left="4698" w:hanging="620"/>
      </w:pPr>
      <w:rPr>
        <w:rFonts w:hint="default"/>
        <w:lang w:val="zh-CN" w:eastAsia="zh-CN" w:bidi="zh-CN"/>
      </w:rPr>
    </w:lvl>
    <w:lvl w:ilvl="5" w:tentative="0">
      <w:start w:val="0"/>
      <w:numFmt w:val="bullet"/>
      <w:lvlText w:val="•"/>
      <w:lvlJc w:val="left"/>
      <w:pPr>
        <w:ind w:left="5503" w:hanging="620"/>
      </w:pPr>
      <w:rPr>
        <w:rFonts w:hint="default"/>
        <w:lang w:val="zh-CN" w:eastAsia="zh-CN" w:bidi="zh-CN"/>
      </w:rPr>
    </w:lvl>
    <w:lvl w:ilvl="6" w:tentative="0">
      <w:start w:val="0"/>
      <w:numFmt w:val="bullet"/>
      <w:lvlText w:val="•"/>
      <w:lvlJc w:val="left"/>
      <w:pPr>
        <w:ind w:left="6308" w:hanging="620"/>
      </w:pPr>
      <w:rPr>
        <w:rFonts w:hint="default"/>
        <w:lang w:val="zh-CN" w:eastAsia="zh-CN" w:bidi="zh-CN"/>
      </w:rPr>
    </w:lvl>
    <w:lvl w:ilvl="7" w:tentative="0">
      <w:start w:val="0"/>
      <w:numFmt w:val="bullet"/>
      <w:lvlText w:val="•"/>
      <w:lvlJc w:val="left"/>
      <w:pPr>
        <w:ind w:left="7112" w:hanging="620"/>
      </w:pPr>
      <w:rPr>
        <w:rFonts w:hint="default"/>
        <w:lang w:val="zh-CN" w:eastAsia="zh-CN" w:bidi="zh-CN"/>
      </w:rPr>
    </w:lvl>
    <w:lvl w:ilvl="8" w:tentative="0">
      <w:start w:val="0"/>
      <w:numFmt w:val="bullet"/>
      <w:lvlText w:val="•"/>
      <w:lvlJc w:val="left"/>
      <w:pPr>
        <w:ind w:left="7917" w:hanging="620"/>
      </w:pPr>
      <w:rPr>
        <w:rFonts w:hint="default"/>
        <w:lang w:val="zh-CN" w:eastAsia="zh-CN" w:bidi="zh-CN"/>
      </w:rPr>
    </w:lvl>
  </w:abstractNum>
  <w:abstractNum w:abstractNumId="49">
    <w:nsid w:val="227C9188"/>
    <w:multiLevelType w:val="multilevel"/>
    <w:tmpl w:val="227C9188"/>
    <w:lvl w:ilvl="0" w:tentative="0">
      <w:start w:val="1"/>
      <w:numFmt w:val="decimal"/>
      <w:lvlText w:val="（%1）"/>
      <w:lvlJc w:val="left"/>
      <w:pPr>
        <w:ind w:left="384" w:hanging="601"/>
      </w:pPr>
      <w:rPr>
        <w:rFonts w:hint="default" w:ascii="宋体" w:hAnsi="宋体" w:eastAsia="宋体" w:cs="宋体"/>
        <w:spacing w:val="-10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50">
    <w:nsid w:val="251342A6"/>
    <w:multiLevelType w:val="multilevel"/>
    <w:tmpl w:val="251342A6"/>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51">
    <w:nsid w:val="252BF6AB"/>
    <w:multiLevelType w:val="multilevel"/>
    <w:tmpl w:val="252BF6AB"/>
    <w:lvl w:ilvl="0" w:tentative="0">
      <w:start w:val="1"/>
      <w:numFmt w:val="decimal"/>
      <w:lvlText w:val="%1."/>
      <w:lvlJc w:val="left"/>
      <w:pPr>
        <w:ind w:left="994" w:hanging="181"/>
        <w:jc w:val="right"/>
      </w:pPr>
      <w:rPr>
        <w:rFonts w:hint="default" w:ascii="Times New Roman" w:hAnsi="Times New Roman" w:eastAsia="Times New Roman" w:cs="Times New Roman"/>
        <w:w w:val="100"/>
        <w:sz w:val="22"/>
        <w:szCs w:val="22"/>
        <w:lang w:val="zh-CN" w:eastAsia="zh-CN" w:bidi="zh-CN"/>
      </w:rPr>
    </w:lvl>
    <w:lvl w:ilvl="1" w:tentative="0">
      <w:start w:val="1"/>
      <w:numFmt w:val="decimal"/>
      <w:lvlText w:val="%1.%2"/>
      <w:lvlJc w:val="left"/>
      <w:pPr>
        <w:ind w:left="1113" w:hanging="420"/>
      </w:pPr>
      <w:rPr>
        <w:rFonts w:hint="default" w:ascii="Times New Roman" w:hAnsi="Times New Roman" w:eastAsia="Times New Roman" w:cs="Times New Roman"/>
        <w:w w:val="100"/>
        <w:sz w:val="24"/>
        <w:szCs w:val="24"/>
        <w:lang w:val="zh-CN" w:eastAsia="zh-CN" w:bidi="zh-CN"/>
      </w:rPr>
    </w:lvl>
    <w:lvl w:ilvl="2" w:tentative="0">
      <w:start w:val="0"/>
      <w:numFmt w:val="bullet"/>
      <w:lvlText w:val="•"/>
      <w:lvlJc w:val="left"/>
      <w:pPr>
        <w:ind w:left="2054" w:hanging="420"/>
      </w:pPr>
      <w:rPr>
        <w:rFonts w:hint="default"/>
        <w:lang w:val="zh-CN" w:eastAsia="zh-CN" w:bidi="zh-CN"/>
      </w:rPr>
    </w:lvl>
    <w:lvl w:ilvl="3" w:tentative="0">
      <w:start w:val="0"/>
      <w:numFmt w:val="bullet"/>
      <w:lvlText w:val="•"/>
      <w:lvlJc w:val="left"/>
      <w:pPr>
        <w:ind w:left="2988" w:hanging="420"/>
      </w:pPr>
      <w:rPr>
        <w:rFonts w:hint="default"/>
        <w:lang w:val="zh-CN" w:eastAsia="zh-CN" w:bidi="zh-CN"/>
      </w:rPr>
    </w:lvl>
    <w:lvl w:ilvl="4" w:tentative="0">
      <w:start w:val="0"/>
      <w:numFmt w:val="bullet"/>
      <w:lvlText w:val="•"/>
      <w:lvlJc w:val="left"/>
      <w:pPr>
        <w:ind w:left="3922" w:hanging="420"/>
      </w:pPr>
      <w:rPr>
        <w:rFonts w:hint="default"/>
        <w:lang w:val="zh-CN" w:eastAsia="zh-CN" w:bidi="zh-CN"/>
      </w:rPr>
    </w:lvl>
    <w:lvl w:ilvl="5" w:tentative="0">
      <w:start w:val="0"/>
      <w:numFmt w:val="bullet"/>
      <w:lvlText w:val="•"/>
      <w:lvlJc w:val="left"/>
      <w:pPr>
        <w:ind w:left="4856" w:hanging="420"/>
      </w:pPr>
      <w:rPr>
        <w:rFonts w:hint="default"/>
        <w:lang w:val="zh-CN" w:eastAsia="zh-CN" w:bidi="zh-CN"/>
      </w:rPr>
    </w:lvl>
    <w:lvl w:ilvl="6" w:tentative="0">
      <w:start w:val="0"/>
      <w:numFmt w:val="bullet"/>
      <w:lvlText w:val="•"/>
      <w:lvlJc w:val="left"/>
      <w:pPr>
        <w:ind w:left="5790" w:hanging="420"/>
      </w:pPr>
      <w:rPr>
        <w:rFonts w:hint="default"/>
        <w:lang w:val="zh-CN" w:eastAsia="zh-CN" w:bidi="zh-CN"/>
      </w:rPr>
    </w:lvl>
    <w:lvl w:ilvl="7" w:tentative="0">
      <w:start w:val="0"/>
      <w:numFmt w:val="bullet"/>
      <w:lvlText w:val="•"/>
      <w:lvlJc w:val="left"/>
      <w:pPr>
        <w:ind w:left="6724" w:hanging="420"/>
      </w:pPr>
      <w:rPr>
        <w:rFonts w:hint="default"/>
        <w:lang w:val="zh-CN" w:eastAsia="zh-CN" w:bidi="zh-CN"/>
      </w:rPr>
    </w:lvl>
    <w:lvl w:ilvl="8" w:tentative="0">
      <w:start w:val="0"/>
      <w:numFmt w:val="bullet"/>
      <w:lvlText w:val="•"/>
      <w:lvlJc w:val="left"/>
      <w:pPr>
        <w:ind w:left="7658" w:hanging="420"/>
      </w:pPr>
      <w:rPr>
        <w:rFonts w:hint="default"/>
        <w:lang w:val="zh-CN" w:eastAsia="zh-CN" w:bidi="zh-CN"/>
      </w:rPr>
    </w:lvl>
  </w:abstractNum>
  <w:abstractNum w:abstractNumId="52">
    <w:nsid w:val="2A8F537B"/>
    <w:multiLevelType w:val="multilevel"/>
    <w:tmpl w:val="2A8F537B"/>
    <w:lvl w:ilvl="0" w:tentative="0">
      <w:start w:val="1"/>
      <w:numFmt w:val="decimal"/>
      <w:lvlText w:val="%1"/>
      <w:lvlJc w:val="left"/>
      <w:pPr>
        <w:ind w:left="728" w:hanging="209"/>
      </w:pPr>
      <w:rPr>
        <w:rFonts w:hint="default" w:ascii="宋体" w:hAnsi="宋体" w:eastAsia="宋体" w:cs="宋体"/>
        <w:w w:val="99"/>
        <w:sz w:val="21"/>
        <w:szCs w:val="21"/>
        <w:lang w:val="zh-CN" w:eastAsia="zh-CN" w:bidi="zh-CN"/>
      </w:rPr>
    </w:lvl>
    <w:lvl w:ilvl="1" w:tentative="0">
      <w:start w:val="1"/>
      <w:numFmt w:val="decimal"/>
      <w:lvlText w:val="%2."/>
      <w:lvlJc w:val="left"/>
      <w:pPr>
        <w:ind w:left="1041" w:hanging="181"/>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1911" w:hanging="181"/>
      </w:pPr>
      <w:rPr>
        <w:rFonts w:hint="default"/>
        <w:lang w:val="zh-CN" w:eastAsia="zh-CN" w:bidi="zh-CN"/>
      </w:rPr>
    </w:lvl>
    <w:lvl w:ilvl="3" w:tentative="0">
      <w:start w:val="0"/>
      <w:numFmt w:val="bullet"/>
      <w:lvlText w:val="•"/>
      <w:lvlJc w:val="left"/>
      <w:pPr>
        <w:ind w:left="2782" w:hanging="181"/>
      </w:pPr>
      <w:rPr>
        <w:rFonts w:hint="default"/>
        <w:lang w:val="zh-CN" w:eastAsia="zh-CN" w:bidi="zh-CN"/>
      </w:rPr>
    </w:lvl>
    <w:lvl w:ilvl="4" w:tentative="0">
      <w:start w:val="0"/>
      <w:numFmt w:val="bullet"/>
      <w:lvlText w:val="•"/>
      <w:lvlJc w:val="left"/>
      <w:pPr>
        <w:ind w:left="3653" w:hanging="181"/>
      </w:pPr>
      <w:rPr>
        <w:rFonts w:hint="default"/>
        <w:lang w:val="zh-CN" w:eastAsia="zh-CN" w:bidi="zh-CN"/>
      </w:rPr>
    </w:lvl>
    <w:lvl w:ilvl="5" w:tentative="0">
      <w:start w:val="0"/>
      <w:numFmt w:val="bullet"/>
      <w:lvlText w:val="•"/>
      <w:lvlJc w:val="left"/>
      <w:pPr>
        <w:ind w:left="4524" w:hanging="181"/>
      </w:pPr>
      <w:rPr>
        <w:rFonts w:hint="default"/>
        <w:lang w:val="zh-CN" w:eastAsia="zh-CN" w:bidi="zh-CN"/>
      </w:rPr>
    </w:lvl>
    <w:lvl w:ilvl="6" w:tentative="0">
      <w:start w:val="0"/>
      <w:numFmt w:val="bullet"/>
      <w:lvlText w:val="•"/>
      <w:lvlJc w:val="left"/>
      <w:pPr>
        <w:ind w:left="5395" w:hanging="181"/>
      </w:pPr>
      <w:rPr>
        <w:rFonts w:hint="default"/>
        <w:lang w:val="zh-CN" w:eastAsia="zh-CN" w:bidi="zh-CN"/>
      </w:rPr>
    </w:lvl>
    <w:lvl w:ilvl="7" w:tentative="0">
      <w:start w:val="0"/>
      <w:numFmt w:val="bullet"/>
      <w:lvlText w:val="•"/>
      <w:lvlJc w:val="left"/>
      <w:pPr>
        <w:ind w:left="6266" w:hanging="181"/>
      </w:pPr>
      <w:rPr>
        <w:rFonts w:hint="default"/>
        <w:lang w:val="zh-CN" w:eastAsia="zh-CN" w:bidi="zh-CN"/>
      </w:rPr>
    </w:lvl>
    <w:lvl w:ilvl="8" w:tentative="0">
      <w:start w:val="0"/>
      <w:numFmt w:val="bullet"/>
      <w:lvlText w:val="•"/>
      <w:lvlJc w:val="left"/>
      <w:pPr>
        <w:ind w:left="7137" w:hanging="181"/>
      </w:pPr>
      <w:rPr>
        <w:rFonts w:hint="default"/>
        <w:lang w:val="zh-CN" w:eastAsia="zh-CN" w:bidi="zh-CN"/>
      </w:rPr>
    </w:lvl>
  </w:abstractNum>
  <w:abstractNum w:abstractNumId="53">
    <w:nsid w:val="2B3F3F89"/>
    <w:multiLevelType w:val="multilevel"/>
    <w:tmpl w:val="2B3F3F89"/>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54">
    <w:nsid w:val="3227A8EE"/>
    <w:multiLevelType w:val="singleLevel"/>
    <w:tmpl w:val="3227A8EE"/>
    <w:lvl w:ilvl="0" w:tentative="0">
      <w:start w:val="8"/>
      <w:numFmt w:val="chineseCounting"/>
      <w:suff w:val="nothing"/>
      <w:lvlText w:val="%1、"/>
      <w:lvlJc w:val="left"/>
      <w:rPr>
        <w:rFonts w:hint="eastAsia"/>
      </w:rPr>
    </w:lvl>
  </w:abstractNum>
  <w:abstractNum w:abstractNumId="55">
    <w:nsid w:val="38EAC418"/>
    <w:multiLevelType w:val="multilevel"/>
    <w:tmpl w:val="38EAC418"/>
    <w:lvl w:ilvl="0" w:tentative="0">
      <w:start w:val="1"/>
      <w:numFmt w:val="decimal"/>
      <w:lvlText w:val="%1."/>
      <w:lvlJc w:val="left"/>
      <w:pPr>
        <w:ind w:left="1045"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888" w:hanging="181"/>
      </w:pPr>
      <w:rPr>
        <w:rFonts w:hint="default"/>
        <w:lang w:val="zh-CN" w:eastAsia="zh-CN" w:bidi="zh-CN"/>
      </w:rPr>
    </w:lvl>
    <w:lvl w:ilvl="2" w:tentative="0">
      <w:start w:val="0"/>
      <w:numFmt w:val="bullet"/>
      <w:lvlText w:val="•"/>
      <w:lvlJc w:val="left"/>
      <w:pPr>
        <w:ind w:left="2737" w:hanging="181"/>
      </w:pPr>
      <w:rPr>
        <w:rFonts w:hint="default"/>
        <w:lang w:val="zh-CN" w:eastAsia="zh-CN" w:bidi="zh-CN"/>
      </w:rPr>
    </w:lvl>
    <w:lvl w:ilvl="3" w:tentative="0">
      <w:start w:val="0"/>
      <w:numFmt w:val="bullet"/>
      <w:lvlText w:val="•"/>
      <w:lvlJc w:val="left"/>
      <w:pPr>
        <w:ind w:left="3586" w:hanging="181"/>
      </w:pPr>
      <w:rPr>
        <w:rFonts w:hint="default"/>
        <w:lang w:val="zh-CN" w:eastAsia="zh-CN" w:bidi="zh-CN"/>
      </w:rPr>
    </w:lvl>
    <w:lvl w:ilvl="4" w:tentative="0">
      <w:start w:val="0"/>
      <w:numFmt w:val="bullet"/>
      <w:lvlText w:val="•"/>
      <w:lvlJc w:val="left"/>
      <w:pPr>
        <w:ind w:left="4434" w:hanging="181"/>
      </w:pPr>
      <w:rPr>
        <w:rFonts w:hint="default"/>
        <w:lang w:val="zh-CN" w:eastAsia="zh-CN" w:bidi="zh-CN"/>
      </w:rPr>
    </w:lvl>
    <w:lvl w:ilvl="5" w:tentative="0">
      <w:start w:val="0"/>
      <w:numFmt w:val="bullet"/>
      <w:lvlText w:val="•"/>
      <w:lvlJc w:val="left"/>
      <w:pPr>
        <w:ind w:left="5283" w:hanging="181"/>
      </w:pPr>
      <w:rPr>
        <w:rFonts w:hint="default"/>
        <w:lang w:val="zh-CN" w:eastAsia="zh-CN" w:bidi="zh-CN"/>
      </w:rPr>
    </w:lvl>
    <w:lvl w:ilvl="6" w:tentative="0">
      <w:start w:val="0"/>
      <w:numFmt w:val="bullet"/>
      <w:lvlText w:val="•"/>
      <w:lvlJc w:val="left"/>
      <w:pPr>
        <w:ind w:left="6132" w:hanging="181"/>
      </w:pPr>
      <w:rPr>
        <w:rFonts w:hint="default"/>
        <w:lang w:val="zh-CN" w:eastAsia="zh-CN" w:bidi="zh-CN"/>
      </w:rPr>
    </w:lvl>
    <w:lvl w:ilvl="7" w:tentative="0">
      <w:start w:val="0"/>
      <w:numFmt w:val="bullet"/>
      <w:lvlText w:val="•"/>
      <w:lvlJc w:val="left"/>
      <w:pPr>
        <w:ind w:left="6980" w:hanging="181"/>
      </w:pPr>
      <w:rPr>
        <w:rFonts w:hint="default"/>
        <w:lang w:val="zh-CN" w:eastAsia="zh-CN" w:bidi="zh-CN"/>
      </w:rPr>
    </w:lvl>
    <w:lvl w:ilvl="8" w:tentative="0">
      <w:start w:val="0"/>
      <w:numFmt w:val="bullet"/>
      <w:lvlText w:val="•"/>
      <w:lvlJc w:val="left"/>
      <w:pPr>
        <w:ind w:left="7829" w:hanging="181"/>
      </w:pPr>
      <w:rPr>
        <w:rFonts w:hint="default"/>
        <w:lang w:val="zh-CN" w:eastAsia="zh-CN" w:bidi="zh-CN"/>
      </w:rPr>
    </w:lvl>
  </w:abstractNum>
  <w:abstractNum w:abstractNumId="56">
    <w:nsid w:val="3A7FBA26"/>
    <w:multiLevelType w:val="multilevel"/>
    <w:tmpl w:val="3A7FBA26"/>
    <w:lvl w:ilvl="0" w:tentative="0">
      <w:start w:val="1"/>
      <w:numFmt w:val="decimal"/>
      <w:lvlText w:val="（%1）"/>
      <w:lvlJc w:val="left"/>
      <w:pPr>
        <w:ind w:left="384" w:hanging="604"/>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1294" w:hanging="604"/>
      </w:pPr>
      <w:rPr>
        <w:rFonts w:hint="default"/>
        <w:lang w:val="zh-CN" w:eastAsia="zh-CN" w:bidi="zh-CN"/>
      </w:rPr>
    </w:lvl>
    <w:lvl w:ilvl="2" w:tentative="0">
      <w:start w:val="0"/>
      <w:numFmt w:val="bullet"/>
      <w:lvlText w:val="•"/>
      <w:lvlJc w:val="left"/>
      <w:pPr>
        <w:ind w:left="2209" w:hanging="604"/>
      </w:pPr>
      <w:rPr>
        <w:rFonts w:hint="default"/>
        <w:lang w:val="zh-CN" w:eastAsia="zh-CN" w:bidi="zh-CN"/>
      </w:rPr>
    </w:lvl>
    <w:lvl w:ilvl="3" w:tentative="0">
      <w:start w:val="0"/>
      <w:numFmt w:val="bullet"/>
      <w:lvlText w:val="•"/>
      <w:lvlJc w:val="left"/>
      <w:pPr>
        <w:ind w:left="3124" w:hanging="604"/>
      </w:pPr>
      <w:rPr>
        <w:rFonts w:hint="default"/>
        <w:lang w:val="zh-CN" w:eastAsia="zh-CN" w:bidi="zh-CN"/>
      </w:rPr>
    </w:lvl>
    <w:lvl w:ilvl="4" w:tentative="0">
      <w:start w:val="0"/>
      <w:numFmt w:val="bullet"/>
      <w:lvlText w:val="•"/>
      <w:lvlJc w:val="left"/>
      <w:pPr>
        <w:ind w:left="4038" w:hanging="604"/>
      </w:pPr>
      <w:rPr>
        <w:rFonts w:hint="default"/>
        <w:lang w:val="zh-CN" w:eastAsia="zh-CN" w:bidi="zh-CN"/>
      </w:rPr>
    </w:lvl>
    <w:lvl w:ilvl="5" w:tentative="0">
      <w:start w:val="0"/>
      <w:numFmt w:val="bullet"/>
      <w:lvlText w:val="•"/>
      <w:lvlJc w:val="left"/>
      <w:pPr>
        <w:ind w:left="4953" w:hanging="604"/>
      </w:pPr>
      <w:rPr>
        <w:rFonts w:hint="default"/>
        <w:lang w:val="zh-CN" w:eastAsia="zh-CN" w:bidi="zh-CN"/>
      </w:rPr>
    </w:lvl>
    <w:lvl w:ilvl="6" w:tentative="0">
      <w:start w:val="0"/>
      <w:numFmt w:val="bullet"/>
      <w:lvlText w:val="•"/>
      <w:lvlJc w:val="left"/>
      <w:pPr>
        <w:ind w:left="5868" w:hanging="604"/>
      </w:pPr>
      <w:rPr>
        <w:rFonts w:hint="default"/>
        <w:lang w:val="zh-CN" w:eastAsia="zh-CN" w:bidi="zh-CN"/>
      </w:rPr>
    </w:lvl>
    <w:lvl w:ilvl="7" w:tentative="0">
      <w:start w:val="0"/>
      <w:numFmt w:val="bullet"/>
      <w:lvlText w:val="•"/>
      <w:lvlJc w:val="left"/>
      <w:pPr>
        <w:ind w:left="6782" w:hanging="604"/>
      </w:pPr>
      <w:rPr>
        <w:rFonts w:hint="default"/>
        <w:lang w:val="zh-CN" w:eastAsia="zh-CN" w:bidi="zh-CN"/>
      </w:rPr>
    </w:lvl>
    <w:lvl w:ilvl="8" w:tentative="0">
      <w:start w:val="0"/>
      <w:numFmt w:val="bullet"/>
      <w:lvlText w:val="•"/>
      <w:lvlJc w:val="left"/>
      <w:pPr>
        <w:ind w:left="7697" w:hanging="604"/>
      </w:pPr>
      <w:rPr>
        <w:rFonts w:hint="default"/>
        <w:lang w:val="zh-CN" w:eastAsia="zh-CN" w:bidi="zh-CN"/>
      </w:rPr>
    </w:lvl>
  </w:abstractNum>
  <w:abstractNum w:abstractNumId="57">
    <w:nsid w:val="3D950AF9"/>
    <w:multiLevelType w:val="multilevel"/>
    <w:tmpl w:val="3D950AF9"/>
    <w:lvl w:ilvl="0" w:tentative="0">
      <w:start w:val="1"/>
      <w:numFmt w:val="decimal"/>
      <w:lvlText w:val="%1."/>
      <w:lvlJc w:val="left"/>
      <w:pPr>
        <w:ind w:left="1041"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876" w:hanging="181"/>
      </w:pPr>
      <w:rPr>
        <w:rFonts w:hint="default"/>
        <w:lang w:val="zh-CN" w:eastAsia="zh-CN" w:bidi="zh-CN"/>
      </w:rPr>
    </w:lvl>
    <w:lvl w:ilvl="2" w:tentative="0">
      <w:start w:val="0"/>
      <w:numFmt w:val="bullet"/>
      <w:lvlText w:val="•"/>
      <w:lvlJc w:val="left"/>
      <w:pPr>
        <w:ind w:left="2713" w:hanging="181"/>
      </w:pPr>
      <w:rPr>
        <w:rFonts w:hint="default"/>
        <w:lang w:val="zh-CN" w:eastAsia="zh-CN" w:bidi="zh-CN"/>
      </w:rPr>
    </w:lvl>
    <w:lvl w:ilvl="3" w:tentative="0">
      <w:start w:val="0"/>
      <w:numFmt w:val="bullet"/>
      <w:lvlText w:val="•"/>
      <w:lvlJc w:val="left"/>
      <w:pPr>
        <w:ind w:left="3550" w:hanging="181"/>
      </w:pPr>
      <w:rPr>
        <w:rFonts w:hint="default"/>
        <w:lang w:val="zh-CN" w:eastAsia="zh-CN" w:bidi="zh-CN"/>
      </w:rPr>
    </w:lvl>
    <w:lvl w:ilvl="4" w:tentative="0">
      <w:start w:val="0"/>
      <w:numFmt w:val="bullet"/>
      <w:lvlText w:val="•"/>
      <w:lvlJc w:val="left"/>
      <w:pPr>
        <w:ind w:left="4386" w:hanging="181"/>
      </w:pPr>
      <w:rPr>
        <w:rFonts w:hint="default"/>
        <w:lang w:val="zh-CN" w:eastAsia="zh-CN" w:bidi="zh-CN"/>
      </w:rPr>
    </w:lvl>
    <w:lvl w:ilvl="5" w:tentative="0">
      <w:start w:val="0"/>
      <w:numFmt w:val="bullet"/>
      <w:lvlText w:val="•"/>
      <w:lvlJc w:val="left"/>
      <w:pPr>
        <w:ind w:left="5223" w:hanging="181"/>
      </w:pPr>
      <w:rPr>
        <w:rFonts w:hint="default"/>
        <w:lang w:val="zh-CN" w:eastAsia="zh-CN" w:bidi="zh-CN"/>
      </w:rPr>
    </w:lvl>
    <w:lvl w:ilvl="6" w:tentative="0">
      <w:start w:val="0"/>
      <w:numFmt w:val="bullet"/>
      <w:lvlText w:val="•"/>
      <w:lvlJc w:val="left"/>
      <w:pPr>
        <w:ind w:left="6060" w:hanging="181"/>
      </w:pPr>
      <w:rPr>
        <w:rFonts w:hint="default"/>
        <w:lang w:val="zh-CN" w:eastAsia="zh-CN" w:bidi="zh-CN"/>
      </w:rPr>
    </w:lvl>
    <w:lvl w:ilvl="7" w:tentative="0">
      <w:start w:val="0"/>
      <w:numFmt w:val="bullet"/>
      <w:lvlText w:val="•"/>
      <w:lvlJc w:val="left"/>
      <w:pPr>
        <w:ind w:left="6896" w:hanging="181"/>
      </w:pPr>
      <w:rPr>
        <w:rFonts w:hint="default"/>
        <w:lang w:val="zh-CN" w:eastAsia="zh-CN" w:bidi="zh-CN"/>
      </w:rPr>
    </w:lvl>
    <w:lvl w:ilvl="8" w:tentative="0">
      <w:start w:val="0"/>
      <w:numFmt w:val="bullet"/>
      <w:lvlText w:val="•"/>
      <w:lvlJc w:val="left"/>
      <w:pPr>
        <w:ind w:left="7733" w:hanging="181"/>
      </w:pPr>
      <w:rPr>
        <w:rFonts w:hint="default"/>
        <w:lang w:val="zh-CN" w:eastAsia="zh-CN" w:bidi="zh-CN"/>
      </w:rPr>
    </w:lvl>
  </w:abstractNum>
  <w:abstractNum w:abstractNumId="58">
    <w:nsid w:val="3FE315B6"/>
    <w:multiLevelType w:val="multilevel"/>
    <w:tmpl w:val="3FE315B6"/>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59">
    <w:nsid w:val="40F245EA"/>
    <w:multiLevelType w:val="multilevel"/>
    <w:tmpl w:val="40F245EA"/>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60">
    <w:nsid w:val="4258023A"/>
    <w:multiLevelType w:val="multilevel"/>
    <w:tmpl w:val="4258023A"/>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61">
    <w:nsid w:val="4A51D704"/>
    <w:multiLevelType w:val="multilevel"/>
    <w:tmpl w:val="4A51D704"/>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62">
    <w:nsid w:val="4AD1D84F"/>
    <w:multiLevelType w:val="multilevel"/>
    <w:tmpl w:val="4AD1D84F"/>
    <w:lvl w:ilvl="0" w:tentative="0">
      <w:start w:val="1"/>
      <w:numFmt w:val="decimal"/>
      <w:lvlText w:val="%1"/>
      <w:lvlJc w:val="left"/>
      <w:pPr>
        <w:ind w:left="213" w:hanging="420"/>
      </w:pPr>
      <w:rPr>
        <w:rFonts w:hint="default"/>
        <w:lang w:val="zh-CN" w:eastAsia="zh-CN" w:bidi="zh-CN"/>
      </w:rPr>
    </w:lvl>
    <w:lvl w:ilvl="1" w:tentative="0">
      <w:start w:val="1"/>
      <w:numFmt w:val="decimal"/>
      <w:lvlText w:val="%1.%2"/>
      <w:lvlJc w:val="left"/>
      <w:pPr>
        <w:ind w:left="213" w:hanging="420"/>
      </w:pPr>
      <w:rPr>
        <w:rFonts w:hint="default" w:ascii="Times New Roman" w:hAnsi="Times New Roman" w:eastAsia="Times New Roman" w:cs="Times New Roman"/>
        <w:spacing w:val="-17"/>
        <w:w w:val="100"/>
        <w:sz w:val="24"/>
        <w:szCs w:val="24"/>
        <w:lang w:val="zh-CN" w:eastAsia="zh-CN" w:bidi="zh-CN"/>
      </w:rPr>
    </w:lvl>
    <w:lvl w:ilvl="2" w:tentative="0">
      <w:start w:val="0"/>
      <w:numFmt w:val="bullet"/>
      <w:lvlText w:val="•"/>
      <w:lvlJc w:val="left"/>
      <w:pPr>
        <w:ind w:left="2081" w:hanging="420"/>
      </w:pPr>
      <w:rPr>
        <w:rFonts w:hint="default"/>
        <w:lang w:val="zh-CN" w:eastAsia="zh-CN" w:bidi="zh-CN"/>
      </w:rPr>
    </w:lvl>
    <w:lvl w:ilvl="3" w:tentative="0">
      <w:start w:val="0"/>
      <w:numFmt w:val="bullet"/>
      <w:lvlText w:val="•"/>
      <w:lvlJc w:val="left"/>
      <w:pPr>
        <w:ind w:left="3012" w:hanging="420"/>
      </w:pPr>
      <w:rPr>
        <w:rFonts w:hint="default"/>
        <w:lang w:val="zh-CN" w:eastAsia="zh-CN" w:bidi="zh-CN"/>
      </w:rPr>
    </w:lvl>
    <w:lvl w:ilvl="4" w:tentative="0">
      <w:start w:val="0"/>
      <w:numFmt w:val="bullet"/>
      <w:lvlText w:val="•"/>
      <w:lvlJc w:val="left"/>
      <w:pPr>
        <w:ind w:left="3942" w:hanging="420"/>
      </w:pPr>
      <w:rPr>
        <w:rFonts w:hint="default"/>
        <w:lang w:val="zh-CN" w:eastAsia="zh-CN" w:bidi="zh-CN"/>
      </w:rPr>
    </w:lvl>
    <w:lvl w:ilvl="5" w:tentative="0">
      <w:start w:val="0"/>
      <w:numFmt w:val="bullet"/>
      <w:lvlText w:val="•"/>
      <w:lvlJc w:val="left"/>
      <w:pPr>
        <w:ind w:left="4873" w:hanging="420"/>
      </w:pPr>
      <w:rPr>
        <w:rFonts w:hint="default"/>
        <w:lang w:val="zh-CN" w:eastAsia="zh-CN" w:bidi="zh-CN"/>
      </w:rPr>
    </w:lvl>
    <w:lvl w:ilvl="6" w:tentative="0">
      <w:start w:val="0"/>
      <w:numFmt w:val="bullet"/>
      <w:lvlText w:val="•"/>
      <w:lvlJc w:val="left"/>
      <w:pPr>
        <w:ind w:left="5804" w:hanging="420"/>
      </w:pPr>
      <w:rPr>
        <w:rFonts w:hint="default"/>
        <w:lang w:val="zh-CN" w:eastAsia="zh-CN" w:bidi="zh-CN"/>
      </w:rPr>
    </w:lvl>
    <w:lvl w:ilvl="7" w:tentative="0">
      <w:start w:val="0"/>
      <w:numFmt w:val="bullet"/>
      <w:lvlText w:val="•"/>
      <w:lvlJc w:val="left"/>
      <w:pPr>
        <w:ind w:left="6734" w:hanging="420"/>
      </w:pPr>
      <w:rPr>
        <w:rFonts w:hint="default"/>
        <w:lang w:val="zh-CN" w:eastAsia="zh-CN" w:bidi="zh-CN"/>
      </w:rPr>
    </w:lvl>
    <w:lvl w:ilvl="8" w:tentative="0">
      <w:start w:val="0"/>
      <w:numFmt w:val="bullet"/>
      <w:lvlText w:val="•"/>
      <w:lvlJc w:val="left"/>
      <w:pPr>
        <w:ind w:left="7665" w:hanging="420"/>
      </w:pPr>
      <w:rPr>
        <w:rFonts w:hint="default"/>
        <w:lang w:val="zh-CN" w:eastAsia="zh-CN" w:bidi="zh-CN"/>
      </w:rPr>
    </w:lvl>
  </w:abstractNum>
  <w:abstractNum w:abstractNumId="63">
    <w:nsid w:val="4D63189B"/>
    <w:multiLevelType w:val="multilevel"/>
    <w:tmpl w:val="4D63189B"/>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64">
    <w:nsid w:val="4FB438A5"/>
    <w:multiLevelType w:val="multilevel"/>
    <w:tmpl w:val="4FB438A5"/>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65">
    <w:nsid w:val="51C4BC33"/>
    <w:multiLevelType w:val="multilevel"/>
    <w:tmpl w:val="51C4BC33"/>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66">
    <w:nsid w:val="54701CA1"/>
    <w:multiLevelType w:val="multilevel"/>
    <w:tmpl w:val="54701CA1"/>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67">
    <w:nsid w:val="5DA0506C"/>
    <w:multiLevelType w:val="singleLevel"/>
    <w:tmpl w:val="5DA0506C"/>
    <w:lvl w:ilvl="0" w:tentative="0">
      <w:start w:val="1"/>
      <w:numFmt w:val="chineseCounting"/>
      <w:suff w:val="nothing"/>
      <w:lvlText w:val="%1、"/>
      <w:lvlJc w:val="left"/>
      <w:rPr>
        <w:rFonts w:hint="eastAsia"/>
      </w:rPr>
    </w:lvl>
  </w:abstractNum>
  <w:abstractNum w:abstractNumId="68">
    <w:nsid w:val="5E82ECBB"/>
    <w:multiLevelType w:val="singleLevel"/>
    <w:tmpl w:val="5E82ECBB"/>
    <w:lvl w:ilvl="0" w:tentative="0">
      <w:start w:val="3"/>
      <w:numFmt w:val="chineseCounting"/>
      <w:suff w:val="nothing"/>
      <w:lvlText w:val="（%1）"/>
      <w:lvlJc w:val="left"/>
      <w:rPr>
        <w:rFonts w:hint="eastAsia"/>
      </w:rPr>
    </w:lvl>
  </w:abstractNum>
  <w:abstractNum w:abstractNumId="69">
    <w:nsid w:val="5FCE4367"/>
    <w:multiLevelType w:val="multilevel"/>
    <w:tmpl w:val="5FCE4367"/>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70">
    <w:nsid w:val="60054CB4"/>
    <w:multiLevelType w:val="multilevel"/>
    <w:tmpl w:val="60054CB4"/>
    <w:lvl w:ilvl="0" w:tentative="0">
      <w:start w:val="1"/>
      <w:numFmt w:val="decimal"/>
      <w:lvlText w:val="%1."/>
      <w:lvlJc w:val="left"/>
      <w:pPr>
        <w:ind w:left="153" w:hanging="361"/>
      </w:pPr>
      <w:rPr>
        <w:rFonts w:hint="default" w:ascii="Times New Roman" w:hAnsi="Times New Roman" w:eastAsia="Times New Roman" w:cs="Times New Roman"/>
        <w:spacing w:val="-34"/>
        <w:w w:val="100"/>
        <w:sz w:val="22"/>
        <w:szCs w:val="22"/>
        <w:lang w:val="zh-CN" w:eastAsia="zh-CN" w:bidi="zh-CN"/>
      </w:rPr>
    </w:lvl>
    <w:lvl w:ilvl="1" w:tentative="0">
      <w:start w:val="0"/>
      <w:numFmt w:val="bullet"/>
      <w:lvlText w:val="•"/>
      <w:lvlJc w:val="left"/>
      <w:pPr>
        <w:ind w:left="980" w:hanging="361"/>
      </w:pPr>
      <w:rPr>
        <w:rFonts w:hint="default"/>
        <w:lang w:val="zh-CN" w:eastAsia="zh-CN" w:bidi="zh-CN"/>
      </w:rPr>
    </w:lvl>
    <w:lvl w:ilvl="2" w:tentative="0">
      <w:start w:val="0"/>
      <w:numFmt w:val="bullet"/>
      <w:lvlText w:val="•"/>
      <w:lvlJc w:val="left"/>
      <w:pPr>
        <w:ind w:left="1945" w:hanging="361"/>
      </w:pPr>
      <w:rPr>
        <w:rFonts w:hint="default"/>
        <w:lang w:val="zh-CN" w:eastAsia="zh-CN" w:bidi="zh-CN"/>
      </w:rPr>
    </w:lvl>
    <w:lvl w:ilvl="3" w:tentative="0">
      <w:start w:val="0"/>
      <w:numFmt w:val="bullet"/>
      <w:lvlText w:val="•"/>
      <w:lvlJc w:val="left"/>
      <w:pPr>
        <w:ind w:left="2910" w:hanging="361"/>
      </w:pPr>
      <w:rPr>
        <w:rFonts w:hint="default"/>
        <w:lang w:val="zh-CN" w:eastAsia="zh-CN" w:bidi="zh-CN"/>
      </w:rPr>
    </w:lvl>
    <w:lvl w:ilvl="4" w:tentative="0">
      <w:start w:val="0"/>
      <w:numFmt w:val="bullet"/>
      <w:lvlText w:val="•"/>
      <w:lvlJc w:val="left"/>
      <w:pPr>
        <w:ind w:left="3875" w:hanging="361"/>
      </w:pPr>
      <w:rPr>
        <w:rFonts w:hint="default"/>
        <w:lang w:val="zh-CN" w:eastAsia="zh-CN" w:bidi="zh-CN"/>
      </w:rPr>
    </w:lvl>
    <w:lvl w:ilvl="5" w:tentative="0">
      <w:start w:val="0"/>
      <w:numFmt w:val="bullet"/>
      <w:lvlText w:val="•"/>
      <w:lvlJc w:val="left"/>
      <w:pPr>
        <w:ind w:left="4840" w:hanging="361"/>
      </w:pPr>
      <w:rPr>
        <w:rFonts w:hint="default"/>
        <w:lang w:val="zh-CN" w:eastAsia="zh-CN" w:bidi="zh-CN"/>
      </w:rPr>
    </w:lvl>
    <w:lvl w:ilvl="6" w:tentative="0">
      <w:start w:val="0"/>
      <w:numFmt w:val="bullet"/>
      <w:lvlText w:val="•"/>
      <w:lvlJc w:val="left"/>
      <w:pPr>
        <w:ind w:left="5805" w:hanging="361"/>
      </w:pPr>
      <w:rPr>
        <w:rFonts w:hint="default"/>
        <w:lang w:val="zh-CN" w:eastAsia="zh-CN" w:bidi="zh-CN"/>
      </w:rPr>
    </w:lvl>
    <w:lvl w:ilvl="7" w:tentative="0">
      <w:start w:val="0"/>
      <w:numFmt w:val="bullet"/>
      <w:lvlText w:val="•"/>
      <w:lvlJc w:val="left"/>
      <w:pPr>
        <w:ind w:left="6770" w:hanging="361"/>
      </w:pPr>
      <w:rPr>
        <w:rFonts w:hint="default"/>
        <w:lang w:val="zh-CN" w:eastAsia="zh-CN" w:bidi="zh-CN"/>
      </w:rPr>
    </w:lvl>
    <w:lvl w:ilvl="8" w:tentative="0">
      <w:start w:val="0"/>
      <w:numFmt w:val="bullet"/>
      <w:lvlText w:val="•"/>
      <w:lvlJc w:val="left"/>
      <w:pPr>
        <w:ind w:left="7735" w:hanging="361"/>
      </w:pPr>
      <w:rPr>
        <w:rFonts w:hint="default"/>
        <w:lang w:val="zh-CN" w:eastAsia="zh-CN" w:bidi="zh-CN"/>
      </w:rPr>
    </w:lvl>
  </w:abstractNum>
  <w:abstractNum w:abstractNumId="71">
    <w:nsid w:val="610EFE5C"/>
    <w:multiLevelType w:val="multilevel"/>
    <w:tmpl w:val="610EFE5C"/>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72">
    <w:nsid w:val="63DB807B"/>
    <w:multiLevelType w:val="singleLevel"/>
    <w:tmpl w:val="63DB807B"/>
    <w:lvl w:ilvl="0" w:tentative="0">
      <w:start w:val="6"/>
      <w:numFmt w:val="chineseCounting"/>
      <w:suff w:val="space"/>
      <w:lvlText w:val="第%1章"/>
      <w:lvlJc w:val="left"/>
      <w:rPr>
        <w:rFonts w:hint="eastAsia"/>
      </w:rPr>
    </w:lvl>
  </w:abstractNum>
  <w:abstractNum w:abstractNumId="73">
    <w:nsid w:val="6AFC2A1C"/>
    <w:multiLevelType w:val="multilevel"/>
    <w:tmpl w:val="6AFC2A1C"/>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74">
    <w:nsid w:val="6D423078"/>
    <w:multiLevelType w:val="multilevel"/>
    <w:tmpl w:val="6D423078"/>
    <w:lvl w:ilvl="0" w:tentative="0">
      <w:start w:val="1"/>
      <w:numFmt w:val="decimal"/>
      <w:lvlText w:val="（%1）"/>
      <w:lvlJc w:val="left"/>
      <w:pPr>
        <w:ind w:left="384" w:hanging="601"/>
      </w:pPr>
      <w:rPr>
        <w:rFonts w:hint="default" w:ascii="宋体" w:hAnsi="宋体" w:eastAsia="宋体" w:cs="宋体"/>
        <w:spacing w:val="-8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75">
    <w:nsid w:val="6F828ED2"/>
    <w:multiLevelType w:val="singleLevel"/>
    <w:tmpl w:val="6F828ED2"/>
    <w:lvl w:ilvl="0" w:tentative="0">
      <w:start w:val="1"/>
      <w:numFmt w:val="lowerLetter"/>
      <w:suff w:val="space"/>
      <w:lvlText w:val="%1、"/>
      <w:lvlJc w:val="left"/>
    </w:lvl>
  </w:abstractNum>
  <w:num w:numId="1">
    <w:abstractNumId w:val="67"/>
  </w:num>
  <w:num w:numId="2">
    <w:abstractNumId w:val="23"/>
  </w:num>
  <w:num w:numId="3">
    <w:abstractNumId w:val="30"/>
  </w:num>
  <w:num w:numId="4">
    <w:abstractNumId w:val="27"/>
  </w:num>
  <w:num w:numId="5">
    <w:abstractNumId w:val="20"/>
  </w:num>
  <w:num w:numId="6">
    <w:abstractNumId w:val="44"/>
  </w:num>
  <w:num w:numId="7">
    <w:abstractNumId w:val="5"/>
  </w:num>
  <w:num w:numId="8">
    <w:abstractNumId w:val="24"/>
  </w:num>
  <w:num w:numId="9">
    <w:abstractNumId w:val="46"/>
  </w:num>
  <w:num w:numId="10">
    <w:abstractNumId w:val="61"/>
  </w:num>
  <w:num w:numId="11">
    <w:abstractNumId w:val="12"/>
  </w:num>
  <w:num w:numId="12">
    <w:abstractNumId w:val="71"/>
  </w:num>
  <w:num w:numId="13">
    <w:abstractNumId w:val="0"/>
  </w:num>
  <w:num w:numId="14">
    <w:abstractNumId w:val="2"/>
  </w:num>
  <w:num w:numId="15">
    <w:abstractNumId w:val="38"/>
  </w:num>
  <w:num w:numId="16">
    <w:abstractNumId w:val="9"/>
  </w:num>
  <w:num w:numId="17">
    <w:abstractNumId w:val="16"/>
  </w:num>
  <w:num w:numId="18">
    <w:abstractNumId w:val="17"/>
  </w:num>
  <w:num w:numId="19">
    <w:abstractNumId w:val="36"/>
  </w:num>
  <w:num w:numId="20">
    <w:abstractNumId w:val="69"/>
  </w:num>
  <w:num w:numId="21">
    <w:abstractNumId w:val="34"/>
  </w:num>
  <w:num w:numId="22">
    <w:abstractNumId w:val="66"/>
  </w:num>
  <w:num w:numId="23">
    <w:abstractNumId w:val="48"/>
  </w:num>
  <w:num w:numId="24">
    <w:abstractNumId w:val="4"/>
  </w:num>
  <w:num w:numId="25">
    <w:abstractNumId w:val="40"/>
  </w:num>
  <w:num w:numId="26">
    <w:abstractNumId w:val="8"/>
  </w:num>
  <w:num w:numId="27">
    <w:abstractNumId w:val="53"/>
  </w:num>
  <w:num w:numId="28">
    <w:abstractNumId w:val="65"/>
  </w:num>
  <w:num w:numId="29">
    <w:abstractNumId w:val="19"/>
  </w:num>
  <w:num w:numId="30">
    <w:abstractNumId w:val="6"/>
  </w:num>
  <w:num w:numId="31">
    <w:abstractNumId w:val="50"/>
  </w:num>
  <w:num w:numId="32">
    <w:abstractNumId w:val="59"/>
  </w:num>
  <w:num w:numId="33">
    <w:abstractNumId w:val="45"/>
  </w:num>
  <w:num w:numId="34">
    <w:abstractNumId w:val="63"/>
  </w:num>
  <w:num w:numId="35">
    <w:abstractNumId w:val="64"/>
  </w:num>
  <w:num w:numId="36">
    <w:abstractNumId w:val="49"/>
  </w:num>
  <w:num w:numId="37">
    <w:abstractNumId w:val="26"/>
  </w:num>
  <w:num w:numId="38">
    <w:abstractNumId w:val="7"/>
  </w:num>
  <w:num w:numId="39">
    <w:abstractNumId w:val="56"/>
  </w:num>
  <w:num w:numId="40">
    <w:abstractNumId w:val="58"/>
  </w:num>
  <w:num w:numId="41">
    <w:abstractNumId w:val="43"/>
  </w:num>
  <w:num w:numId="42">
    <w:abstractNumId w:val="74"/>
  </w:num>
  <w:num w:numId="43">
    <w:abstractNumId w:val="25"/>
  </w:num>
  <w:num w:numId="44">
    <w:abstractNumId w:val="47"/>
  </w:num>
  <w:num w:numId="45">
    <w:abstractNumId w:val="42"/>
  </w:num>
  <w:num w:numId="46">
    <w:abstractNumId w:val="29"/>
  </w:num>
  <w:num w:numId="47">
    <w:abstractNumId w:val="32"/>
  </w:num>
  <w:num w:numId="48">
    <w:abstractNumId w:val="21"/>
  </w:num>
  <w:num w:numId="49">
    <w:abstractNumId w:val="60"/>
  </w:num>
  <w:num w:numId="50">
    <w:abstractNumId w:val="35"/>
  </w:num>
  <w:num w:numId="51">
    <w:abstractNumId w:val="3"/>
  </w:num>
  <w:num w:numId="52">
    <w:abstractNumId w:val="31"/>
  </w:num>
  <w:num w:numId="53">
    <w:abstractNumId w:val="39"/>
  </w:num>
  <w:num w:numId="54">
    <w:abstractNumId w:val="18"/>
  </w:num>
  <w:num w:numId="55">
    <w:abstractNumId w:val="55"/>
  </w:num>
  <w:num w:numId="56">
    <w:abstractNumId w:val="73"/>
  </w:num>
  <w:num w:numId="57">
    <w:abstractNumId w:val="22"/>
  </w:num>
  <w:num w:numId="58">
    <w:abstractNumId w:val="11"/>
  </w:num>
  <w:num w:numId="59">
    <w:abstractNumId w:val="1"/>
  </w:num>
  <w:num w:numId="60">
    <w:abstractNumId w:val="13"/>
  </w:num>
  <w:num w:numId="61">
    <w:abstractNumId w:val="41"/>
  </w:num>
  <w:num w:numId="62">
    <w:abstractNumId w:val="15"/>
  </w:num>
  <w:num w:numId="63">
    <w:abstractNumId w:val="33"/>
  </w:num>
  <w:num w:numId="64">
    <w:abstractNumId w:val="51"/>
  </w:num>
  <w:num w:numId="65">
    <w:abstractNumId w:val="62"/>
  </w:num>
  <w:num w:numId="66">
    <w:abstractNumId w:val="52"/>
  </w:num>
  <w:num w:numId="67">
    <w:abstractNumId w:val="14"/>
  </w:num>
  <w:num w:numId="68">
    <w:abstractNumId w:val="57"/>
  </w:num>
  <w:num w:numId="69">
    <w:abstractNumId w:val="72"/>
  </w:num>
  <w:num w:numId="70">
    <w:abstractNumId w:val="28"/>
  </w:num>
  <w:num w:numId="71">
    <w:abstractNumId w:val="37"/>
  </w:num>
  <w:num w:numId="72">
    <w:abstractNumId w:val="10"/>
  </w:num>
  <w:num w:numId="73">
    <w:abstractNumId w:val="68"/>
  </w:num>
  <w:num w:numId="74">
    <w:abstractNumId w:val="75"/>
  </w:num>
  <w:num w:numId="75">
    <w:abstractNumId w:val="54"/>
  </w:num>
  <w:num w:numId="76">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YWJhODg0ZWM0MjIwMDJjMWFiNDYwMDkxZDU1MzEifQ=="/>
  </w:docVars>
  <w:rsids>
    <w:rsidRoot w:val="48D05C0D"/>
    <w:rsid w:val="000C2EFB"/>
    <w:rsid w:val="001F3AF1"/>
    <w:rsid w:val="00880D80"/>
    <w:rsid w:val="00BE50FD"/>
    <w:rsid w:val="01895E2B"/>
    <w:rsid w:val="02836333"/>
    <w:rsid w:val="02D45050"/>
    <w:rsid w:val="02E8713A"/>
    <w:rsid w:val="03960557"/>
    <w:rsid w:val="03A42056"/>
    <w:rsid w:val="03EF5EB9"/>
    <w:rsid w:val="040E6CFD"/>
    <w:rsid w:val="041F3E95"/>
    <w:rsid w:val="06304C93"/>
    <w:rsid w:val="064B4F6A"/>
    <w:rsid w:val="06617DE3"/>
    <w:rsid w:val="07442765"/>
    <w:rsid w:val="07511820"/>
    <w:rsid w:val="076F17EB"/>
    <w:rsid w:val="083E2F6B"/>
    <w:rsid w:val="088E1D13"/>
    <w:rsid w:val="0A0F696E"/>
    <w:rsid w:val="0AC3352F"/>
    <w:rsid w:val="0C4E5AE3"/>
    <w:rsid w:val="0C676163"/>
    <w:rsid w:val="0CFF53BF"/>
    <w:rsid w:val="0E5C15DB"/>
    <w:rsid w:val="0EE34F69"/>
    <w:rsid w:val="0F925753"/>
    <w:rsid w:val="0FB62C06"/>
    <w:rsid w:val="0FB954F1"/>
    <w:rsid w:val="0FC0066A"/>
    <w:rsid w:val="0FDC6AB4"/>
    <w:rsid w:val="105F1A99"/>
    <w:rsid w:val="106F4AF0"/>
    <w:rsid w:val="10FB387F"/>
    <w:rsid w:val="11705B36"/>
    <w:rsid w:val="11CC0E93"/>
    <w:rsid w:val="121F43A6"/>
    <w:rsid w:val="12243411"/>
    <w:rsid w:val="12A20662"/>
    <w:rsid w:val="1356385F"/>
    <w:rsid w:val="138A175B"/>
    <w:rsid w:val="14BD2E06"/>
    <w:rsid w:val="15023C9F"/>
    <w:rsid w:val="151A266A"/>
    <w:rsid w:val="159A4872"/>
    <w:rsid w:val="15CE2B6A"/>
    <w:rsid w:val="162E7872"/>
    <w:rsid w:val="16A01639"/>
    <w:rsid w:val="16A52283"/>
    <w:rsid w:val="16E17800"/>
    <w:rsid w:val="174B2C96"/>
    <w:rsid w:val="175E6491"/>
    <w:rsid w:val="181C03E9"/>
    <w:rsid w:val="18A305C6"/>
    <w:rsid w:val="19B606BF"/>
    <w:rsid w:val="1A1D6E85"/>
    <w:rsid w:val="1A6F68B8"/>
    <w:rsid w:val="1AD978AB"/>
    <w:rsid w:val="1AF04599"/>
    <w:rsid w:val="1B7F1479"/>
    <w:rsid w:val="1B9246E6"/>
    <w:rsid w:val="1BDD0FDD"/>
    <w:rsid w:val="1C017D44"/>
    <w:rsid w:val="1C5A616E"/>
    <w:rsid w:val="1C8B27CB"/>
    <w:rsid w:val="1E044763"/>
    <w:rsid w:val="1E097BC7"/>
    <w:rsid w:val="1E4D27F9"/>
    <w:rsid w:val="1E6E0C44"/>
    <w:rsid w:val="1EA23DFC"/>
    <w:rsid w:val="1F132604"/>
    <w:rsid w:val="1F4B4494"/>
    <w:rsid w:val="1F8533C6"/>
    <w:rsid w:val="1FA403D0"/>
    <w:rsid w:val="1FE65F6B"/>
    <w:rsid w:val="1FF44CDC"/>
    <w:rsid w:val="201B5C14"/>
    <w:rsid w:val="20FE0EBC"/>
    <w:rsid w:val="21403E14"/>
    <w:rsid w:val="214A7A63"/>
    <w:rsid w:val="21D1179D"/>
    <w:rsid w:val="21D67D7A"/>
    <w:rsid w:val="21D70383"/>
    <w:rsid w:val="22FF2E0B"/>
    <w:rsid w:val="24910355"/>
    <w:rsid w:val="24D857F5"/>
    <w:rsid w:val="253541EE"/>
    <w:rsid w:val="255D409B"/>
    <w:rsid w:val="256718FC"/>
    <w:rsid w:val="25AD5D7F"/>
    <w:rsid w:val="25CF5798"/>
    <w:rsid w:val="26390900"/>
    <w:rsid w:val="26AA5F44"/>
    <w:rsid w:val="26C95B38"/>
    <w:rsid w:val="28074CD0"/>
    <w:rsid w:val="286923D0"/>
    <w:rsid w:val="29564B97"/>
    <w:rsid w:val="296434D8"/>
    <w:rsid w:val="2A4144C9"/>
    <w:rsid w:val="2A440219"/>
    <w:rsid w:val="2AA67AA4"/>
    <w:rsid w:val="2AF05ACE"/>
    <w:rsid w:val="2B313E03"/>
    <w:rsid w:val="2B506556"/>
    <w:rsid w:val="2B697C69"/>
    <w:rsid w:val="2C7D7B62"/>
    <w:rsid w:val="2C7F265E"/>
    <w:rsid w:val="2CBB17EF"/>
    <w:rsid w:val="2CDC497D"/>
    <w:rsid w:val="2DB44479"/>
    <w:rsid w:val="2DD13BC6"/>
    <w:rsid w:val="2E845A6E"/>
    <w:rsid w:val="2EB07F0D"/>
    <w:rsid w:val="2EF064BE"/>
    <w:rsid w:val="2FC9141A"/>
    <w:rsid w:val="30847806"/>
    <w:rsid w:val="31012C04"/>
    <w:rsid w:val="31304D40"/>
    <w:rsid w:val="32052280"/>
    <w:rsid w:val="321C4EA7"/>
    <w:rsid w:val="322B455D"/>
    <w:rsid w:val="32784D16"/>
    <w:rsid w:val="32AB7818"/>
    <w:rsid w:val="332345EF"/>
    <w:rsid w:val="336B20C9"/>
    <w:rsid w:val="337A3833"/>
    <w:rsid w:val="33A40DC1"/>
    <w:rsid w:val="3532466D"/>
    <w:rsid w:val="35662E88"/>
    <w:rsid w:val="358C3432"/>
    <w:rsid w:val="35B744A0"/>
    <w:rsid w:val="365D0556"/>
    <w:rsid w:val="365E6403"/>
    <w:rsid w:val="36716ADC"/>
    <w:rsid w:val="36977B3F"/>
    <w:rsid w:val="36F001F0"/>
    <w:rsid w:val="36FB4AFA"/>
    <w:rsid w:val="37471F62"/>
    <w:rsid w:val="374C49CE"/>
    <w:rsid w:val="37761F41"/>
    <w:rsid w:val="3776777C"/>
    <w:rsid w:val="377B36F4"/>
    <w:rsid w:val="37A14D92"/>
    <w:rsid w:val="3805122C"/>
    <w:rsid w:val="392E79F6"/>
    <w:rsid w:val="39C8603D"/>
    <w:rsid w:val="3A3C4CAD"/>
    <w:rsid w:val="3A830B2E"/>
    <w:rsid w:val="3AF610CD"/>
    <w:rsid w:val="3B3463CE"/>
    <w:rsid w:val="3B53757B"/>
    <w:rsid w:val="3CD85302"/>
    <w:rsid w:val="3D754843"/>
    <w:rsid w:val="3DAA1B4D"/>
    <w:rsid w:val="3DE46F51"/>
    <w:rsid w:val="3DFE5EBF"/>
    <w:rsid w:val="3E211D93"/>
    <w:rsid w:val="3E2567B8"/>
    <w:rsid w:val="3E8A1CFD"/>
    <w:rsid w:val="3ECB170F"/>
    <w:rsid w:val="3F0810EF"/>
    <w:rsid w:val="3FAD1953"/>
    <w:rsid w:val="40033EC0"/>
    <w:rsid w:val="401F6C03"/>
    <w:rsid w:val="402821EC"/>
    <w:rsid w:val="412F3A1A"/>
    <w:rsid w:val="42862F6A"/>
    <w:rsid w:val="428D2D6A"/>
    <w:rsid w:val="42BE0955"/>
    <w:rsid w:val="42FE5622"/>
    <w:rsid w:val="4334069B"/>
    <w:rsid w:val="435440AA"/>
    <w:rsid w:val="44086AD6"/>
    <w:rsid w:val="44897395"/>
    <w:rsid w:val="44C0557F"/>
    <w:rsid w:val="44F36E2B"/>
    <w:rsid w:val="45485326"/>
    <w:rsid w:val="45571BE1"/>
    <w:rsid w:val="45987652"/>
    <w:rsid w:val="45CC3389"/>
    <w:rsid w:val="45D77B37"/>
    <w:rsid w:val="45F12DF0"/>
    <w:rsid w:val="461C007C"/>
    <w:rsid w:val="4691444A"/>
    <w:rsid w:val="469E78CF"/>
    <w:rsid w:val="46A9191C"/>
    <w:rsid w:val="47DE1434"/>
    <w:rsid w:val="489C4C52"/>
    <w:rsid w:val="48D05C0D"/>
    <w:rsid w:val="4A355C64"/>
    <w:rsid w:val="4AC5484B"/>
    <w:rsid w:val="4B391AC8"/>
    <w:rsid w:val="4B6D116B"/>
    <w:rsid w:val="4BCD7E5B"/>
    <w:rsid w:val="4C233ECD"/>
    <w:rsid w:val="4D5C07F9"/>
    <w:rsid w:val="4DA77E8F"/>
    <w:rsid w:val="4DFD267D"/>
    <w:rsid w:val="4E06127F"/>
    <w:rsid w:val="4E3D79D5"/>
    <w:rsid w:val="4E6A4C3C"/>
    <w:rsid w:val="4F2550DC"/>
    <w:rsid w:val="4F8E3C9C"/>
    <w:rsid w:val="4FB940D4"/>
    <w:rsid w:val="50256029"/>
    <w:rsid w:val="5036368D"/>
    <w:rsid w:val="50BF086A"/>
    <w:rsid w:val="512B6754"/>
    <w:rsid w:val="515204C5"/>
    <w:rsid w:val="51822A04"/>
    <w:rsid w:val="524C5C7E"/>
    <w:rsid w:val="52903990"/>
    <w:rsid w:val="546311A7"/>
    <w:rsid w:val="55644883"/>
    <w:rsid w:val="556A2BEA"/>
    <w:rsid w:val="55797D3A"/>
    <w:rsid w:val="559F494F"/>
    <w:rsid w:val="55DB20F6"/>
    <w:rsid w:val="56BA722E"/>
    <w:rsid w:val="56CB4F97"/>
    <w:rsid w:val="581A1CA6"/>
    <w:rsid w:val="58C5192A"/>
    <w:rsid w:val="59594ADC"/>
    <w:rsid w:val="59CA7728"/>
    <w:rsid w:val="59D31D9D"/>
    <w:rsid w:val="59E7658C"/>
    <w:rsid w:val="5AB7685E"/>
    <w:rsid w:val="5AEB641A"/>
    <w:rsid w:val="5BB40A89"/>
    <w:rsid w:val="5BBD6399"/>
    <w:rsid w:val="5BFB631F"/>
    <w:rsid w:val="5C550A67"/>
    <w:rsid w:val="5D135C36"/>
    <w:rsid w:val="5D6F6C4B"/>
    <w:rsid w:val="5D8A097F"/>
    <w:rsid w:val="5DB22169"/>
    <w:rsid w:val="5E8425FB"/>
    <w:rsid w:val="5EA93E10"/>
    <w:rsid w:val="5EF23F89"/>
    <w:rsid w:val="5EF446BC"/>
    <w:rsid w:val="5F7A64AD"/>
    <w:rsid w:val="5FE53BC6"/>
    <w:rsid w:val="603D2F8F"/>
    <w:rsid w:val="6176110A"/>
    <w:rsid w:val="626A088E"/>
    <w:rsid w:val="62854B94"/>
    <w:rsid w:val="62D1322E"/>
    <w:rsid w:val="63A177AC"/>
    <w:rsid w:val="63C749B6"/>
    <w:rsid w:val="63FE0C96"/>
    <w:rsid w:val="647430D2"/>
    <w:rsid w:val="65AE64AA"/>
    <w:rsid w:val="66590CA4"/>
    <w:rsid w:val="667E3AC6"/>
    <w:rsid w:val="668C7DCB"/>
    <w:rsid w:val="6700402F"/>
    <w:rsid w:val="677B6565"/>
    <w:rsid w:val="67FB059A"/>
    <w:rsid w:val="69FC1BE0"/>
    <w:rsid w:val="6A521800"/>
    <w:rsid w:val="6A6E5F0E"/>
    <w:rsid w:val="6B142F59"/>
    <w:rsid w:val="6B5A0309"/>
    <w:rsid w:val="6B6563DC"/>
    <w:rsid w:val="6BC84788"/>
    <w:rsid w:val="6C6121CE"/>
    <w:rsid w:val="6CB744E6"/>
    <w:rsid w:val="6CDA5ADC"/>
    <w:rsid w:val="6DE3491F"/>
    <w:rsid w:val="6EDB2F69"/>
    <w:rsid w:val="6F926B42"/>
    <w:rsid w:val="714007F0"/>
    <w:rsid w:val="71491F07"/>
    <w:rsid w:val="7180358E"/>
    <w:rsid w:val="71C1726B"/>
    <w:rsid w:val="72D32DFD"/>
    <w:rsid w:val="72FC18C0"/>
    <w:rsid w:val="73E9047A"/>
    <w:rsid w:val="741C4C2C"/>
    <w:rsid w:val="750543DF"/>
    <w:rsid w:val="7538187E"/>
    <w:rsid w:val="754464B3"/>
    <w:rsid w:val="75E86ABE"/>
    <w:rsid w:val="766509CB"/>
    <w:rsid w:val="769136B0"/>
    <w:rsid w:val="76F50B0E"/>
    <w:rsid w:val="770413F6"/>
    <w:rsid w:val="77545B3E"/>
    <w:rsid w:val="77F35CA4"/>
    <w:rsid w:val="78FA1E5E"/>
    <w:rsid w:val="79191277"/>
    <w:rsid w:val="7967694A"/>
    <w:rsid w:val="798D4602"/>
    <w:rsid w:val="7A590988"/>
    <w:rsid w:val="7C3F0530"/>
    <w:rsid w:val="7C5D6DD4"/>
    <w:rsid w:val="7C8545E3"/>
    <w:rsid w:val="7D31153F"/>
    <w:rsid w:val="7DC50B97"/>
    <w:rsid w:val="7DFE4C7B"/>
    <w:rsid w:val="7E2B1DF7"/>
    <w:rsid w:val="7E3A287F"/>
    <w:rsid w:val="7EBB39C0"/>
    <w:rsid w:val="7F4B144B"/>
    <w:rsid w:val="7F731D6C"/>
    <w:rsid w:val="7FB1091F"/>
    <w:rsid w:val="7FC85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9" w:semiHidden="0" w:name="heading 3"/>
    <w:lsdException w:qFormat="1" w:unhideWhenUsed="0" w:uiPriority="1" w:semiHidden="0" w:name="heading 4"/>
    <w:lsdException w:qFormat="1" w:unhideWhenUsed="0" w:uiPriority="9" w:semiHidden="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198"/>
      <w:outlineLvl w:val="0"/>
    </w:pPr>
    <w:rPr>
      <w:sz w:val="72"/>
      <w:szCs w:val="72"/>
    </w:rPr>
  </w:style>
  <w:style w:type="paragraph" w:styleId="4">
    <w:name w:val="heading 2"/>
    <w:basedOn w:val="1"/>
    <w:next w:val="1"/>
    <w:qFormat/>
    <w:uiPriority w:val="1"/>
    <w:pPr>
      <w:spacing w:before="180"/>
      <w:ind w:left="86"/>
      <w:jc w:val="center"/>
      <w:outlineLvl w:val="1"/>
    </w:pPr>
    <w:rPr>
      <w:b/>
      <w:bCs/>
      <w:sz w:val="44"/>
      <w:szCs w:val="44"/>
    </w:rPr>
  </w:style>
  <w:style w:type="paragraph" w:styleId="5">
    <w:name w:val="heading 3"/>
    <w:basedOn w:val="1"/>
    <w:next w:val="2"/>
    <w:qFormat/>
    <w:uiPriority w:val="9"/>
    <w:pPr>
      <w:spacing w:before="14"/>
      <w:ind w:left="711"/>
      <w:outlineLvl w:val="2"/>
    </w:pPr>
    <w:rPr>
      <w:rFonts w:ascii="宋体" w:hAnsi="宋体"/>
      <w:b/>
      <w:sz w:val="28"/>
    </w:rPr>
  </w:style>
  <w:style w:type="paragraph" w:styleId="6">
    <w:name w:val="heading 4"/>
    <w:basedOn w:val="1"/>
    <w:next w:val="1"/>
    <w:qFormat/>
    <w:uiPriority w:val="1"/>
    <w:pPr>
      <w:spacing w:before="41"/>
      <w:ind w:left="267"/>
      <w:jc w:val="center"/>
      <w:outlineLvl w:val="3"/>
    </w:pPr>
    <w:rPr>
      <w:b/>
      <w:bCs/>
      <w:sz w:val="42"/>
      <w:szCs w:val="42"/>
    </w:rPr>
  </w:style>
  <w:style w:type="paragraph" w:styleId="7">
    <w:name w:val="heading 5"/>
    <w:basedOn w:val="1"/>
    <w:next w:val="1"/>
    <w:qFormat/>
    <w:uiPriority w:val="9"/>
    <w:pPr>
      <w:spacing w:before="26"/>
      <w:ind w:left="591"/>
      <w:outlineLvl w:val="4"/>
    </w:pPr>
    <w:rPr>
      <w:rFonts w:ascii="宋体" w:hAnsi="宋体"/>
      <w:b/>
    </w:rPr>
  </w:style>
  <w:style w:type="paragraph" w:styleId="8">
    <w:name w:val="heading 7"/>
    <w:basedOn w:val="1"/>
    <w:next w:val="1"/>
    <w:qFormat/>
    <w:uiPriority w:val="1"/>
    <w:pPr>
      <w:spacing w:before="49"/>
      <w:jc w:val="center"/>
      <w:outlineLvl w:val="6"/>
    </w:pPr>
    <w:rPr>
      <w:sz w:val="36"/>
      <w:szCs w:val="36"/>
    </w:rPr>
  </w:style>
  <w:style w:type="paragraph" w:styleId="9">
    <w:name w:val="heading 8"/>
    <w:basedOn w:val="1"/>
    <w:next w:val="1"/>
    <w:qFormat/>
    <w:uiPriority w:val="1"/>
    <w:pPr>
      <w:spacing w:before="54"/>
      <w:ind w:left="86"/>
      <w:jc w:val="center"/>
      <w:outlineLvl w:val="7"/>
    </w:pPr>
    <w:rPr>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360" w:lineRule="auto"/>
      <w:ind w:firstLine="560" w:firstLineChars="200"/>
    </w:pPr>
    <w:rPr>
      <w:bCs/>
      <w:sz w:val="28"/>
      <w:szCs w:val="24"/>
    </w:rPr>
  </w:style>
  <w:style w:type="paragraph" w:styleId="10">
    <w:name w:val="Body Text"/>
    <w:basedOn w:val="1"/>
    <w:next w:val="11"/>
    <w:qFormat/>
    <w:uiPriority w:val="1"/>
    <w:rPr>
      <w:sz w:val="24"/>
      <w:szCs w:val="24"/>
    </w:rPr>
  </w:style>
  <w:style w:type="paragraph" w:customStyle="1" w:styleId="11">
    <w:name w:val="目录 53"/>
    <w:basedOn w:val="1"/>
    <w:next w:val="1"/>
    <w:qFormat/>
    <w:uiPriority w:val="0"/>
    <w:pPr>
      <w:ind w:left="840"/>
    </w:pPr>
    <w:rPr>
      <w:rFonts w:ascii="Times New Roman"/>
      <w:sz w:val="18"/>
    </w:rPr>
  </w:style>
  <w:style w:type="paragraph" w:styleId="12">
    <w:name w:val="Body Text Indent"/>
    <w:basedOn w:val="1"/>
    <w:next w:val="1"/>
    <w:qFormat/>
    <w:uiPriority w:val="0"/>
    <w:pPr>
      <w:spacing w:before="240" w:line="360" w:lineRule="auto"/>
      <w:ind w:firstLine="552" w:firstLineChars="263"/>
    </w:pPr>
    <w:rPr>
      <w:rFonts w:ascii="宋体" w:hAnsi="宋体"/>
      <w:szCs w:val="20"/>
    </w:rPr>
  </w:style>
  <w:style w:type="paragraph" w:styleId="13">
    <w:name w:val="Plain Text"/>
    <w:basedOn w:val="1"/>
    <w:unhideWhenUsed/>
    <w:qFormat/>
    <w:uiPriority w:val="99"/>
    <w:rPr>
      <w:rFonts w:ascii="宋体" w:hAnsi="Courier New"/>
    </w:rPr>
  </w:style>
  <w:style w:type="paragraph" w:styleId="14">
    <w:name w:val="Balloon Text"/>
    <w:basedOn w:val="1"/>
    <w:unhideWhenUsed/>
    <w:qFormat/>
    <w:uiPriority w:val="99"/>
    <w:pPr>
      <w:autoSpaceDE/>
      <w:autoSpaceDN/>
      <w:adjustRightInd/>
      <w:jc w:val="both"/>
    </w:pPr>
    <w:rPr>
      <w:kern w:val="2"/>
      <w:sz w:val="18"/>
    </w:rPr>
  </w:style>
  <w:style w:type="paragraph" w:styleId="15">
    <w:name w:val="footer"/>
    <w:basedOn w:val="1"/>
    <w:qFormat/>
    <w:uiPriority w:val="0"/>
    <w:pPr>
      <w:tabs>
        <w:tab w:val="center" w:pos="4153"/>
        <w:tab w:val="right" w:pos="8306"/>
      </w:tabs>
      <w:snapToGrid w:val="0"/>
    </w:pPr>
    <w:rPr>
      <w:rFonts w:ascii="Times New Roman" w:hAnsi="Times New Roman" w:cs="Times New Roman"/>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rPr>
  </w:style>
  <w:style w:type="paragraph" w:styleId="17">
    <w:name w:val="Body Text First Indent 2"/>
    <w:basedOn w:val="12"/>
    <w:qFormat/>
    <w:uiPriority w:val="99"/>
    <w:pPr>
      <w:ind w:firstLine="420" w:firstLineChars="200"/>
    </w:pPr>
  </w:style>
  <w:style w:type="paragraph" w:styleId="20">
    <w:name w:val="List Paragraph"/>
    <w:basedOn w:val="1"/>
    <w:qFormat/>
    <w:uiPriority w:val="1"/>
    <w:pPr>
      <w:ind w:left="384" w:firstLine="480"/>
    </w:pPr>
  </w:style>
  <w:style w:type="paragraph" w:customStyle="1" w:styleId="21">
    <w:name w:val="Table Paragraph"/>
    <w:basedOn w:val="1"/>
    <w:qFormat/>
    <w:uiPriority w:val="1"/>
  </w:style>
  <w:style w:type="paragraph" w:customStyle="1" w:styleId="22">
    <w:name w:val="正文缩进1"/>
    <w:basedOn w:val="1"/>
    <w:qFormat/>
    <w:uiPriority w:val="0"/>
    <w:pPr>
      <w:autoSpaceDE/>
      <w:autoSpaceDN/>
      <w:ind w:firstLine="420" w:firstLineChars="200"/>
      <w:jc w:val="both"/>
    </w:pPr>
    <w:rPr>
      <w:rFonts w:ascii="Times New Roman" w:hAnsi="Times New Roman" w:cs="Times New Roman"/>
      <w:kern w:val="2"/>
      <w:sz w:val="21"/>
      <w:szCs w:val="20"/>
      <w:lang w:val="en-US" w:bidi="ar-SA"/>
    </w:rPr>
  </w:style>
  <w:style w:type="character" w:customStyle="1" w:styleId="23">
    <w:name w:val="font01"/>
    <w:basedOn w:val="19"/>
    <w:qFormat/>
    <w:uiPriority w:val="0"/>
    <w:rPr>
      <w:rFonts w:hint="eastAsia" w:ascii="宋体" w:hAnsi="宋体" w:eastAsia="宋体" w:cs="宋体"/>
      <w:color w:val="000000"/>
      <w:sz w:val="24"/>
      <w:szCs w:val="24"/>
      <w:u w:val="none"/>
    </w:rPr>
  </w:style>
  <w:style w:type="character" w:customStyle="1" w:styleId="24">
    <w:name w:val="NormalCharacter"/>
    <w:semiHidden/>
    <w:qFormat/>
    <w:uiPriority w:val="0"/>
  </w:style>
  <w:style w:type="paragraph" w:customStyle="1" w:styleId="25">
    <w:name w:val="Default Tex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样式 标题 3 + (中文) 黑体 小四 非加粗 段前: 7.8 磅 段后: 0 磅 行距: 固定值 20 磅"/>
    <w:basedOn w:val="5"/>
    <w:unhideWhenUsed/>
    <w:qFormat/>
    <w:uiPriority w:val="0"/>
    <w:pPr>
      <w:spacing w:before="0" w:line="400" w:lineRule="exact"/>
      <w:ind w:left="0"/>
      <w:jc w:val="both"/>
    </w:pPr>
    <w:rPr>
      <w:rFonts w:eastAsia="黑体"/>
      <w:b w:val="0"/>
      <w:kern w:val="2"/>
      <w:sz w:val="24"/>
    </w:rPr>
  </w:style>
  <w:style w:type="paragraph" w:customStyle="1" w:styleId="28">
    <w:name w:val="Normal_9"/>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29">
    <w:name w:val="CM99"/>
    <w:basedOn w:val="30"/>
    <w:next w:val="30"/>
    <w:qFormat/>
    <w:uiPriority w:val="0"/>
    <w:pPr>
      <w:spacing w:after="443" w:afterLines="0"/>
    </w:pPr>
    <w:rPr>
      <w:color w:val="auto"/>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Normal_1"/>
    <w:qFormat/>
    <w:uiPriority w:val="0"/>
    <w:rPr>
      <w:rFonts w:ascii="Times New Roman" w:hAnsi="Times New Roman" w:eastAsia="Times New Roman" w:cs="Times New Roman"/>
      <w:sz w:val="24"/>
      <w:szCs w:val="24"/>
      <w:lang w:bidi="ar-SA"/>
    </w:rPr>
  </w:style>
  <w:style w:type="character" w:customStyle="1" w:styleId="32">
    <w:name w:val="font41"/>
    <w:basedOn w:val="19"/>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20.xml"/><Relationship Id="rId32" Type="http://schemas.openxmlformats.org/officeDocument/2006/relationships/header" Target="header11.xml"/><Relationship Id="rId31" Type="http://schemas.openxmlformats.org/officeDocument/2006/relationships/footer" Target="footer19.xml"/><Relationship Id="rId30" Type="http://schemas.openxmlformats.org/officeDocument/2006/relationships/footer" Target="footer18.xml"/><Relationship Id="rId3" Type="http://schemas.openxmlformats.org/officeDocument/2006/relationships/header" Target="header1.xml"/><Relationship Id="rId29" Type="http://schemas.openxmlformats.org/officeDocument/2006/relationships/header" Target="header10.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header" Target="header9.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header" Target="header7.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148</Pages>
  <Words>78523</Words>
  <Characters>82403</Characters>
  <Lines>0</Lines>
  <Paragraphs>0</Paragraphs>
  <TotalTime>4</TotalTime>
  <ScaleCrop>false</ScaleCrop>
  <LinksUpToDate>false</LinksUpToDate>
  <CharactersWithSpaces>84748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2022-06-26T15:18:00Z</dcterms:created>
  <dc:creator>初见</dc:creator>
  <cp:lastModifiedBy>hlfn-3</cp:lastModifiedBy>
  <cp:lastPrinted>2022-06-29T07:41:00Z</cp:lastPrinted>
  <dcterms:modified xsi:type="dcterms:W3CDTF">2022-07-01T09:22:11Z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CB4024F7756A476EBA71386C6535DB80</vt:lpwstr>
  </property>
</Properties>
</file>