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highlight w:val="none"/>
        </w:rPr>
      </w:pPr>
    </w:p>
    <w:p>
      <w:pPr>
        <w:spacing w:line="360" w:lineRule="auto"/>
        <w:jc w:val="center"/>
        <w:rPr>
          <w:rFonts w:hint="default" w:ascii="宋体" w:hAnsi="宋体" w:eastAsia="宋体" w:cs="宋体"/>
          <w:sz w:val="32"/>
          <w:szCs w:val="24"/>
          <w:highlight w:val="none"/>
          <w:lang w:val="en-US" w:eastAsia="zh-CN"/>
        </w:rPr>
      </w:pPr>
      <w:r>
        <w:rPr>
          <w:rFonts w:hint="eastAsia" w:ascii="宋体" w:hAnsi="宋体" w:cs="宋体"/>
          <w:sz w:val="48"/>
          <w:szCs w:val="48"/>
          <w:highlight w:val="none"/>
          <w:lang w:eastAsia="zh-CN"/>
        </w:rPr>
        <w:t>新疆维吾尔自治区地质矿产勘查开发局第一区域地质调查大队四驱越野载货汽车采购项目（</w:t>
      </w:r>
      <w:r>
        <w:rPr>
          <w:rFonts w:hint="eastAsia" w:ascii="宋体" w:hAnsi="宋体" w:cs="宋体"/>
          <w:sz w:val="48"/>
          <w:szCs w:val="48"/>
          <w:highlight w:val="none"/>
          <w:lang w:val="en-US" w:eastAsia="zh-CN"/>
        </w:rPr>
        <w:t>二次</w:t>
      </w:r>
      <w:r>
        <w:rPr>
          <w:rFonts w:hint="eastAsia" w:ascii="宋体" w:hAnsi="宋体" w:cs="宋体"/>
          <w:sz w:val="48"/>
          <w:szCs w:val="48"/>
          <w:highlight w:val="none"/>
          <w:lang w:eastAsia="zh-CN"/>
        </w:rPr>
        <w:t>）</w:t>
      </w:r>
      <w:r>
        <w:rPr>
          <w:rFonts w:hint="eastAsia" w:ascii="宋体" w:hAnsi="宋体" w:cs="宋体"/>
          <w:sz w:val="36"/>
          <w:szCs w:val="28"/>
          <w:highlight w:val="none"/>
        </w:rPr>
        <w:t>XJKC-ZB-2022（012）</w:t>
      </w:r>
      <w:r>
        <w:rPr>
          <w:rFonts w:hint="eastAsia" w:ascii="宋体" w:hAnsi="宋体" w:cs="宋体"/>
          <w:sz w:val="36"/>
          <w:szCs w:val="28"/>
          <w:highlight w:val="none"/>
          <w:lang w:val="en-US" w:eastAsia="zh-CN"/>
        </w:rPr>
        <w:t>-2</w:t>
      </w:r>
    </w:p>
    <w:p>
      <w:pPr>
        <w:pStyle w:val="7"/>
        <w:rPr>
          <w:rFonts w:hint="eastAsia" w:ascii="宋体" w:hAnsi="宋体" w:cs="宋体"/>
          <w:sz w:val="32"/>
          <w:szCs w:val="24"/>
          <w:highlight w:val="none"/>
        </w:rPr>
      </w:pPr>
    </w:p>
    <w:p>
      <w:pPr>
        <w:pStyle w:val="7"/>
        <w:rPr>
          <w:rFonts w:hint="eastAsia" w:ascii="宋体" w:hAnsi="宋体" w:cs="宋体"/>
          <w:sz w:val="32"/>
          <w:szCs w:val="24"/>
          <w:highlight w:val="none"/>
        </w:rPr>
      </w:pPr>
    </w:p>
    <w:p>
      <w:pPr>
        <w:pStyle w:val="7"/>
        <w:rPr>
          <w:rFonts w:hint="eastAsia" w:ascii="宋体" w:hAnsi="宋体" w:cs="宋体"/>
          <w:sz w:val="32"/>
          <w:szCs w:val="24"/>
          <w:highlight w:val="none"/>
        </w:rPr>
      </w:pPr>
    </w:p>
    <w:p>
      <w:pPr>
        <w:pStyle w:val="7"/>
        <w:rPr>
          <w:rFonts w:hint="eastAsia" w:ascii="宋体" w:hAnsi="宋体" w:cs="宋体"/>
          <w:sz w:val="32"/>
          <w:szCs w:val="24"/>
          <w:highlight w:val="none"/>
        </w:rPr>
      </w:pPr>
    </w:p>
    <w:p>
      <w:pPr>
        <w:pStyle w:val="14"/>
        <w:rPr>
          <w:rFonts w:hint="eastAsia"/>
          <w:highlight w:val="none"/>
        </w:rPr>
      </w:pPr>
    </w:p>
    <w:p>
      <w:pPr>
        <w:spacing w:line="360" w:lineRule="auto"/>
        <w:jc w:val="center"/>
        <w:rPr>
          <w:rFonts w:hint="eastAsia" w:ascii="宋体" w:hAnsi="宋体" w:eastAsia="宋体" w:cs="宋体"/>
          <w:sz w:val="72"/>
          <w:szCs w:val="72"/>
          <w:highlight w:val="none"/>
        </w:rPr>
      </w:pPr>
      <w:r>
        <w:rPr>
          <w:rFonts w:hint="eastAsia" w:ascii="宋体" w:hAnsi="宋体" w:eastAsia="宋体" w:cs="宋体"/>
          <w:sz w:val="72"/>
          <w:szCs w:val="72"/>
          <w:highlight w:val="none"/>
          <w:lang w:val="en-US" w:eastAsia="zh-CN"/>
        </w:rPr>
        <w:t>磋商</w:t>
      </w:r>
      <w:r>
        <w:rPr>
          <w:rFonts w:hint="eastAsia" w:ascii="宋体" w:hAnsi="宋体" w:eastAsia="宋体" w:cs="宋体"/>
          <w:sz w:val="72"/>
          <w:szCs w:val="72"/>
          <w:highlight w:val="none"/>
        </w:rPr>
        <w:t>文件</w:t>
      </w:r>
    </w:p>
    <w:p>
      <w:pPr>
        <w:spacing w:before="120" w:after="120" w:line="360" w:lineRule="auto"/>
        <w:rPr>
          <w:rFonts w:hint="eastAsia" w:ascii="宋体" w:hAnsi="宋体" w:eastAsia="宋体" w:cs="宋体"/>
          <w:sz w:val="52"/>
          <w:szCs w:val="52"/>
          <w:highlight w:val="none"/>
        </w:rPr>
      </w:pPr>
    </w:p>
    <w:p>
      <w:pPr>
        <w:spacing w:line="360" w:lineRule="auto"/>
        <w:ind w:firstLine="600"/>
        <w:rPr>
          <w:rFonts w:hint="eastAsia" w:ascii="宋体" w:hAnsi="宋体" w:eastAsia="宋体" w:cs="宋体"/>
          <w:b/>
          <w:bCs/>
          <w:sz w:val="30"/>
          <w:highlight w:val="none"/>
        </w:rPr>
      </w:pPr>
    </w:p>
    <w:p>
      <w:pPr>
        <w:spacing w:line="360" w:lineRule="auto"/>
        <w:ind w:firstLine="600"/>
        <w:rPr>
          <w:rFonts w:hint="eastAsia" w:ascii="宋体" w:hAnsi="宋体" w:eastAsia="宋体" w:cs="宋体"/>
          <w:b/>
          <w:bCs/>
          <w:sz w:val="30"/>
          <w:highlight w:val="none"/>
        </w:rPr>
      </w:pPr>
    </w:p>
    <w:p>
      <w:pPr>
        <w:spacing w:line="360" w:lineRule="auto"/>
        <w:rPr>
          <w:rFonts w:hint="eastAsia" w:ascii="宋体" w:hAnsi="宋体" w:eastAsia="宋体" w:cs="宋体"/>
          <w:b/>
          <w:bCs/>
          <w:sz w:val="30"/>
          <w:highlight w:val="none"/>
        </w:rPr>
      </w:pPr>
    </w:p>
    <w:p>
      <w:pPr>
        <w:spacing w:line="360" w:lineRule="auto"/>
        <w:rPr>
          <w:rFonts w:hint="eastAsia" w:ascii="宋体" w:hAnsi="宋体" w:eastAsia="宋体" w:cs="宋体"/>
          <w:b/>
          <w:bCs/>
          <w:sz w:val="30"/>
          <w:highlight w:val="none"/>
        </w:rPr>
      </w:pPr>
    </w:p>
    <w:p>
      <w:pPr>
        <w:spacing w:line="360" w:lineRule="auto"/>
        <w:ind w:firstLine="6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采购人：</w:t>
      </w:r>
      <w:r>
        <w:rPr>
          <w:rFonts w:hint="eastAsia" w:ascii="宋体" w:hAnsi="宋体" w:cs="宋体"/>
          <w:sz w:val="32"/>
          <w:szCs w:val="32"/>
          <w:highlight w:val="none"/>
          <w:lang w:eastAsia="zh-CN"/>
        </w:rPr>
        <w:t>新疆维吾尔自治区地质矿产勘查开发局第一区域地质调查大队</w:t>
      </w:r>
    </w:p>
    <w:p>
      <w:pPr>
        <w:spacing w:line="360" w:lineRule="auto"/>
        <w:rPr>
          <w:rFonts w:hint="eastAsia" w:ascii="宋体" w:hAnsi="宋体" w:eastAsia="宋体" w:cs="宋体"/>
          <w:sz w:val="32"/>
          <w:szCs w:val="32"/>
          <w:highlight w:val="none"/>
        </w:rPr>
      </w:pPr>
    </w:p>
    <w:p>
      <w:pPr>
        <w:spacing w:line="360" w:lineRule="auto"/>
        <w:rPr>
          <w:rFonts w:hint="eastAsia" w:ascii="宋体" w:hAnsi="宋体" w:eastAsia="宋体" w:cs="宋体"/>
          <w:sz w:val="32"/>
          <w:szCs w:val="32"/>
          <w:highlight w:val="none"/>
        </w:rPr>
      </w:pPr>
    </w:p>
    <w:p>
      <w:pPr>
        <w:spacing w:line="360" w:lineRule="auto"/>
        <w:ind w:firstLine="6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采购</w:t>
      </w:r>
      <w:r>
        <w:rPr>
          <w:rFonts w:hint="eastAsia" w:ascii="宋体" w:hAnsi="宋体" w:eastAsia="宋体" w:cs="宋体"/>
          <w:sz w:val="32"/>
          <w:szCs w:val="32"/>
          <w:highlight w:val="none"/>
        </w:rPr>
        <w:t>代理机构：新疆科辰工程项目管理有限公司</w:t>
      </w:r>
    </w:p>
    <w:p>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r>
        <w:rPr>
          <w:rFonts w:hint="eastAsia" w:ascii="宋体" w:hAnsi="宋体" w:eastAsia="宋体" w:cs="宋体"/>
          <w:sz w:val="32"/>
          <w:szCs w:val="32"/>
          <w:highlight w:val="none"/>
        </w:rPr>
        <w:br w:type="page"/>
      </w:r>
    </w:p>
    <w:p>
      <w:pPr>
        <w:pStyle w:val="23"/>
        <w:spacing w:line="360" w:lineRule="auto"/>
        <w:jc w:val="center"/>
        <w:rPr>
          <w:rFonts w:hint="eastAsia" w:ascii="宋体" w:hAnsi="宋体" w:eastAsia="宋体" w:cs="宋体"/>
          <w:b/>
          <w:color w:val="auto"/>
          <w:sz w:val="40"/>
          <w:szCs w:val="28"/>
          <w:highlight w:val="none"/>
        </w:rPr>
      </w:pPr>
      <w:r>
        <w:rPr>
          <w:rFonts w:hint="eastAsia" w:ascii="宋体" w:hAnsi="宋体" w:eastAsia="宋体" w:cs="宋体"/>
          <w:b/>
          <w:color w:val="auto"/>
          <w:sz w:val="40"/>
          <w:szCs w:val="28"/>
          <w:highlight w:val="none"/>
        </w:rPr>
        <w:t>目    录</w:t>
      </w:r>
    </w:p>
    <w:p>
      <w:pPr>
        <w:pStyle w:val="23"/>
        <w:spacing w:line="360" w:lineRule="auto"/>
        <w:jc w:val="center"/>
        <w:rPr>
          <w:rFonts w:hint="eastAsia" w:ascii="宋体" w:hAnsi="宋体" w:eastAsia="宋体" w:cs="宋体"/>
          <w:b/>
          <w:color w:val="auto"/>
          <w:sz w:val="40"/>
          <w:szCs w:val="28"/>
          <w:highlight w:val="none"/>
        </w:rPr>
      </w:pPr>
    </w:p>
    <w:p>
      <w:pPr>
        <w:pStyle w:val="13"/>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_Toc12851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第一章  </w:t>
      </w:r>
      <w:r>
        <w:rPr>
          <w:rFonts w:hint="eastAsia" w:ascii="宋体" w:hAnsi="宋体" w:eastAsia="宋体" w:cs="宋体"/>
          <w:sz w:val="32"/>
          <w:szCs w:val="32"/>
          <w:highlight w:val="none"/>
          <w:lang w:val="en-US" w:eastAsia="zh-CN"/>
        </w:rPr>
        <w:t>竞争性</w:t>
      </w:r>
      <w:r>
        <w:rPr>
          <w:rFonts w:hint="eastAsia" w:ascii="宋体" w:hAnsi="宋体" w:eastAsia="宋体" w:cs="宋体"/>
          <w:sz w:val="32"/>
          <w:szCs w:val="32"/>
          <w:highlight w:val="none"/>
          <w:lang w:eastAsia="zh-CN"/>
        </w:rPr>
        <w:t>磋商</w:t>
      </w:r>
      <w:r>
        <w:rPr>
          <w:rFonts w:hint="eastAsia" w:ascii="宋体" w:hAnsi="宋体" w:eastAsia="宋体" w:cs="宋体"/>
          <w:sz w:val="32"/>
          <w:szCs w:val="32"/>
          <w:highlight w:val="none"/>
          <w:lang w:val="en-US" w:eastAsia="zh-CN"/>
        </w:rPr>
        <w:t>公告</w:t>
      </w:r>
      <w:r>
        <w:rPr>
          <w:sz w:val="32"/>
          <w:szCs w:val="32"/>
          <w:highlight w:val="none"/>
        </w:rPr>
        <w:tab/>
      </w:r>
      <w:r>
        <w:rPr>
          <w:sz w:val="32"/>
          <w:szCs w:val="32"/>
          <w:highlight w:val="none"/>
        </w:rPr>
        <w:fldChar w:fldCharType="begin"/>
      </w:r>
      <w:r>
        <w:rPr>
          <w:sz w:val="32"/>
          <w:szCs w:val="32"/>
          <w:highlight w:val="none"/>
        </w:rPr>
        <w:instrText xml:space="preserve"> PAGEREF _Toc12851 \h </w:instrText>
      </w:r>
      <w:r>
        <w:rPr>
          <w:sz w:val="32"/>
          <w:szCs w:val="32"/>
          <w:highlight w:val="none"/>
        </w:rPr>
        <w:fldChar w:fldCharType="separate"/>
      </w:r>
      <w:r>
        <w:rPr>
          <w:sz w:val="32"/>
          <w:szCs w:val="32"/>
          <w:highlight w:val="none"/>
        </w:rPr>
        <w:t>4</w:t>
      </w:r>
      <w:r>
        <w:rPr>
          <w:sz w:val="32"/>
          <w:szCs w:val="32"/>
          <w:highlight w:val="none"/>
        </w:rPr>
        <w:fldChar w:fldCharType="end"/>
      </w:r>
      <w:r>
        <w:rPr>
          <w:rFonts w:hint="eastAsia" w:ascii="宋体" w:hAnsi="宋体" w:eastAsia="宋体" w:cs="宋体"/>
          <w:sz w:val="32"/>
          <w:szCs w:val="32"/>
          <w:highlight w:val="none"/>
        </w:rPr>
        <w:fldChar w:fldCharType="end"/>
      </w:r>
    </w:p>
    <w:p>
      <w:pPr>
        <w:pStyle w:val="13"/>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_Toc8919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供应商须知前附表</w:t>
      </w:r>
      <w:r>
        <w:rPr>
          <w:sz w:val="32"/>
          <w:szCs w:val="32"/>
          <w:highlight w:val="none"/>
        </w:rPr>
        <w:tab/>
      </w:r>
      <w:r>
        <w:rPr>
          <w:sz w:val="32"/>
          <w:szCs w:val="32"/>
          <w:highlight w:val="none"/>
        </w:rPr>
        <w:fldChar w:fldCharType="begin"/>
      </w:r>
      <w:r>
        <w:rPr>
          <w:sz w:val="32"/>
          <w:szCs w:val="32"/>
          <w:highlight w:val="none"/>
        </w:rPr>
        <w:instrText xml:space="preserve"> PAGEREF _Toc8919 \h </w:instrText>
      </w:r>
      <w:r>
        <w:rPr>
          <w:sz w:val="32"/>
          <w:szCs w:val="32"/>
          <w:highlight w:val="none"/>
        </w:rPr>
        <w:fldChar w:fldCharType="separate"/>
      </w:r>
      <w:r>
        <w:rPr>
          <w:sz w:val="32"/>
          <w:szCs w:val="32"/>
          <w:highlight w:val="none"/>
        </w:rPr>
        <w:t>4</w:t>
      </w:r>
      <w:r>
        <w:rPr>
          <w:sz w:val="32"/>
          <w:szCs w:val="32"/>
          <w:highlight w:val="none"/>
        </w:rPr>
        <w:fldChar w:fldCharType="end"/>
      </w:r>
      <w:r>
        <w:rPr>
          <w:rFonts w:hint="eastAsia" w:ascii="宋体" w:hAnsi="宋体" w:eastAsia="宋体" w:cs="宋体"/>
          <w:sz w:val="32"/>
          <w:szCs w:val="32"/>
          <w:highlight w:val="none"/>
        </w:rPr>
        <w:fldChar w:fldCharType="end"/>
      </w:r>
    </w:p>
    <w:p>
      <w:pPr>
        <w:pStyle w:val="13"/>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_Toc27602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w:t>
      </w:r>
      <w:r>
        <w:rPr>
          <w:rFonts w:hint="eastAsia" w:ascii="宋体" w:hAnsi="宋体" w:eastAsia="宋体" w:cs="宋体"/>
          <w:kern w:val="2"/>
          <w:sz w:val="32"/>
          <w:szCs w:val="32"/>
          <w:highlight w:val="none"/>
        </w:rPr>
        <w:t>章</w:t>
      </w:r>
      <w:r>
        <w:rPr>
          <w:rFonts w:hint="eastAsia" w:ascii="宋体" w:hAnsi="宋体" w:eastAsia="宋体" w:cs="宋体"/>
          <w:sz w:val="32"/>
          <w:szCs w:val="32"/>
          <w:highlight w:val="none"/>
        </w:rPr>
        <w:t xml:space="preserve">  供应商须知</w:t>
      </w:r>
      <w:r>
        <w:rPr>
          <w:sz w:val="32"/>
          <w:szCs w:val="32"/>
          <w:highlight w:val="none"/>
        </w:rPr>
        <w:tab/>
      </w:r>
      <w:r>
        <w:rPr>
          <w:sz w:val="32"/>
          <w:szCs w:val="32"/>
          <w:highlight w:val="none"/>
        </w:rPr>
        <w:fldChar w:fldCharType="begin"/>
      </w:r>
      <w:r>
        <w:rPr>
          <w:sz w:val="32"/>
          <w:szCs w:val="32"/>
          <w:highlight w:val="none"/>
        </w:rPr>
        <w:instrText xml:space="preserve"> PAGEREF _Toc27602 \h </w:instrText>
      </w:r>
      <w:r>
        <w:rPr>
          <w:sz w:val="32"/>
          <w:szCs w:val="32"/>
          <w:highlight w:val="none"/>
        </w:rPr>
        <w:fldChar w:fldCharType="separate"/>
      </w:r>
      <w:r>
        <w:rPr>
          <w:sz w:val="32"/>
          <w:szCs w:val="32"/>
          <w:highlight w:val="none"/>
        </w:rPr>
        <w:t>9</w:t>
      </w:r>
      <w:r>
        <w:rPr>
          <w:sz w:val="32"/>
          <w:szCs w:val="32"/>
          <w:highlight w:val="none"/>
        </w:rPr>
        <w:fldChar w:fldCharType="end"/>
      </w:r>
      <w:r>
        <w:rPr>
          <w:rFonts w:hint="eastAsia" w:ascii="宋体" w:hAnsi="宋体" w:eastAsia="宋体" w:cs="宋体"/>
          <w:sz w:val="32"/>
          <w:szCs w:val="32"/>
          <w:highlight w:val="none"/>
        </w:rPr>
        <w:fldChar w:fldCharType="end"/>
      </w:r>
    </w:p>
    <w:p>
      <w:pPr>
        <w:pStyle w:val="13"/>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_Toc9184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评审方法</w:t>
      </w:r>
      <w:r>
        <w:rPr>
          <w:sz w:val="32"/>
          <w:szCs w:val="32"/>
          <w:highlight w:val="none"/>
        </w:rPr>
        <w:tab/>
      </w:r>
      <w:r>
        <w:rPr>
          <w:sz w:val="32"/>
          <w:szCs w:val="32"/>
          <w:highlight w:val="none"/>
        </w:rPr>
        <w:fldChar w:fldCharType="begin"/>
      </w:r>
      <w:r>
        <w:rPr>
          <w:sz w:val="32"/>
          <w:szCs w:val="32"/>
          <w:highlight w:val="none"/>
        </w:rPr>
        <w:instrText xml:space="preserve"> PAGEREF _Toc9184 \h </w:instrText>
      </w:r>
      <w:r>
        <w:rPr>
          <w:sz w:val="32"/>
          <w:szCs w:val="32"/>
          <w:highlight w:val="none"/>
        </w:rPr>
        <w:fldChar w:fldCharType="separate"/>
      </w:r>
      <w:r>
        <w:rPr>
          <w:sz w:val="32"/>
          <w:szCs w:val="32"/>
          <w:highlight w:val="none"/>
        </w:rPr>
        <w:t>22</w:t>
      </w:r>
      <w:r>
        <w:rPr>
          <w:sz w:val="32"/>
          <w:szCs w:val="32"/>
          <w:highlight w:val="none"/>
        </w:rPr>
        <w:fldChar w:fldCharType="end"/>
      </w:r>
      <w:r>
        <w:rPr>
          <w:rFonts w:hint="eastAsia" w:ascii="宋体" w:hAnsi="宋体" w:eastAsia="宋体" w:cs="宋体"/>
          <w:sz w:val="32"/>
          <w:szCs w:val="32"/>
          <w:highlight w:val="none"/>
        </w:rPr>
        <w:fldChar w:fldCharType="end"/>
      </w:r>
    </w:p>
    <w:p>
      <w:pPr>
        <w:pStyle w:val="13"/>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_Toc22436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采购内容及需求</w:t>
      </w:r>
      <w:r>
        <w:rPr>
          <w:sz w:val="32"/>
          <w:szCs w:val="32"/>
          <w:highlight w:val="none"/>
        </w:rPr>
        <w:tab/>
      </w:r>
      <w:r>
        <w:rPr>
          <w:sz w:val="32"/>
          <w:szCs w:val="32"/>
          <w:highlight w:val="none"/>
        </w:rPr>
        <w:fldChar w:fldCharType="begin"/>
      </w:r>
      <w:r>
        <w:rPr>
          <w:sz w:val="32"/>
          <w:szCs w:val="32"/>
          <w:highlight w:val="none"/>
        </w:rPr>
        <w:instrText xml:space="preserve"> PAGEREF _Toc22436 \h </w:instrText>
      </w:r>
      <w:r>
        <w:rPr>
          <w:sz w:val="32"/>
          <w:szCs w:val="32"/>
          <w:highlight w:val="none"/>
        </w:rPr>
        <w:fldChar w:fldCharType="separate"/>
      </w:r>
      <w:r>
        <w:rPr>
          <w:sz w:val="32"/>
          <w:szCs w:val="32"/>
          <w:highlight w:val="none"/>
        </w:rPr>
        <w:t>26</w:t>
      </w:r>
      <w:r>
        <w:rPr>
          <w:sz w:val="32"/>
          <w:szCs w:val="32"/>
          <w:highlight w:val="none"/>
        </w:rPr>
        <w:fldChar w:fldCharType="end"/>
      </w:r>
      <w:r>
        <w:rPr>
          <w:rFonts w:hint="eastAsia" w:ascii="宋体" w:hAnsi="宋体" w:eastAsia="宋体" w:cs="宋体"/>
          <w:sz w:val="32"/>
          <w:szCs w:val="32"/>
          <w:highlight w:val="none"/>
        </w:rPr>
        <w:fldChar w:fldCharType="end"/>
      </w:r>
    </w:p>
    <w:p>
      <w:pPr>
        <w:pStyle w:val="13"/>
        <w:tabs>
          <w:tab w:val="right" w:leader="dot" w:pos="10540"/>
        </w:tabs>
        <w:spacing w:line="360" w:lineRule="auto"/>
        <w:rPr>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_Toc3352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第六章 </w:t>
      </w:r>
      <w:r>
        <w:rPr>
          <w:rFonts w:hint="eastAsia" w:cs="宋体"/>
          <w:sz w:val="32"/>
          <w:szCs w:val="32"/>
          <w:highlight w:val="none"/>
          <w:lang w:val="en-US" w:eastAsia="zh-CN"/>
        </w:rPr>
        <w:t xml:space="preserve"> </w:t>
      </w:r>
      <w:r>
        <w:rPr>
          <w:rFonts w:hint="eastAsia" w:ascii="宋体" w:hAnsi="宋体" w:eastAsia="宋体" w:cs="宋体"/>
          <w:sz w:val="32"/>
          <w:szCs w:val="32"/>
          <w:highlight w:val="none"/>
        </w:rPr>
        <w:t>合同格式及合同条款</w:t>
      </w:r>
      <w:r>
        <w:rPr>
          <w:sz w:val="32"/>
          <w:szCs w:val="32"/>
          <w:highlight w:val="none"/>
        </w:rPr>
        <w:tab/>
      </w:r>
      <w:r>
        <w:rPr>
          <w:sz w:val="32"/>
          <w:szCs w:val="32"/>
          <w:highlight w:val="none"/>
        </w:rPr>
        <w:fldChar w:fldCharType="begin"/>
      </w:r>
      <w:r>
        <w:rPr>
          <w:sz w:val="32"/>
          <w:szCs w:val="32"/>
          <w:highlight w:val="none"/>
        </w:rPr>
        <w:instrText xml:space="preserve"> PAGEREF _Toc3352 \h </w:instrText>
      </w:r>
      <w:r>
        <w:rPr>
          <w:sz w:val="32"/>
          <w:szCs w:val="32"/>
          <w:highlight w:val="none"/>
        </w:rPr>
        <w:fldChar w:fldCharType="separate"/>
      </w:r>
      <w:r>
        <w:rPr>
          <w:sz w:val="32"/>
          <w:szCs w:val="32"/>
          <w:highlight w:val="none"/>
        </w:rPr>
        <w:t>29</w:t>
      </w:r>
      <w:r>
        <w:rPr>
          <w:sz w:val="32"/>
          <w:szCs w:val="32"/>
          <w:highlight w:val="none"/>
        </w:rPr>
        <w:fldChar w:fldCharType="end"/>
      </w:r>
      <w:r>
        <w:rPr>
          <w:rFonts w:hint="eastAsia" w:ascii="宋体" w:hAnsi="宋体" w:eastAsia="宋体" w:cs="宋体"/>
          <w:sz w:val="32"/>
          <w:szCs w:val="32"/>
          <w:highlight w:val="none"/>
        </w:rPr>
        <w:fldChar w:fldCharType="end"/>
      </w:r>
    </w:p>
    <w:p>
      <w:pPr>
        <w:pStyle w:val="13"/>
        <w:tabs>
          <w:tab w:val="right" w:leader="dot" w:pos="10540"/>
        </w:tabs>
        <w:spacing w:line="360" w:lineRule="auto"/>
        <w:rPr>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_Toc30083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第七</w:t>
      </w:r>
      <w:r>
        <w:rPr>
          <w:rFonts w:hint="eastAsia" w:ascii="宋体" w:hAnsi="宋体" w:eastAsia="宋体" w:cs="宋体"/>
          <w:kern w:val="2"/>
          <w:sz w:val="32"/>
          <w:szCs w:val="32"/>
          <w:highlight w:val="none"/>
        </w:rPr>
        <w:t>章</w:t>
      </w:r>
      <w:r>
        <w:rPr>
          <w:rFonts w:hint="eastAsia" w:ascii="宋体" w:hAnsi="宋体" w:eastAsia="宋体" w:cs="宋体"/>
          <w:sz w:val="32"/>
          <w:szCs w:val="32"/>
          <w:highlight w:val="none"/>
        </w:rPr>
        <w:t xml:space="preserve">  响应文件格式</w:t>
      </w:r>
      <w:r>
        <w:rPr>
          <w:sz w:val="32"/>
          <w:szCs w:val="32"/>
          <w:highlight w:val="none"/>
        </w:rPr>
        <w:tab/>
      </w:r>
      <w:r>
        <w:rPr>
          <w:sz w:val="32"/>
          <w:szCs w:val="32"/>
          <w:highlight w:val="none"/>
        </w:rPr>
        <w:fldChar w:fldCharType="begin"/>
      </w:r>
      <w:r>
        <w:rPr>
          <w:sz w:val="32"/>
          <w:szCs w:val="32"/>
          <w:highlight w:val="none"/>
        </w:rPr>
        <w:instrText xml:space="preserve"> PAGEREF _Toc30083 \h </w:instrText>
      </w:r>
      <w:r>
        <w:rPr>
          <w:sz w:val="32"/>
          <w:szCs w:val="32"/>
          <w:highlight w:val="none"/>
        </w:rPr>
        <w:fldChar w:fldCharType="separate"/>
      </w:r>
      <w:r>
        <w:rPr>
          <w:sz w:val="32"/>
          <w:szCs w:val="32"/>
          <w:highlight w:val="none"/>
        </w:rPr>
        <w:t>32</w:t>
      </w:r>
      <w:r>
        <w:rPr>
          <w:sz w:val="32"/>
          <w:szCs w:val="32"/>
          <w:highlight w:val="none"/>
        </w:rPr>
        <w:fldChar w:fldCharType="end"/>
      </w:r>
      <w:r>
        <w:rPr>
          <w:rFonts w:hint="eastAsia" w:ascii="宋体" w:hAnsi="宋体" w:eastAsia="宋体" w:cs="宋体"/>
          <w:sz w:val="32"/>
          <w:szCs w:val="32"/>
          <w:highlight w:val="none"/>
        </w:rPr>
        <w:fldChar w:fldCharType="end"/>
      </w:r>
    </w:p>
    <w:p>
      <w:pPr>
        <w:spacing w:line="360" w:lineRule="auto"/>
        <w:jc w:val="both"/>
        <w:rPr>
          <w:rFonts w:hint="eastAsia" w:ascii="宋体" w:hAnsi="宋体" w:eastAsia="宋体" w:cs="宋体"/>
          <w:sz w:val="32"/>
          <w:szCs w:val="32"/>
          <w:highlight w:val="none"/>
        </w:rPr>
        <w:sectPr>
          <w:headerReference r:id="rId6" w:type="first"/>
          <w:footerReference r:id="rId8" w:type="first"/>
          <w:headerReference r:id="rId5" w:type="default"/>
          <w:footerReference r:id="rId7" w:type="default"/>
          <w:pgSz w:w="12240" w:h="15840"/>
          <w:pgMar w:top="850" w:right="850" w:bottom="1417" w:left="850" w:header="851" w:footer="850" w:gutter="0"/>
          <w:pgNumType w:start="1"/>
          <w:cols w:space="0" w:num="1"/>
          <w:titlePg/>
          <w:rtlGutter w:val="0"/>
          <w:docGrid w:linePitch="312" w:charSpace="0"/>
        </w:sectPr>
      </w:pPr>
      <w:r>
        <w:rPr>
          <w:rFonts w:hint="eastAsia" w:ascii="宋体" w:hAnsi="宋体" w:eastAsia="宋体" w:cs="宋体"/>
          <w:szCs w:val="32"/>
          <w:highlight w:val="none"/>
        </w:rPr>
        <w:fldChar w:fldCharType="end"/>
      </w:r>
    </w:p>
    <w:p>
      <w:pPr>
        <w:pStyle w:val="3"/>
        <w:pageBreakBefore w:val="0"/>
        <w:kinsoku/>
        <w:wordWrap/>
        <w:overflowPunct/>
        <w:topLinePunct w:val="0"/>
        <w:autoSpaceDE/>
        <w:autoSpaceDN/>
        <w:bidi w:val="0"/>
        <w:adjustRightInd w:val="0"/>
        <w:snapToGrid/>
        <w:spacing w:before="0" w:after="0" w:line="360" w:lineRule="auto"/>
        <w:textAlignment w:val="baseline"/>
        <w:outlineLvl w:val="0"/>
        <w:rPr>
          <w:rFonts w:hint="eastAsia" w:ascii="宋体" w:hAnsi="宋体" w:eastAsia="宋体" w:cs="宋体"/>
          <w:highlight w:val="none"/>
          <w:lang w:eastAsia="zh-CN"/>
        </w:rPr>
      </w:pPr>
      <w:bookmarkStart w:id="0" w:name="_Toc62744597"/>
      <w:bookmarkStart w:id="1" w:name="_Toc12851"/>
      <w:bookmarkStart w:id="2" w:name="_Toc171913592"/>
      <w:r>
        <w:rPr>
          <w:rFonts w:hint="eastAsia" w:ascii="宋体" w:hAnsi="宋体" w:eastAsia="宋体" w:cs="宋体"/>
          <w:highlight w:val="none"/>
        </w:rPr>
        <w:t xml:space="preserve">第一章  </w:t>
      </w:r>
      <w:r>
        <w:rPr>
          <w:rFonts w:hint="eastAsia" w:ascii="宋体" w:hAnsi="宋体" w:eastAsia="宋体" w:cs="宋体"/>
          <w:highlight w:val="none"/>
          <w:lang w:val="en-US" w:eastAsia="zh-CN"/>
        </w:rPr>
        <w:t>竞争性</w:t>
      </w:r>
      <w:r>
        <w:rPr>
          <w:rFonts w:hint="eastAsia" w:ascii="宋体" w:hAnsi="宋体" w:eastAsia="宋体" w:cs="宋体"/>
          <w:highlight w:val="none"/>
          <w:lang w:eastAsia="zh-CN"/>
        </w:rPr>
        <w:t>磋商</w:t>
      </w:r>
      <w:bookmarkEnd w:id="0"/>
      <w:r>
        <w:rPr>
          <w:rFonts w:hint="eastAsia" w:ascii="宋体" w:hAnsi="宋体" w:eastAsia="宋体" w:cs="宋体"/>
          <w:highlight w:val="none"/>
          <w:lang w:val="en-US" w:eastAsia="zh-CN"/>
        </w:rPr>
        <w:t>公告</w:t>
      </w:r>
      <w:bookmarkEnd w:id="1"/>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Cs w:val="21"/>
          <w:highlight w:val="none"/>
          <w:lang w:val="en-US" w:eastAsia="zh-CN"/>
        </w:rPr>
      </w:pPr>
      <w:bookmarkStart w:id="3" w:name="_Toc8919"/>
      <w:bookmarkStart w:id="4" w:name="_Toc62744598"/>
      <w:r>
        <w:rPr>
          <w:rFonts w:hint="eastAsia" w:ascii="宋体" w:hAnsi="宋体" w:cs="宋体"/>
          <w:szCs w:val="21"/>
          <w:highlight w:val="none"/>
        </w:rPr>
        <w:t>一、</w:t>
      </w:r>
      <w:r>
        <w:rPr>
          <w:rFonts w:hint="eastAsia" w:ascii="宋体" w:hAnsi="宋体" w:cs="宋体"/>
          <w:szCs w:val="21"/>
          <w:highlight w:val="none"/>
          <w:lang w:val="en-US" w:eastAsia="zh-CN"/>
        </w:rPr>
        <w:t>项目基本情况</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新疆维吾尔自治区地质矿产勘查开发局第一区域地质调查大队四驱越野载货汽车采购项目（</w:t>
      </w:r>
      <w:r>
        <w:rPr>
          <w:rFonts w:hint="eastAsia" w:ascii="宋体" w:hAnsi="宋体" w:cs="宋体"/>
          <w:szCs w:val="21"/>
          <w:highlight w:val="none"/>
          <w:lang w:val="en-US" w:eastAsia="zh-CN"/>
        </w:rPr>
        <w:t>二次</w:t>
      </w:r>
      <w:r>
        <w:rPr>
          <w:rFonts w:hint="eastAsia" w:ascii="宋体" w:hAnsi="宋体" w:cs="宋体"/>
          <w:szCs w:val="21"/>
          <w:highlight w:val="none"/>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olor w:val="000000"/>
          <w:szCs w:val="24"/>
          <w:highlight w:val="none"/>
          <w:lang w:val="en-US" w:eastAsia="zh-CN"/>
        </w:rPr>
      </w:pPr>
      <w:r>
        <w:rPr>
          <w:rFonts w:hint="eastAsia" w:ascii="宋体" w:hAnsi="宋体" w:cs="宋体"/>
          <w:szCs w:val="21"/>
          <w:highlight w:val="none"/>
          <w:lang w:val="en-US" w:eastAsia="zh-CN"/>
        </w:rPr>
        <w:t>项目</w:t>
      </w:r>
      <w:r>
        <w:rPr>
          <w:rFonts w:hint="eastAsia" w:ascii="宋体" w:hAnsi="宋体" w:cs="宋体"/>
          <w:szCs w:val="21"/>
          <w:highlight w:val="none"/>
        </w:rPr>
        <w:t>编号：</w:t>
      </w:r>
      <w:r>
        <w:rPr>
          <w:rFonts w:hint="eastAsia" w:ascii="宋体" w:hAnsi="宋体" w:cs="宋体"/>
          <w:szCs w:val="21"/>
          <w:highlight w:val="none"/>
          <w:lang w:eastAsia="zh-CN"/>
        </w:rPr>
        <w:t>XJKC-ZB-2022（012）</w:t>
      </w:r>
      <w:r>
        <w:rPr>
          <w:rFonts w:hint="eastAsia" w:ascii="宋体" w:hAnsi="宋体" w:cs="宋体"/>
          <w:szCs w:val="21"/>
          <w:highlight w:val="none"/>
          <w:lang w:val="en-US" w:eastAsia="zh-CN"/>
        </w:rPr>
        <w:t>-2</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Cs w:val="21"/>
          <w:highlight w:val="none"/>
          <w:lang w:val="en-US" w:eastAsia="zh-CN"/>
        </w:rPr>
      </w:pPr>
      <w:r>
        <w:rPr>
          <w:rFonts w:hint="eastAsia" w:ascii="宋体" w:hAnsi="宋体" w:cs="宋体"/>
          <w:szCs w:val="21"/>
          <w:highlight w:val="none"/>
        </w:rPr>
        <w:t>采购</w:t>
      </w:r>
      <w:r>
        <w:rPr>
          <w:rFonts w:hint="eastAsia" w:ascii="宋体" w:hAnsi="宋体" w:cs="宋体"/>
          <w:szCs w:val="21"/>
          <w:highlight w:val="none"/>
          <w:lang w:val="en-US" w:eastAsia="zh-CN"/>
        </w:rPr>
        <w:t>内容</w:t>
      </w:r>
      <w:r>
        <w:rPr>
          <w:rFonts w:hint="eastAsia" w:ascii="宋体" w:hAnsi="宋体" w:cs="宋体"/>
          <w:szCs w:val="21"/>
          <w:highlight w:val="none"/>
        </w:rPr>
        <w:t>：四驱越野载货汽车2辆，技术参数详见磋商文件</w:t>
      </w:r>
      <w:r>
        <w:rPr>
          <w:rFonts w:hint="eastAsia" w:ascii="宋体" w:hAnsi="宋体" w:cs="宋体"/>
          <w:szCs w:val="21"/>
          <w:highlight w:val="none"/>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cs="宋体"/>
          <w:szCs w:val="21"/>
          <w:highlight w:val="none"/>
          <w:lang w:val="en-US" w:eastAsia="zh-CN"/>
        </w:rPr>
        <w:t>采购方式：竞争性磋商</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预算金额：</w:t>
      </w:r>
      <w:r>
        <w:rPr>
          <w:rFonts w:hint="eastAsia" w:ascii="宋体" w:hAnsi="宋体" w:cs="宋体"/>
          <w:b w:val="0"/>
          <w:bCs w:val="0"/>
          <w:sz w:val="24"/>
          <w:szCs w:val="21"/>
          <w:highlight w:val="none"/>
          <w:lang w:val="en-US" w:eastAsia="zh-CN" w:bidi="ar-SA"/>
        </w:rPr>
        <w:t>66万元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最高限价：</w:t>
      </w:r>
      <w:r>
        <w:rPr>
          <w:rFonts w:hint="eastAsia" w:ascii="宋体" w:hAnsi="宋体" w:cs="宋体"/>
          <w:b w:val="0"/>
          <w:bCs w:val="0"/>
          <w:sz w:val="24"/>
          <w:szCs w:val="21"/>
          <w:highlight w:val="none"/>
          <w:lang w:val="en-US" w:eastAsia="zh-CN" w:bidi="ar-SA"/>
        </w:rPr>
        <w:t>66</w:t>
      </w:r>
      <w:r>
        <w:rPr>
          <w:rFonts w:hint="eastAsia" w:ascii="宋体" w:hAnsi="宋体" w:eastAsia="宋体" w:cs="宋体"/>
          <w:b w:val="0"/>
          <w:bCs w:val="0"/>
          <w:sz w:val="24"/>
          <w:szCs w:val="21"/>
          <w:highlight w:val="none"/>
          <w:lang w:val="en-US" w:eastAsia="zh-CN" w:bidi="ar-SA"/>
        </w:rPr>
        <w:t>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交货期限：合同签订后50天（日历日）。</w:t>
      </w:r>
    </w:p>
    <w:p>
      <w:pPr>
        <w:pStyle w:val="4"/>
        <w:keepNext/>
        <w:keepLines/>
        <w:pageBreakBefore w:val="0"/>
        <w:widowControl w:val="0"/>
        <w:kinsoku/>
        <w:wordWrap/>
        <w:overflowPunct/>
        <w:topLinePunct w:val="0"/>
        <w:autoSpaceDE/>
        <w:autoSpaceDN/>
        <w:bidi w:val="0"/>
        <w:adjustRightInd w:val="0"/>
        <w:snapToGrid/>
        <w:spacing w:before="0" w:after="0" w:line="360" w:lineRule="auto"/>
        <w:textAlignment w:val="baseline"/>
        <w:rPr>
          <w:rFonts w:hint="default"/>
          <w:sz w:val="21"/>
          <w:szCs w:val="21"/>
          <w:highlight w:val="none"/>
          <w:lang w:val="en-US" w:eastAsia="zh-CN"/>
        </w:rPr>
      </w:pP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lang w:val="en-US" w:eastAsia="zh-CN"/>
        </w:rPr>
        <w:t>二、供应商</w:t>
      </w:r>
      <w:r>
        <w:rPr>
          <w:rFonts w:hint="eastAsia" w:ascii="宋体" w:hAnsi="宋体" w:cs="宋体"/>
          <w:szCs w:val="21"/>
          <w:highlight w:val="none"/>
        </w:rPr>
        <w:t>资格要求：</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eastAsia="zh-CN"/>
        </w:rPr>
      </w:pPr>
      <w:r>
        <w:rPr>
          <w:rFonts w:hint="eastAsia" w:ascii="宋体" w:hAnsi="宋体" w:cs="宋体"/>
          <w:szCs w:val="21"/>
          <w:highlight w:val="none"/>
        </w:rPr>
        <w:t>1、符合《中华人民共和国政府采购法》第二十二条款的规定</w:t>
      </w:r>
      <w:r>
        <w:rPr>
          <w:rFonts w:hint="eastAsia" w:ascii="宋体" w:hAnsi="宋体" w:cs="宋体"/>
          <w:szCs w:val="21"/>
          <w:highlight w:val="none"/>
          <w:lang w:eastAsia="zh-CN"/>
        </w:rPr>
        <w:t>。</w:t>
      </w:r>
    </w:p>
    <w:p>
      <w:pPr>
        <w:pStyle w:val="7"/>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落实政府采购政策需满足的要求：根据《政府采购促进中小企业发展管理办法》（财库[2020]46号）；《财政部　司法部关于政府采购支持监狱企业发展有关问题的通知》(财库〔2014〕68号)；《关于促进残疾人就业政府采购政策的通知》（财库〔2017〕 141号）；监狱企业、残疾人福利性单位视同小型、微型企业。本次采购应实现节约能源、保护环境、扶持不发达地区和少数民族地区、促进中小企业发展等目标。</w:t>
      </w:r>
    </w:p>
    <w:p>
      <w:pPr>
        <w:pStyle w:val="7"/>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特定的资格要求：</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具有有效的营业执照；</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2、</w:t>
      </w:r>
      <w:r>
        <w:rPr>
          <w:rFonts w:hint="eastAsia" w:ascii="宋体" w:hAnsi="宋体" w:cs="宋体"/>
          <w:szCs w:val="21"/>
          <w:highlight w:val="none"/>
        </w:rPr>
        <w:t>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3</w:t>
      </w:r>
      <w:r>
        <w:rPr>
          <w:rFonts w:hint="eastAsia" w:ascii="宋体" w:hAnsi="宋体" w:eastAsia="宋体" w:cs="宋体"/>
          <w:b w:val="0"/>
          <w:bCs w:val="0"/>
          <w:sz w:val="24"/>
          <w:szCs w:val="21"/>
          <w:highlight w:val="none"/>
          <w:lang w:val="en-US" w:eastAsia="zh-CN" w:bidi="ar-SA"/>
        </w:rPr>
        <w:t>、单位负责人为同一人或者存在直接控股、管理关系的不同供应商，不得参加同一合同项下的政府采购活动。</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本项目不接受联合体</w:t>
      </w:r>
      <w:r>
        <w:rPr>
          <w:rFonts w:hint="eastAsia" w:ascii="宋体" w:hAnsi="宋体" w:cs="宋体"/>
          <w:szCs w:val="21"/>
          <w:highlight w:val="none"/>
          <w:lang w:val="en-US" w:eastAsia="zh-CN"/>
        </w:rPr>
        <w:t>投标</w:t>
      </w:r>
      <w:r>
        <w:rPr>
          <w:rFonts w:hint="eastAsia" w:ascii="宋体" w:hAnsi="宋体" w:cs="宋体"/>
          <w:szCs w:val="21"/>
          <w:highlight w:val="none"/>
        </w:rPr>
        <w:t>。</w:t>
      </w:r>
    </w:p>
    <w:p>
      <w:pPr>
        <w:pStyle w:val="7"/>
        <w:rPr>
          <w:rFonts w:hint="eastAsia" w:ascii="宋体" w:hAnsi="宋体" w:cs="宋体"/>
          <w:szCs w:val="21"/>
          <w:highlight w:val="none"/>
          <w:lang w:val="en-US" w:eastAsia="zh-CN"/>
        </w:rPr>
      </w:pPr>
    </w:p>
    <w:p>
      <w:pPr>
        <w:pStyle w:val="7"/>
        <w:rPr>
          <w:rFonts w:hint="eastAsia" w:ascii="宋体" w:hAnsi="宋体" w:cs="宋体"/>
          <w:szCs w:val="21"/>
          <w:highlight w:val="none"/>
          <w:lang w:val="en-US" w:eastAsia="zh-CN"/>
        </w:rPr>
      </w:pPr>
    </w:p>
    <w:p>
      <w:pPr>
        <w:pageBreakBefore w:val="0"/>
        <w:widowControl/>
        <w:numPr>
          <w:ilvl w:val="0"/>
          <w:numId w:val="1"/>
        </w:numPr>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highlight w:val="none"/>
          <w:lang w:val="en-US" w:eastAsia="zh-CN"/>
        </w:rPr>
      </w:pPr>
      <w:r>
        <w:rPr>
          <w:rFonts w:hint="eastAsia" w:ascii="宋体" w:hAnsi="宋体" w:cs="宋体"/>
          <w:szCs w:val="21"/>
          <w:highlight w:val="none"/>
          <w:lang w:val="en-US" w:eastAsia="zh-CN"/>
        </w:rPr>
        <w:t>获取采购文件</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cs="宋体"/>
          <w:szCs w:val="21"/>
          <w:highlight w:val="none"/>
          <w:lang w:val="en-US" w:eastAsia="zh-CN"/>
        </w:rPr>
      </w:pPr>
      <w:r>
        <w:rPr>
          <w:rFonts w:hint="eastAsia" w:ascii="宋体" w:hAnsi="宋体" w:cs="宋体"/>
          <w:szCs w:val="21"/>
          <w:highlight w:val="none"/>
          <w:lang w:val="en-US" w:eastAsia="zh-CN"/>
        </w:rPr>
        <w:t>1、方式：现场获取</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时间：</w:t>
      </w:r>
      <w:r>
        <w:rPr>
          <w:rFonts w:hint="eastAsia" w:ascii="宋体" w:hAnsi="宋体" w:cs="宋体"/>
          <w:szCs w:val="21"/>
          <w:highlight w:val="yellow"/>
        </w:rPr>
        <w:t>202</w:t>
      </w:r>
      <w:r>
        <w:rPr>
          <w:rFonts w:hint="eastAsia" w:ascii="宋体" w:hAnsi="宋体" w:cs="宋体"/>
          <w:szCs w:val="21"/>
          <w:highlight w:val="yellow"/>
          <w:lang w:val="en-US" w:eastAsia="zh-CN"/>
        </w:rPr>
        <w:t>2</w:t>
      </w:r>
      <w:r>
        <w:rPr>
          <w:rFonts w:hint="eastAsia" w:ascii="宋体" w:hAnsi="宋体" w:cs="宋体"/>
          <w:szCs w:val="21"/>
          <w:highlight w:val="yellow"/>
        </w:rPr>
        <w:t>年</w:t>
      </w:r>
      <w:r>
        <w:rPr>
          <w:rFonts w:hint="eastAsia" w:ascii="宋体" w:hAnsi="宋体" w:cs="宋体"/>
          <w:szCs w:val="21"/>
          <w:highlight w:val="yellow"/>
          <w:lang w:val="en-US" w:eastAsia="zh-CN"/>
        </w:rPr>
        <w:t>7</w:t>
      </w:r>
      <w:r>
        <w:rPr>
          <w:rFonts w:hint="eastAsia" w:ascii="宋体" w:hAnsi="宋体" w:cs="宋体"/>
          <w:szCs w:val="21"/>
          <w:highlight w:val="yellow"/>
        </w:rPr>
        <w:t>月</w:t>
      </w:r>
      <w:r>
        <w:rPr>
          <w:rFonts w:hint="eastAsia" w:ascii="宋体" w:hAnsi="宋体" w:cs="宋体"/>
          <w:szCs w:val="21"/>
          <w:highlight w:val="yellow"/>
          <w:lang w:val="en-US" w:eastAsia="zh-CN"/>
        </w:rPr>
        <w:t>5</w:t>
      </w:r>
      <w:r>
        <w:rPr>
          <w:rFonts w:hint="eastAsia" w:ascii="宋体" w:hAnsi="宋体" w:cs="宋体"/>
          <w:szCs w:val="21"/>
          <w:highlight w:val="yellow"/>
        </w:rPr>
        <w:t>日至202</w:t>
      </w:r>
      <w:r>
        <w:rPr>
          <w:rFonts w:hint="eastAsia" w:ascii="宋体" w:hAnsi="宋体" w:cs="宋体"/>
          <w:szCs w:val="21"/>
          <w:highlight w:val="yellow"/>
          <w:lang w:val="en-US" w:eastAsia="zh-CN"/>
        </w:rPr>
        <w:t>2</w:t>
      </w:r>
      <w:r>
        <w:rPr>
          <w:rFonts w:hint="eastAsia" w:ascii="宋体" w:hAnsi="宋体" w:cs="宋体"/>
          <w:szCs w:val="21"/>
          <w:highlight w:val="yellow"/>
        </w:rPr>
        <w:t>年</w:t>
      </w:r>
      <w:r>
        <w:rPr>
          <w:rFonts w:hint="eastAsia" w:ascii="宋体" w:hAnsi="宋体" w:cs="宋体"/>
          <w:szCs w:val="21"/>
          <w:highlight w:val="yellow"/>
          <w:lang w:val="en-US" w:eastAsia="zh-CN"/>
        </w:rPr>
        <w:t>7</w:t>
      </w:r>
      <w:r>
        <w:rPr>
          <w:rFonts w:hint="eastAsia" w:ascii="宋体" w:hAnsi="宋体" w:cs="宋体"/>
          <w:szCs w:val="21"/>
          <w:highlight w:val="yellow"/>
        </w:rPr>
        <w:t>月</w:t>
      </w:r>
      <w:r>
        <w:rPr>
          <w:rFonts w:hint="eastAsia" w:ascii="宋体" w:hAnsi="宋体" w:cs="宋体"/>
          <w:szCs w:val="21"/>
          <w:highlight w:val="yellow"/>
          <w:lang w:val="en-US" w:eastAsia="zh-CN"/>
        </w:rPr>
        <w:t>15</w:t>
      </w:r>
      <w:r>
        <w:rPr>
          <w:rFonts w:hint="eastAsia" w:ascii="宋体" w:hAnsi="宋体" w:cs="宋体"/>
          <w:szCs w:val="21"/>
          <w:highlight w:val="yellow"/>
        </w:rPr>
        <w:t>日</w:t>
      </w:r>
      <w:r>
        <w:rPr>
          <w:rFonts w:hint="eastAsia" w:ascii="宋体" w:hAnsi="宋体" w:cs="宋体"/>
          <w:szCs w:val="21"/>
          <w:highlight w:val="none"/>
        </w:rPr>
        <w:t>（北京时间10：00-13：30，15：30-18：</w:t>
      </w:r>
      <w:r>
        <w:rPr>
          <w:rFonts w:hint="eastAsia" w:ascii="宋体" w:hAnsi="宋体" w:cs="宋体"/>
          <w:szCs w:val="21"/>
          <w:highlight w:val="none"/>
          <w:lang w:val="en-US" w:eastAsia="zh-CN"/>
        </w:rPr>
        <w:t>3</w:t>
      </w:r>
      <w:r>
        <w:rPr>
          <w:rFonts w:hint="eastAsia" w:ascii="宋体" w:hAnsi="宋体" w:cs="宋体"/>
          <w:szCs w:val="21"/>
          <w:highlight w:val="none"/>
        </w:rPr>
        <w:t>0，节假日除外）</w:t>
      </w:r>
      <w:r>
        <w:rPr>
          <w:rFonts w:hint="eastAsia" w:ascii="宋体" w:hAnsi="宋体" w:cs="宋体"/>
          <w:szCs w:val="21"/>
          <w:highlight w:val="none"/>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rPr>
        <w:t>地址：新疆乌鲁木齐市水磨沟区红光山路2588号绿地中心201/205商业，商务办公楼20层办公8室</w:t>
      </w:r>
      <w:r>
        <w:rPr>
          <w:rFonts w:hint="eastAsia" w:ascii="宋体" w:hAnsi="宋体" w:cs="宋体"/>
          <w:szCs w:val="21"/>
          <w:highlight w:val="none"/>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cs="宋体"/>
          <w:szCs w:val="21"/>
          <w:highlight w:val="none"/>
          <w:lang w:val="en-US" w:eastAsia="zh-CN"/>
        </w:rPr>
      </w:pPr>
      <w:r>
        <w:rPr>
          <w:rFonts w:hint="eastAsia" w:ascii="宋体" w:hAnsi="宋体" w:cs="宋体"/>
          <w:szCs w:val="21"/>
          <w:highlight w:val="none"/>
          <w:lang w:val="en-US" w:eastAsia="zh-CN"/>
        </w:rPr>
        <w:t>4、售价：300元/份（现金），</w:t>
      </w:r>
      <w:r>
        <w:rPr>
          <w:rFonts w:hint="eastAsia" w:ascii="宋体" w:hAnsi="宋体" w:cs="宋体"/>
          <w:szCs w:val="21"/>
          <w:highlight w:val="none"/>
        </w:rPr>
        <w:t>售后不退</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投标人</w:t>
      </w:r>
      <w:r>
        <w:rPr>
          <w:rFonts w:hint="eastAsia" w:ascii="宋体" w:hAnsi="宋体" w:cs="宋体"/>
          <w:szCs w:val="21"/>
          <w:highlight w:val="none"/>
          <w:lang w:val="en-US" w:eastAsia="zh-CN"/>
        </w:rPr>
        <w:t>报名时</w:t>
      </w:r>
      <w:r>
        <w:rPr>
          <w:rFonts w:hint="eastAsia" w:ascii="宋体" w:hAnsi="宋体" w:cs="宋体"/>
          <w:szCs w:val="21"/>
          <w:highlight w:val="none"/>
        </w:rPr>
        <w:t>须携带</w:t>
      </w:r>
      <w:r>
        <w:rPr>
          <w:rFonts w:hint="eastAsia" w:ascii="宋体" w:hAnsi="宋体" w:cs="宋体"/>
          <w:szCs w:val="21"/>
          <w:highlight w:val="none"/>
          <w:lang w:eastAsia="zh-CN"/>
        </w:rPr>
        <w:t>：</w:t>
      </w:r>
      <w:r>
        <w:rPr>
          <w:rFonts w:hint="eastAsia" w:ascii="宋体" w:hAnsi="宋体" w:cs="宋体"/>
          <w:szCs w:val="21"/>
          <w:highlight w:val="none"/>
        </w:rPr>
        <w:t>营业执照（副本）、</w:t>
      </w:r>
      <w:r>
        <w:rPr>
          <w:rFonts w:hint="eastAsia" w:ascii="宋体" w:hAnsi="宋体" w:cs="宋体"/>
          <w:szCs w:val="21"/>
          <w:highlight w:val="none"/>
          <w:lang w:val="en-US" w:eastAsia="zh-CN"/>
        </w:rPr>
        <w:t>法定代表人身份证明书或</w:t>
      </w:r>
      <w:r>
        <w:rPr>
          <w:rFonts w:hint="eastAsia" w:ascii="宋体" w:hAnsi="宋体" w:cs="宋体"/>
          <w:szCs w:val="21"/>
          <w:highlight w:val="none"/>
        </w:rPr>
        <w:t>法定代表人授权委托书、被委托人身份证</w:t>
      </w:r>
      <w:r>
        <w:rPr>
          <w:rFonts w:hint="eastAsia" w:ascii="宋体" w:hAnsi="宋体" w:cs="宋体"/>
          <w:szCs w:val="21"/>
          <w:highlight w:val="none"/>
          <w:lang w:eastAsia="zh-CN"/>
        </w:rPr>
        <w:t>、</w:t>
      </w:r>
      <w:r>
        <w:rPr>
          <w:rFonts w:hint="eastAsia" w:ascii="宋体" w:hAnsi="宋体" w:cs="宋体"/>
          <w:szCs w:val="21"/>
          <w:highlight w:val="none"/>
          <w:lang w:val="en-US" w:eastAsia="zh-CN"/>
        </w:rPr>
        <w:t>信用查询截图</w:t>
      </w:r>
      <w:r>
        <w:rPr>
          <w:rFonts w:hint="eastAsia" w:ascii="宋体" w:hAnsi="宋体" w:cs="宋体"/>
          <w:szCs w:val="21"/>
          <w:highlight w:val="none"/>
        </w:rPr>
        <w:t>（以上资料递交加盖公章的复印件</w:t>
      </w:r>
      <w:r>
        <w:rPr>
          <w:rFonts w:hint="eastAsia" w:ascii="宋体" w:hAnsi="宋体" w:cs="宋体"/>
          <w:szCs w:val="21"/>
          <w:highlight w:val="none"/>
          <w:lang w:val="en-US" w:eastAsia="zh-CN"/>
        </w:rPr>
        <w:t>一</w:t>
      </w:r>
      <w:r>
        <w:rPr>
          <w:rFonts w:hint="eastAsia" w:ascii="宋体" w:hAnsi="宋体" w:cs="宋体"/>
          <w:szCs w:val="21"/>
          <w:highlight w:val="none"/>
        </w:rPr>
        <w:t>套，原件备查）。</w:t>
      </w: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highlight w:val="none"/>
          <w:lang w:val="en-US" w:eastAsia="zh-CN" w:bidi="ar-SA"/>
        </w:rPr>
      </w:pP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四、响应文件递交</w:t>
      </w:r>
      <w:r>
        <w:rPr>
          <w:rFonts w:hint="eastAsia" w:cs="宋体"/>
          <w:b w:val="0"/>
          <w:bCs w:val="0"/>
          <w:sz w:val="24"/>
          <w:szCs w:val="21"/>
          <w:highlight w:val="none"/>
          <w:lang w:val="en-US" w:eastAsia="zh-CN" w:bidi="ar-SA"/>
        </w:rPr>
        <w:t>及开启</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响应</w:t>
      </w:r>
      <w:r>
        <w:rPr>
          <w:rFonts w:hint="eastAsia" w:ascii="宋体" w:hAnsi="宋体" w:cs="宋体"/>
          <w:szCs w:val="21"/>
          <w:highlight w:val="none"/>
        </w:rPr>
        <w:t>文件递交截止及开</w:t>
      </w:r>
      <w:r>
        <w:rPr>
          <w:rFonts w:hint="eastAsia" w:ascii="宋体" w:hAnsi="宋体" w:cs="宋体"/>
          <w:szCs w:val="21"/>
          <w:highlight w:val="none"/>
          <w:lang w:val="en-US" w:eastAsia="zh-CN"/>
        </w:rPr>
        <w:t>启</w:t>
      </w:r>
      <w:r>
        <w:rPr>
          <w:rFonts w:hint="eastAsia" w:ascii="宋体" w:hAnsi="宋体" w:cs="宋体"/>
          <w:szCs w:val="21"/>
          <w:highlight w:val="none"/>
        </w:rPr>
        <w:t>时间：</w:t>
      </w:r>
      <w:r>
        <w:rPr>
          <w:rFonts w:hint="eastAsia" w:ascii="宋体" w:hAnsi="宋体" w:cs="宋体"/>
          <w:szCs w:val="21"/>
          <w:highlight w:val="yellow"/>
        </w:rPr>
        <w:t>202</w:t>
      </w:r>
      <w:r>
        <w:rPr>
          <w:rFonts w:hint="eastAsia" w:ascii="宋体" w:hAnsi="宋体" w:cs="宋体"/>
          <w:szCs w:val="21"/>
          <w:highlight w:val="yellow"/>
          <w:lang w:val="en-US" w:eastAsia="zh-CN"/>
        </w:rPr>
        <w:t>2</w:t>
      </w:r>
      <w:r>
        <w:rPr>
          <w:rFonts w:hint="eastAsia" w:ascii="宋体" w:hAnsi="宋体" w:cs="宋体"/>
          <w:szCs w:val="21"/>
          <w:highlight w:val="yellow"/>
        </w:rPr>
        <w:t>年</w:t>
      </w:r>
      <w:r>
        <w:rPr>
          <w:rFonts w:hint="eastAsia" w:ascii="宋体" w:hAnsi="宋体" w:cs="宋体"/>
          <w:szCs w:val="21"/>
          <w:highlight w:val="yellow"/>
          <w:lang w:val="en-US" w:eastAsia="zh-CN"/>
        </w:rPr>
        <w:t>07</w:t>
      </w:r>
      <w:r>
        <w:rPr>
          <w:rFonts w:hint="eastAsia" w:ascii="宋体" w:hAnsi="宋体" w:cs="宋体"/>
          <w:szCs w:val="21"/>
          <w:highlight w:val="yellow"/>
        </w:rPr>
        <w:t>月</w:t>
      </w:r>
      <w:r>
        <w:rPr>
          <w:rFonts w:hint="eastAsia" w:ascii="宋体" w:hAnsi="宋体" w:cs="宋体"/>
          <w:szCs w:val="21"/>
          <w:highlight w:val="yellow"/>
          <w:lang w:val="en-US" w:eastAsia="zh-CN"/>
        </w:rPr>
        <w:t>18</w:t>
      </w:r>
      <w:r>
        <w:rPr>
          <w:rFonts w:hint="eastAsia" w:ascii="宋体" w:hAnsi="宋体" w:cs="宋体"/>
          <w:szCs w:val="21"/>
          <w:highlight w:val="yellow"/>
        </w:rPr>
        <w:t>日1</w:t>
      </w:r>
      <w:r>
        <w:rPr>
          <w:rFonts w:hint="eastAsia" w:ascii="宋体" w:hAnsi="宋体" w:cs="宋体"/>
          <w:szCs w:val="21"/>
          <w:highlight w:val="yellow"/>
          <w:lang w:val="en-US" w:eastAsia="zh-CN"/>
        </w:rPr>
        <w:t>1</w:t>
      </w:r>
      <w:r>
        <w:rPr>
          <w:rFonts w:hint="eastAsia" w:ascii="宋体" w:hAnsi="宋体" w:cs="宋体"/>
          <w:szCs w:val="21"/>
          <w:highlight w:val="yellow"/>
        </w:rPr>
        <w:t>：00时（北京时间）</w:t>
      </w:r>
      <w:r>
        <w:rPr>
          <w:rFonts w:hint="eastAsia" w:ascii="宋体" w:hAnsi="宋体" w:cs="宋体"/>
          <w:szCs w:val="21"/>
          <w:highlight w:val="none"/>
        </w:rPr>
        <w:t>，逾期递交的投标文件将不被接受。</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、投标文件递交及开</w:t>
      </w:r>
      <w:r>
        <w:rPr>
          <w:rFonts w:hint="eastAsia" w:ascii="宋体" w:hAnsi="宋体" w:cs="宋体"/>
          <w:szCs w:val="21"/>
          <w:highlight w:val="none"/>
          <w:lang w:val="en-US" w:eastAsia="zh-CN"/>
        </w:rPr>
        <w:t>启</w:t>
      </w:r>
      <w:r>
        <w:rPr>
          <w:rFonts w:hint="eastAsia" w:ascii="宋体" w:hAnsi="宋体" w:cs="宋体"/>
          <w:szCs w:val="21"/>
          <w:highlight w:val="none"/>
        </w:rPr>
        <w:t>地点：新疆乌鲁木齐市水磨沟区红光山路2588号绿地中心201/205商业，商务办公楼20层办公8室</w:t>
      </w:r>
      <w:r>
        <w:rPr>
          <w:rFonts w:hint="eastAsia" w:ascii="宋体" w:hAnsi="宋体" w:cs="宋体"/>
          <w:szCs w:val="21"/>
          <w:highlight w:val="none"/>
          <w:lang w:eastAsia="zh-CN"/>
        </w:rPr>
        <w:t>。</w:t>
      </w: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highlight w:val="none"/>
          <w:lang w:val="en-US" w:eastAsia="zh-CN" w:bidi="ar-SA"/>
        </w:rPr>
      </w:pP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五、公告期限</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highlight w:val="none"/>
          <w:lang w:val="en-US" w:eastAsia="zh-CN"/>
        </w:rPr>
      </w:pPr>
      <w:r>
        <w:rPr>
          <w:rFonts w:hint="eastAsia" w:ascii="宋体" w:hAnsi="宋体" w:cs="宋体"/>
          <w:szCs w:val="21"/>
          <w:highlight w:val="none"/>
          <w:lang w:val="en-US" w:eastAsia="zh-CN"/>
        </w:rPr>
        <w:t>自本公告发布之日起5个工作日。</w:t>
      </w: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highlight w:val="none"/>
          <w:lang w:val="en-US" w:eastAsia="zh-CN" w:bidi="ar-SA"/>
        </w:rPr>
      </w:pP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六、对本次采购提出询问，请按以下方式联系</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、采购人</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cs="宋体"/>
          <w:szCs w:val="21"/>
          <w:highlight w:val="none"/>
          <w:lang w:val="en-US" w:eastAsia="zh-CN"/>
        </w:rPr>
        <w:t>名称：新疆维吾尔自治区地质矿产勘查开发局第一区域地质调查大队</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highlight w:val="none"/>
          <w:lang w:val="en-US" w:eastAsia="zh-CN"/>
        </w:rPr>
      </w:pPr>
      <w:r>
        <w:rPr>
          <w:rFonts w:hint="eastAsia" w:cs="宋体"/>
          <w:szCs w:val="21"/>
          <w:highlight w:val="none"/>
          <w:lang w:val="en-US" w:eastAsia="zh-CN"/>
        </w:rPr>
        <w:t>地址：乌鲁木齐天津北路466号</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highlight w:val="none"/>
          <w:lang w:val="en-US" w:eastAsia="zh-CN"/>
        </w:rPr>
      </w:pPr>
      <w:r>
        <w:rPr>
          <w:rFonts w:hint="eastAsia" w:ascii="宋体" w:hAnsi="宋体" w:cs="宋体"/>
          <w:szCs w:val="21"/>
          <w:highlight w:val="none"/>
          <w:lang w:val="en-US" w:eastAsia="zh-CN"/>
        </w:rPr>
        <w:t>联系方式：</w:t>
      </w:r>
      <w:r>
        <w:rPr>
          <w:rFonts w:hint="eastAsia" w:cs="宋体"/>
          <w:szCs w:val="21"/>
          <w:highlight w:val="none"/>
          <w:lang w:val="en-US" w:eastAsia="zh-CN"/>
        </w:rPr>
        <w:t>0991-6653453</w:t>
      </w:r>
    </w:p>
    <w:p>
      <w:pPr>
        <w:pStyle w:val="4"/>
        <w:keepNext/>
        <w:keepLines/>
        <w:pageBreakBefore w:val="0"/>
        <w:widowControl w:val="0"/>
        <w:numPr>
          <w:ilvl w:val="0"/>
          <w:numId w:val="2"/>
        </w:numPr>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采购代理机构</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eastAsia="宋体" w:cs="宋体"/>
          <w:b w:val="0"/>
          <w:bCs w:val="0"/>
          <w:sz w:val="24"/>
          <w:szCs w:val="21"/>
          <w:highlight w:val="none"/>
          <w:lang w:val="en-US" w:eastAsia="zh-CN" w:bidi="ar-SA"/>
        </w:rPr>
        <w:t>名称：新疆科辰工程项</w:t>
      </w:r>
      <w:r>
        <w:rPr>
          <w:rFonts w:hint="eastAsia" w:ascii="宋体" w:hAnsi="宋体" w:cs="宋体"/>
          <w:szCs w:val="21"/>
          <w:highlight w:val="none"/>
          <w:lang w:val="en-US" w:eastAsia="zh-CN"/>
        </w:rPr>
        <w:t>目管理有限公司</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rPr>
      </w:pPr>
      <w:r>
        <w:rPr>
          <w:rFonts w:hint="eastAsia" w:ascii="宋体" w:hAnsi="宋体" w:cs="宋体"/>
          <w:szCs w:val="21"/>
          <w:highlight w:val="none"/>
        </w:rPr>
        <w:t>地址：新疆乌鲁木齐市水磨沟区红光山路2588号绿地中心201/205商业，商务办公楼20层办公8室</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highlight w:val="none"/>
          <w:lang w:val="en-US" w:eastAsia="zh-CN"/>
        </w:rPr>
      </w:pPr>
      <w:r>
        <w:rPr>
          <w:rFonts w:hint="eastAsia" w:ascii="宋体" w:hAnsi="宋体" w:cs="宋体"/>
          <w:szCs w:val="21"/>
          <w:highlight w:val="none"/>
        </w:rPr>
        <w:t>联系人</w:t>
      </w:r>
      <w:r>
        <w:rPr>
          <w:rFonts w:hint="eastAsia" w:ascii="宋体" w:hAnsi="宋体" w:cs="宋体"/>
          <w:szCs w:val="21"/>
          <w:highlight w:val="none"/>
          <w:lang w:eastAsia="zh-CN"/>
        </w:rPr>
        <w:t>：</w:t>
      </w:r>
      <w:r>
        <w:rPr>
          <w:rFonts w:hint="eastAsia" w:ascii="宋体" w:hAnsi="宋体" w:cs="宋体"/>
          <w:szCs w:val="21"/>
          <w:highlight w:val="none"/>
          <w:lang w:val="en-US" w:eastAsia="zh-CN"/>
        </w:rPr>
        <w:t>魏潇潇</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highlight w:val="none"/>
          <w:lang w:val="en-US" w:eastAsia="zh-CN"/>
        </w:rPr>
      </w:pPr>
      <w:r>
        <w:rPr>
          <w:rFonts w:hint="eastAsia" w:ascii="宋体" w:hAnsi="宋体" w:cs="宋体"/>
          <w:szCs w:val="21"/>
          <w:highlight w:val="none"/>
        </w:rPr>
        <w:t>联系电话：</w:t>
      </w:r>
      <w:r>
        <w:rPr>
          <w:rFonts w:hint="eastAsia" w:ascii="宋体" w:hAnsi="宋体" w:cs="宋体"/>
          <w:szCs w:val="21"/>
          <w:highlight w:val="none"/>
          <w:lang w:val="en-US" w:eastAsia="zh-CN"/>
        </w:rPr>
        <w:t>15981703305</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3"/>
        <w:keepNext/>
        <w:keepLines/>
        <w:pageBreakBefore w:val="0"/>
        <w:widowControl w:val="0"/>
        <w:kinsoku/>
        <w:wordWrap/>
        <w:overflowPunct/>
        <w:topLinePunct w:val="0"/>
        <w:autoSpaceDE/>
        <w:autoSpaceDN/>
        <w:bidi w:val="0"/>
        <w:adjustRightInd w:val="0"/>
        <w:snapToGrid/>
        <w:spacing w:before="0" w:after="0" w:line="240" w:lineRule="auto"/>
        <w:textAlignment w:val="baseline"/>
        <w:outlineLvl w:val="0"/>
        <w:rPr>
          <w:rFonts w:hint="eastAsia" w:ascii="宋体" w:hAnsi="宋体" w:eastAsia="宋体" w:cs="宋体"/>
          <w:highlight w:val="none"/>
        </w:rPr>
      </w:pPr>
      <w:r>
        <w:rPr>
          <w:rFonts w:hint="eastAsia" w:ascii="宋体" w:hAnsi="宋体" w:eastAsia="宋体" w:cs="宋体"/>
          <w:highlight w:val="none"/>
        </w:rPr>
        <w:t>第二章  供应商须知前附表</w:t>
      </w:r>
      <w:bookmarkEnd w:id="2"/>
      <w:bookmarkEnd w:id="3"/>
      <w:bookmarkEnd w:id="4"/>
    </w:p>
    <w:tbl>
      <w:tblPr>
        <w:tblStyle w:val="17"/>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300"/>
        <w:gridCol w:w="7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szCs w:val="24"/>
                <w:highlight w:val="none"/>
              </w:rPr>
            </w:pPr>
            <w:r>
              <w:rPr>
                <w:rFonts w:hint="eastAsia" w:ascii="宋体" w:hAnsi="宋体" w:eastAsia="宋体" w:cs="宋体"/>
                <w:b/>
                <w:bCs/>
                <w:szCs w:val="24"/>
                <w:highlight w:val="none"/>
              </w:rPr>
              <w:t>序号</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szCs w:val="24"/>
                <w:highlight w:val="none"/>
              </w:rPr>
            </w:pPr>
            <w:r>
              <w:rPr>
                <w:rFonts w:hint="eastAsia" w:ascii="宋体" w:hAnsi="宋体" w:eastAsia="宋体" w:cs="宋体"/>
                <w:b/>
                <w:bCs/>
                <w:szCs w:val="24"/>
                <w:highlight w:val="none"/>
              </w:rPr>
              <w:t>类别</w:t>
            </w:r>
          </w:p>
        </w:tc>
        <w:tc>
          <w:tcPr>
            <w:tcW w:w="7018"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szCs w:val="24"/>
                <w:highlight w:val="none"/>
              </w:rPr>
            </w:pPr>
            <w:r>
              <w:rPr>
                <w:rFonts w:hint="eastAsia" w:ascii="宋体" w:hAnsi="宋体" w:eastAsia="宋体" w:cs="宋体"/>
                <w:b/>
                <w:bCs/>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1</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采购人名称</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lang w:eastAsia="zh-CN"/>
              </w:rPr>
            </w:pPr>
            <w:r>
              <w:rPr>
                <w:rFonts w:hint="eastAsia" w:ascii="宋体" w:hAnsi="宋体" w:cs="宋体"/>
                <w:szCs w:val="24"/>
                <w:highlight w:val="none"/>
                <w:lang w:eastAsia="zh-CN"/>
              </w:rPr>
              <w:t>新疆维吾尔自治区地质矿产勘查开发局第一区域地质调查大队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2</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采购代理机构</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新疆科辰工程项目管理有限公司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3</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szCs w:val="24"/>
                <w:highlight w:val="none"/>
              </w:rPr>
              <w:t>项目名称</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lang w:eastAsia="zh-CN"/>
              </w:rPr>
            </w:pPr>
            <w:r>
              <w:rPr>
                <w:rFonts w:hint="eastAsia" w:ascii="宋体" w:hAnsi="宋体" w:cs="宋体"/>
                <w:szCs w:val="21"/>
                <w:highlight w:val="none"/>
                <w:lang w:eastAsia="zh-CN"/>
              </w:rPr>
              <w:t>新疆维吾尔自治区地质矿产勘查开发局第一区域地质调查大队四驱越野载货汽车采购项目（</w:t>
            </w:r>
            <w:r>
              <w:rPr>
                <w:rFonts w:hint="eastAsia" w:ascii="宋体" w:hAnsi="宋体" w:cs="宋体"/>
                <w:szCs w:val="21"/>
                <w:highlight w:val="none"/>
                <w:lang w:val="en-US" w:eastAsia="zh-CN"/>
              </w:rPr>
              <w:t>二次</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szCs w:val="24"/>
                <w:highlight w:val="none"/>
                <w:lang w:val="en-US" w:eastAsia="zh-CN"/>
              </w:rPr>
              <w:t>项目编号</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default" w:ascii="宋体" w:hAnsi="宋体" w:eastAsia="宋体" w:cs="宋体"/>
                <w:szCs w:val="24"/>
                <w:highlight w:val="none"/>
                <w:lang w:val="en-US" w:eastAsia="zh-CN"/>
              </w:rPr>
            </w:pPr>
            <w:r>
              <w:rPr>
                <w:rFonts w:hint="eastAsia" w:ascii="宋体" w:hAnsi="宋体" w:cs="宋体"/>
                <w:szCs w:val="24"/>
                <w:highlight w:val="none"/>
                <w:lang w:eastAsia="zh-CN"/>
              </w:rPr>
              <w:t>XJKC-ZB-2022（012）</w:t>
            </w:r>
            <w:r>
              <w:rPr>
                <w:rFonts w:hint="eastAsia" w:ascii="宋体" w:hAnsi="宋体" w:cs="宋体"/>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5</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交货期</w:t>
            </w:r>
            <w:r>
              <w:rPr>
                <w:rFonts w:hint="eastAsia" w:ascii="宋体" w:hAnsi="宋体" w:cs="宋体"/>
                <w:szCs w:val="24"/>
                <w:highlight w:val="none"/>
                <w:lang w:val="en-US" w:eastAsia="zh-CN"/>
              </w:rPr>
              <w:t>及交货地点</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highlight w:val="none"/>
                <w:lang w:val="en-US" w:eastAsia="zh-CN"/>
              </w:rPr>
            </w:pPr>
            <w:r>
              <w:rPr>
                <w:rFonts w:hint="eastAsia"/>
                <w:highlight w:val="none"/>
                <w:lang w:val="en-US" w:eastAsia="zh-CN"/>
              </w:rPr>
              <w:t>交货期：合同签订后50天（日历日）；</w:t>
            </w:r>
          </w:p>
          <w:p>
            <w:pPr>
              <w:pStyle w:val="2"/>
              <w:rPr>
                <w:rFonts w:hint="default" w:eastAsia="宋体"/>
                <w:highlight w:val="none"/>
                <w:lang w:val="en-US" w:eastAsia="zh-CN"/>
              </w:rPr>
            </w:pPr>
            <w:r>
              <w:rPr>
                <w:rFonts w:hint="eastAsia" w:ascii="宋体" w:hAnsi="宋体" w:eastAsia="宋体" w:cs="宋体"/>
                <w:sz w:val="24"/>
                <w:szCs w:val="21"/>
                <w:highlight w:val="none"/>
                <w:lang w:val="en-US" w:eastAsia="zh-CN" w:bidi="ar-SA"/>
              </w:rPr>
              <w:t>交货地点：乌鲁木齐市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6</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质保期</w:t>
            </w:r>
          </w:p>
        </w:tc>
        <w:tc>
          <w:tcPr>
            <w:tcW w:w="7018" w:type="dxa"/>
            <w:noWrap w:val="0"/>
            <w:vAlign w:val="center"/>
          </w:tcPr>
          <w:p>
            <w:pPr>
              <w:pStyle w:val="23"/>
              <w:keepNext w:val="0"/>
              <w:keepLines w:val="0"/>
              <w:pageBreakBefore w:val="0"/>
              <w:kinsoku/>
              <w:wordWrap/>
              <w:overflowPunct/>
              <w:topLinePunct w:val="0"/>
              <w:bidi w:val="0"/>
              <w:snapToGrid/>
              <w:spacing w:line="44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eastAsia="zh-CN"/>
              </w:rPr>
            </w:pPr>
            <w:r>
              <w:rPr>
                <w:rFonts w:hint="eastAsia" w:ascii="宋体" w:hAnsi="宋体" w:eastAsia="宋体" w:cs="宋体"/>
                <w:bCs/>
                <w:szCs w:val="24"/>
                <w:highlight w:val="none"/>
                <w:lang w:val="en-US" w:eastAsia="zh-CN"/>
              </w:rPr>
              <w:t>7</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采购内容</w:t>
            </w:r>
          </w:p>
        </w:tc>
        <w:tc>
          <w:tcPr>
            <w:tcW w:w="7018" w:type="dxa"/>
            <w:noWrap w:val="0"/>
            <w:vAlign w:val="center"/>
          </w:tcPr>
          <w:p>
            <w:pPr>
              <w:keepNext w:val="0"/>
              <w:keepLines w:val="0"/>
              <w:pageBreakBefore w:val="0"/>
              <w:widowControl/>
              <w:shd w:val="clear" w:color="auto" w:fill="FEFEFE"/>
              <w:kinsoku/>
              <w:wordWrap/>
              <w:overflowPunct/>
              <w:topLinePunct w:val="0"/>
              <w:autoSpaceDE/>
              <w:autoSpaceDN/>
              <w:bidi w:val="0"/>
              <w:adjustRightInd w:val="0"/>
              <w:snapToGrid/>
              <w:spacing w:line="440" w:lineRule="exact"/>
              <w:jc w:val="both"/>
              <w:textAlignment w:val="baseline"/>
              <w:rPr>
                <w:rFonts w:hint="eastAsia" w:ascii="宋体" w:hAnsi="宋体" w:eastAsia="宋体" w:cs="宋体"/>
                <w:color w:val="auto"/>
                <w:highlight w:val="none"/>
              </w:rPr>
            </w:pPr>
            <w:r>
              <w:rPr>
                <w:rFonts w:hint="eastAsia" w:ascii="宋体" w:hAnsi="宋体" w:cs="宋体"/>
                <w:szCs w:val="21"/>
                <w:highlight w:val="none"/>
              </w:rPr>
              <w:t>四驱越野载货汽车2辆，技术参数详见磋商文件</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ind w:firstLine="0" w:firstLineChars="0"/>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8</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合格的供应商</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符合《中华人民共和国政府采购法》的规定，向采购人提供货物、工程或者服务的法人、其他组织或者自然人。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eastAsia="zh-CN"/>
              </w:rPr>
            </w:pPr>
            <w:r>
              <w:rPr>
                <w:rFonts w:hint="eastAsia" w:ascii="宋体" w:hAnsi="宋体" w:eastAsia="宋体" w:cs="宋体"/>
                <w:bCs/>
                <w:szCs w:val="24"/>
                <w:highlight w:val="none"/>
                <w:lang w:val="en-US" w:eastAsia="zh-CN"/>
              </w:rPr>
              <w:t>9</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供应商</w:t>
            </w:r>
          </w:p>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资格要求</w:t>
            </w:r>
          </w:p>
        </w:tc>
        <w:tc>
          <w:tcPr>
            <w:tcW w:w="7018" w:type="dxa"/>
            <w:noWrap w:val="0"/>
            <w:vAlign w:val="center"/>
          </w:tcPr>
          <w:p>
            <w:pPr>
              <w:pageBreakBefore w:val="0"/>
              <w:widowControl/>
              <w:shd w:val="clear" w:color="auto" w:fill="FEFEFE"/>
              <w:kinsoku/>
              <w:wordWrap/>
              <w:overflowPunct/>
              <w:topLinePunct w:val="0"/>
              <w:autoSpaceDE/>
              <w:autoSpaceDN/>
              <w:bidi w:val="0"/>
              <w:adjustRightInd w:val="0"/>
              <w:snapToGrid/>
              <w:spacing w:line="360" w:lineRule="auto"/>
              <w:textAlignment w:val="baseline"/>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具有有效的营业执照；</w:t>
            </w:r>
          </w:p>
          <w:p>
            <w:pPr>
              <w:pageBreakBefore w:val="0"/>
              <w:widowControl/>
              <w:shd w:val="clear" w:color="auto" w:fill="FEFEFE"/>
              <w:kinsoku/>
              <w:wordWrap/>
              <w:overflowPunct/>
              <w:topLinePunct w:val="0"/>
              <w:autoSpaceDE/>
              <w:autoSpaceDN/>
              <w:bidi w:val="0"/>
              <w:adjustRightInd w:val="0"/>
              <w:snapToGrid/>
              <w:spacing w:line="360" w:lineRule="auto"/>
              <w:textAlignment w:val="baseline"/>
              <w:rPr>
                <w:rFonts w:hint="default"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2、</w:t>
            </w:r>
            <w:r>
              <w:rPr>
                <w:rFonts w:hint="eastAsia" w:ascii="宋体" w:hAnsi="宋体" w:cs="宋体"/>
                <w:szCs w:val="21"/>
                <w:highlight w:val="none"/>
              </w:rPr>
              <w:t>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3</w:t>
            </w:r>
            <w:r>
              <w:rPr>
                <w:rFonts w:hint="eastAsia" w:ascii="宋体" w:hAnsi="宋体" w:eastAsia="宋体" w:cs="宋体"/>
                <w:b w:val="0"/>
                <w:bCs w:val="0"/>
                <w:sz w:val="24"/>
                <w:szCs w:val="21"/>
                <w:highlight w:val="none"/>
                <w:lang w:val="en-US" w:eastAsia="zh-CN" w:bidi="ar-SA"/>
              </w:rPr>
              <w:t>、单位负责人为同一人或者存在直接控股、管理关系的不同供应商，不得参加同一合同项下的政府采购活动。</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textAlignment w:val="baseline"/>
              <w:rPr>
                <w:rFonts w:hint="eastAsia" w:ascii="宋体" w:hAnsi="宋体" w:eastAsia="宋体" w:cs="宋体"/>
                <w:szCs w:val="24"/>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本项目不接受联合体</w:t>
            </w:r>
            <w:r>
              <w:rPr>
                <w:rFonts w:hint="eastAsia" w:ascii="宋体" w:hAnsi="宋体" w:cs="宋体"/>
                <w:szCs w:val="21"/>
                <w:highlight w:val="none"/>
                <w:lang w:val="en-US" w:eastAsia="zh-CN"/>
              </w:rPr>
              <w:t>投标</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10</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报价</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lang w:eastAsia="zh-CN"/>
              </w:rPr>
            </w:pPr>
            <w:r>
              <w:rPr>
                <w:rFonts w:hint="eastAsia" w:ascii="宋体" w:hAnsi="宋体" w:eastAsia="宋体" w:cs="宋体"/>
                <w:szCs w:val="24"/>
                <w:highlight w:val="none"/>
              </w:rPr>
              <w:t>按要求的格式内容填写报价一览表</w:t>
            </w:r>
            <w:r>
              <w:rPr>
                <w:rFonts w:hint="eastAsia" w:ascii="宋体" w:hAnsi="宋体" w:cs="宋体"/>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11</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lang w:eastAsia="zh-CN"/>
              </w:rPr>
              <w:t>磋商</w:t>
            </w:r>
            <w:r>
              <w:rPr>
                <w:rFonts w:hint="eastAsia" w:ascii="宋体" w:hAnsi="宋体" w:eastAsia="宋体" w:cs="宋体"/>
                <w:bCs/>
                <w:szCs w:val="24"/>
                <w:highlight w:val="none"/>
              </w:rPr>
              <w:t>有效期</w:t>
            </w:r>
          </w:p>
        </w:tc>
        <w:tc>
          <w:tcPr>
            <w:tcW w:w="7018" w:type="dxa"/>
            <w:noWrap w:val="0"/>
            <w:vAlign w:val="center"/>
          </w:tcPr>
          <w:p>
            <w:pPr>
              <w:keepNext w:val="0"/>
              <w:keepLines w:val="0"/>
              <w:pageBreakBefore w:val="0"/>
              <w:kinsoku/>
              <w:wordWrap/>
              <w:overflowPunct/>
              <w:topLinePunct w:val="0"/>
              <w:bidi w:val="0"/>
              <w:snapToGrid/>
              <w:spacing w:line="440" w:lineRule="exact"/>
              <w:ind w:firstLine="0" w:firstLineChars="0"/>
              <w:jc w:val="left"/>
              <w:rPr>
                <w:rFonts w:hint="eastAsia" w:ascii="宋体" w:hAnsi="宋体" w:eastAsia="宋体" w:cs="宋体"/>
                <w:bCs/>
                <w:szCs w:val="24"/>
                <w:highlight w:val="none"/>
              </w:rPr>
            </w:pPr>
            <w:r>
              <w:rPr>
                <w:rFonts w:hint="eastAsia" w:ascii="宋体" w:hAnsi="宋体" w:eastAsia="宋体" w:cs="宋体"/>
                <w:bCs/>
                <w:szCs w:val="24"/>
                <w:highlight w:val="none"/>
                <w:u w:val="single"/>
              </w:rPr>
              <w:t>90</w:t>
            </w:r>
            <w:r>
              <w:rPr>
                <w:rFonts w:hint="eastAsia" w:ascii="宋体" w:hAnsi="宋体" w:eastAsia="宋体" w:cs="宋体"/>
                <w:bCs/>
                <w:szCs w:val="24"/>
                <w:highlight w:val="none"/>
              </w:rPr>
              <w:t>日历日（从递交响应文件截止日起计算）。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12</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highlight w:val="none"/>
                <w:lang w:eastAsia="zh-CN"/>
              </w:rPr>
            </w:pPr>
            <w:r>
              <w:rPr>
                <w:rFonts w:hint="eastAsia"/>
                <w:highlight w:val="none"/>
                <w:lang w:val="en-US" w:eastAsia="zh-CN"/>
              </w:rPr>
              <w:t>开标资格审查</w:t>
            </w:r>
          </w:p>
        </w:tc>
        <w:tc>
          <w:tcPr>
            <w:tcW w:w="7018" w:type="dxa"/>
            <w:noWrap w:val="0"/>
            <w:vAlign w:val="center"/>
          </w:tcPr>
          <w:p>
            <w:pPr>
              <w:pStyle w:val="23"/>
              <w:keepNext w:val="0"/>
              <w:keepLines w:val="0"/>
              <w:pageBreakBefore w:val="0"/>
              <w:numPr>
                <w:ilvl w:val="0"/>
                <w:numId w:val="0"/>
              </w:numPr>
              <w:kinsoku/>
              <w:wordWrap/>
              <w:overflowPunct/>
              <w:topLinePunct w:val="0"/>
              <w:bidi w:val="0"/>
              <w:snapToGrid/>
              <w:spacing w:line="44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开标时须随身携带：</w:t>
            </w:r>
          </w:p>
          <w:p>
            <w:pPr>
              <w:pStyle w:val="23"/>
              <w:keepNext w:val="0"/>
              <w:keepLines w:val="0"/>
              <w:pageBreakBefore w:val="0"/>
              <w:numPr>
                <w:ilvl w:val="0"/>
                <w:numId w:val="3"/>
              </w:numPr>
              <w:kinsoku/>
              <w:wordWrap/>
              <w:overflowPunct/>
              <w:topLinePunct w:val="0"/>
              <w:bidi w:val="0"/>
              <w:snapToGrid/>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营业执照（加盖企业公章的复印件）</w:t>
            </w:r>
            <w:r>
              <w:rPr>
                <w:rFonts w:hint="eastAsia" w:ascii="宋体" w:hAnsi="宋体" w:cs="宋体"/>
                <w:color w:val="auto"/>
                <w:highlight w:val="none"/>
                <w:lang w:eastAsia="zh-CN"/>
              </w:rPr>
              <w:t>；</w:t>
            </w:r>
          </w:p>
          <w:p>
            <w:pPr>
              <w:pStyle w:val="23"/>
              <w:keepNext w:val="0"/>
              <w:keepLines w:val="0"/>
              <w:pageBreakBefore w:val="0"/>
              <w:numPr>
                <w:ilvl w:val="0"/>
                <w:numId w:val="3"/>
              </w:numPr>
              <w:kinsoku/>
              <w:wordWrap/>
              <w:overflowPunct/>
              <w:topLinePunct w:val="0"/>
              <w:bidi w:val="0"/>
              <w:snapToGrid/>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法定代表人身份证明书及法定代表人身份证或法定代表人授权委托书及被授权人身份证（原件</w:t>
            </w:r>
            <w:r>
              <w:rPr>
                <w:rFonts w:hint="eastAsia" w:ascii="宋体" w:hAnsi="宋体" w:cs="宋体"/>
                <w:color w:val="auto"/>
                <w:highlight w:val="none"/>
                <w:lang w:val="en-US" w:eastAsia="zh-CN"/>
              </w:rPr>
              <w:t>并加盖企业公章</w:t>
            </w:r>
            <w:r>
              <w:rPr>
                <w:rFonts w:hint="eastAsia" w:ascii="宋体" w:hAnsi="宋体" w:eastAsia="宋体" w:cs="宋体"/>
                <w:color w:val="auto"/>
                <w:highlight w:val="none"/>
              </w:rPr>
              <w:t>）</w:t>
            </w:r>
            <w:r>
              <w:rPr>
                <w:rFonts w:hint="eastAsia" w:ascii="宋体" w:hAnsi="宋体" w:cs="宋体"/>
                <w:color w:val="auto"/>
                <w:highlight w:val="none"/>
                <w:lang w:eastAsia="zh-CN"/>
              </w:rPr>
              <w:t>；</w:t>
            </w:r>
          </w:p>
          <w:p>
            <w:pPr>
              <w:pStyle w:val="23"/>
              <w:keepNext w:val="0"/>
              <w:keepLines w:val="0"/>
              <w:pageBreakBefore w:val="0"/>
              <w:numPr>
                <w:ilvl w:val="0"/>
                <w:numId w:val="3"/>
              </w:numPr>
              <w:kinsoku/>
              <w:wordWrap/>
              <w:overflowPunct/>
              <w:topLinePunct w:val="0"/>
              <w:bidi w:val="0"/>
              <w:snapToGrid/>
              <w:spacing w:line="440" w:lineRule="exact"/>
              <w:ind w:left="0" w:leftChars="0" w:firstLine="0" w:firstLineChars="0"/>
              <w:jc w:val="left"/>
              <w:rPr>
                <w:rFonts w:hint="eastAsia" w:ascii="宋体" w:hAnsi="宋体" w:eastAsia="宋体" w:cs="宋体"/>
                <w:color w:val="auto"/>
                <w:highlight w:val="none"/>
              </w:rPr>
            </w:pPr>
            <w:r>
              <w:rPr>
                <w:rFonts w:hint="eastAsia" w:ascii="宋体" w:hAnsi="宋体" w:cs="宋体"/>
                <w:color w:val="auto"/>
                <w:highlight w:val="none"/>
                <w:lang w:val="en-US" w:eastAsia="zh-CN"/>
              </w:rPr>
              <w:t>信用中国查询截图（</w:t>
            </w:r>
            <w:r>
              <w:rPr>
                <w:rFonts w:hint="eastAsia" w:ascii="宋体" w:hAnsi="宋体" w:eastAsia="宋体" w:cs="宋体"/>
                <w:color w:val="auto"/>
                <w:highlight w:val="none"/>
              </w:rPr>
              <w:t>加盖企业公章的复印件</w:t>
            </w:r>
            <w:r>
              <w:rPr>
                <w:rFonts w:hint="eastAsia" w:ascii="宋体" w:hAnsi="宋体" w:cs="宋体"/>
                <w:color w:val="auto"/>
                <w:highlight w:val="none"/>
                <w:lang w:val="en-US" w:eastAsia="zh-CN"/>
              </w:rPr>
              <w:t>）；</w:t>
            </w:r>
          </w:p>
          <w:p>
            <w:pPr>
              <w:pStyle w:val="23"/>
              <w:keepNext w:val="0"/>
              <w:keepLines w:val="0"/>
              <w:pageBreakBefore w:val="0"/>
              <w:numPr>
                <w:ilvl w:val="0"/>
                <w:numId w:val="3"/>
              </w:numPr>
              <w:kinsoku/>
              <w:wordWrap/>
              <w:overflowPunct/>
              <w:topLinePunct w:val="0"/>
              <w:bidi w:val="0"/>
              <w:snapToGrid/>
              <w:spacing w:line="440" w:lineRule="exact"/>
              <w:ind w:left="0" w:leftChars="0" w:firstLine="0" w:firstLineChars="0"/>
              <w:jc w:val="left"/>
              <w:rPr>
                <w:rFonts w:hint="eastAsia" w:ascii="宋体" w:hAnsi="宋体" w:eastAsia="宋体" w:cs="宋体"/>
                <w:color w:val="auto"/>
                <w:highlight w:val="none"/>
              </w:rPr>
            </w:pPr>
            <w:r>
              <w:rPr>
                <w:rFonts w:hint="eastAsia" w:ascii="宋体" w:hAnsi="宋体" w:cs="宋体"/>
                <w:color w:val="auto"/>
                <w:highlight w:val="none"/>
                <w:lang w:val="en-US" w:eastAsia="zh-CN"/>
              </w:rPr>
              <w:t>保证金缴纳凭证</w:t>
            </w:r>
            <w:r>
              <w:rPr>
                <w:rFonts w:hint="eastAsia" w:ascii="宋体" w:hAnsi="宋体" w:eastAsia="宋体" w:cs="宋体"/>
                <w:color w:val="auto"/>
                <w:highlight w:val="none"/>
              </w:rPr>
              <w:t>（加盖企业公章的复印件）</w:t>
            </w:r>
            <w:r>
              <w:rPr>
                <w:rFonts w:hint="eastAsia" w:ascii="宋体" w:hAnsi="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4"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13</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rPr>
              <w:t>供应商应提交的响应文件</w:t>
            </w:r>
            <w:r>
              <w:rPr>
                <w:rFonts w:hint="eastAsia" w:ascii="宋体" w:hAnsi="宋体" w:cs="宋体"/>
                <w:szCs w:val="24"/>
                <w:highlight w:val="none"/>
                <w:lang w:val="en-US" w:eastAsia="zh-CN"/>
              </w:rPr>
              <w:t>内容</w:t>
            </w:r>
          </w:p>
        </w:tc>
        <w:tc>
          <w:tcPr>
            <w:tcW w:w="7018"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440" w:lineRule="atLeast"/>
              <w:jc w:val="left"/>
              <w:textAlignment w:val="auto"/>
              <w:rPr>
                <w:rFonts w:hint="eastAsia" w:ascii="宋体" w:hAnsi="宋体" w:eastAsia="宋体" w:cs="宋体"/>
                <w:b w:val="0"/>
                <w:szCs w:val="24"/>
                <w:highlight w:val="none"/>
                <w:lang w:eastAsia="zh-CN"/>
              </w:rPr>
            </w:pPr>
            <w:r>
              <w:rPr>
                <w:rFonts w:hint="eastAsia" w:ascii="宋体" w:hAnsi="宋体" w:eastAsia="宋体" w:cs="宋体"/>
                <w:szCs w:val="24"/>
                <w:highlight w:val="none"/>
              </w:rPr>
              <w:t>（1）</w:t>
            </w:r>
            <w:r>
              <w:rPr>
                <w:rFonts w:hint="eastAsia" w:ascii="宋体" w:hAnsi="宋体" w:eastAsia="宋体" w:cs="宋体"/>
                <w:b w:val="0"/>
                <w:szCs w:val="24"/>
                <w:highlight w:val="none"/>
              </w:rPr>
              <w:t>承诺</w:t>
            </w:r>
            <w:r>
              <w:rPr>
                <w:rFonts w:hint="eastAsia" w:ascii="宋体" w:hAnsi="宋体" w:cs="宋体"/>
                <w:b w:val="0"/>
                <w:szCs w:val="24"/>
                <w:highlight w:val="none"/>
                <w:lang w:val="en-US" w:eastAsia="zh-CN"/>
              </w:rPr>
              <w:t>函</w:t>
            </w:r>
          </w:p>
          <w:p>
            <w:pPr>
              <w:keepNext w:val="0"/>
              <w:keepLines w:val="0"/>
              <w:pageBreakBefore w:val="0"/>
              <w:widowControl w:val="0"/>
              <w:kinsoku/>
              <w:wordWrap/>
              <w:overflowPunct/>
              <w:topLinePunct w:val="0"/>
              <w:bidi w:val="0"/>
              <w:adjustRightInd/>
              <w:snapToGrid/>
              <w:spacing w:line="440" w:lineRule="atLeast"/>
              <w:jc w:val="left"/>
              <w:textAlignment w:val="auto"/>
              <w:rPr>
                <w:rFonts w:hint="eastAsia" w:ascii="宋体" w:hAnsi="宋体" w:eastAsia="宋体" w:cs="宋体"/>
                <w:b w:val="0"/>
                <w:szCs w:val="24"/>
                <w:highlight w:val="none"/>
              </w:rPr>
            </w:pPr>
            <w:r>
              <w:rPr>
                <w:rFonts w:hint="eastAsia" w:ascii="宋体" w:hAnsi="宋体" w:eastAsia="宋体" w:cs="宋体"/>
                <w:b w:val="0"/>
                <w:szCs w:val="24"/>
                <w:highlight w:val="none"/>
              </w:rPr>
              <w:t>（2）</w:t>
            </w:r>
            <w:r>
              <w:rPr>
                <w:rFonts w:hint="eastAsia" w:ascii="宋体" w:hAnsi="宋体" w:eastAsia="宋体" w:cs="宋体"/>
                <w:b w:val="0"/>
                <w:szCs w:val="24"/>
                <w:highlight w:val="none"/>
                <w:lang w:val="en-US" w:eastAsia="zh-CN"/>
              </w:rPr>
              <w:t>法定代表人资格证明书</w:t>
            </w:r>
          </w:p>
          <w:p>
            <w:pPr>
              <w:keepNext w:val="0"/>
              <w:keepLines w:val="0"/>
              <w:pageBreakBefore w:val="0"/>
              <w:widowControl w:val="0"/>
              <w:kinsoku/>
              <w:wordWrap/>
              <w:overflowPunct/>
              <w:topLinePunct w:val="0"/>
              <w:bidi w:val="0"/>
              <w:adjustRightInd/>
              <w:snapToGrid/>
              <w:spacing w:line="440" w:lineRule="atLeast"/>
              <w:jc w:val="left"/>
              <w:textAlignment w:val="auto"/>
              <w:rPr>
                <w:rFonts w:hint="eastAsia" w:ascii="宋体" w:hAnsi="宋体" w:eastAsia="宋体" w:cs="宋体"/>
                <w:b w:val="0"/>
                <w:szCs w:val="24"/>
                <w:highlight w:val="none"/>
              </w:rPr>
            </w:pPr>
            <w:r>
              <w:rPr>
                <w:rFonts w:hint="eastAsia" w:ascii="宋体" w:hAnsi="宋体" w:cs="宋体"/>
                <w:b w:val="0"/>
                <w:szCs w:val="24"/>
                <w:highlight w:val="none"/>
                <w:lang w:eastAsia="zh-CN"/>
              </w:rPr>
              <w:t>（</w:t>
            </w:r>
            <w:r>
              <w:rPr>
                <w:rFonts w:hint="eastAsia" w:ascii="宋体" w:hAnsi="宋体" w:cs="宋体"/>
                <w:b w:val="0"/>
                <w:szCs w:val="24"/>
                <w:highlight w:val="none"/>
                <w:lang w:val="en-US" w:eastAsia="zh-CN"/>
              </w:rPr>
              <w:t>3</w:t>
            </w:r>
            <w:r>
              <w:rPr>
                <w:rFonts w:hint="eastAsia" w:ascii="宋体" w:hAnsi="宋体" w:cs="宋体"/>
                <w:b w:val="0"/>
                <w:szCs w:val="24"/>
                <w:highlight w:val="none"/>
                <w:lang w:eastAsia="zh-CN"/>
              </w:rPr>
              <w:t>）</w:t>
            </w:r>
            <w:r>
              <w:rPr>
                <w:rFonts w:hint="eastAsia" w:ascii="宋体" w:hAnsi="宋体" w:eastAsia="宋体" w:cs="宋体"/>
                <w:b w:val="0"/>
                <w:szCs w:val="24"/>
                <w:highlight w:val="none"/>
              </w:rPr>
              <w:t>法定代表人授权委托书</w:t>
            </w:r>
          </w:p>
          <w:p>
            <w:pPr>
              <w:keepNext w:val="0"/>
              <w:keepLines w:val="0"/>
              <w:pageBreakBefore w:val="0"/>
              <w:widowControl w:val="0"/>
              <w:kinsoku/>
              <w:wordWrap/>
              <w:overflowPunct/>
              <w:topLinePunct w:val="0"/>
              <w:bidi w:val="0"/>
              <w:adjustRightInd/>
              <w:snapToGrid/>
              <w:spacing w:line="440" w:lineRule="atLeast"/>
              <w:jc w:val="left"/>
              <w:textAlignment w:val="auto"/>
              <w:rPr>
                <w:rFonts w:hint="eastAsia" w:ascii="宋体" w:hAnsi="宋体" w:eastAsia="宋体" w:cs="宋体"/>
                <w:b w:val="0"/>
                <w:szCs w:val="24"/>
                <w:highlight w:val="none"/>
              </w:rPr>
            </w:pPr>
            <w:r>
              <w:rPr>
                <w:rFonts w:hint="eastAsia" w:ascii="宋体" w:hAnsi="宋体" w:eastAsia="宋体" w:cs="宋体"/>
                <w:b w:val="0"/>
                <w:szCs w:val="24"/>
                <w:highlight w:val="none"/>
              </w:rPr>
              <w:t>（</w:t>
            </w:r>
            <w:r>
              <w:rPr>
                <w:rFonts w:hint="eastAsia" w:ascii="宋体" w:hAnsi="宋体" w:cs="宋体"/>
                <w:b w:val="0"/>
                <w:szCs w:val="24"/>
                <w:highlight w:val="none"/>
                <w:lang w:val="en-US" w:eastAsia="zh-CN"/>
              </w:rPr>
              <w:t>4</w:t>
            </w:r>
            <w:r>
              <w:rPr>
                <w:rFonts w:hint="eastAsia" w:ascii="宋体" w:hAnsi="宋体" w:eastAsia="宋体" w:cs="宋体"/>
                <w:b w:val="0"/>
                <w:szCs w:val="24"/>
                <w:highlight w:val="none"/>
              </w:rPr>
              <w:t>）供应商资格声明</w:t>
            </w:r>
          </w:p>
          <w:p>
            <w:pPr>
              <w:keepNext w:val="0"/>
              <w:keepLines w:val="0"/>
              <w:pageBreakBefore w:val="0"/>
              <w:widowControl w:val="0"/>
              <w:kinsoku/>
              <w:wordWrap/>
              <w:overflowPunct/>
              <w:topLinePunct w:val="0"/>
              <w:bidi w:val="0"/>
              <w:adjustRightInd/>
              <w:snapToGrid/>
              <w:spacing w:line="440" w:lineRule="atLeast"/>
              <w:jc w:val="left"/>
              <w:textAlignment w:val="auto"/>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cs="宋体"/>
                <w:szCs w:val="24"/>
                <w:highlight w:val="none"/>
                <w:lang w:val="en-US" w:eastAsia="zh-CN"/>
              </w:rPr>
              <w:t>5</w:t>
            </w:r>
            <w:r>
              <w:rPr>
                <w:rFonts w:hint="eastAsia" w:ascii="宋体" w:hAnsi="宋体" w:eastAsia="宋体" w:cs="宋体"/>
                <w:szCs w:val="24"/>
                <w:highlight w:val="none"/>
              </w:rPr>
              <w:t>）中小企业声明函</w:t>
            </w:r>
          </w:p>
          <w:p>
            <w:pPr>
              <w:keepNext w:val="0"/>
              <w:keepLines w:val="0"/>
              <w:pageBreakBefore w:val="0"/>
              <w:widowControl w:val="0"/>
              <w:kinsoku/>
              <w:wordWrap/>
              <w:overflowPunct/>
              <w:topLinePunct w:val="0"/>
              <w:bidi w:val="0"/>
              <w:adjustRightInd/>
              <w:snapToGrid/>
              <w:spacing w:line="440" w:lineRule="atLeast"/>
              <w:jc w:val="left"/>
              <w:textAlignment w:val="auto"/>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cs="宋体"/>
                <w:szCs w:val="24"/>
                <w:highlight w:val="none"/>
                <w:lang w:val="en-US" w:eastAsia="zh-CN"/>
              </w:rPr>
              <w:t>6</w:t>
            </w:r>
            <w:r>
              <w:rPr>
                <w:rFonts w:hint="eastAsia" w:ascii="宋体" w:hAnsi="宋体" w:eastAsia="宋体" w:cs="宋体"/>
                <w:szCs w:val="24"/>
                <w:highlight w:val="none"/>
              </w:rPr>
              <w:t>）报价一览表</w:t>
            </w:r>
          </w:p>
          <w:p>
            <w:pPr>
              <w:pStyle w:val="31"/>
              <w:keepNext w:val="0"/>
              <w:keepLines w:val="0"/>
              <w:pageBreakBefore w:val="0"/>
              <w:widowControl w:val="0"/>
              <w:kinsoku/>
              <w:wordWrap/>
              <w:overflowPunct/>
              <w:topLinePunct w:val="0"/>
              <w:bidi w:val="0"/>
              <w:snapToGrid/>
              <w:spacing w:line="440" w:lineRule="atLeast"/>
              <w:jc w:val="left"/>
              <w:textAlignment w:val="auto"/>
              <w:rPr>
                <w:rFonts w:hint="eastAsia" w:hAnsi="宋体" w:cs="宋体"/>
                <w:szCs w:val="24"/>
                <w:highlight w:val="none"/>
                <w:lang w:eastAsia="zh-CN"/>
              </w:rPr>
            </w:pPr>
            <w:r>
              <w:rPr>
                <w:rFonts w:hint="eastAsia" w:hAnsi="宋体" w:cs="宋体"/>
                <w:szCs w:val="24"/>
                <w:highlight w:val="none"/>
                <w:lang w:eastAsia="zh-CN"/>
              </w:rPr>
              <w:t>（</w:t>
            </w:r>
            <w:r>
              <w:rPr>
                <w:rFonts w:hint="eastAsia" w:hAnsi="宋体" w:cs="宋体"/>
                <w:szCs w:val="24"/>
                <w:highlight w:val="none"/>
                <w:lang w:val="en-US" w:eastAsia="zh-CN"/>
              </w:rPr>
              <w:t>7</w:t>
            </w:r>
            <w:r>
              <w:rPr>
                <w:rFonts w:hint="eastAsia" w:hAnsi="宋体" w:cs="宋体"/>
                <w:szCs w:val="24"/>
                <w:highlight w:val="none"/>
                <w:lang w:eastAsia="zh-CN"/>
              </w:rPr>
              <w:t>）</w:t>
            </w:r>
            <w:r>
              <w:rPr>
                <w:rFonts w:hint="eastAsia" w:hAnsi="宋体" w:cs="宋体"/>
                <w:szCs w:val="24"/>
                <w:highlight w:val="none"/>
                <w:lang w:val="en-US" w:eastAsia="zh-CN"/>
              </w:rPr>
              <w:t>商务条款偏离表</w:t>
            </w:r>
          </w:p>
          <w:p>
            <w:pPr>
              <w:pStyle w:val="31"/>
              <w:keepNext w:val="0"/>
              <w:keepLines w:val="0"/>
              <w:pageBreakBefore w:val="0"/>
              <w:widowControl w:val="0"/>
              <w:kinsoku/>
              <w:wordWrap/>
              <w:overflowPunct/>
              <w:topLinePunct w:val="0"/>
              <w:bidi w:val="0"/>
              <w:snapToGrid/>
              <w:spacing w:line="440" w:lineRule="atLeast"/>
              <w:jc w:val="left"/>
              <w:textAlignment w:val="auto"/>
              <w:rPr>
                <w:rFonts w:hint="default" w:hAnsi="宋体" w:cs="宋体"/>
                <w:szCs w:val="24"/>
                <w:highlight w:val="none"/>
                <w:lang w:val="en-US" w:eastAsia="zh-CN"/>
              </w:rPr>
            </w:pPr>
            <w:r>
              <w:rPr>
                <w:rFonts w:hint="eastAsia" w:hAnsi="宋体" w:cs="宋体"/>
                <w:szCs w:val="24"/>
                <w:highlight w:val="none"/>
                <w:lang w:val="en-US" w:eastAsia="zh-CN"/>
              </w:rPr>
              <w:t>（8）投标产品技术参数</w:t>
            </w:r>
          </w:p>
          <w:p>
            <w:pPr>
              <w:pStyle w:val="31"/>
              <w:keepNext w:val="0"/>
              <w:keepLines w:val="0"/>
              <w:pageBreakBefore w:val="0"/>
              <w:widowControl w:val="0"/>
              <w:kinsoku/>
              <w:wordWrap/>
              <w:overflowPunct/>
              <w:topLinePunct w:val="0"/>
              <w:bidi w:val="0"/>
              <w:snapToGrid/>
              <w:spacing w:line="440" w:lineRule="atLeast"/>
              <w:jc w:val="left"/>
              <w:textAlignment w:val="auto"/>
              <w:rPr>
                <w:rFonts w:hint="default" w:hAnsi="宋体" w:cs="宋体"/>
                <w:szCs w:val="24"/>
                <w:highlight w:val="none"/>
                <w:lang w:val="en-US" w:eastAsia="zh-CN"/>
              </w:rPr>
            </w:pPr>
            <w:r>
              <w:rPr>
                <w:rFonts w:hint="eastAsia" w:ascii="宋体" w:hAnsi="宋体" w:eastAsia="宋体" w:cs="宋体"/>
                <w:szCs w:val="24"/>
                <w:highlight w:val="none"/>
              </w:rPr>
              <w:t>（</w:t>
            </w:r>
            <w:r>
              <w:rPr>
                <w:rFonts w:hint="eastAsia" w:ascii="宋体" w:hAnsi="宋体" w:cs="宋体"/>
                <w:szCs w:val="24"/>
                <w:highlight w:val="none"/>
                <w:lang w:val="en-US" w:eastAsia="zh-CN"/>
              </w:rPr>
              <w:t>9</w:t>
            </w:r>
            <w:r>
              <w:rPr>
                <w:rFonts w:hint="eastAsia" w:ascii="宋体" w:hAnsi="宋体" w:eastAsia="宋体" w:cs="宋体"/>
                <w:szCs w:val="24"/>
                <w:highlight w:val="none"/>
              </w:rPr>
              <w:t>）技术条款偏离表</w:t>
            </w:r>
          </w:p>
          <w:p>
            <w:pPr>
              <w:keepNext w:val="0"/>
              <w:keepLines w:val="0"/>
              <w:pageBreakBefore w:val="0"/>
              <w:widowControl w:val="0"/>
              <w:kinsoku/>
              <w:wordWrap/>
              <w:overflowPunct/>
              <w:topLinePunct w:val="0"/>
              <w:bidi w:val="0"/>
              <w:adjustRightInd/>
              <w:snapToGrid/>
              <w:spacing w:line="440" w:lineRule="atLeast"/>
              <w:jc w:val="left"/>
              <w:textAlignment w:val="auto"/>
              <w:rPr>
                <w:rFonts w:hint="default" w:ascii="宋体" w:hAnsi="宋体" w:eastAsia="宋体" w:cs="宋体"/>
                <w:color w:val="000000"/>
                <w:sz w:val="24"/>
                <w:szCs w:val="24"/>
                <w:highlight w:val="none"/>
                <w:lang w:val="en-US" w:eastAsia="zh-CN" w:bidi="ar-SA"/>
              </w:rPr>
            </w:pPr>
            <w:r>
              <w:rPr>
                <w:rFonts w:hint="eastAsia" w:ascii="宋体" w:hAnsi="宋体" w:eastAsia="宋体" w:cs="宋体"/>
                <w:szCs w:val="24"/>
                <w:highlight w:val="none"/>
              </w:rPr>
              <w:t>（</w:t>
            </w:r>
            <w:r>
              <w:rPr>
                <w:rFonts w:hint="eastAsia" w:ascii="宋体" w:hAnsi="宋体" w:cs="宋体"/>
                <w:szCs w:val="24"/>
                <w:highlight w:val="none"/>
                <w:lang w:val="en-US" w:eastAsia="zh-CN"/>
              </w:rPr>
              <w:t>10</w:t>
            </w:r>
            <w:r>
              <w:rPr>
                <w:rFonts w:hint="eastAsia" w:ascii="宋体" w:hAnsi="宋体" w:eastAsia="宋体" w:cs="宋体"/>
                <w:szCs w:val="24"/>
                <w:highlight w:val="none"/>
              </w:rPr>
              <w:t>）</w:t>
            </w:r>
            <w:r>
              <w:rPr>
                <w:rFonts w:hint="eastAsia" w:ascii="宋体" w:hAnsi="宋体" w:eastAsia="宋体" w:cs="宋体"/>
                <w:color w:val="000000"/>
                <w:sz w:val="24"/>
                <w:szCs w:val="24"/>
                <w:highlight w:val="none"/>
                <w:lang w:val="en-US" w:eastAsia="zh-CN" w:bidi="ar-SA"/>
              </w:rPr>
              <w:t>近两年（2020年1月1日至今）类似业绩表</w:t>
            </w:r>
          </w:p>
          <w:p>
            <w:pPr>
              <w:keepNext w:val="0"/>
              <w:keepLines w:val="0"/>
              <w:pageBreakBefore w:val="0"/>
              <w:widowControl w:val="0"/>
              <w:kinsoku/>
              <w:wordWrap/>
              <w:overflowPunct/>
              <w:topLinePunct w:val="0"/>
              <w:bidi w:val="0"/>
              <w:adjustRightInd/>
              <w:snapToGrid/>
              <w:spacing w:line="440" w:lineRule="atLeast"/>
              <w:jc w:val="left"/>
              <w:textAlignment w:val="auto"/>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（11）2021年度财务审计报告或财务报表</w:t>
            </w:r>
          </w:p>
          <w:p>
            <w:pPr>
              <w:keepNext w:val="0"/>
              <w:keepLines w:val="0"/>
              <w:pageBreakBefore w:val="0"/>
              <w:widowControl w:val="0"/>
              <w:kinsoku/>
              <w:wordWrap/>
              <w:overflowPunct/>
              <w:topLinePunct w:val="0"/>
              <w:bidi w:val="0"/>
              <w:snapToGrid/>
              <w:spacing w:line="440" w:lineRule="atLeas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（12）实施方案及售后服务</w:t>
            </w:r>
          </w:p>
          <w:p>
            <w:pPr>
              <w:keepNext w:val="0"/>
              <w:keepLines w:val="0"/>
              <w:pageBreakBefore w:val="0"/>
              <w:widowControl w:val="0"/>
              <w:kinsoku/>
              <w:wordWrap/>
              <w:overflowPunct/>
              <w:topLinePunct w:val="0"/>
              <w:bidi w:val="0"/>
              <w:snapToGrid/>
              <w:spacing w:line="440" w:lineRule="atLeast"/>
              <w:rPr>
                <w:rFonts w:hint="eastAsia" w:ascii="宋体" w:hAnsi="宋体" w:eastAsia="宋体" w:cs="宋体"/>
                <w:highlight w:val="none"/>
              </w:rPr>
            </w:pPr>
            <w:r>
              <w:rPr>
                <w:rFonts w:hint="eastAsia" w:ascii="宋体" w:hAnsi="宋体" w:eastAsia="宋体" w:cs="宋体"/>
                <w:color w:val="000000"/>
                <w:sz w:val="24"/>
                <w:szCs w:val="24"/>
                <w:highlight w:val="none"/>
                <w:lang w:val="en-US" w:eastAsia="zh-CN" w:bidi="ar-SA"/>
              </w:rPr>
              <w:t>（13）</w:t>
            </w:r>
            <w:r>
              <w:rPr>
                <w:rFonts w:hint="eastAsia" w:hAnsi="宋体" w:cs="宋体"/>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14</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关于保证金的金额及缴纳方式</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bCs/>
                <w:szCs w:val="24"/>
                <w:highlight w:val="none"/>
                <w:lang w:eastAsia="zh-CN"/>
              </w:rPr>
            </w:pPr>
            <w:r>
              <w:rPr>
                <w:rFonts w:hint="eastAsia" w:ascii="宋体" w:hAnsi="宋体" w:eastAsia="宋体" w:cs="宋体"/>
                <w:bCs/>
                <w:szCs w:val="24"/>
                <w:highlight w:val="none"/>
                <w:lang w:val="en-US" w:eastAsia="zh-CN"/>
              </w:rPr>
              <w:t>磋商</w:t>
            </w:r>
            <w:r>
              <w:rPr>
                <w:rFonts w:hint="eastAsia" w:ascii="宋体" w:hAnsi="宋体" w:eastAsia="宋体" w:cs="宋体"/>
                <w:bCs/>
                <w:szCs w:val="24"/>
                <w:highlight w:val="none"/>
              </w:rPr>
              <w:t>保证金金额：</w:t>
            </w:r>
            <w:r>
              <w:rPr>
                <w:rFonts w:hint="eastAsia" w:ascii="宋体" w:hAnsi="宋体" w:eastAsia="宋体" w:cs="宋体"/>
                <w:bCs/>
                <w:szCs w:val="24"/>
                <w:highlight w:val="none"/>
                <w:lang w:val="en-US" w:eastAsia="zh-CN"/>
              </w:rPr>
              <w:t>6000</w:t>
            </w:r>
            <w:r>
              <w:rPr>
                <w:rFonts w:hint="eastAsia" w:ascii="宋体" w:hAnsi="宋体" w:eastAsia="宋体" w:cs="宋体"/>
                <w:bCs/>
                <w:szCs w:val="24"/>
                <w:highlight w:val="none"/>
              </w:rPr>
              <w:t>元</w:t>
            </w:r>
            <w:r>
              <w:rPr>
                <w:rFonts w:hint="eastAsia" w:ascii="宋体" w:hAnsi="宋体" w:cs="宋体"/>
                <w:bCs/>
                <w:szCs w:val="24"/>
                <w:highlight w:val="none"/>
                <w:lang w:eastAsia="zh-CN"/>
              </w:rPr>
              <w:t>（</w:t>
            </w:r>
            <w:r>
              <w:rPr>
                <w:rFonts w:hint="eastAsia" w:ascii="宋体" w:hAnsi="宋体" w:cs="宋体"/>
                <w:bCs/>
                <w:szCs w:val="24"/>
                <w:highlight w:val="none"/>
                <w:lang w:val="en-US" w:eastAsia="zh-CN"/>
              </w:rPr>
              <w:t>陆千元整</w:t>
            </w:r>
            <w:r>
              <w:rPr>
                <w:rFonts w:hint="eastAsia" w:ascii="宋体" w:hAnsi="宋体" w:cs="宋体"/>
                <w:bCs/>
                <w:szCs w:val="24"/>
                <w:highlight w:val="none"/>
                <w:lang w:eastAsia="zh-CN"/>
              </w:rPr>
              <w:t>）</w:t>
            </w:r>
          </w:p>
          <w:p>
            <w:pPr>
              <w:keepNext w:val="0"/>
              <w:keepLines w:val="0"/>
              <w:pageBreakBefore w:val="0"/>
              <w:kinsoku/>
              <w:wordWrap/>
              <w:overflowPunct/>
              <w:topLinePunct w:val="0"/>
              <w:bidi w:val="0"/>
              <w:snapToGrid/>
              <w:spacing w:line="440" w:lineRule="exact"/>
              <w:jc w:val="left"/>
              <w:rPr>
                <w:rFonts w:hint="eastAsia" w:ascii="宋体" w:hAnsi="宋体" w:eastAsia="宋体" w:cs="宋体"/>
                <w:bCs/>
                <w:szCs w:val="24"/>
                <w:highlight w:val="none"/>
              </w:rPr>
            </w:pPr>
            <w:r>
              <w:rPr>
                <w:rFonts w:hint="eastAsia" w:ascii="宋体" w:hAnsi="宋体" w:eastAsia="宋体" w:cs="宋体"/>
                <w:bCs/>
                <w:szCs w:val="24"/>
                <w:highlight w:val="none"/>
              </w:rPr>
              <w:t>递交时间和方式：投标</w:t>
            </w:r>
            <w:r>
              <w:rPr>
                <w:rFonts w:hint="eastAsia" w:ascii="宋体" w:hAnsi="宋体" w:eastAsia="宋体" w:cs="宋体"/>
                <w:szCs w:val="24"/>
                <w:highlight w:val="none"/>
              </w:rPr>
              <w:t>保证金必须在提交首次响应文件截止时间前交至以下账户</w:t>
            </w:r>
          </w:p>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rPr>
            </w:pPr>
            <w:r>
              <w:rPr>
                <w:rFonts w:hint="eastAsia" w:ascii="宋体" w:hAnsi="宋体" w:eastAsia="宋体" w:cs="宋体"/>
                <w:bCs/>
                <w:szCs w:val="24"/>
                <w:highlight w:val="none"/>
              </w:rPr>
              <w:t>收款</w:t>
            </w:r>
            <w:r>
              <w:rPr>
                <w:rFonts w:hint="eastAsia" w:ascii="宋体" w:hAnsi="宋体" w:eastAsia="宋体" w:cs="宋体"/>
                <w:szCs w:val="24"/>
                <w:highlight w:val="none"/>
              </w:rPr>
              <w:t>账户信息：</w:t>
            </w:r>
          </w:p>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户名：新疆科辰工程项目管理有限公司</w:t>
            </w:r>
          </w:p>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开户银行：兴业银行股份有限公司乌鲁木齐高新区支行</w:t>
            </w:r>
          </w:p>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账号：512040100100849784</w:t>
            </w:r>
          </w:p>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行号：309881002044</w:t>
            </w:r>
          </w:p>
          <w:p>
            <w:pPr>
              <w:pStyle w:val="25"/>
              <w:keepNext w:val="0"/>
              <w:keepLines w:val="0"/>
              <w:pageBreakBefore w:val="0"/>
              <w:kinsoku/>
              <w:wordWrap/>
              <w:overflowPunct/>
              <w:topLinePunct w:val="0"/>
              <w:bidi w:val="0"/>
              <w:snapToGrid/>
              <w:spacing w:line="440" w:lineRule="exact"/>
              <w:ind w:right="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参加磋商时，必须提交投标保证金缴纳凭证，否则视为无效。</w:t>
            </w:r>
          </w:p>
          <w:p>
            <w:pPr>
              <w:pStyle w:val="25"/>
              <w:keepNext w:val="0"/>
              <w:keepLines w:val="0"/>
              <w:pageBreakBefore w:val="0"/>
              <w:kinsoku/>
              <w:wordWrap/>
              <w:overflowPunct/>
              <w:topLinePunct w:val="0"/>
              <w:bidi w:val="0"/>
              <w:snapToGrid/>
              <w:spacing w:line="440" w:lineRule="exact"/>
              <w:ind w:right="0"/>
              <w:jc w:val="left"/>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注：投标保证金应当通过投标单位银行基本账户递交，否则其投标将被否决。投标单位缴纳保证金时，请注明项目名称、分包号及投标单位名称。</w:t>
            </w:r>
          </w:p>
          <w:p>
            <w:pPr>
              <w:keepNext w:val="0"/>
              <w:keepLines w:val="0"/>
              <w:pageBreakBefore w:val="0"/>
              <w:kinsoku/>
              <w:wordWrap/>
              <w:overflowPunct/>
              <w:topLinePunct w:val="0"/>
              <w:bidi w:val="0"/>
              <w:snapToGrid/>
              <w:spacing w:line="440" w:lineRule="exact"/>
              <w:jc w:val="left"/>
              <w:rPr>
                <w:rFonts w:hint="eastAsia" w:ascii="宋体" w:hAnsi="宋体" w:eastAsia="宋体" w:cs="宋体"/>
                <w:szCs w:val="24"/>
                <w:highlight w:val="none"/>
              </w:rPr>
            </w:pPr>
            <w:r>
              <w:rPr>
                <w:rFonts w:hint="eastAsia" w:ascii="宋体" w:hAnsi="宋体" w:eastAsia="宋体" w:cs="宋体"/>
                <w:b/>
                <w:bCs/>
                <w:color w:val="000000"/>
                <w:szCs w:val="24"/>
                <w:highlight w:val="none"/>
              </w:rPr>
              <w:t>投标保证金退还时，退还至投标人的基本账户。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15</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响应文件份数</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bCs/>
                <w:szCs w:val="24"/>
                <w:highlight w:val="none"/>
              </w:rPr>
            </w:pPr>
            <w:r>
              <w:rPr>
                <w:rFonts w:hint="eastAsia" w:ascii="宋体" w:hAnsi="宋体" w:eastAsia="宋体" w:cs="宋体"/>
                <w:bCs/>
                <w:szCs w:val="24"/>
                <w:highlight w:val="none"/>
              </w:rPr>
              <w:t>响应文件一式</w:t>
            </w:r>
            <w:r>
              <w:rPr>
                <w:rFonts w:hint="eastAsia" w:ascii="宋体" w:hAnsi="宋体" w:eastAsia="宋体" w:cs="宋体"/>
                <w:bCs/>
                <w:szCs w:val="24"/>
                <w:highlight w:val="none"/>
                <w:u w:val="single"/>
              </w:rPr>
              <w:t>3</w:t>
            </w:r>
            <w:r>
              <w:rPr>
                <w:rFonts w:hint="eastAsia" w:ascii="宋体" w:hAnsi="宋体" w:eastAsia="宋体" w:cs="宋体"/>
                <w:bCs/>
                <w:szCs w:val="24"/>
                <w:highlight w:val="none"/>
              </w:rPr>
              <w:t>份，其中正本</w:t>
            </w:r>
            <w:r>
              <w:rPr>
                <w:rFonts w:hint="eastAsia" w:ascii="宋体" w:hAnsi="宋体" w:eastAsia="宋体" w:cs="宋体"/>
                <w:bCs/>
                <w:szCs w:val="24"/>
                <w:highlight w:val="none"/>
                <w:u w:val="single"/>
              </w:rPr>
              <w:t>1</w:t>
            </w:r>
            <w:r>
              <w:rPr>
                <w:rFonts w:hint="eastAsia" w:ascii="宋体" w:hAnsi="宋体" w:eastAsia="宋体" w:cs="宋体"/>
                <w:bCs/>
                <w:szCs w:val="24"/>
                <w:highlight w:val="none"/>
              </w:rPr>
              <w:t>份、副本</w:t>
            </w:r>
            <w:r>
              <w:rPr>
                <w:rFonts w:hint="eastAsia" w:ascii="宋体" w:hAnsi="宋体" w:eastAsia="宋体" w:cs="宋体"/>
                <w:bCs/>
                <w:szCs w:val="24"/>
                <w:highlight w:val="none"/>
                <w:u w:val="single"/>
              </w:rPr>
              <w:t>2</w:t>
            </w:r>
            <w:r>
              <w:rPr>
                <w:rFonts w:hint="eastAsia" w:ascii="宋体" w:hAnsi="宋体" w:eastAsia="宋体" w:cs="宋体"/>
                <w:bCs/>
                <w:szCs w:val="24"/>
                <w:highlight w:val="none"/>
              </w:rPr>
              <w:t>份</w:t>
            </w:r>
            <w:r>
              <w:rPr>
                <w:rFonts w:hint="eastAsia" w:ascii="宋体" w:hAnsi="宋体" w:eastAsia="宋体" w:cs="宋体"/>
                <w:b w:val="0"/>
                <w:bCs/>
                <w:szCs w:val="24"/>
                <w:highlight w:val="none"/>
              </w:rPr>
              <w:t>、</w:t>
            </w:r>
            <w:r>
              <w:rPr>
                <w:rFonts w:hint="eastAsia" w:ascii="宋体" w:hAnsi="宋体" w:eastAsia="宋体" w:cs="宋体"/>
                <w:b w:val="0"/>
                <w:bCs/>
                <w:szCs w:val="24"/>
                <w:highlight w:val="none"/>
                <w:lang w:val="en-US" w:eastAsia="zh-CN"/>
              </w:rPr>
              <w:t>报价一览表</w:t>
            </w:r>
            <w:r>
              <w:rPr>
                <w:rFonts w:hint="eastAsia" w:ascii="宋体" w:hAnsi="宋体" w:eastAsia="宋体" w:cs="宋体"/>
                <w:b w:val="0"/>
                <w:bCs/>
                <w:szCs w:val="24"/>
                <w:highlight w:val="none"/>
                <w:u w:val="single"/>
                <w:lang w:val="en-US" w:eastAsia="zh-CN"/>
              </w:rPr>
              <w:t>1</w:t>
            </w:r>
            <w:r>
              <w:rPr>
                <w:rFonts w:hint="eastAsia" w:ascii="宋体" w:hAnsi="宋体" w:eastAsia="宋体" w:cs="宋体"/>
                <w:b w:val="0"/>
                <w:bCs/>
                <w:szCs w:val="24"/>
                <w:highlight w:val="none"/>
                <w:u w:val="none"/>
                <w:lang w:val="en-US" w:eastAsia="zh-CN"/>
              </w:rPr>
              <w:t>份、</w:t>
            </w:r>
            <w:r>
              <w:rPr>
                <w:rFonts w:hint="eastAsia" w:ascii="宋体" w:hAnsi="宋体" w:eastAsia="宋体" w:cs="宋体"/>
                <w:b w:val="0"/>
                <w:bCs/>
                <w:szCs w:val="24"/>
                <w:highlight w:val="none"/>
              </w:rPr>
              <w:t>电子版</w:t>
            </w:r>
            <w:r>
              <w:rPr>
                <w:rFonts w:hint="eastAsia" w:ascii="宋体" w:hAnsi="宋体" w:eastAsia="宋体" w:cs="宋体"/>
                <w:b w:val="0"/>
                <w:bCs/>
                <w:szCs w:val="24"/>
                <w:highlight w:val="none"/>
                <w:lang w:val="en-US" w:eastAsia="zh-CN"/>
              </w:rPr>
              <w:t>响应文件</w:t>
            </w:r>
            <w:r>
              <w:rPr>
                <w:rFonts w:hint="eastAsia" w:ascii="宋体" w:hAnsi="宋体" w:eastAsia="宋体" w:cs="宋体"/>
                <w:b w:val="0"/>
                <w:bCs/>
                <w:szCs w:val="24"/>
                <w:highlight w:val="none"/>
              </w:rPr>
              <w:t>一份（</w:t>
            </w:r>
            <w:r>
              <w:rPr>
                <w:rFonts w:hint="eastAsia" w:ascii="宋体" w:hAnsi="宋体" w:eastAsia="宋体" w:cs="宋体"/>
                <w:b w:val="0"/>
                <w:bCs/>
                <w:szCs w:val="24"/>
                <w:highlight w:val="none"/>
                <w:lang w:val="en-US" w:eastAsia="zh-CN"/>
              </w:rPr>
              <w:t>盖章扫描的PDF版</w:t>
            </w:r>
            <w:r>
              <w:rPr>
                <w:rFonts w:hint="eastAsia" w:ascii="宋体" w:hAnsi="宋体" w:eastAsia="宋体" w:cs="宋体"/>
                <w:b w:val="0"/>
                <w:bCs/>
                <w:szCs w:val="24"/>
                <w:highlight w:val="none"/>
              </w:rPr>
              <w:t>本）,</w:t>
            </w:r>
            <w:r>
              <w:rPr>
                <w:rFonts w:hint="eastAsia" w:ascii="宋体" w:hAnsi="宋体" w:eastAsia="宋体" w:cs="宋体"/>
                <w:b/>
                <w:szCs w:val="24"/>
                <w:highlight w:val="none"/>
                <w:lang w:val="en-US" w:eastAsia="zh-CN"/>
              </w:rPr>
              <w:t>电子版响应文件</w:t>
            </w:r>
            <w:r>
              <w:rPr>
                <w:rFonts w:hint="eastAsia" w:ascii="宋体" w:hAnsi="宋体" w:eastAsia="宋体" w:cs="宋体"/>
                <w:b/>
                <w:szCs w:val="24"/>
                <w:highlight w:val="none"/>
              </w:rPr>
              <w:t>内容必须与纸质响应文件内容一致，如不一致以纸质响应文件为准，纸质文件必须胶装。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16</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响应文件递交截止时间及</w:t>
            </w:r>
            <w:r>
              <w:rPr>
                <w:rFonts w:hint="eastAsia" w:ascii="宋体" w:hAnsi="宋体" w:eastAsia="宋体" w:cs="宋体"/>
                <w:bCs/>
                <w:szCs w:val="24"/>
                <w:highlight w:val="none"/>
                <w:lang w:eastAsia="zh-CN"/>
              </w:rPr>
              <w:t>磋商</w:t>
            </w:r>
            <w:r>
              <w:rPr>
                <w:rFonts w:hint="eastAsia" w:ascii="宋体" w:hAnsi="宋体" w:eastAsia="宋体" w:cs="宋体"/>
                <w:bCs/>
                <w:szCs w:val="24"/>
                <w:highlight w:val="none"/>
              </w:rPr>
              <w:t>时间</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bCs/>
                <w:szCs w:val="24"/>
                <w:highlight w:val="none"/>
              </w:rPr>
            </w:pPr>
            <w:r>
              <w:rPr>
                <w:rFonts w:hint="eastAsia" w:ascii="宋体" w:hAnsi="宋体" w:eastAsia="宋体" w:cs="宋体"/>
                <w:szCs w:val="24"/>
                <w:highlight w:val="yellow"/>
              </w:rPr>
              <w:t>202</w:t>
            </w:r>
            <w:r>
              <w:rPr>
                <w:rFonts w:hint="eastAsia" w:ascii="宋体" w:hAnsi="宋体" w:cs="宋体"/>
                <w:szCs w:val="24"/>
                <w:highlight w:val="yellow"/>
                <w:lang w:val="en-US" w:eastAsia="zh-CN"/>
              </w:rPr>
              <w:t>2</w:t>
            </w:r>
            <w:r>
              <w:rPr>
                <w:rFonts w:hint="eastAsia" w:ascii="宋体" w:hAnsi="宋体" w:eastAsia="宋体" w:cs="宋体"/>
                <w:szCs w:val="24"/>
                <w:highlight w:val="yellow"/>
              </w:rPr>
              <w:t>年</w:t>
            </w:r>
            <w:r>
              <w:rPr>
                <w:rFonts w:hint="eastAsia" w:ascii="宋体" w:hAnsi="宋体" w:cs="宋体"/>
                <w:szCs w:val="24"/>
                <w:highlight w:val="yellow"/>
                <w:lang w:val="en-US" w:eastAsia="zh-CN"/>
              </w:rPr>
              <w:t>07</w:t>
            </w:r>
            <w:r>
              <w:rPr>
                <w:rFonts w:hint="eastAsia" w:ascii="宋体" w:hAnsi="宋体" w:eastAsia="宋体" w:cs="宋体"/>
                <w:szCs w:val="24"/>
                <w:highlight w:val="yellow"/>
              </w:rPr>
              <w:t>月</w:t>
            </w:r>
            <w:r>
              <w:rPr>
                <w:rFonts w:hint="eastAsia" w:ascii="宋体" w:hAnsi="宋体" w:cs="宋体"/>
                <w:szCs w:val="24"/>
                <w:highlight w:val="yellow"/>
                <w:lang w:val="en-US" w:eastAsia="zh-CN"/>
              </w:rPr>
              <w:t>18</w:t>
            </w:r>
            <w:bookmarkStart w:id="115" w:name="_GoBack"/>
            <w:bookmarkEnd w:id="115"/>
            <w:r>
              <w:rPr>
                <w:rFonts w:hint="eastAsia" w:ascii="宋体" w:hAnsi="宋体" w:eastAsia="宋体" w:cs="宋体"/>
                <w:szCs w:val="24"/>
                <w:highlight w:val="yellow"/>
              </w:rPr>
              <w:t>日1</w:t>
            </w:r>
            <w:r>
              <w:rPr>
                <w:rFonts w:hint="eastAsia" w:ascii="宋体" w:hAnsi="宋体" w:cs="宋体"/>
                <w:szCs w:val="24"/>
                <w:highlight w:val="yellow"/>
                <w:lang w:val="en-US" w:eastAsia="zh-CN"/>
              </w:rPr>
              <w:t>1</w:t>
            </w:r>
            <w:r>
              <w:rPr>
                <w:rFonts w:hint="eastAsia" w:ascii="宋体" w:hAnsi="宋体" w:eastAsia="宋体" w:cs="宋体"/>
                <w:szCs w:val="24"/>
                <w:highlight w:val="yellow"/>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17</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响应文件递交地点及</w:t>
            </w:r>
            <w:r>
              <w:rPr>
                <w:rFonts w:hint="eastAsia" w:ascii="宋体" w:hAnsi="宋体" w:eastAsia="宋体" w:cs="宋体"/>
                <w:bCs/>
                <w:szCs w:val="24"/>
                <w:highlight w:val="none"/>
                <w:lang w:eastAsia="zh-CN"/>
              </w:rPr>
              <w:t>磋商</w:t>
            </w:r>
            <w:r>
              <w:rPr>
                <w:rFonts w:hint="eastAsia" w:ascii="宋体" w:hAnsi="宋体" w:eastAsia="宋体" w:cs="宋体"/>
                <w:bCs/>
                <w:szCs w:val="24"/>
                <w:highlight w:val="none"/>
              </w:rPr>
              <w:t>地点</w:t>
            </w:r>
          </w:p>
        </w:tc>
        <w:tc>
          <w:tcPr>
            <w:tcW w:w="7018" w:type="dxa"/>
            <w:noWrap w:val="0"/>
            <w:vAlign w:val="center"/>
          </w:tcPr>
          <w:p>
            <w:pPr>
              <w:pStyle w:val="7"/>
              <w:keepNext w:val="0"/>
              <w:keepLines w:val="0"/>
              <w:pageBreakBefore w:val="0"/>
              <w:kinsoku/>
              <w:wordWrap/>
              <w:overflowPunct/>
              <w:topLinePunct w:val="0"/>
              <w:bidi w:val="0"/>
              <w:snapToGrid/>
              <w:spacing w:line="440" w:lineRule="exact"/>
              <w:ind w:firstLine="0" w:firstLineChars="0"/>
              <w:jc w:val="left"/>
              <w:rPr>
                <w:rFonts w:hint="eastAsia" w:ascii="宋体" w:hAnsi="宋体" w:eastAsia="宋体" w:cs="宋体"/>
                <w:bCs/>
                <w:szCs w:val="24"/>
                <w:highlight w:val="none"/>
              </w:rPr>
            </w:pPr>
            <w:r>
              <w:rPr>
                <w:rFonts w:hint="eastAsia" w:ascii="宋体" w:hAnsi="宋体" w:eastAsia="宋体" w:cs="宋体"/>
                <w:bCs/>
                <w:szCs w:val="24"/>
                <w:highlight w:val="none"/>
              </w:rPr>
              <w:t>新疆乌鲁木齐市水磨沟区红光山路2588号绿地中心201/205商业，商务办公楼20层办公8室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18</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评审方法</w:t>
            </w:r>
          </w:p>
        </w:tc>
        <w:tc>
          <w:tcPr>
            <w:tcW w:w="7018" w:type="dxa"/>
            <w:noWrap w:val="0"/>
            <w:vAlign w:val="center"/>
          </w:tcPr>
          <w:p>
            <w:pPr>
              <w:keepNext w:val="0"/>
              <w:keepLines w:val="0"/>
              <w:pageBreakBefore w:val="0"/>
              <w:numPr>
                <w:ilvl w:val="0"/>
                <w:numId w:val="0"/>
              </w:numPr>
              <w:kinsoku/>
              <w:wordWrap/>
              <w:overflowPunct/>
              <w:topLinePunct w:val="0"/>
              <w:bidi w:val="0"/>
              <w:snapToGrid/>
              <w:spacing w:line="440" w:lineRule="exact"/>
              <w:jc w:val="left"/>
              <w:rPr>
                <w:rFonts w:hint="default" w:ascii="宋体" w:hAnsi="宋体" w:eastAsia="宋体" w:cs="宋体"/>
                <w:szCs w:val="24"/>
                <w:highlight w:val="none"/>
                <w:lang w:val="en-US"/>
              </w:rPr>
            </w:pPr>
            <w:r>
              <w:rPr>
                <w:rFonts w:hint="eastAsia" w:ascii="宋体" w:hAnsi="宋体" w:cs="宋体"/>
                <w:szCs w:val="24"/>
                <w:highlight w:val="none"/>
                <w:lang w:val="en-US" w:eastAsia="zh-CN"/>
              </w:rPr>
              <w:t>本项目采用综合评分法。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shd w:val="clear" w:color="auto" w:fill="auto"/>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19</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同品牌多家投标人处理原则</w:t>
            </w:r>
          </w:p>
        </w:tc>
        <w:tc>
          <w:tcPr>
            <w:tcW w:w="7018" w:type="dxa"/>
            <w:noWrap w:val="0"/>
            <w:vAlign w:val="center"/>
          </w:tcPr>
          <w:p>
            <w:pPr>
              <w:keepNext w:val="0"/>
              <w:keepLines w:val="0"/>
              <w:pageBreakBefore w:val="0"/>
              <w:kinsoku/>
              <w:wordWrap/>
              <w:overflowPunct/>
              <w:topLinePunct w:val="0"/>
              <w:bidi w:val="0"/>
              <w:adjustRightInd w:val="0"/>
              <w:snapToGrid/>
              <w:spacing w:line="440" w:lineRule="exact"/>
              <w:rPr>
                <w:rFonts w:ascii="宋体" w:hAnsi="宋体"/>
                <w:sz w:val="24"/>
                <w:szCs w:val="24"/>
                <w:highlight w:val="none"/>
              </w:rPr>
            </w:pPr>
            <w:r>
              <w:rPr>
                <w:rFonts w:hint="eastAsia" w:ascii="宋体" w:hAnsi="宋体"/>
                <w:sz w:val="24"/>
                <w:szCs w:val="24"/>
                <w:highlight w:val="none"/>
              </w:rPr>
              <w:t>相同品牌产品且通过</w:t>
            </w:r>
            <w:r>
              <w:rPr>
                <w:rFonts w:hint="eastAsia" w:ascii="宋体" w:hAnsi="宋体"/>
                <w:sz w:val="24"/>
                <w:szCs w:val="24"/>
                <w:highlight w:val="none"/>
                <w:lang w:val="en-US" w:eastAsia="zh-CN"/>
              </w:rPr>
              <w:t>初步评审</w:t>
            </w:r>
            <w:r>
              <w:rPr>
                <w:rFonts w:hint="eastAsia" w:ascii="宋体" w:hAnsi="宋体"/>
                <w:sz w:val="24"/>
                <w:szCs w:val="24"/>
                <w:highlight w:val="none"/>
              </w:rPr>
              <w:t>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keepNext w:val="0"/>
              <w:keepLines w:val="0"/>
              <w:pageBreakBefore w:val="0"/>
              <w:kinsoku/>
              <w:wordWrap/>
              <w:overflowPunct/>
              <w:topLinePunct w:val="0"/>
              <w:bidi w:val="0"/>
              <w:adjustRightInd w:val="0"/>
              <w:snapToGrid/>
              <w:spacing w:line="440" w:lineRule="exact"/>
              <w:rPr>
                <w:rFonts w:hint="eastAsia" w:ascii="宋体" w:hAnsi="宋体" w:cs="宋体"/>
                <w:szCs w:val="24"/>
                <w:highlight w:val="none"/>
                <w:lang w:val="en-US" w:eastAsia="zh-CN"/>
              </w:rPr>
            </w:pPr>
            <w:r>
              <w:rPr>
                <w:rFonts w:ascii="宋体" w:hAnsi="宋体"/>
                <w:sz w:val="24"/>
                <w:szCs w:val="24"/>
                <w:highlight w:val="none"/>
              </w:rPr>
              <w:fldChar w:fldCharType="begin"/>
            </w:r>
            <w:r>
              <w:rPr>
                <w:rFonts w:hint="eastAsia" w:ascii="宋体" w:hAnsi="宋体"/>
                <w:sz w:val="24"/>
                <w:szCs w:val="24"/>
                <w:highlight w:val="none"/>
              </w:rPr>
              <w:instrText xml:space="preserve">eq \o\ac(□,√)</w:instrText>
            </w:r>
            <w:r>
              <w:rPr>
                <w:rFonts w:ascii="宋体" w:hAnsi="宋体"/>
                <w:sz w:val="24"/>
                <w:szCs w:val="24"/>
                <w:highlight w:val="none"/>
              </w:rPr>
              <w:fldChar w:fldCharType="end"/>
            </w:r>
            <w:r>
              <w:rPr>
                <w:rFonts w:hint="eastAsia" w:ascii="宋体" w:hAnsi="宋体"/>
                <w:sz w:val="24"/>
                <w:szCs w:val="24"/>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shd w:val="clear" w:color="auto" w:fill="auto"/>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Cs w:val="24"/>
                <w:highlight w:val="none"/>
                <w:lang w:val="en-US" w:eastAsia="zh-CN"/>
              </w:rPr>
            </w:pPr>
            <w:r>
              <w:rPr>
                <w:rFonts w:hint="eastAsia" w:ascii="宋体" w:hAnsi="宋体" w:cs="宋体"/>
                <w:bCs/>
                <w:szCs w:val="24"/>
                <w:highlight w:val="none"/>
                <w:lang w:val="en-US" w:eastAsia="zh-CN"/>
              </w:rPr>
              <w:t>20</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rPr>
            </w:pPr>
            <w:r>
              <w:rPr>
                <w:rFonts w:hint="eastAsia" w:ascii="宋体" w:hAnsi="宋体" w:eastAsia="宋体" w:cs="宋体"/>
                <w:bCs/>
                <w:szCs w:val="24"/>
                <w:highlight w:val="none"/>
              </w:rPr>
              <w:t>招标代理服务费</w:t>
            </w:r>
          </w:p>
        </w:tc>
        <w:tc>
          <w:tcPr>
            <w:tcW w:w="7018" w:type="dxa"/>
            <w:noWrap w:val="0"/>
            <w:vAlign w:val="center"/>
          </w:tcPr>
          <w:p>
            <w:pPr>
              <w:keepNext w:val="0"/>
              <w:keepLines w:val="0"/>
              <w:pageBreakBefore w:val="0"/>
              <w:numPr>
                <w:ilvl w:val="0"/>
                <w:numId w:val="0"/>
              </w:numPr>
              <w:kinsoku/>
              <w:wordWrap/>
              <w:overflowPunct/>
              <w:topLinePunct w:val="0"/>
              <w:bidi w:val="0"/>
              <w:snapToGrid/>
              <w:spacing w:line="440" w:lineRule="exact"/>
              <w:jc w:val="left"/>
              <w:rPr>
                <w:rFonts w:hint="default" w:ascii="宋体" w:hAnsi="宋体"/>
                <w:sz w:val="24"/>
                <w:szCs w:val="24"/>
                <w:highlight w:val="none"/>
                <w:lang w:val="en-US"/>
              </w:rPr>
            </w:pPr>
            <w:r>
              <w:rPr>
                <w:rFonts w:hAnsi="宋体" w:cs="Tahoma"/>
                <w:bCs/>
                <w:highlight w:val="none"/>
                <w:lang w:val="en-US" w:eastAsia="zh-CN"/>
              </w:rPr>
              <w:t>本项目的</w:t>
            </w:r>
            <w:r>
              <w:rPr>
                <w:rFonts w:hint="eastAsia" w:hAnsi="宋体"/>
                <w:highlight w:val="none"/>
                <w:lang w:val="en-US" w:eastAsia="zh-CN"/>
              </w:rPr>
              <w:t>招标</w:t>
            </w:r>
            <w:r>
              <w:rPr>
                <w:rFonts w:hAnsi="宋体"/>
                <w:highlight w:val="none"/>
                <w:lang w:val="en-US" w:eastAsia="zh-CN"/>
              </w:rPr>
              <w:t>代理服务费</w:t>
            </w:r>
            <w:r>
              <w:rPr>
                <w:rFonts w:hAnsi="宋体" w:cs="Tahoma"/>
                <w:bCs/>
                <w:highlight w:val="none"/>
                <w:lang w:val="en-US" w:eastAsia="zh-CN"/>
              </w:rPr>
              <w:t>由</w:t>
            </w:r>
            <w:r>
              <w:rPr>
                <w:rFonts w:hint="eastAsia" w:hAnsi="宋体" w:cs="Tahoma"/>
                <w:bCs/>
                <w:highlight w:val="none"/>
                <w:lang w:val="en-US" w:eastAsia="zh-CN"/>
              </w:rPr>
              <w:t>成交供应商支付，根据发改价格〔2015〕299 号文、参照</w:t>
            </w:r>
            <w:r>
              <w:rPr>
                <w:rFonts w:hint="eastAsia" w:ascii="Times New Roman" w:hAnsi="宋体"/>
                <w:szCs w:val="22"/>
                <w:highlight w:val="none"/>
                <w:lang w:val="en-US" w:eastAsia="zh-CN"/>
              </w:rPr>
              <w:t>计价格【2002】1980号文执行。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Cs w:val="24"/>
                <w:highlight w:val="none"/>
                <w:lang w:val="en-US" w:eastAsia="zh-CN"/>
              </w:rPr>
            </w:pPr>
            <w:r>
              <w:rPr>
                <w:rFonts w:hint="eastAsia" w:ascii="宋体" w:hAnsi="宋体" w:cs="宋体"/>
                <w:bCs/>
                <w:szCs w:val="24"/>
                <w:highlight w:val="none"/>
                <w:lang w:val="en-US" w:eastAsia="zh-CN"/>
              </w:rPr>
              <w:t>21</w:t>
            </w:r>
          </w:p>
        </w:tc>
        <w:tc>
          <w:tcPr>
            <w:tcW w:w="2300" w:type="dxa"/>
            <w:tcBorders>
              <w:right w:val="single" w:color="auto" w:sz="4" w:space="0"/>
            </w:tcBorders>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szCs w:val="24"/>
                <w:highlight w:val="none"/>
                <w:lang w:val="en-US" w:eastAsia="zh-CN"/>
              </w:rPr>
            </w:pPr>
            <w:r>
              <w:rPr>
                <w:rFonts w:hint="eastAsia" w:ascii="宋体" w:hAnsi="宋体" w:cs="宋体"/>
                <w:bCs/>
                <w:szCs w:val="24"/>
                <w:highlight w:val="none"/>
                <w:lang w:val="en-US" w:eastAsia="zh-CN"/>
              </w:rPr>
              <w:t>签订合同时间</w:t>
            </w:r>
          </w:p>
        </w:tc>
        <w:tc>
          <w:tcPr>
            <w:tcW w:w="7018"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kinsoku/>
              <w:wordWrap/>
              <w:overflowPunct/>
              <w:topLinePunct w:val="0"/>
              <w:bidi w:val="0"/>
              <w:snapToGrid/>
              <w:spacing w:line="440" w:lineRule="exact"/>
              <w:jc w:val="left"/>
              <w:rPr>
                <w:rFonts w:hint="eastAsia" w:ascii="宋体" w:hAnsi="宋体" w:eastAsia="宋体" w:cs="宋体"/>
                <w:bCs/>
                <w:sz w:val="24"/>
                <w:highlight w:val="none"/>
              </w:rPr>
            </w:pPr>
            <w:r>
              <w:rPr>
                <w:rFonts w:hint="eastAsia" w:ascii="Calibri" w:hAnsi="宋体" w:eastAsia="宋体" w:cs="Times New Roman"/>
                <w:color w:val="auto"/>
                <w:sz w:val="24"/>
                <w:szCs w:val="20"/>
                <w:highlight w:val="none"/>
                <w:lang w:val="en-US" w:eastAsia="zh-CN" w:bidi="ar-SA"/>
              </w:rPr>
              <w:t>采购人与中标供应商应当在中标通知书发出之日起三十日内，按照采购文件确定的事项签订政府采购合同。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5"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szCs w:val="24"/>
                <w:highlight w:val="none"/>
                <w:lang w:val="en-US" w:eastAsia="zh-CN"/>
              </w:rPr>
            </w:pPr>
            <w:bookmarkStart w:id="5" w:name="_Toc171913593"/>
            <w:bookmarkStart w:id="6" w:name="_Toc98641129"/>
            <w:r>
              <w:rPr>
                <w:rFonts w:hint="eastAsia" w:ascii="宋体" w:hAnsi="宋体" w:cs="宋体"/>
                <w:bCs/>
                <w:szCs w:val="24"/>
                <w:highlight w:val="none"/>
                <w:lang w:val="en-US" w:eastAsia="zh-CN"/>
              </w:rPr>
              <w:t>22</w:t>
            </w:r>
          </w:p>
        </w:tc>
        <w:tc>
          <w:tcPr>
            <w:tcW w:w="2300" w:type="dxa"/>
            <w:tcBorders>
              <w:right w:val="single" w:color="auto" w:sz="4" w:space="0"/>
            </w:tcBorders>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t>付款方式</w:t>
            </w:r>
          </w:p>
        </w:tc>
        <w:tc>
          <w:tcPr>
            <w:tcW w:w="7018"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kinsoku/>
              <w:wordWrap/>
              <w:overflowPunct/>
              <w:topLinePunct w:val="0"/>
              <w:bidi w:val="0"/>
              <w:snapToGrid/>
              <w:spacing w:line="440" w:lineRule="exact"/>
              <w:jc w:val="left"/>
              <w:rPr>
                <w:rFonts w:hint="eastAsia" w:ascii="宋体" w:hAnsi="宋体" w:eastAsia="宋体" w:cs="宋体"/>
                <w:bCs/>
                <w:sz w:val="24"/>
                <w:highlight w:val="none"/>
              </w:rPr>
            </w:pPr>
            <w:r>
              <w:rPr>
                <w:rFonts w:hint="eastAsia" w:hAnsi="宋体"/>
                <w:bCs/>
                <w:sz w:val="24"/>
                <w:szCs w:val="24"/>
                <w:highlight w:val="none"/>
              </w:rPr>
              <w:t>合同签订后支付合同金额的</w:t>
            </w:r>
            <w:r>
              <w:rPr>
                <w:rFonts w:hint="eastAsia" w:hAnsi="宋体"/>
                <w:bCs/>
                <w:sz w:val="24"/>
                <w:szCs w:val="24"/>
                <w:highlight w:val="none"/>
                <w:lang w:val="en-US" w:eastAsia="zh-CN"/>
              </w:rPr>
              <w:t>20</w:t>
            </w:r>
            <w:r>
              <w:rPr>
                <w:rFonts w:hint="eastAsia" w:hAnsi="宋体"/>
                <w:bCs/>
                <w:sz w:val="24"/>
                <w:szCs w:val="24"/>
                <w:highlight w:val="none"/>
              </w:rPr>
              <w:t>%</w:t>
            </w:r>
            <w:r>
              <w:rPr>
                <w:rFonts w:hint="eastAsia" w:hAnsi="宋体"/>
                <w:bCs/>
                <w:sz w:val="24"/>
                <w:szCs w:val="24"/>
                <w:highlight w:val="none"/>
                <w:lang w:eastAsia="zh-CN"/>
              </w:rPr>
              <w:t>，</w:t>
            </w:r>
            <w:r>
              <w:rPr>
                <w:rFonts w:hint="eastAsia" w:hAnsi="宋体"/>
                <w:bCs/>
                <w:sz w:val="24"/>
                <w:szCs w:val="24"/>
                <w:highlight w:val="none"/>
              </w:rPr>
              <w:t>项目供货完毕、验收合格且完成车辆落户手续后支付合同价款的</w:t>
            </w:r>
            <w:r>
              <w:rPr>
                <w:rFonts w:hint="eastAsia" w:hAnsi="宋体"/>
                <w:bCs/>
                <w:sz w:val="24"/>
                <w:szCs w:val="24"/>
                <w:highlight w:val="none"/>
                <w:lang w:val="en-US" w:eastAsia="zh-CN"/>
              </w:rPr>
              <w:t>80</w:t>
            </w:r>
            <w:r>
              <w:rPr>
                <w:rFonts w:hint="eastAsia" w:hAnsi="宋体"/>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53" w:type="dxa"/>
            <w:gridSpan w:val="3"/>
            <w:tcBorders>
              <w:right w:val="single" w:color="auto" w:sz="4" w:space="0"/>
            </w:tcBorders>
            <w:noWrap w:val="0"/>
            <w:vAlign w:val="center"/>
          </w:tcPr>
          <w:p>
            <w:pPr>
              <w:pStyle w:val="23"/>
              <w:keepNext w:val="0"/>
              <w:keepLines w:val="0"/>
              <w:pageBreakBefore w:val="0"/>
              <w:kinsoku/>
              <w:wordWrap/>
              <w:overflowPunct/>
              <w:topLinePunct w:val="0"/>
              <w:bidi w:val="0"/>
              <w:snapToGrid/>
              <w:spacing w:line="440" w:lineRule="exact"/>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落实政府采购政策：</w:t>
            </w:r>
          </w:p>
          <w:p>
            <w:pPr>
              <w:pStyle w:val="26"/>
              <w:keepNext w:val="0"/>
              <w:keepLines w:val="0"/>
              <w:pageBreakBefore w:val="0"/>
              <w:kinsoku/>
              <w:wordWrap/>
              <w:overflowPunct/>
              <w:topLinePunct w:val="0"/>
              <w:bidi w:val="0"/>
              <w:snapToGrid/>
              <w:spacing w:line="440" w:lineRule="exact"/>
              <w:ind w:firstLine="480" w:firstLineChars="200"/>
              <w:jc w:val="left"/>
              <w:rPr>
                <w:rFonts w:hint="eastAsia" w:ascii="宋体" w:hAnsi="宋体" w:eastAsia="宋体" w:cs="宋体"/>
                <w:color w:val="auto"/>
                <w:sz w:val="24"/>
                <w:szCs w:val="24"/>
                <w:highlight w:val="none"/>
                <w:lang w:val="en-US" w:eastAsia="zh-CN" w:bidi="ar-SA"/>
              </w:rPr>
            </w:pPr>
            <w:r>
              <w:rPr>
                <w:rFonts w:hint="eastAsia" w:hAnsi="宋体"/>
                <w:sz w:val="24"/>
                <w:highlight w:val="none"/>
              </w:rPr>
              <w:t>根据《关于印发〈政府采购促进中小企业发展暂行办法〉的通知》(财库〔2011〕181号) ；《财政部　司法部关于政府采购支持监狱企业发展有关问题的通知》(财库〔2014〕68号)；《关于促进残疾人就业政府采购政策的通知》（财库〔2017〕 141号），对小型和微型企业产品的价格给予</w:t>
            </w:r>
            <w:r>
              <w:rPr>
                <w:rFonts w:hint="eastAsia" w:hAnsi="宋体"/>
                <w:sz w:val="24"/>
                <w:highlight w:val="none"/>
                <w:lang w:val="en-US" w:eastAsia="zh-CN"/>
              </w:rPr>
              <w:t>10</w:t>
            </w:r>
            <w:r>
              <w:rPr>
                <w:rFonts w:hint="eastAsia" w:hAnsi="宋体"/>
                <w:sz w:val="24"/>
                <w:highlight w:val="none"/>
              </w:rPr>
              <w:t>%</w:t>
            </w:r>
            <w:r>
              <w:rPr>
                <w:rFonts w:hint="eastAsia" w:hAnsi="宋体"/>
                <w:sz w:val="24"/>
                <w:highlight w:val="none"/>
                <w:lang w:val="en-US" w:eastAsia="zh-CN"/>
              </w:rPr>
              <w:t>-20%</w:t>
            </w:r>
            <w:r>
              <w:rPr>
                <w:rFonts w:hint="eastAsia" w:hAnsi="宋体"/>
                <w:sz w:val="24"/>
                <w:highlight w:val="none"/>
              </w:rPr>
              <w:t>的扣除，</w:t>
            </w:r>
            <w:r>
              <w:rPr>
                <w:rFonts w:hint="eastAsia" w:hAnsi="宋体"/>
                <w:sz w:val="24"/>
                <w:highlight w:val="none"/>
                <w:lang w:val="en-US" w:eastAsia="zh-CN"/>
              </w:rPr>
              <w:t>本项目对小微企业产品给予10%的价格扣除，</w:t>
            </w:r>
            <w:r>
              <w:rPr>
                <w:rFonts w:hint="eastAsia" w:hAnsi="宋体"/>
                <w:sz w:val="24"/>
                <w:highlight w:val="none"/>
              </w:rPr>
              <w:t>用扣除后的最后报价参与价格比较。监狱企业、残疾人福利性单位视同小型、微型企业，享受促进中小企业发展政策优惠，可用扣除后的最后报价参与价格比较。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53" w:type="dxa"/>
            <w:gridSpan w:val="3"/>
            <w:tcBorders>
              <w:right w:val="single" w:color="auto" w:sz="4" w:space="0"/>
            </w:tcBorders>
            <w:noWrap w:val="0"/>
            <w:vAlign w:val="center"/>
          </w:tcPr>
          <w:p>
            <w:pPr>
              <w:pStyle w:val="26"/>
              <w:keepNext w:val="0"/>
              <w:keepLines w:val="0"/>
              <w:pageBreakBefore w:val="0"/>
              <w:kinsoku/>
              <w:wordWrap/>
              <w:overflowPunct/>
              <w:topLinePunct w:val="0"/>
              <w:bidi w:val="0"/>
              <w:snapToGrid/>
              <w:spacing w:line="440" w:lineRule="exact"/>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供应商须仔细阅读本磋商文件的所有条款。如果在商务、技术等方面有偏离，供应商须在磋商文件“商务</w:t>
            </w:r>
            <w:r>
              <w:rPr>
                <w:rFonts w:hint="eastAsia" w:ascii="宋体" w:hAnsi="宋体" w:cs="宋体"/>
                <w:color w:val="auto"/>
                <w:sz w:val="24"/>
                <w:szCs w:val="24"/>
                <w:highlight w:val="none"/>
                <w:lang w:val="en-US" w:eastAsia="zh-CN" w:bidi="ar-SA"/>
              </w:rPr>
              <w:t>条款</w:t>
            </w:r>
            <w:r>
              <w:rPr>
                <w:rFonts w:hint="eastAsia" w:ascii="宋体" w:hAnsi="宋体" w:eastAsia="宋体" w:cs="宋体"/>
                <w:color w:val="auto"/>
                <w:sz w:val="24"/>
                <w:szCs w:val="24"/>
                <w:highlight w:val="none"/>
                <w:lang w:val="en-US" w:eastAsia="zh-CN" w:bidi="ar-SA"/>
              </w:rPr>
              <w:t>偏离表”、“技术</w:t>
            </w:r>
            <w:r>
              <w:rPr>
                <w:rFonts w:hint="eastAsia" w:ascii="宋体" w:hAnsi="宋体" w:cs="宋体"/>
                <w:color w:val="auto"/>
                <w:sz w:val="24"/>
                <w:szCs w:val="24"/>
                <w:highlight w:val="none"/>
                <w:lang w:val="en-US" w:eastAsia="zh-CN" w:bidi="ar-SA"/>
              </w:rPr>
              <w:t>条款</w:t>
            </w:r>
            <w:r>
              <w:rPr>
                <w:rFonts w:hint="eastAsia" w:ascii="宋体" w:hAnsi="宋体" w:eastAsia="宋体" w:cs="宋体"/>
                <w:color w:val="auto"/>
                <w:sz w:val="24"/>
                <w:szCs w:val="24"/>
                <w:highlight w:val="none"/>
                <w:lang w:val="en-US" w:eastAsia="zh-CN" w:bidi="ar-SA"/>
              </w:rPr>
              <w:t>偏离表”中一一列出。另外，供应商应对字体置黑的条款、注有 “磋商无效”</w:t>
            </w:r>
            <w:r>
              <w:rPr>
                <w:rFonts w:hint="eastAsia" w:ascii="宋体" w:hAnsi="宋体" w:cs="宋体"/>
                <w:color w:val="auto"/>
                <w:sz w:val="24"/>
                <w:szCs w:val="24"/>
                <w:highlight w:val="none"/>
                <w:lang w:val="en-US" w:eastAsia="zh-CN" w:bidi="ar-SA"/>
              </w:rPr>
              <w:t>“拒绝”</w:t>
            </w:r>
            <w:r>
              <w:rPr>
                <w:rFonts w:hint="eastAsia" w:ascii="宋体" w:hAnsi="宋体" w:eastAsia="宋体" w:cs="宋体"/>
                <w:color w:val="auto"/>
                <w:sz w:val="24"/>
                <w:szCs w:val="24"/>
                <w:highlight w:val="none"/>
                <w:lang w:val="en-US" w:eastAsia="zh-CN" w:bidi="ar-SA"/>
              </w:rPr>
              <w:t>字样的条款、以及加注“★”号的条款引起重视，如不满足此类条款的规定，其后果由供应商自行承担。</w:t>
            </w:r>
          </w:p>
        </w:tc>
      </w:tr>
    </w:tbl>
    <w:p>
      <w:pPr>
        <w:pStyle w:val="3"/>
        <w:pageBreakBefore w:val="0"/>
        <w:kinsoku/>
        <w:wordWrap/>
        <w:overflowPunct/>
        <w:topLinePunct w:val="0"/>
        <w:bidi w:val="0"/>
        <w:adjustRightInd w:val="0"/>
        <w:snapToGrid/>
        <w:spacing w:before="0" w:after="0" w:line="440" w:lineRule="exact"/>
        <w:outlineLvl w:val="0"/>
        <w:rPr>
          <w:rFonts w:hint="eastAsia" w:ascii="宋体" w:hAnsi="宋体" w:eastAsia="宋体" w:cs="宋体"/>
          <w:highlight w:val="none"/>
        </w:rPr>
      </w:pPr>
      <w:r>
        <w:rPr>
          <w:rFonts w:hint="eastAsia" w:ascii="宋体" w:hAnsi="宋体" w:eastAsia="宋体" w:cs="宋体"/>
          <w:highlight w:val="none"/>
        </w:rPr>
        <w:br w:type="page"/>
      </w:r>
      <w:bookmarkStart w:id="7" w:name="_Toc27602"/>
      <w:bookmarkStart w:id="8" w:name="_Toc62744599"/>
      <w:r>
        <w:rPr>
          <w:rFonts w:hint="eastAsia" w:ascii="宋体" w:hAnsi="宋体" w:eastAsia="宋体" w:cs="宋体"/>
          <w:highlight w:val="none"/>
        </w:rPr>
        <w:t>第三</w:t>
      </w:r>
      <w:r>
        <w:rPr>
          <w:rFonts w:hint="eastAsia" w:ascii="宋体" w:hAnsi="宋体" w:eastAsia="宋体" w:cs="宋体"/>
          <w:kern w:val="2"/>
          <w:highlight w:val="none"/>
        </w:rPr>
        <w:t>章</w:t>
      </w:r>
      <w:r>
        <w:rPr>
          <w:rFonts w:hint="eastAsia" w:ascii="宋体" w:hAnsi="宋体" w:eastAsia="宋体" w:cs="宋体"/>
          <w:highlight w:val="none"/>
        </w:rPr>
        <w:t xml:space="preserve">  供应商须知</w:t>
      </w:r>
      <w:bookmarkEnd w:id="5"/>
      <w:bookmarkEnd w:id="6"/>
      <w:bookmarkEnd w:id="7"/>
      <w:bookmarkEnd w:id="8"/>
      <w:bookmarkStart w:id="9" w:name="_Toc171913594"/>
      <w:bookmarkStart w:id="10" w:name="_Toc86202582"/>
      <w:bookmarkStart w:id="11" w:name="_Toc9864113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12" w:name="_Toc6274460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r>
        <w:rPr>
          <w:rFonts w:hint="eastAsia" w:ascii="宋体" w:hAnsi="宋体" w:eastAsia="宋体" w:cs="宋体"/>
          <w:highlight w:val="none"/>
        </w:rPr>
        <w:t>一、总则</w:t>
      </w:r>
      <w:bookmarkEnd w:id="9"/>
      <w:bookmarkEnd w:id="10"/>
      <w:bookmarkEnd w:id="11"/>
      <w:bookmarkEnd w:id="1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文件适用于本文件第五章中所述相关</w:t>
      </w:r>
      <w:r>
        <w:rPr>
          <w:rFonts w:hint="eastAsia" w:ascii="宋体" w:hAnsi="宋体" w:eastAsia="宋体" w:cs="宋体"/>
          <w:sz w:val="28"/>
          <w:szCs w:val="28"/>
          <w:highlight w:val="none"/>
          <w:lang w:val="en-US" w:eastAsia="zh-CN"/>
        </w:rPr>
        <w:t>货物</w:t>
      </w:r>
      <w:r>
        <w:rPr>
          <w:rFonts w:hint="eastAsia" w:ascii="宋体" w:hAnsi="宋体" w:eastAsia="宋体" w:cs="宋体"/>
          <w:sz w:val="28"/>
          <w:szCs w:val="28"/>
          <w:highlight w:val="none"/>
        </w:rPr>
        <w:t>的采购。</w:t>
      </w:r>
    </w:p>
    <w:p>
      <w:pPr>
        <w:pStyle w:val="6"/>
        <w:pageBreakBefore w:val="0"/>
        <w:kinsoku/>
        <w:wordWrap/>
        <w:overflowPunct/>
        <w:topLinePunct w:val="0"/>
        <w:bidi w:val="0"/>
        <w:adjustRightInd w:val="0"/>
        <w:snapToGrid/>
        <w:spacing w:line="440" w:lineRule="exact"/>
        <w:rPr>
          <w:rStyle w:val="19"/>
          <w:rFonts w:hint="eastAsia" w:ascii="宋体" w:hAnsi="宋体" w:eastAsia="宋体" w:cs="宋体"/>
          <w:highlight w:val="none"/>
        </w:rPr>
      </w:pPr>
      <w:bookmarkStart w:id="13" w:name="_Toc62744601"/>
      <w:r>
        <w:rPr>
          <w:rFonts w:hint="eastAsia" w:ascii="宋体" w:hAnsi="宋体" w:eastAsia="宋体" w:cs="宋体"/>
          <w:highlight w:val="none"/>
        </w:rPr>
        <w:t>1、定义</w:t>
      </w:r>
      <w:bookmarkEnd w:id="1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1.1“采购人”</w:t>
      </w:r>
      <w:r>
        <w:rPr>
          <w:rFonts w:hint="eastAsia" w:ascii="宋体" w:hAnsi="宋体" w:cs="宋体"/>
          <w:sz w:val="28"/>
          <w:szCs w:val="28"/>
          <w:highlight w:val="none"/>
          <w:lang w:eastAsia="zh-CN"/>
        </w:rPr>
        <w:t>新疆维吾尔自治区地质矿产勘查开发局第一区域地质调查大队</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1.2“采购代理机构”指新疆科辰工程项目管理有限公司。</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1.3“货物及</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”指本</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文件中所述所有采购内容。</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1.4“潜在供应商”指符合</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文件规定的合法供应商。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1.5“供应商”指符合本文件规定并参加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的供应商。</w:t>
      </w:r>
    </w:p>
    <w:p>
      <w:pPr>
        <w:pStyle w:val="6"/>
        <w:pageBreakBefore w:val="0"/>
        <w:kinsoku/>
        <w:wordWrap/>
        <w:overflowPunct/>
        <w:topLinePunct w:val="0"/>
        <w:bidi w:val="0"/>
        <w:adjustRightInd w:val="0"/>
        <w:snapToGrid/>
        <w:spacing w:line="440" w:lineRule="exact"/>
        <w:rPr>
          <w:rStyle w:val="19"/>
          <w:rFonts w:hint="eastAsia" w:ascii="宋体" w:hAnsi="宋体" w:eastAsia="宋体" w:cs="宋体"/>
          <w:highlight w:val="none"/>
        </w:rPr>
      </w:pPr>
      <w:bookmarkStart w:id="14" w:name="_Toc62744602"/>
      <w:r>
        <w:rPr>
          <w:rFonts w:hint="eastAsia" w:ascii="宋体" w:hAnsi="宋体" w:eastAsia="宋体" w:cs="宋体"/>
          <w:highlight w:val="none"/>
        </w:rPr>
        <w:t>2、合格供应商的条件</w:t>
      </w:r>
      <w:bookmarkEnd w:id="14"/>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2.1具有本项目实施能力，符合、承认并承诺履行本文件各项规定的国内法人和其他组织均可参加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2.2供应商应遵守有关的国家法律、法规和条例，具备《中华人民共和国政府采购法》、《中华人民共和国政府采购法实施条例》《政府采购非招标采购方式管理办法》规定的条件：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2.2.1具有独立承担民事责任的能力；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2.2.2具有良好的商业信誉和健全的财务会计制度；</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2.2.3具有履行合同所必需的设备和专业技术能力；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2.2.4具有依法缴纳税收和社会保障资金的良好记录；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2.2.5参加此项采购活动前3年内，在经营活动中没有重大违法记录；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2.2.6供应商应具有的资质详见供应商须知前附表第</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条；</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2.2.7供应商不应与“在本次招标中，为采购代理机构设计编制技术规格、评审办法和其他文件的公司及其附属机构”有任何隶属关系和利益联系。</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2.2.8供应商为法人、其他组织或自然人。</w:t>
      </w:r>
    </w:p>
    <w:p>
      <w:pPr>
        <w:pageBreakBefore w:val="0"/>
        <w:kinsoku/>
        <w:wordWrap/>
        <w:overflowPunct/>
        <w:topLinePunct w:val="0"/>
        <w:bidi w:val="0"/>
        <w:adjustRightInd w:val="0"/>
        <w:snapToGrid/>
        <w:spacing w:line="440" w:lineRule="exact"/>
        <w:ind w:firstLine="560" w:firstLineChars="200"/>
        <w:rPr>
          <w:rStyle w:val="27"/>
          <w:rFonts w:hint="eastAsia" w:ascii="宋体" w:hAnsi="宋体" w:eastAsia="宋体" w:cs="宋体"/>
          <w:highlight w:val="none"/>
        </w:rPr>
      </w:pPr>
      <w:r>
        <w:rPr>
          <w:rFonts w:hint="eastAsia" w:ascii="宋体" w:hAnsi="宋体" w:eastAsia="宋体" w:cs="宋体"/>
          <w:sz w:val="28"/>
          <w:szCs w:val="28"/>
          <w:highlight w:val="none"/>
        </w:rPr>
        <w:t>2.2.9如授权代表不是法定代表人，须持有《</w:t>
      </w:r>
      <w:r>
        <w:rPr>
          <w:rFonts w:hint="eastAsia" w:ascii="宋体" w:hAnsi="宋体" w:eastAsia="宋体" w:cs="宋体"/>
          <w:sz w:val="28"/>
          <w:szCs w:val="28"/>
          <w:highlight w:val="none"/>
          <w:lang w:val="en-US" w:eastAsia="zh-CN"/>
        </w:rPr>
        <w:t>法定代表人</w:t>
      </w:r>
      <w:r>
        <w:rPr>
          <w:rFonts w:hint="eastAsia" w:ascii="宋体" w:hAnsi="宋体" w:eastAsia="宋体" w:cs="宋体"/>
          <w:sz w:val="28"/>
          <w:szCs w:val="28"/>
          <w:highlight w:val="none"/>
        </w:rPr>
        <w:t>授权委托书》，自然人提供身份证原件。</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15" w:name="_Toc62744603"/>
      <w:r>
        <w:rPr>
          <w:rFonts w:hint="eastAsia" w:ascii="宋体" w:hAnsi="宋体" w:eastAsia="宋体" w:cs="宋体"/>
          <w:highlight w:val="none"/>
        </w:rPr>
        <w:t>3、</w:t>
      </w:r>
      <w:r>
        <w:rPr>
          <w:rFonts w:hint="eastAsia" w:ascii="宋体" w:hAnsi="宋体" w:eastAsia="宋体" w:cs="宋体"/>
          <w:highlight w:val="none"/>
          <w:lang w:eastAsia="zh-CN"/>
        </w:rPr>
        <w:t>磋商</w:t>
      </w:r>
      <w:r>
        <w:rPr>
          <w:rFonts w:hint="eastAsia" w:ascii="宋体" w:hAnsi="宋体" w:eastAsia="宋体" w:cs="宋体"/>
          <w:highlight w:val="none"/>
        </w:rPr>
        <w:t>费用</w:t>
      </w:r>
      <w:bookmarkEnd w:id="15"/>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3.1供应商应承担所有与准备和参加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有关的费用，采购代理机构和采购人在任何情况下均无义务和责任承担这些费用。</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16" w:name="_Toc62744604"/>
      <w:r>
        <w:rPr>
          <w:rFonts w:hint="eastAsia" w:ascii="宋体" w:hAnsi="宋体" w:eastAsia="宋体" w:cs="宋体"/>
          <w:highlight w:val="none"/>
        </w:rPr>
        <w:t>4、通知</w:t>
      </w:r>
      <w:bookmarkEnd w:id="16"/>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4.1对与本项目有关的通知，采购代理机构将以书面（包括书面材料、信函、传真等，下同）的形式，送达所有与通知有关的已登记备案并领取了</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文件的潜在供应商，传真号码以潜在供应商的登记为准。潜在供应商应于收到通知的当日以书面方式予以回复确认。因登记有误或传真线路故障导致通知延迟送达或无法送达，采购代理机构不承担责任</w:t>
      </w:r>
      <w:bookmarkStart w:id="17" w:name="_Toc86202583"/>
      <w:bookmarkStart w:id="18" w:name="_Toc98641131"/>
      <w:r>
        <w:rPr>
          <w:rFonts w:hint="eastAsia" w:ascii="宋体" w:hAnsi="宋体" w:eastAsia="宋体" w:cs="宋体"/>
          <w:sz w:val="28"/>
          <w:szCs w:val="28"/>
          <w:highlight w:val="none"/>
        </w:rPr>
        <w:t>。</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19" w:name="_Toc62744605"/>
      <w:r>
        <w:rPr>
          <w:rFonts w:hint="eastAsia" w:ascii="宋体" w:hAnsi="宋体" w:eastAsia="宋体" w:cs="宋体"/>
          <w:highlight w:val="none"/>
        </w:rPr>
        <w:t>5、相关规定</w:t>
      </w:r>
      <w:bookmarkEnd w:id="19"/>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5.1若采购人员及相关人员与供应商有下列利害关系之一的，应当</w:t>
      </w:r>
      <w:r>
        <w:rPr>
          <w:rFonts w:hint="eastAsia" w:ascii="宋体" w:hAnsi="宋体" w:eastAsia="宋体" w:cs="宋体"/>
          <w:b/>
          <w:bCs/>
          <w:sz w:val="28"/>
          <w:szCs w:val="28"/>
          <w:highlight w:val="none"/>
        </w:rPr>
        <w:t>回避</w:t>
      </w:r>
      <w:r>
        <w:rPr>
          <w:rFonts w:hint="eastAsia" w:ascii="宋体" w:hAnsi="宋体" w:eastAsia="宋体" w:cs="宋体"/>
          <w:sz w:val="28"/>
          <w:szCs w:val="28"/>
          <w:highlight w:val="none"/>
        </w:rPr>
        <w:t>：</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5.1.1参加采购活动前3年内与供应商存在劳动关系；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5.1.2参加采购活动前3年内担任供应商的董事、监事；</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5.1.3参加采购活动前3年内是供应商的控股股东或者实际控制人；</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5.1.4与供应商的法定代表人或者负责人有夫妻、直系血亲、三代以内旁系血亲或者近姻亲关系；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5.1.5与供应商有其他可能影响政府采购活动公平、公正进行的关系。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5.1.6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5.2采购人或者采购代理机构有下列情形之一的，属于以不合理的条件对供应商实行差别待遇或者歧视待遇：</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5.2.1就同一采购项目向供应商提供有差别的项目信息；</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5.2.2设定的资格、技术、商务条件与采购项目的具体特点和实际需要不相适应或者与合同履行无关；</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5.2.3采购需求中的技术、服务等要求指向特定供应商、特定产品；</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5.2.4以特定行政区域或者特定行业的业绩、奖项作为加分条件或者中标、成交条件；</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5.2.5对供应商采取不同的资格审查或者评审标准；</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5.2.6限定或者指定特定的专利、商标、品牌或者供应商；</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5.2.7非法限定供应商的所有制形式、组织形式或者所在地；</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5.2.8以其他不合理条件限制或者排斥潜在供应商。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5.4供应商在本次采购活动中，必须遵循《中华人民共和国政府采购法》、《中华人民共和国政府采购法实施条例》等相关法令、法规的规定。</w:t>
      </w:r>
    </w:p>
    <w:p>
      <w:pPr>
        <w:pStyle w:val="6"/>
        <w:pageBreakBefore w:val="0"/>
        <w:kinsoku/>
        <w:wordWrap/>
        <w:overflowPunct/>
        <w:topLinePunct w:val="0"/>
        <w:bidi w:val="0"/>
        <w:adjustRightInd w:val="0"/>
        <w:snapToGrid/>
        <w:spacing w:line="440" w:lineRule="exact"/>
        <w:rPr>
          <w:rFonts w:hint="eastAsia" w:ascii="宋体" w:hAnsi="宋体" w:eastAsia="宋体" w:cs="宋体"/>
          <w:sz w:val="36"/>
          <w:highlight w:val="none"/>
        </w:rPr>
      </w:pPr>
      <w:bookmarkStart w:id="20" w:name="_Toc62744606"/>
      <w:r>
        <w:rPr>
          <w:rFonts w:hint="eastAsia" w:ascii="宋体" w:hAnsi="宋体" w:eastAsia="宋体" w:cs="宋体"/>
          <w:highlight w:val="none"/>
        </w:rPr>
        <w:t>6、联合体（本项目不接受联合体）</w:t>
      </w:r>
      <w:bookmarkEnd w:id="2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21" w:name="_Toc62744607"/>
      <w:r>
        <w:rPr>
          <w:rFonts w:hint="eastAsia" w:ascii="宋体" w:hAnsi="宋体" w:eastAsia="宋体" w:cs="宋体"/>
          <w:highlight w:val="none"/>
        </w:rPr>
        <w:t>二、</w:t>
      </w:r>
      <w:r>
        <w:rPr>
          <w:rFonts w:hint="eastAsia" w:ascii="宋体" w:hAnsi="宋体" w:eastAsia="宋体" w:cs="宋体"/>
          <w:highlight w:val="none"/>
          <w:lang w:eastAsia="zh-CN"/>
        </w:rPr>
        <w:t>磋商</w:t>
      </w:r>
      <w:r>
        <w:rPr>
          <w:rFonts w:hint="eastAsia" w:ascii="宋体" w:hAnsi="宋体" w:eastAsia="宋体" w:cs="宋体"/>
          <w:highlight w:val="none"/>
        </w:rPr>
        <w:t>文件</w:t>
      </w:r>
      <w:bookmarkEnd w:id="17"/>
      <w:bookmarkEnd w:id="18"/>
      <w:bookmarkEnd w:id="21"/>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22" w:name="_Toc62744608"/>
      <w:r>
        <w:rPr>
          <w:rFonts w:hint="eastAsia" w:ascii="宋体" w:hAnsi="宋体" w:eastAsia="宋体" w:cs="宋体"/>
          <w:highlight w:val="none"/>
        </w:rPr>
        <w:t>7、</w:t>
      </w:r>
      <w:r>
        <w:rPr>
          <w:rFonts w:hint="eastAsia" w:ascii="宋体" w:hAnsi="宋体" w:eastAsia="宋体" w:cs="宋体"/>
          <w:highlight w:val="none"/>
          <w:lang w:eastAsia="zh-CN"/>
        </w:rPr>
        <w:t>磋商</w:t>
      </w:r>
      <w:r>
        <w:rPr>
          <w:rFonts w:hint="eastAsia" w:ascii="宋体" w:hAnsi="宋体" w:eastAsia="宋体" w:cs="宋体"/>
          <w:highlight w:val="none"/>
        </w:rPr>
        <w:t>文件</w:t>
      </w:r>
      <w:bookmarkEnd w:id="2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7.1</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文件由下列七章内容组成：</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第一章  </w:t>
      </w:r>
      <w:r>
        <w:rPr>
          <w:rFonts w:hint="eastAsia" w:ascii="宋体" w:hAnsi="宋体" w:eastAsia="宋体" w:cs="宋体"/>
          <w:sz w:val="28"/>
          <w:szCs w:val="28"/>
          <w:highlight w:val="none"/>
          <w:lang w:val="en-US" w:eastAsia="zh-CN"/>
        </w:rPr>
        <w:t>竞争性磋商公告</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第二章  供应商须知前附表；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第三章  供应商须知；</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第四章  评审方法；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第五章  采购内容及需求；</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第六章  合同格式及合同条款；</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第七章  响应文件格式。</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23" w:name="_Toc62744609"/>
      <w:r>
        <w:rPr>
          <w:rFonts w:hint="eastAsia" w:ascii="宋体" w:hAnsi="宋体" w:eastAsia="宋体" w:cs="宋体"/>
          <w:highlight w:val="none"/>
        </w:rPr>
        <w:t>8、</w:t>
      </w:r>
      <w:r>
        <w:rPr>
          <w:rFonts w:hint="eastAsia" w:ascii="宋体" w:hAnsi="宋体" w:eastAsia="宋体" w:cs="宋体"/>
          <w:highlight w:val="none"/>
          <w:lang w:eastAsia="zh-CN"/>
        </w:rPr>
        <w:t>磋商</w:t>
      </w:r>
      <w:r>
        <w:rPr>
          <w:rFonts w:hint="eastAsia" w:ascii="宋体" w:hAnsi="宋体" w:eastAsia="宋体" w:cs="宋体"/>
          <w:highlight w:val="none"/>
        </w:rPr>
        <w:t>文件的澄清和修改</w:t>
      </w:r>
      <w:bookmarkEnd w:id="2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8.1任何已登记备案并领取了</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文件的潜在供应商，均可要求对</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文件进行澄清。澄清要求应在</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截止时间3个工作日前，按</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公告中的联系地址以书面形式送达采购代理机构，采购代理机构将以书面形式予以答复。答复中包括原提出的问题，但不包括问题的来源。</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8.2</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截止时间3个工作日前，采购代理机构无论出于何种原因，均可对</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文件用补充文件的方式进行澄清和修改。该文件为</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文件的组成部分，对所有领取了</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文件的潜在供应商均具有约束力。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8.3对</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文件的澄清和修改，将书面通知已领取</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文件的潜在供应商，供应商应于收到补充文件的当日以书面形式回复确认。</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8.4为使供应商有足够的时间按</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文件的修改要求修正</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文件，采购代理机构可酌情推迟</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时间，并在提交响应文件截止时间3个工作日前，书面通知所有登记备案并领取了</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文件的潜在供应商。采购代理机构和供应商的权利及义务将受到新的截止期的约束。</w:t>
      </w:r>
      <w:bookmarkStart w:id="24" w:name="_Toc86202584"/>
      <w:bookmarkStart w:id="25" w:name="_Toc98641132"/>
      <w:bookmarkStart w:id="26" w:name="_Toc171913595"/>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27" w:name="_Toc62744610"/>
      <w:r>
        <w:rPr>
          <w:rFonts w:hint="eastAsia" w:ascii="宋体" w:hAnsi="宋体" w:eastAsia="宋体" w:cs="宋体"/>
          <w:highlight w:val="none"/>
        </w:rPr>
        <w:t>三、响应文件</w:t>
      </w:r>
      <w:bookmarkEnd w:id="24"/>
      <w:bookmarkEnd w:id="25"/>
      <w:bookmarkEnd w:id="26"/>
      <w:bookmarkEnd w:id="27"/>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28" w:name="_Toc62744611"/>
      <w:r>
        <w:rPr>
          <w:rFonts w:hint="eastAsia" w:ascii="宋体" w:hAnsi="宋体" w:eastAsia="宋体" w:cs="宋体"/>
          <w:highlight w:val="none"/>
        </w:rPr>
        <w:t>9、响应文件的语言和计量单位</w:t>
      </w:r>
      <w:bookmarkEnd w:id="2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9.1供应商提交的响应文件以及供应商与采购代理机构就有关</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的所有来往函电均应使用中文简化字。</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9.2供应商所提供的技术文件和资料，应使用中文简化字。 所使用的计量单位，应使用国家法定计量单位。</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29" w:name="_Toc62744612"/>
      <w:r>
        <w:rPr>
          <w:rFonts w:hint="eastAsia" w:ascii="宋体" w:hAnsi="宋体" w:eastAsia="宋体" w:cs="宋体"/>
          <w:highlight w:val="none"/>
        </w:rPr>
        <w:t>10、响应文件的组成及相关要求</w:t>
      </w:r>
      <w:bookmarkEnd w:id="29"/>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10.1投标人编写的响应文件应包括下列部分（具体内容详见“第七章响应文件格式”）。</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10.2响应文件所提供的资料必须符合诚实信用、客观真实的原则，对弄虚作假或违背诚信的违法行为，应承担相应的后果及法律责任。</w:t>
      </w:r>
    </w:p>
    <w:p>
      <w:pPr>
        <w:pageBreakBefore w:val="0"/>
        <w:kinsoku/>
        <w:wordWrap/>
        <w:overflowPunct/>
        <w:topLinePunct w:val="0"/>
        <w:bidi w:val="0"/>
        <w:adjustRightInd w:val="0"/>
        <w:snapToGrid/>
        <w:spacing w:line="44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10.3供应商应按上述2条的内容认真编写响应文件，并使用A4规格纸张打印，按规定签字盖章后，将响应文件牢固装订成册（订口在长边，装订线应位于左侧）。响应文件必须编写目录页码（页码应连续），并</w:t>
      </w:r>
      <w:r>
        <w:rPr>
          <w:rFonts w:hint="eastAsia" w:ascii="宋体" w:hAnsi="宋体" w:cs="宋体"/>
          <w:b/>
          <w:bCs/>
          <w:sz w:val="28"/>
          <w:szCs w:val="28"/>
          <w:highlight w:val="none"/>
          <w:lang w:val="en-US" w:eastAsia="zh-CN"/>
        </w:rPr>
        <w:t>胶装</w:t>
      </w:r>
      <w:r>
        <w:rPr>
          <w:rFonts w:hint="eastAsia" w:ascii="宋体" w:hAnsi="宋体" w:eastAsia="宋体" w:cs="宋体"/>
          <w:b/>
          <w:bCs/>
          <w:sz w:val="28"/>
          <w:szCs w:val="28"/>
          <w:highlight w:val="none"/>
        </w:rPr>
        <w:t>成册。评标过程中由于响应文件没有牢固装订造成散落影响评标结果时，后果由投标企业自负。</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10.3保证金</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10.3.1按照供应商须知前附表中规定的要求递交保证金。</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10.3.2未按要求提交保证金的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将被视为无效</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10.3.3成交供应商的保证金将在成交供应商与采购人签订合同、提交履约保证金后5个工作日内无息退还；未成交的供应商的保证金将在成交通知书发出后5个工作日内无息退还。</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报价</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10.4.1所有</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报价均以人民币元为计算单位。</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价格应该已经扣除所有同业折扣以及现金折扣。</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报价应已经包含了供应商及时交付合格服务所需缴纳的所有税费一切费用。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10.4.2供应商对</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报价若有说明应在报价一览表显著处注明。</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10.4.3供应商要按</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文件给定格式内容填写报价，并由法定代表人或授权代表签署。</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10.4.4采购人和采购代理机构保证各供应商报价的保密性。</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30" w:name="_Toc62744613"/>
      <w:r>
        <w:rPr>
          <w:rFonts w:hint="eastAsia" w:ascii="宋体" w:hAnsi="宋体" w:eastAsia="宋体" w:cs="宋体"/>
          <w:highlight w:val="none"/>
        </w:rPr>
        <w:t>11、响应文件内容填写说明</w:t>
      </w:r>
      <w:bookmarkEnd w:id="30"/>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11.1供应商应详细阅读</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文件的全部内容。响应文件须对</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文件中的内容做出实质性和完整的响应，如果响应文件填报的内容资料不详，或没有提供</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文件中所要求的全部资料及数据（包括但不限于供应商须知前附表规定的内容），将导致</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被拒绝。</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11.2响应文件应严格按照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文件规定的顺序装订成册并编制目录，由于编排混乱导致</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文件被误读或查找不到，是供应商的责任。</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11.3响应文件应严格按照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要求提交，并按规定的统一格式逐项填写，不准有空项；无相应内容可填的项应填写“无”、“未测试”、“没有相应指标”等明确的回答文字。响应文件未按规定提交或留有空项，将被视为不完整响应的响应文件，其</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有可能被拒绝。</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11.4供应商必须保证响应文件所提供的全部资料真实可靠，并接受采购代理机构或</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小组对其中任何资料进一步审查的要求。</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11.5本项目</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文件的有效期详见供应商须知前附表。有效期短于该规定期限的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将被拒绝。</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11.6在特殊情况下，采购代理机构可与供应商协商延长</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有效期。这种要求和答复都应以书面形式进行。此时，按本须知规定的保证金的有效期也相应延长。供应商可以拒绝接受延期要求而不会被不予退还保证金。同意延长有效期的供应商除按照采购代理机构要求修改响应文件有效期外，不能修改响应文件的其他内容。</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31" w:name="_Toc62744614"/>
      <w:r>
        <w:rPr>
          <w:rFonts w:hint="eastAsia" w:ascii="宋体" w:hAnsi="宋体" w:eastAsia="宋体" w:cs="宋体"/>
          <w:highlight w:val="none"/>
        </w:rPr>
        <w:t>12、响应文件的签署及其他规定</w:t>
      </w:r>
      <w:bookmarkEnd w:id="31"/>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12.1组成响应文件的各项文件均应遵守本条。</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12.2供应商应按照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文件要求，在响应文件</w:t>
      </w:r>
      <w:r>
        <w:rPr>
          <w:rFonts w:hint="eastAsia" w:ascii="宋体" w:hAnsi="宋体" w:cs="宋体"/>
          <w:sz w:val="28"/>
          <w:szCs w:val="28"/>
          <w:highlight w:val="none"/>
          <w:lang w:val="en-US" w:eastAsia="zh-CN"/>
        </w:rPr>
        <w:t>规定</w:t>
      </w:r>
      <w:r>
        <w:rPr>
          <w:rFonts w:hint="eastAsia" w:ascii="宋体" w:hAnsi="宋体" w:eastAsia="宋体" w:cs="宋体"/>
          <w:sz w:val="28"/>
          <w:szCs w:val="28"/>
          <w:highlight w:val="none"/>
        </w:rPr>
        <w:t>的位置填写供应商全称并加盖公章，同时签署法定代表人或授权代表人的全名。</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12.3供应商应按供应商须知前附表规定的份数提交响应文件。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12.3.1供应商应保证响应文件副本与正本的内容一致，否则响应文件被误读或被视为无效等不利后果由供应商承担。</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12.4响应文件的正本必须用不褪色的蓝黑墨水填写或打印，注明“正本”字样，并由供应商的法定代表人或</w:t>
      </w:r>
      <w:r>
        <w:rPr>
          <w:rFonts w:hint="eastAsia" w:cs="宋体"/>
          <w:sz w:val="28"/>
          <w:szCs w:val="28"/>
          <w:highlight w:val="none"/>
          <w:lang w:val="en-US" w:eastAsia="zh-CN"/>
        </w:rPr>
        <w:t>授权</w:t>
      </w:r>
      <w:r>
        <w:rPr>
          <w:rFonts w:hint="eastAsia" w:ascii="宋体" w:hAnsi="宋体" w:eastAsia="宋体" w:cs="宋体"/>
          <w:sz w:val="28"/>
          <w:szCs w:val="28"/>
          <w:highlight w:val="none"/>
        </w:rPr>
        <w:t>代表签字。由</w:t>
      </w:r>
      <w:r>
        <w:rPr>
          <w:rFonts w:hint="eastAsia" w:cs="宋体"/>
          <w:sz w:val="28"/>
          <w:szCs w:val="28"/>
          <w:highlight w:val="none"/>
          <w:lang w:val="en-US" w:eastAsia="zh-CN"/>
        </w:rPr>
        <w:t>授权</w:t>
      </w:r>
      <w:r>
        <w:rPr>
          <w:rFonts w:hint="eastAsia" w:ascii="宋体" w:hAnsi="宋体" w:eastAsia="宋体" w:cs="宋体"/>
          <w:sz w:val="28"/>
          <w:szCs w:val="28"/>
          <w:highlight w:val="none"/>
        </w:rPr>
        <w:t>代表签字的，</w:t>
      </w:r>
      <w:r>
        <w:rPr>
          <w:rFonts w:hint="eastAsia" w:cs="宋体"/>
          <w:sz w:val="28"/>
          <w:szCs w:val="28"/>
          <w:highlight w:val="none"/>
          <w:lang w:val="en-US" w:eastAsia="zh-CN"/>
        </w:rPr>
        <w:t>授权</w:t>
      </w:r>
      <w:r>
        <w:rPr>
          <w:rFonts w:hint="eastAsia" w:ascii="宋体" w:hAnsi="宋体" w:eastAsia="宋体" w:cs="宋体"/>
          <w:sz w:val="28"/>
          <w:szCs w:val="28"/>
          <w:highlight w:val="none"/>
        </w:rPr>
        <w:t>代表须将书面形式的《法定代表人授权委托书》（按照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文件格式填写）原件附在响应文件中，否则按</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无效处理。</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12.5响应文件应字迹清楚、内容齐全、不得涂改或增删。如有修改和增删，必须有供应商公章及法定代表人或其授权</w:t>
      </w:r>
      <w:r>
        <w:rPr>
          <w:rFonts w:hint="eastAsia" w:cs="宋体"/>
          <w:sz w:val="28"/>
          <w:szCs w:val="28"/>
          <w:highlight w:val="none"/>
          <w:lang w:val="en-US" w:eastAsia="zh-CN"/>
        </w:rPr>
        <w:t>委托人</w:t>
      </w:r>
      <w:r>
        <w:rPr>
          <w:rFonts w:hint="eastAsia" w:ascii="宋体" w:hAnsi="宋体" w:eastAsia="宋体" w:cs="宋体"/>
          <w:sz w:val="28"/>
          <w:szCs w:val="28"/>
          <w:highlight w:val="none"/>
        </w:rPr>
        <w:t>签字。</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12.6因响应文件字迹潦草或表达不清所引起的不利后果由供应商承担。</w:t>
      </w:r>
      <w:bookmarkStart w:id="32" w:name="_Toc86202585"/>
      <w:bookmarkStart w:id="33" w:name="_Toc171913596"/>
      <w:bookmarkStart w:id="34" w:name="_Toc98641133"/>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35" w:name="_Toc62744615"/>
      <w:r>
        <w:rPr>
          <w:rFonts w:hint="eastAsia" w:ascii="宋体" w:hAnsi="宋体" w:eastAsia="宋体" w:cs="宋体"/>
          <w:highlight w:val="none"/>
        </w:rPr>
        <w:t>四、响应文件的递交</w:t>
      </w:r>
      <w:bookmarkEnd w:id="32"/>
      <w:bookmarkEnd w:id="33"/>
      <w:bookmarkEnd w:id="34"/>
      <w:bookmarkEnd w:id="35"/>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36" w:name="_Toc62744616"/>
      <w:r>
        <w:rPr>
          <w:rFonts w:hint="eastAsia" w:ascii="宋体" w:hAnsi="宋体" w:eastAsia="宋体" w:cs="宋体"/>
          <w:highlight w:val="none"/>
        </w:rPr>
        <w:t>13、响应文件的密封及标记</w:t>
      </w:r>
      <w:bookmarkEnd w:id="36"/>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13.1</w:t>
      </w:r>
      <w:r>
        <w:rPr>
          <w:rFonts w:hint="eastAsia" w:ascii="宋体" w:hAnsi="宋体" w:eastAsia="宋体" w:cs="宋体"/>
          <w:b/>
          <w:bCs/>
          <w:sz w:val="28"/>
          <w:szCs w:val="28"/>
          <w:highlight w:val="none"/>
        </w:rPr>
        <w:t>响应文件的正本、副本、</w:t>
      </w:r>
      <w:r>
        <w:rPr>
          <w:rFonts w:hint="eastAsia" w:ascii="宋体" w:hAnsi="宋体" w:cs="宋体"/>
          <w:b/>
          <w:bCs/>
          <w:sz w:val="28"/>
          <w:szCs w:val="28"/>
          <w:highlight w:val="none"/>
          <w:lang w:val="en-US" w:eastAsia="zh-CN"/>
        </w:rPr>
        <w:t>报价一览表、</w:t>
      </w:r>
      <w:r>
        <w:rPr>
          <w:rFonts w:hint="eastAsia" w:ascii="宋体" w:hAnsi="宋体" w:eastAsia="宋体" w:cs="宋体"/>
          <w:b/>
          <w:bCs/>
          <w:sz w:val="28"/>
          <w:szCs w:val="28"/>
          <w:highlight w:val="none"/>
        </w:rPr>
        <w:t>电子</w:t>
      </w:r>
      <w:r>
        <w:rPr>
          <w:rFonts w:hint="eastAsia" w:ascii="宋体" w:hAnsi="宋体" w:cs="宋体"/>
          <w:b/>
          <w:bCs/>
          <w:sz w:val="28"/>
          <w:szCs w:val="28"/>
          <w:highlight w:val="none"/>
          <w:lang w:val="en-US" w:eastAsia="zh-CN"/>
        </w:rPr>
        <w:t>版响应文件</w:t>
      </w:r>
      <w:r>
        <w:rPr>
          <w:rFonts w:hint="eastAsia" w:ascii="宋体" w:hAnsi="宋体" w:eastAsia="宋体" w:cs="宋体"/>
          <w:b/>
          <w:bCs/>
          <w:sz w:val="28"/>
          <w:szCs w:val="28"/>
          <w:highlight w:val="none"/>
        </w:rPr>
        <w:t>及供应商认为有必要提交的其他资料须分别密封装袋，封皮上写明项目名称、项目</w:t>
      </w:r>
      <w:r>
        <w:rPr>
          <w:rFonts w:hint="eastAsia" w:ascii="宋体" w:hAnsi="宋体" w:cs="宋体"/>
          <w:b/>
          <w:bCs/>
          <w:sz w:val="28"/>
          <w:szCs w:val="28"/>
          <w:highlight w:val="none"/>
          <w:lang w:val="en-US" w:eastAsia="zh-CN"/>
        </w:rPr>
        <w:t>编</w:t>
      </w:r>
      <w:r>
        <w:rPr>
          <w:rFonts w:hint="eastAsia" w:ascii="宋体" w:hAnsi="宋体" w:eastAsia="宋体" w:cs="宋体"/>
          <w:b/>
          <w:bCs/>
          <w:sz w:val="28"/>
          <w:szCs w:val="28"/>
          <w:highlight w:val="none"/>
        </w:rPr>
        <w:t>号、供应商全称、并注明“递交截止时间以后时启封”字样。</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密封袋封口压缝处必须由法定代表人或授权代表签字及</w:t>
      </w:r>
      <w:r>
        <w:rPr>
          <w:rFonts w:hint="eastAsia" w:ascii="宋体" w:hAnsi="宋体" w:cs="宋体"/>
          <w:sz w:val="28"/>
          <w:szCs w:val="28"/>
          <w:highlight w:val="none"/>
          <w:lang w:val="en-US" w:eastAsia="zh-CN"/>
        </w:rPr>
        <w:t>加盖</w:t>
      </w:r>
      <w:r>
        <w:rPr>
          <w:rFonts w:hint="eastAsia" w:ascii="宋体" w:hAnsi="宋体" w:eastAsia="宋体" w:cs="宋体"/>
          <w:sz w:val="28"/>
          <w:szCs w:val="28"/>
          <w:highlight w:val="none"/>
        </w:rPr>
        <w:t>供应商公章。</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13.2供应商未按上述要求密封、签字、加写标记和盖章的响应文件，采购代理机构有权予以拒绝，并不承担由此对供应商造成的损失。</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37" w:name="_Toc62744617"/>
      <w:r>
        <w:rPr>
          <w:rFonts w:hint="eastAsia" w:ascii="宋体" w:hAnsi="宋体" w:eastAsia="宋体" w:cs="宋体"/>
          <w:highlight w:val="none"/>
        </w:rPr>
        <w:t>14、递交响应文件截止时间</w:t>
      </w:r>
      <w:bookmarkEnd w:id="37"/>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14.1响应文件须按照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文件规定的时间、地点送达。在截止时间以后送达的响应文件，采购代理机构不予接收。</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38" w:name="_Toc62744618"/>
      <w:r>
        <w:rPr>
          <w:rFonts w:hint="eastAsia" w:ascii="宋体" w:hAnsi="宋体" w:eastAsia="宋体" w:cs="宋体"/>
          <w:highlight w:val="none"/>
        </w:rPr>
        <w:t>15、响应文件的补充、修改和撤回</w:t>
      </w:r>
      <w:bookmarkEnd w:id="3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15.1供应商可以在递交响应文件截止时间前,对所递交的响应文件进行补充、修改或者撤回，并以书面形式通知采购代理机构，补充、修改和撤回要求须经采购代理机构签字确认接收，否则无效。</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15.2供应商撤回响应文件的要求应由供应商法定代表人或供应商代表签署，补充、修改响应文件的书面材料，应当按照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文件要求签署、盖章，作为响应文件的组成部分，密封送达采购代理机构，同时应在封套上标明“修改响应文件（并注明项目名称、编号）”和“递交截止时间以后启封”等字样。</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15.3在递交响应文件截止时间之后，供应商不得撤回响应文件。</w:t>
      </w:r>
      <w:bookmarkStart w:id="39" w:name="_Toc86202586"/>
      <w:bookmarkStart w:id="40" w:name="_Toc98641134"/>
      <w:bookmarkStart w:id="41" w:name="_Toc171913597"/>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lang w:eastAsia="zh-CN"/>
        </w:rPr>
      </w:pPr>
      <w:bookmarkStart w:id="42" w:name="_Toc62744619"/>
      <w:r>
        <w:rPr>
          <w:rFonts w:hint="eastAsia" w:ascii="宋体" w:hAnsi="宋体" w:eastAsia="宋体" w:cs="宋体"/>
          <w:highlight w:val="none"/>
        </w:rPr>
        <w:t>五、</w:t>
      </w:r>
      <w:bookmarkEnd w:id="39"/>
      <w:bookmarkEnd w:id="40"/>
      <w:bookmarkEnd w:id="41"/>
      <w:bookmarkEnd w:id="42"/>
      <w:r>
        <w:rPr>
          <w:rFonts w:hint="eastAsia" w:ascii="宋体" w:hAnsi="宋体" w:eastAsia="宋体" w:cs="宋体"/>
          <w:highlight w:val="none"/>
          <w:lang w:eastAsia="zh-CN"/>
        </w:rPr>
        <w:t>磋商</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lang w:eastAsia="zh-CN"/>
        </w:rPr>
      </w:pPr>
      <w:bookmarkStart w:id="43" w:name="_Toc62744620"/>
      <w:r>
        <w:rPr>
          <w:rFonts w:hint="eastAsia" w:ascii="宋体" w:hAnsi="宋体" w:eastAsia="宋体" w:cs="宋体"/>
          <w:highlight w:val="none"/>
        </w:rPr>
        <w:t>16、</w:t>
      </w:r>
      <w:bookmarkEnd w:id="43"/>
      <w:r>
        <w:rPr>
          <w:rFonts w:hint="eastAsia" w:ascii="宋体" w:hAnsi="宋体" w:eastAsia="宋体" w:cs="宋体"/>
          <w:highlight w:val="none"/>
          <w:lang w:eastAsia="zh-CN"/>
        </w:rPr>
        <w:t>磋商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16.1采购代理机构按</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文件规定的时间、地点组织</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小组成员、供应商代表及有关工作人员参加。</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16.2供应商参加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的代表必须签到以证明其出席。</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16.3本次采购采用</w:t>
      </w:r>
      <w:r>
        <w:rPr>
          <w:rFonts w:hint="eastAsia" w:ascii="宋体" w:hAnsi="宋体" w:eastAsia="宋体" w:cs="宋体"/>
          <w:sz w:val="28"/>
          <w:szCs w:val="28"/>
          <w:highlight w:val="none"/>
          <w:lang w:eastAsia="zh-CN"/>
        </w:rPr>
        <w:t>竞争性磋商</w:t>
      </w:r>
      <w:r>
        <w:rPr>
          <w:rFonts w:hint="eastAsia" w:ascii="宋体" w:hAnsi="宋体" w:eastAsia="宋体" w:cs="宋体"/>
          <w:sz w:val="28"/>
          <w:szCs w:val="28"/>
          <w:highlight w:val="none"/>
        </w:rPr>
        <w:t>方式。</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16.4</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程序：</w:t>
      </w:r>
    </w:p>
    <w:p>
      <w:pPr>
        <w:pageBreakBefore w:val="0"/>
        <w:kinsoku/>
        <w:wordWrap/>
        <w:overflowPunct/>
        <w:topLinePunct w:val="0"/>
        <w:bidi w:val="0"/>
        <w:adjustRightInd w:val="0"/>
        <w:snapToGrid/>
        <w:spacing w:beforeAutospacing="0" w:afterAutospacing="0"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16.4.1成立</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小组。采购代理机构将根据有关法律法规的规定组建本次磋商的</w:t>
      </w:r>
      <w:r>
        <w:rPr>
          <w:rFonts w:hint="eastAsia" w:ascii="宋体" w:hAnsi="宋体" w:eastAsia="宋体" w:cs="宋体"/>
          <w:sz w:val="28"/>
          <w:szCs w:val="28"/>
          <w:highlight w:val="none"/>
          <w:lang w:eastAsia="zh-CN"/>
        </w:rPr>
        <w:t>磋商小组</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磋商小组</w:t>
      </w:r>
      <w:r>
        <w:rPr>
          <w:rFonts w:hint="eastAsia" w:ascii="宋体" w:hAnsi="宋体" w:eastAsia="宋体" w:cs="宋体"/>
          <w:sz w:val="28"/>
          <w:szCs w:val="28"/>
          <w:highlight w:val="none"/>
        </w:rPr>
        <w:t>成员由本行业相关技术、经济等方面的专家组成。其中，技术、经济等方面的专家不少于成员总人数的三分之二。</w:t>
      </w:r>
    </w:p>
    <w:p>
      <w:pPr>
        <w:pageBreakBefore w:val="0"/>
        <w:kinsoku/>
        <w:wordWrap/>
        <w:overflowPunct/>
        <w:topLinePunct w:val="0"/>
        <w:bidi w:val="0"/>
        <w:adjustRightInd w:val="0"/>
        <w:snapToGrid/>
        <w:spacing w:beforeAutospacing="0" w:afterAutospacing="0"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16.4.2制定</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文件应当明确</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程序、</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内容、合同草案的条款以及评定成交的标准等事项。</w:t>
      </w:r>
    </w:p>
    <w:p>
      <w:pPr>
        <w:pageBreakBefore w:val="0"/>
        <w:kinsoku/>
        <w:wordWrap/>
        <w:overflowPunct/>
        <w:topLinePunct w:val="0"/>
        <w:bidi w:val="0"/>
        <w:adjustRightInd w:val="0"/>
        <w:snapToGrid/>
        <w:spacing w:beforeAutospacing="0" w:afterAutospacing="0"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16.4.3</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中，</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的任何一方不得透露与</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有关的其他供应商的技术资料、价格和其他信息。</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文件有实质性变动的，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小组应当以书面形式通知所有参加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的供应商。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16.4.4确定成交供应商。</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结束后，</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小组应当要求所有参加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的供应商在规定时间内进行最终报价，采购人从</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小组提出的成交候选人中根据符合采购需求、质量和服务相等且</w:t>
      </w:r>
      <w:r>
        <w:rPr>
          <w:rFonts w:hint="eastAsia" w:ascii="宋体" w:hAnsi="宋体" w:cs="宋体"/>
          <w:sz w:val="28"/>
          <w:szCs w:val="28"/>
          <w:highlight w:val="none"/>
          <w:lang w:val="en-US" w:eastAsia="zh-CN"/>
        </w:rPr>
        <w:t>得分</w:t>
      </w:r>
      <w:r>
        <w:rPr>
          <w:rFonts w:hint="eastAsia" w:ascii="宋体" w:hAnsi="宋体" w:eastAsia="宋体" w:cs="宋体"/>
          <w:sz w:val="28"/>
          <w:szCs w:val="28"/>
          <w:highlight w:val="none"/>
        </w:rPr>
        <w:t>最</w:t>
      </w:r>
      <w:r>
        <w:rPr>
          <w:rFonts w:hint="eastAsia" w:ascii="宋体" w:hAnsi="宋体" w:cs="宋体"/>
          <w:sz w:val="28"/>
          <w:szCs w:val="28"/>
          <w:highlight w:val="none"/>
          <w:lang w:val="en-US" w:eastAsia="zh-CN"/>
        </w:rPr>
        <w:t>搞</w:t>
      </w:r>
      <w:r>
        <w:rPr>
          <w:rFonts w:hint="eastAsia" w:ascii="宋体" w:hAnsi="宋体" w:eastAsia="宋体" w:cs="宋体"/>
          <w:sz w:val="28"/>
          <w:szCs w:val="28"/>
          <w:highlight w:val="none"/>
        </w:rPr>
        <w:t>的原则确定成交供应商，并将结果通知所有参加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的未成交的供应商。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b/>
          <w:bCs/>
          <w:sz w:val="28"/>
          <w:szCs w:val="28"/>
          <w:highlight w:val="none"/>
        </w:rPr>
      </w:pPr>
      <w:r>
        <w:rPr>
          <w:rFonts w:hint="eastAsia" w:ascii="宋体" w:hAnsi="宋体" w:eastAsia="宋体" w:cs="宋体"/>
          <w:sz w:val="28"/>
          <w:szCs w:val="28"/>
          <w:highlight w:val="none"/>
        </w:rPr>
        <w:t>16.5</w:t>
      </w:r>
      <w:r>
        <w:rPr>
          <w:rFonts w:hint="eastAsia" w:ascii="宋体" w:hAnsi="宋体" w:eastAsia="宋体" w:cs="宋体"/>
          <w:b/>
          <w:bCs/>
          <w:sz w:val="28"/>
          <w:szCs w:val="28"/>
          <w:highlight w:val="none"/>
        </w:rPr>
        <w:t>本项目现场磋商开启必须提供的</w:t>
      </w:r>
      <w:r>
        <w:rPr>
          <w:rFonts w:hint="eastAsia" w:ascii="宋体" w:hAnsi="宋体" w:eastAsia="宋体" w:cs="宋体"/>
          <w:b/>
          <w:bCs/>
          <w:sz w:val="28"/>
          <w:szCs w:val="28"/>
          <w:highlight w:val="none"/>
          <w:u w:val="single"/>
          <w:lang w:val="en-US" w:eastAsia="zh-CN"/>
        </w:rPr>
        <w:t>资格审查资料</w:t>
      </w:r>
      <w:r>
        <w:rPr>
          <w:rFonts w:hint="eastAsia" w:ascii="宋体" w:hAnsi="宋体" w:eastAsia="宋体" w:cs="宋体"/>
          <w:b/>
          <w:bCs/>
          <w:sz w:val="28"/>
          <w:szCs w:val="28"/>
          <w:highlight w:val="none"/>
          <w:lang w:val="en-US" w:eastAsia="zh-CN"/>
        </w:rPr>
        <w:t>如下</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以便监督人检查</w:t>
      </w:r>
      <w:r>
        <w:rPr>
          <w:rFonts w:hint="eastAsia" w:ascii="宋体" w:hAnsi="宋体" w:eastAsia="宋体" w:cs="宋体"/>
          <w:b/>
          <w:bCs/>
          <w:sz w:val="28"/>
          <w:szCs w:val="28"/>
          <w:highlight w:val="none"/>
        </w:rPr>
        <w:t>：</w:t>
      </w:r>
    </w:p>
    <w:p>
      <w:pPr>
        <w:pStyle w:val="23"/>
        <w:keepNext w:val="0"/>
        <w:keepLines w:val="0"/>
        <w:pageBreakBefore w:val="0"/>
        <w:numPr>
          <w:ilvl w:val="0"/>
          <w:numId w:val="4"/>
        </w:numPr>
        <w:kinsoku/>
        <w:wordWrap/>
        <w:overflowPunct/>
        <w:topLinePunct w:val="0"/>
        <w:bidi w:val="0"/>
        <w:adjustRightInd w:val="0"/>
        <w:snapToGrid/>
        <w:spacing w:line="440" w:lineRule="exact"/>
        <w:ind w:firstLine="280" w:firstLineChars="100"/>
        <w:jc w:val="left"/>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营业执照（加盖企业公章的复印件）；</w:t>
      </w:r>
    </w:p>
    <w:p>
      <w:pPr>
        <w:pStyle w:val="23"/>
        <w:keepNext w:val="0"/>
        <w:keepLines w:val="0"/>
        <w:pageBreakBefore w:val="0"/>
        <w:numPr>
          <w:ilvl w:val="0"/>
          <w:numId w:val="4"/>
        </w:numPr>
        <w:kinsoku/>
        <w:wordWrap/>
        <w:overflowPunct/>
        <w:topLinePunct w:val="0"/>
        <w:bidi w:val="0"/>
        <w:adjustRightInd w:val="0"/>
        <w:snapToGrid/>
        <w:spacing w:line="440" w:lineRule="exact"/>
        <w:ind w:firstLine="280" w:firstLineChars="100"/>
        <w:jc w:val="left"/>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法定代表人身份证明书及法定代表人身份证或法定代表人授权委托书及被授权人身份证（原件并加盖企业公章）；</w:t>
      </w:r>
    </w:p>
    <w:p>
      <w:pPr>
        <w:pStyle w:val="23"/>
        <w:keepNext w:val="0"/>
        <w:keepLines w:val="0"/>
        <w:pageBreakBefore w:val="0"/>
        <w:numPr>
          <w:ilvl w:val="0"/>
          <w:numId w:val="4"/>
        </w:numPr>
        <w:kinsoku/>
        <w:wordWrap/>
        <w:overflowPunct/>
        <w:topLinePunct w:val="0"/>
        <w:bidi w:val="0"/>
        <w:adjustRightInd w:val="0"/>
        <w:snapToGrid/>
        <w:spacing w:line="440" w:lineRule="exact"/>
        <w:ind w:firstLine="280" w:firstLineChars="100"/>
        <w:jc w:val="left"/>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信用中国查询截图（加盖企业公章的复印件）；</w:t>
      </w:r>
    </w:p>
    <w:p>
      <w:pPr>
        <w:pStyle w:val="23"/>
        <w:keepNext w:val="0"/>
        <w:keepLines w:val="0"/>
        <w:pageBreakBefore w:val="0"/>
        <w:numPr>
          <w:ilvl w:val="0"/>
          <w:numId w:val="4"/>
        </w:numPr>
        <w:kinsoku/>
        <w:wordWrap/>
        <w:overflowPunct/>
        <w:topLinePunct w:val="0"/>
        <w:bidi w:val="0"/>
        <w:adjustRightInd w:val="0"/>
        <w:snapToGrid/>
        <w:spacing w:line="440" w:lineRule="exact"/>
        <w:ind w:firstLine="280" w:firstLineChars="100"/>
        <w:jc w:val="left"/>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保证金缴纳凭证（加盖企业公章的复印件）。</w:t>
      </w:r>
    </w:p>
    <w:p>
      <w:pPr>
        <w:pageBreakBefore w:val="0"/>
        <w:kinsoku/>
        <w:wordWrap/>
        <w:overflowPunct/>
        <w:topLinePunct w:val="0"/>
        <w:bidi w:val="0"/>
        <w:adjustRightInd w:val="0"/>
        <w:snapToGrid/>
        <w:spacing w:line="440" w:lineRule="exact"/>
        <w:ind w:firstLine="560" w:firstLineChars="200"/>
        <w:rPr>
          <w:rFonts w:hint="eastAsia"/>
          <w:highlight w:val="none"/>
        </w:rPr>
      </w:pPr>
      <w:r>
        <w:rPr>
          <w:rFonts w:hint="eastAsia" w:ascii="宋体" w:hAnsi="宋体" w:cs="宋体"/>
          <w:sz w:val="28"/>
          <w:szCs w:val="28"/>
          <w:highlight w:val="none"/>
          <w:lang w:val="en-US" w:eastAsia="zh-CN"/>
        </w:rPr>
        <w:t>16.6</w:t>
      </w:r>
      <w:r>
        <w:rPr>
          <w:rFonts w:hint="eastAsia" w:ascii="宋体" w:hAnsi="宋体" w:eastAsia="宋体" w:cs="宋体"/>
          <w:b w:val="0"/>
          <w:bCs w:val="0"/>
          <w:sz w:val="28"/>
          <w:szCs w:val="28"/>
          <w:highlight w:val="none"/>
        </w:rPr>
        <w:t>本次采购应实现节约能源、保护环境、扶持不发达地区和少数民族地区、促进中小企业发展等目标。</w:t>
      </w:r>
    </w:p>
    <w:p>
      <w:pPr>
        <w:pStyle w:val="7"/>
        <w:rPr>
          <w:rFonts w:hint="eastAsia"/>
          <w:highlight w:val="none"/>
        </w:rPr>
      </w:pP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44" w:name="_Toc62744621"/>
      <w:bookmarkStart w:id="45" w:name="_Toc171913598"/>
      <w:bookmarkStart w:id="46" w:name="_Toc98641135"/>
      <w:r>
        <w:rPr>
          <w:rFonts w:hint="eastAsia" w:ascii="宋体" w:hAnsi="宋体" w:eastAsia="宋体" w:cs="宋体"/>
          <w:highlight w:val="none"/>
        </w:rPr>
        <w:t>六、评审步骤和要求</w:t>
      </w:r>
      <w:bookmarkEnd w:id="44"/>
      <w:bookmarkEnd w:id="45"/>
      <w:bookmarkEnd w:id="46"/>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47" w:name="_Toc62744622"/>
      <w:r>
        <w:rPr>
          <w:rFonts w:hint="eastAsia" w:ascii="宋体" w:hAnsi="宋体" w:eastAsia="宋体" w:cs="宋体"/>
          <w:highlight w:val="none"/>
        </w:rPr>
        <w:t>17、组建</w:t>
      </w:r>
      <w:r>
        <w:rPr>
          <w:rFonts w:hint="eastAsia" w:ascii="宋体" w:hAnsi="宋体" w:eastAsia="宋体" w:cs="宋体"/>
          <w:highlight w:val="none"/>
          <w:lang w:eastAsia="zh-CN"/>
        </w:rPr>
        <w:t>磋商</w:t>
      </w:r>
      <w:r>
        <w:rPr>
          <w:rFonts w:hint="eastAsia" w:ascii="宋体" w:hAnsi="宋体" w:eastAsia="宋体" w:cs="宋体"/>
          <w:highlight w:val="none"/>
        </w:rPr>
        <w:t>小组</w:t>
      </w:r>
      <w:bookmarkEnd w:id="47"/>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17.1采购人根据《中华人民共和国政府采购法》、《中华人民共和国政府采购法实施条例》等有关法律法规和本</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文件的规定，结合本采购项目的特点组建</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小组，对具备实质性响应的响应文件进行评估和比较。</w:t>
      </w:r>
      <w:r>
        <w:rPr>
          <w:rFonts w:hint="eastAsia" w:ascii="宋体" w:hAnsi="宋体" w:eastAsia="宋体" w:cs="宋体"/>
          <w:sz w:val="28"/>
          <w:szCs w:val="28"/>
          <w:highlight w:val="none"/>
          <w:lang w:eastAsia="zh-CN"/>
        </w:rPr>
        <w:t>竞争性磋商</w:t>
      </w:r>
      <w:r>
        <w:rPr>
          <w:rFonts w:hint="eastAsia" w:ascii="宋体" w:hAnsi="宋体" w:eastAsia="宋体" w:cs="宋体"/>
          <w:sz w:val="28"/>
          <w:szCs w:val="28"/>
          <w:highlight w:val="none"/>
        </w:rPr>
        <w:t>小组由采购人代表和评审专家共3人以上单数组成，其中评审专家人数不得少于</w:t>
      </w:r>
      <w:r>
        <w:rPr>
          <w:rFonts w:hint="eastAsia" w:ascii="宋体" w:hAnsi="宋体" w:eastAsia="宋体" w:cs="宋体"/>
          <w:sz w:val="28"/>
          <w:szCs w:val="28"/>
          <w:highlight w:val="none"/>
          <w:lang w:eastAsia="zh-CN"/>
        </w:rPr>
        <w:t>竞争性磋商</w:t>
      </w:r>
      <w:r>
        <w:rPr>
          <w:rFonts w:hint="eastAsia" w:ascii="宋体" w:hAnsi="宋体" w:eastAsia="宋体" w:cs="宋体"/>
          <w:sz w:val="28"/>
          <w:szCs w:val="28"/>
          <w:highlight w:val="none"/>
        </w:rPr>
        <w:t>小组成员总数的2/3。采购人不得以评审专家身份参加本部门或本单位采购项目的评审。采购代理机构人员不得参加本机构代理的采购项目的评审。</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17.2采购人（或采购代理机构）应当从同级或上一级财政部门设立的政府采购评审专家库中，通过随机方式抽取评审专家。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17.3采购人对技术复杂、专业性极强的采购项目，通过随机方式难以确定合适评审专家的，经设区的市、自治州以上人民政府财政部门同意，可以采取选择性方式确定评审专家。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17.4采购人委托代表参加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小组的，向采购代理机构出具授权函，采购人代表不得担任</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小组组长。</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17.5采购人委派的纪检监察人员进入评审现场不得超过2人，其他无关人员不得进入评审现场。</w:t>
      </w:r>
    </w:p>
    <w:p>
      <w:pPr>
        <w:pStyle w:val="6"/>
        <w:pageBreakBefore w:val="0"/>
        <w:numPr>
          <w:ilvl w:val="0"/>
          <w:numId w:val="5"/>
        </w:numPr>
        <w:kinsoku/>
        <w:wordWrap/>
        <w:overflowPunct/>
        <w:topLinePunct w:val="0"/>
        <w:bidi w:val="0"/>
        <w:adjustRightInd w:val="0"/>
        <w:snapToGrid/>
        <w:spacing w:line="440" w:lineRule="exact"/>
        <w:rPr>
          <w:rFonts w:hint="eastAsia" w:cs="宋体"/>
          <w:highlight w:val="none"/>
          <w:lang w:val="en-US" w:eastAsia="zh-CN"/>
        </w:rPr>
      </w:pPr>
      <w:bookmarkStart w:id="48" w:name="_Toc62744623"/>
      <w:r>
        <w:rPr>
          <w:rFonts w:hint="eastAsia" w:cs="宋体"/>
          <w:highlight w:val="none"/>
          <w:lang w:val="en-US" w:eastAsia="zh-CN"/>
        </w:rPr>
        <w:t>评审方法：综合评分法。分初步评审和详细评审两个阶段。</w:t>
      </w:r>
    </w:p>
    <w:bookmarkEnd w:id="48"/>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eastAsia="宋体" w:cs="宋体"/>
          <w:sz w:val="28"/>
          <w:szCs w:val="28"/>
          <w:highlight w:val="none"/>
        </w:rPr>
        <w:t>18.1</w:t>
      </w:r>
      <w:r>
        <w:rPr>
          <w:rFonts w:hint="eastAsia" w:ascii="宋体" w:hAnsi="宋体" w:cs="宋体"/>
          <w:sz w:val="28"/>
          <w:szCs w:val="28"/>
          <w:highlight w:val="none"/>
          <w:lang w:val="en-US" w:eastAsia="zh-CN"/>
        </w:rPr>
        <w:t xml:space="preserve"> 只有通过初步评审的响应文件才可进入详细评审阶段。</w:t>
      </w:r>
    </w:p>
    <w:p>
      <w:pPr>
        <w:pStyle w:val="31"/>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sz w:val="28"/>
          <w:szCs w:val="28"/>
          <w:highlight w:val="none"/>
          <w:lang w:val="en-US" w:eastAsia="zh-CN"/>
        </w:rPr>
      </w:pPr>
      <w:r>
        <w:rPr>
          <w:rFonts w:hint="eastAsia" w:hAnsi="宋体" w:cs="宋体"/>
          <w:sz w:val="28"/>
          <w:szCs w:val="28"/>
          <w:highlight w:val="none"/>
          <w:lang w:val="en-US" w:eastAsia="zh-CN"/>
        </w:rPr>
        <w:t>18.2 详细评审分为商务评审（包含报价得分计算）和技术评审两个部分。</w:t>
      </w:r>
    </w:p>
    <w:p>
      <w:pPr>
        <w:pageBreakBefore w:val="0"/>
        <w:kinsoku/>
        <w:wordWrap/>
        <w:overflowPunct/>
        <w:topLinePunct w:val="0"/>
        <w:bidi w:val="0"/>
        <w:adjustRightInd w:val="0"/>
        <w:snapToGrid/>
        <w:spacing w:line="440" w:lineRule="exact"/>
        <w:ind w:left="1099" w:leftChars="458" w:firstLine="0" w:firstLineChars="0"/>
        <w:jc w:val="left"/>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18.2.1价格部分权重：</w:t>
      </w:r>
      <w:r>
        <w:rPr>
          <w:rFonts w:hint="eastAsia" w:ascii="宋体" w:hAnsi="宋体" w:cs="宋体"/>
          <w:sz w:val="28"/>
          <w:szCs w:val="28"/>
          <w:highlight w:val="none"/>
          <w:lang w:val="en-US" w:eastAsia="zh-CN" w:bidi="ar-SA"/>
        </w:rPr>
        <w:t>60</w:t>
      </w:r>
      <w:r>
        <w:rPr>
          <w:rFonts w:hint="eastAsia" w:ascii="宋体" w:hAnsi="宋体" w:eastAsia="宋体" w:cs="宋体"/>
          <w:sz w:val="28"/>
          <w:szCs w:val="28"/>
          <w:highlight w:val="none"/>
          <w:lang w:val="en-US" w:eastAsia="zh-CN" w:bidi="ar-SA"/>
        </w:rPr>
        <w:t>%（综合评分法中的价格分统一采用低价优先法计算，即满足招标文件要求且投标价格最低的投标报价为评标基准价，其价格分为满分</w:t>
      </w:r>
      <w:r>
        <w:rPr>
          <w:rFonts w:hint="eastAsia" w:ascii="宋体" w:hAnsi="宋体" w:cs="宋体"/>
          <w:sz w:val="28"/>
          <w:szCs w:val="28"/>
          <w:highlight w:val="none"/>
          <w:lang w:val="en-US" w:eastAsia="zh-CN" w:bidi="ar-SA"/>
        </w:rPr>
        <w:t>60</w:t>
      </w:r>
      <w:r>
        <w:rPr>
          <w:rFonts w:hint="eastAsia" w:ascii="宋体" w:hAnsi="宋体" w:eastAsia="宋体" w:cs="宋体"/>
          <w:sz w:val="28"/>
          <w:szCs w:val="28"/>
          <w:highlight w:val="none"/>
          <w:lang w:val="en-US" w:eastAsia="zh-CN" w:bidi="ar-SA"/>
        </w:rPr>
        <w:t>分，其投标报价得分=(评标基准价／投标报价)×价格权值）</w:t>
      </w:r>
    </w:p>
    <w:p>
      <w:pPr>
        <w:pStyle w:val="10"/>
        <w:pageBreakBefore w:val="0"/>
        <w:kinsoku/>
        <w:wordWrap/>
        <w:overflowPunct/>
        <w:topLinePunct w:val="0"/>
        <w:bidi w:val="0"/>
        <w:adjustRightInd w:val="0"/>
        <w:snapToGrid/>
        <w:spacing w:line="440" w:lineRule="exact"/>
        <w:ind w:left="821" w:leftChars="342" w:firstLine="280" w:firstLineChars="100"/>
        <w:rPr>
          <w:rFonts w:hint="eastAsia" w:hAnsi="宋体" w:cs="宋体"/>
          <w:sz w:val="28"/>
          <w:szCs w:val="28"/>
          <w:highlight w:val="none"/>
          <w:lang w:val="en-US" w:eastAsia="zh-CN"/>
        </w:rPr>
      </w:pPr>
      <w:r>
        <w:rPr>
          <w:rFonts w:hint="eastAsia" w:ascii="宋体" w:hAnsi="宋体" w:eastAsia="宋体" w:cs="宋体"/>
          <w:sz w:val="28"/>
          <w:szCs w:val="28"/>
          <w:highlight w:val="none"/>
          <w:lang w:val="en-US" w:eastAsia="zh-CN" w:bidi="ar-SA"/>
        </w:rPr>
        <w:t>18.2.2商务及技术权重：</w:t>
      </w:r>
      <w:r>
        <w:rPr>
          <w:rFonts w:hint="eastAsia" w:hAnsi="宋体" w:cs="宋体"/>
          <w:sz w:val="28"/>
          <w:szCs w:val="28"/>
          <w:highlight w:val="none"/>
          <w:lang w:val="en-US" w:eastAsia="zh-CN" w:bidi="ar-SA"/>
        </w:rPr>
        <w:t>40</w:t>
      </w:r>
      <w:r>
        <w:rPr>
          <w:rFonts w:hint="eastAsia" w:ascii="宋体" w:hAnsi="宋体" w:eastAsia="宋体" w:cs="宋体"/>
          <w:sz w:val="28"/>
          <w:szCs w:val="28"/>
          <w:highlight w:val="none"/>
          <w:lang w:val="en-US" w:eastAsia="zh-CN" w:bidi="ar-SA"/>
        </w:rPr>
        <w:t>%</w:t>
      </w:r>
    </w:p>
    <w:p>
      <w:pPr>
        <w:pStyle w:val="31"/>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0"/>
        <w:textAlignment w:val="auto"/>
        <w:rPr>
          <w:rFonts w:hint="default" w:hAnsi="宋体" w:cs="宋体"/>
          <w:sz w:val="28"/>
          <w:szCs w:val="28"/>
          <w:highlight w:val="none"/>
          <w:lang w:val="en-US" w:eastAsia="zh-CN"/>
        </w:rPr>
      </w:pPr>
      <w:r>
        <w:rPr>
          <w:rFonts w:hint="eastAsia" w:hAnsi="宋体" w:cs="宋体"/>
          <w:sz w:val="28"/>
          <w:szCs w:val="28"/>
          <w:highlight w:val="none"/>
          <w:lang w:val="en-US" w:eastAsia="zh-CN"/>
        </w:rPr>
        <w:t xml:space="preserve">18.3 </w:t>
      </w:r>
      <w:r>
        <w:rPr>
          <w:rFonts w:hint="eastAsia" w:ascii="宋体" w:hAnsi="宋体" w:eastAsia="宋体" w:cs="宋体"/>
          <w:sz w:val="28"/>
          <w:szCs w:val="28"/>
          <w:highlight w:val="none"/>
        </w:rPr>
        <w:t>在详细评审之前，</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小组要审查每份响应文件是否实质上响应了</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文件的要求。</w:t>
      </w:r>
      <w:r>
        <w:rPr>
          <w:rFonts w:hint="eastAsia" w:hAnsi="宋体" w:cs="宋体"/>
          <w:sz w:val="28"/>
          <w:szCs w:val="28"/>
          <w:highlight w:val="none"/>
          <w:lang w:val="en-US" w:eastAsia="zh-CN"/>
        </w:rPr>
        <w:t>详见</w:t>
      </w:r>
      <w:r>
        <w:rPr>
          <w:rFonts w:hint="eastAsia" w:hAnsi="宋体" w:cs="宋体"/>
          <w:b/>
          <w:bCs/>
          <w:sz w:val="28"/>
          <w:szCs w:val="28"/>
          <w:highlight w:val="none"/>
          <w:lang w:val="en-US" w:eastAsia="zh-CN"/>
        </w:rPr>
        <w:t>初步评审内容：</w:t>
      </w:r>
    </w:p>
    <w:p>
      <w:pPr>
        <w:pStyle w:val="31"/>
        <w:keepNext w:val="0"/>
        <w:keepLines w:val="0"/>
        <w:pageBreakBefore w:val="0"/>
        <w:widowControl w:val="0"/>
        <w:kinsoku/>
        <w:wordWrap/>
        <w:overflowPunct/>
        <w:topLinePunct w:val="0"/>
        <w:autoSpaceDE w:val="0"/>
        <w:autoSpaceDN w:val="0"/>
        <w:bidi w:val="0"/>
        <w:adjustRightInd w:val="0"/>
        <w:snapToGrid/>
        <w:spacing w:line="440" w:lineRule="exact"/>
        <w:ind w:firstLine="936" w:firstLineChars="333"/>
        <w:textAlignment w:val="auto"/>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18.3.1响应文件组成</w:t>
      </w:r>
      <w:r>
        <w:rPr>
          <w:rFonts w:hint="eastAsia" w:hAnsi="宋体" w:cs="宋体"/>
          <w:b/>
          <w:bCs/>
          <w:color w:val="auto"/>
          <w:sz w:val="28"/>
          <w:szCs w:val="28"/>
          <w:highlight w:val="none"/>
          <w:lang w:val="en-US" w:eastAsia="zh-CN" w:bidi="ar-SA"/>
        </w:rPr>
        <w:t>是否</w:t>
      </w:r>
      <w:r>
        <w:rPr>
          <w:rFonts w:hint="eastAsia" w:ascii="宋体" w:hAnsi="宋体" w:eastAsia="宋体" w:cs="宋体"/>
          <w:b/>
          <w:bCs/>
          <w:color w:val="auto"/>
          <w:sz w:val="28"/>
          <w:szCs w:val="28"/>
          <w:highlight w:val="none"/>
          <w:lang w:val="en-US" w:eastAsia="zh-CN" w:bidi="ar-SA"/>
        </w:rPr>
        <w:t>完整，主要内容</w:t>
      </w:r>
      <w:r>
        <w:rPr>
          <w:rFonts w:hint="eastAsia" w:hAnsi="宋体" w:cs="宋体"/>
          <w:b/>
          <w:bCs/>
          <w:color w:val="auto"/>
          <w:sz w:val="28"/>
          <w:szCs w:val="28"/>
          <w:highlight w:val="none"/>
          <w:lang w:val="en-US" w:eastAsia="zh-CN" w:bidi="ar-SA"/>
        </w:rPr>
        <w:t>是否</w:t>
      </w:r>
      <w:r>
        <w:rPr>
          <w:rFonts w:hint="eastAsia" w:ascii="宋体" w:hAnsi="宋体" w:eastAsia="宋体" w:cs="宋体"/>
          <w:b/>
          <w:bCs/>
          <w:color w:val="auto"/>
          <w:sz w:val="28"/>
          <w:szCs w:val="28"/>
          <w:highlight w:val="none"/>
          <w:lang w:val="en-US" w:eastAsia="zh-CN" w:bidi="ar-SA"/>
        </w:rPr>
        <w:t>按磋商文件规定的内容、格式填写、装订；</w:t>
      </w:r>
    </w:p>
    <w:p>
      <w:pPr>
        <w:pStyle w:val="16"/>
        <w:pageBreakBefore w:val="0"/>
        <w:kinsoku/>
        <w:wordWrap/>
        <w:overflowPunct/>
        <w:topLinePunct w:val="0"/>
        <w:bidi w:val="0"/>
        <w:adjustRightInd w:val="0"/>
        <w:snapToGrid/>
        <w:spacing w:before="0" w:beforeLines="0" w:beforeAutospacing="0" w:after="0" w:afterLines="0" w:afterAutospacing="0" w:line="440" w:lineRule="exact"/>
        <w:ind w:firstLine="843" w:firstLineChars="300"/>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18.3.2响应文件的有效期</w:t>
      </w:r>
      <w:r>
        <w:rPr>
          <w:rFonts w:hint="eastAsia" w:cs="宋体"/>
          <w:b/>
          <w:bCs/>
          <w:color w:val="auto"/>
          <w:sz w:val="28"/>
          <w:szCs w:val="28"/>
          <w:highlight w:val="none"/>
          <w:lang w:val="en-US" w:eastAsia="zh-CN" w:bidi="ar-SA"/>
        </w:rPr>
        <w:t>是否</w:t>
      </w:r>
      <w:r>
        <w:rPr>
          <w:rFonts w:hint="eastAsia" w:ascii="宋体" w:hAnsi="宋体" w:eastAsia="宋体" w:cs="宋体"/>
          <w:b/>
          <w:bCs/>
          <w:color w:val="auto"/>
          <w:sz w:val="28"/>
          <w:szCs w:val="28"/>
          <w:highlight w:val="none"/>
          <w:lang w:val="en-US" w:eastAsia="zh-CN" w:bidi="ar-SA"/>
        </w:rPr>
        <w:t>满足磋商文件的规定；</w:t>
      </w:r>
    </w:p>
    <w:p>
      <w:pPr>
        <w:pStyle w:val="16"/>
        <w:pageBreakBefore w:val="0"/>
        <w:kinsoku/>
        <w:wordWrap/>
        <w:overflowPunct/>
        <w:topLinePunct w:val="0"/>
        <w:bidi w:val="0"/>
        <w:adjustRightInd w:val="0"/>
        <w:snapToGrid/>
        <w:spacing w:before="0" w:beforeLines="0" w:beforeAutospacing="0" w:after="0" w:afterLines="0" w:afterAutospacing="0" w:line="440" w:lineRule="exact"/>
        <w:ind w:firstLine="843" w:firstLineChars="300"/>
        <w:rPr>
          <w:rFonts w:hint="default"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18.3.3</w:t>
      </w:r>
      <w:r>
        <w:rPr>
          <w:rFonts w:hint="eastAsia" w:cs="宋体"/>
          <w:b/>
          <w:bCs/>
          <w:color w:val="auto"/>
          <w:sz w:val="28"/>
          <w:szCs w:val="28"/>
          <w:highlight w:val="none"/>
          <w:lang w:val="en-US" w:eastAsia="zh-CN" w:bidi="ar-SA"/>
        </w:rPr>
        <w:t>法定代表人</w:t>
      </w:r>
      <w:r>
        <w:rPr>
          <w:rFonts w:hint="eastAsia" w:ascii="宋体" w:hAnsi="宋体" w:eastAsia="宋体" w:cs="宋体"/>
          <w:b/>
          <w:bCs/>
          <w:color w:val="auto"/>
          <w:sz w:val="28"/>
          <w:szCs w:val="28"/>
          <w:highlight w:val="none"/>
          <w:lang w:val="en-US" w:eastAsia="zh-CN" w:bidi="ar-SA"/>
        </w:rPr>
        <w:t>授权</w:t>
      </w:r>
      <w:r>
        <w:rPr>
          <w:rFonts w:hint="eastAsia" w:cs="宋体"/>
          <w:b/>
          <w:bCs/>
          <w:color w:val="auto"/>
          <w:sz w:val="28"/>
          <w:szCs w:val="28"/>
          <w:highlight w:val="none"/>
          <w:lang w:val="en-US" w:eastAsia="zh-CN" w:bidi="ar-SA"/>
        </w:rPr>
        <w:t>委托</w:t>
      </w:r>
      <w:r>
        <w:rPr>
          <w:rFonts w:hint="eastAsia" w:ascii="宋体" w:hAnsi="宋体" w:eastAsia="宋体" w:cs="宋体"/>
          <w:b/>
          <w:bCs/>
          <w:color w:val="auto"/>
          <w:sz w:val="28"/>
          <w:szCs w:val="28"/>
          <w:highlight w:val="none"/>
          <w:lang w:val="en-US" w:eastAsia="zh-CN" w:bidi="ar-SA"/>
        </w:rPr>
        <w:t>书</w:t>
      </w:r>
      <w:r>
        <w:rPr>
          <w:rFonts w:hint="eastAsia" w:cs="宋体"/>
          <w:b/>
          <w:bCs/>
          <w:color w:val="auto"/>
          <w:sz w:val="28"/>
          <w:szCs w:val="28"/>
          <w:highlight w:val="none"/>
          <w:lang w:val="en-US" w:eastAsia="zh-CN" w:bidi="ar-SA"/>
        </w:rPr>
        <w:t>是否</w:t>
      </w:r>
      <w:r>
        <w:rPr>
          <w:rFonts w:hint="eastAsia" w:ascii="宋体" w:hAnsi="宋体" w:eastAsia="宋体" w:cs="宋体"/>
          <w:b/>
          <w:bCs/>
          <w:color w:val="auto"/>
          <w:sz w:val="28"/>
          <w:szCs w:val="28"/>
          <w:highlight w:val="none"/>
          <w:lang w:val="en-US" w:eastAsia="zh-CN" w:bidi="ar-SA"/>
        </w:rPr>
        <w:t>由法定代表人签署</w:t>
      </w:r>
      <w:r>
        <w:rPr>
          <w:rFonts w:hint="eastAsia" w:ascii="宋体" w:hAnsi="宋体" w:eastAsia="宋体" w:cs="宋体"/>
          <w:b/>
          <w:bCs/>
          <w:color w:val="auto"/>
          <w:sz w:val="28"/>
          <w:szCs w:val="28"/>
          <w:highlight w:val="none"/>
          <w:lang w:val="zh-CN" w:eastAsia="zh-CN" w:bidi="ar-SA"/>
        </w:rPr>
        <w:t>并加盖公章</w:t>
      </w:r>
      <w:r>
        <w:rPr>
          <w:rFonts w:hint="eastAsia" w:ascii="宋体" w:hAnsi="宋体" w:eastAsia="宋体" w:cs="宋体"/>
          <w:b/>
          <w:bCs/>
          <w:color w:val="auto"/>
          <w:sz w:val="28"/>
          <w:szCs w:val="28"/>
          <w:highlight w:val="none"/>
          <w:lang w:val="en-US" w:eastAsia="zh-CN" w:bidi="ar-SA"/>
        </w:rPr>
        <w:t>；</w:t>
      </w:r>
    </w:p>
    <w:p>
      <w:pPr>
        <w:pStyle w:val="16"/>
        <w:pageBreakBefore w:val="0"/>
        <w:kinsoku/>
        <w:wordWrap/>
        <w:overflowPunct/>
        <w:topLinePunct w:val="0"/>
        <w:bidi w:val="0"/>
        <w:adjustRightInd w:val="0"/>
        <w:snapToGrid/>
        <w:spacing w:before="0" w:beforeLines="0" w:beforeAutospacing="0" w:after="0" w:afterLines="0" w:afterAutospacing="0" w:line="440" w:lineRule="exact"/>
        <w:ind w:firstLine="843" w:firstLineChars="300"/>
        <w:rPr>
          <w:rFonts w:hint="default" w:ascii="宋体" w:hAnsi="宋体" w:eastAsia="宋体" w:cs="宋体"/>
          <w:b/>
          <w:bCs/>
          <w:color w:val="auto"/>
          <w:sz w:val="28"/>
          <w:szCs w:val="28"/>
          <w:highlight w:val="none"/>
          <w:lang w:val="en-US" w:eastAsia="zh-CN" w:bidi="ar-SA"/>
        </w:rPr>
      </w:pPr>
      <w:r>
        <w:rPr>
          <w:rFonts w:hint="eastAsia" w:cs="宋体"/>
          <w:b/>
          <w:bCs/>
          <w:color w:val="auto"/>
          <w:sz w:val="28"/>
          <w:szCs w:val="28"/>
          <w:highlight w:val="none"/>
          <w:lang w:val="en-US" w:eastAsia="zh-CN" w:bidi="ar-SA"/>
        </w:rPr>
        <w:t>18.3.4</w:t>
      </w:r>
      <w:r>
        <w:rPr>
          <w:rFonts w:hint="eastAsia" w:ascii="宋体" w:hAnsi="宋体" w:eastAsia="宋体" w:cs="宋体"/>
          <w:b/>
          <w:bCs/>
          <w:color w:val="auto"/>
          <w:sz w:val="28"/>
          <w:szCs w:val="28"/>
          <w:highlight w:val="none"/>
          <w:lang w:val="en-US" w:eastAsia="zh-CN" w:bidi="ar-SA"/>
        </w:rPr>
        <w:t>响应文件</w:t>
      </w:r>
      <w:r>
        <w:rPr>
          <w:rFonts w:hint="eastAsia" w:cs="宋体"/>
          <w:b/>
          <w:bCs/>
          <w:color w:val="auto"/>
          <w:sz w:val="28"/>
          <w:szCs w:val="28"/>
          <w:highlight w:val="none"/>
          <w:lang w:val="en-US" w:eastAsia="zh-CN" w:bidi="ar-SA"/>
        </w:rPr>
        <w:t>是否</w:t>
      </w:r>
      <w:r>
        <w:rPr>
          <w:rFonts w:hint="eastAsia" w:ascii="宋体" w:hAnsi="宋体" w:eastAsia="宋体" w:cs="宋体"/>
          <w:b/>
          <w:bCs/>
          <w:color w:val="auto"/>
          <w:sz w:val="28"/>
          <w:szCs w:val="28"/>
          <w:highlight w:val="none"/>
          <w:lang w:val="en-US" w:eastAsia="zh-CN" w:bidi="ar-SA"/>
        </w:rPr>
        <w:t>按照规定在应由企业法人或法人授权代表在所有规定签章处逐一签署及加盖单位公章；</w:t>
      </w:r>
    </w:p>
    <w:p>
      <w:pPr>
        <w:pStyle w:val="16"/>
        <w:pageBreakBefore w:val="0"/>
        <w:kinsoku/>
        <w:wordWrap/>
        <w:overflowPunct/>
        <w:topLinePunct w:val="0"/>
        <w:bidi w:val="0"/>
        <w:adjustRightInd w:val="0"/>
        <w:snapToGrid/>
        <w:spacing w:before="0" w:beforeLines="0" w:beforeAutospacing="0" w:after="0" w:afterLines="0" w:afterAutospacing="0" w:line="440" w:lineRule="exact"/>
        <w:ind w:firstLine="843" w:firstLineChars="300"/>
        <w:rPr>
          <w:rFonts w:hint="eastAsia" w:ascii="宋体" w:hAnsi="宋体" w:eastAsia="宋体" w:cs="宋体"/>
          <w:b/>
          <w:bCs/>
          <w:color w:val="auto"/>
          <w:sz w:val="28"/>
          <w:szCs w:val="28"/>
          <w:highlight w:val="none"/>
          <w:lang w:val="en-US" w:eastAsia="zh-CN" w:bidi="ar-SA"/>
        </w:rPr>
      </w:pPr>
      <w:r>
        <w:rPr>
          <w:rFonts w:hint="eastAsia" w:cs="宋体"/>
          <w:b/>
          <w:bCs/>
          <w:color w:val="auto"/>
          <w:sz w:val="28"/>
          <w:szCs w:val="28"/>
          <w:highlight w:val="none"/>
          <w:lang w:val="en-US" w:eastAsia="zh-CN" w:bidi="ar-SA"/>
        </w:rPr>
        <w:t>18.3.5</w:t>
      </w:r>
      <w:r>
        <w:rPr>
          <w:rFonts w:hint="eastAsia" w:ascii="宋体" w:hAnsi="宋体" w:eastAsia="宋体" w:cs="宋体"/>
          <w:b/>
          <w:bCs/>
          <w:color w:val="auto"/>
          <w:sz w:val="28"/>
          <w:szCs w:val="28"/>
          <w:highlight w:val="none"/>
          <w:lang w:val="en-US" w:eastAsia="zh-CN" w:bidi="ar-SA"/>
        </w:rPr>
        <w:t>响应文件载明的磋商项目交货期限</w:t>
      </w:r>
      <w:r>
        <w:rPr>
          <w:rFonts w:hint="eastAsia" w:cs="宋体"/>
          <w:b/>
          <w:bCs/>
          <w:color w:val="auto"/>
          <w:sz w:val="28"/>
          <w:szCs w:val="28"/>
          <w:highlight w:val="none"/>
          <w:lang w:val="en-US" w:eastAsia="zh-CN" w:bidi="ar-SA"/>
        </w:rPr>
        <w:t>符合</w:t>
      </w:r>
      <w:r>
        <w:rPr>
          <w:rFonts w:hint="eastAsia" w:ascii="宋体" w:hAnsi="宋体" w:eastAsia="宋体" w:cs="宋体"/>
          <w:b/>
          <w:bCs/>
          <w:color w:val="auto"/>
          <w:sz w:val="28"/>
          <w:szCs w:val="28"/>
          <w:highlight w:val="none"/>
          <w:lang w:val="en-US" w:eastAsia="zh-CN" w:bidi="ar-SA"/>
        </w:rPr>
        <w:t>磋商文件规定的期限；</w:t>
      </w:r>
    </w:p>
    <w:p>
      <w:pPr>
        <w:pStyle w:val="23"/>
        <w:pageBreakBefore w:val="0"/>
        <w:kinsoku/>
        <w:wordWrap/>
        <w:overflowPunct/>
        <w:topLinePunct w:val="0"/>
        <w:bidi w:val="0"/>
        <w:adjustRightInd w:val="0"/>
        <w:snapToGrid/>
        <w:spacing w:line="440" w:lineRule="exact"/>
        <w:ind w:firstLine="843" w:firstLineChars="300"/>
        <w:jc w:val="both"/>
        <w:rPr>
          <w:rFonts w:hint="eastAsia" w:ascii="宋体" w:hAnsi="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18.3.</w:t>
      </w:r>
      <w:r>
        <w:rPr>
          <w:rFonts w:hint="eastAsia" w:ascii="宋体" w:hAnsi="宋体" w:cs="宋体"/>
          <w:b/>
          <w:bCs/>
          <w:color w:val="auto"/>
          <w:sz w:val="28"/>
          <w:szCs w:val="28"/>
          <w:highlight w:val="none"/>
          <w:lang w:val="en-US" w:eastAsia="zh-CN" w:bidi="ar-SA"/>
        </w:rPr>
        <w:t xml:space="preserve">6 </w:t>
      </w:r>
      <w:r>
        <w:rPr>
          <w:rFonts w:hint="eastAsia" w:ascii="宋体" w:hAnsi="宋体" w:eastAsia="宋体" w:cs="宋体"/>
          <w:b/>
          <w:bCs/>
          <w:color w:val="auto"/>
          <w:sz w:val="28"/>
          <w:szCs w:val="28"/>
          <w:highlight w:val="none"/>
          <w:lang w:val="en-US" w:eastAsia="zh-CN" w:bidi="ar-SA"/>
        </w:rPr>
        <w:t>响应文件载明的磋商项目交货</w:t>
      </w:r>
      <w:r>
        <w:rPr>
          <w:rFonts w:hint="eastAsia" w:ascii="宋体" w:hAnsi="宋体" w:cs="宋体"/>
          <w:b/>
          <w:bCs/>
          <w:color w:val="auto"/>
          <w:sz w:val="28"/>
          <w:szCs w:val="28"/>
          <w:highlight w:val="none"/>
          <w:lang w:val="en-US" w:eastAsia="zh-CN" w:bidi="ar-SA"/>
        </w:rPr>
        <w:t>地点</w:t>
      </w:r>
      <w:r>
        <w:rPr>
          <w:rFonts w:hint="eastAsia" w:cs="宋体"/>
          <w:b/>
          <w:bCs/>
          <w:color w:val="auto"/>
          <w:sz w:val="28"/>
          <w:szCs w:val="28"/>
          <w:highlight w:val="none"/>
          <w:lang w:val="en-US" w:eastAsia="zh-CN" w:bidi="ar-SA"/>
        </w:rPr>
        <w:t>符合</w:t>
      </w:r>
      <w:r>
        <w:rPr>
          <w:rFonts w:hint="eastAsia" w:ascii="宋体" w:hAnsi="宋体" w:eastAsia="宋体" w:cs="宋体"/>
          <w:b/>
          <w:bCs/>
          <w:color w:val="auto"/>
          <w:sz w:val="28"/>
          <w:szCs w:val="28"/>
          <w:highlight w:val="none"/>
          <w:lang w:val="en-US" w:eastAsia="zh-CN" w:bidi="ar-SA"/>
        </w:rPr>
        <w:t>磋商文件规定的</w:t>
      </w:r>
      <w:r>
        <w:rPr>
          <w:rFonts w:hint="eastAsia" w:ascii="宋体" w:hAnsi="宋体" w:cs="宋体"/>
          <w:b/>
          <w:bCs/>
          <w:color w:val="auto"/>
          <w:sz w:val="28"/>
          <w:szCs w:val="28"/>
          <w:highlight w:val="none"/>
          <w:lang w:val="en-US" w:eastAsia="zh-CN" w:bidi="ar-SA"/>
        </w:rPr>
        <w:t>地点</w:t>
      </w:r>
      <w:r>
        <w:rPr>
          <w:rFonts w:hint="eastAsia" w:ascii="宋体" w:hAnsi="宋体" w:eastAsia="宋体" w:cs="宋体"/>
          <w:b/>
          <w:bCs/>
          <w:color w:val="auto"/>
          <w:sz w:val="28"/>
          <w:szCs w:val="28"/>
          <w:highlight w:val="none"/>
          <w:lang w:val="en-US" w:eastAsia="zh-CN" w:bidi="ar-SA"/>
        </w:rPr>
        <w:t>；</w:t>
      </w:r>
    </w:p>
    <w:p>
      <w:pPr>
        <w:pStyle w:val="23"/>
        <w:pageBreakBefore w:val="0"/>
        <w:kinsoku/>
        <w:wordWrap/>
        <w:overflowPunct/>
        <w:topLinePunct w:val="0"/>
        <w:bidi w:val="0"/>
        <w:adjustRightInd w:val="0"/>
        <w:snapToGrid/>
        <w:spacing w:line="440" w:lineRule="exact"/>
        <w:ind w:firstLine="843" w:firstLineChars="300"/>
        <w:jc w:val="both"/>
        <w:rPr>
          <w:rFonts w:hint="eastAsia" w:ascii="宋体" w:hAnsi="宋体" w:eastAsia="宋体" w:cs="宋体"/>
          <w:b/>
          <w:bCs/>
          <w:color w:val="auto"/>
          <w:sz w:val="28"/>
          <w:szCs w:val="28"/>
          <w:highlight w:val="none"/>
          <w:lang w:val="en-US" w:eastAsia="zh-CN" w:bidi="ar-SA"/>
        </w:rPr>
      </w:pPr>
      <w:r>
        <w:rPr>
          <w:rFonts w:hint="eastAsia" w:ascii="宋体" w:hAnsi="宋体" w:cs="宋体"/>
          <w:b/>
          <w:bCs/>
          <w:color w:val="auto"/>
          <w:sz w:val="28"/>
          <w:szCs w:val="28"/>
          <w:highlight w:val="none"/>
          <w:lang w:val="en-US" w:eastAsia="zh-CN" w:bidi="ar-SA"/>
        </w:rPr>
        <w:t xml:space="preserve">18.3.7 </w:t>
      </w:r>
      <w:r>
        <w:rPr>
          <w:rFonts w:hint="eastAsia" w:ascii="宋体" w:hAnsi="宋体" w:eastAsia="宋体" w:cs="宋体"/>
          <w:b/>
          <w:bCs/>
          <w:color w:val="auto"/>
          <w:sz w:val="28"/>
          <w:szCs w:val="28"/>
          <w:highlight w:val="none"/>
          <w:lang w:val="en-US" w:eastAsia="zh-CN" w:bidi="ar-SA"/>
        </w:rPr>
        <w:t>响应文件载明的磋商项目</w:t>
      </w:r>
      <w:r>
        <w:rPr>
          <w:rFonts w:hint="eastAsia" w:cs="宋体"/>
          <w:b/>
          <w:bCs/>
          <w:color w:val="auto"/>
          <w:sz w:val="28"/>
          <w:szCs w:val="28"/>
          <w:highlight w:val="none"/>
          <w:lang w:val="en-US" w:eastAsia="zh-CN" w:bidi="ar-SA"/>
        </w:rPr>
        <w:t>质保期符合</w:t>
      </w:r>
      <w:r>
        <w:rPr>
          <w:rFonts w:hint="eastAsia" w:ascii="宋体" w:hAnsi="宋体" w:eastAsia="宋体" w:cs="宋体"/>
          <w:b/>
          <w:bCs/>
          <w:color w:val="auto"/>
          <w:sz w:val="28"/>
          <w:szCs w:val="28"/>
          <w:highlight w:val="none"/>
          <w:lang w:val="en-US" w:eastAsia="zh-CN" w:bidi="ar-SA"/>
        </w:rPr>
        <w:t>磋商文件规定的期限；</w:t>
      </w:r>
    </w:p>
    <w:p>
      <w:pPr>
        <w:pStyle w:val="16"/>
        <w:pageBreakBefore w:val="0"/>
        <w:kinsoku/>
        <w:wordWrap/>
        <w:overflowPunct/>
        <w:topLinePunct w:val="0"/>
        <w:bidi w:val="0"/>
        <w:adjustRightInd w:val="0"/>
        <w:snapToGrid/>
        <w:spacing w:before="0" w:beforeLines="0" w:beforeAutospacing="0" w:after="0" w:afterLines="0" w:afterAutospacing="0" w:line="440" w:lineRule="exact"/>
        <w:ind w:firstLine="843" w:firstLineChars="300"/>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18.3.</w:t>
      </w:r>
      <w:r>
        <w:rPr>
          <w:rFonts w:hint="eastAsia" w:cs="宋体"/>
          <w:b/>
          <w:bCs/>
          <w:color w:val="auto"/>
          <w:sz w:val="28"/>
          <w:szCs w:val="28"/>
          <w:highlight w:val="none"/>
          <w:lang w:val="en-US" w:eastAsia="zh-CN" w:bidi="ar-SA"/>
        </w:rPr>
        <w:t>8</w:t>
      </w:r>
      <w:r>
        <w:rPr>
          <w:rFonts w:hint="eastAsia" w:ascii="宋体" w:hAnsi="宋体" w:eastAsia="宋体" w:cs="宋体"/>
          <w:b/>
          <w:bCs/>
          <w:color w:val="auto"/>
          <w:sz w:val="28"/>
          <w:szCs w:val="28"/>
          <w:highlight w:val="none"/>
          <w:lang w:val="en-US" w:eastAsia="zh-CN" w:bidi="ar-SA"/>
        </w:rPr>
        <w:t>供应商的报价</w:t>
      </w:r>
      <w:r>
        <w:rPr>
          <w:rFonts w:hint="eastAsia" w:cs="宋体"/>
          <w:b/>
          <w:bCs/>
          <w:color w:val="auto"/>
          <w:sz w:val="28"/>
          <w:szCs w:val="28"/>
          <w:highlight w:val="none"/>
          <w:lang w:val="en-US" w:eastAsia="zh-CN" w:bidi="ar-SA"/>
        </w:rPr>
        <w:t>是否未</w:t>
      </w:r>
      <w:r>
        <w:rPr>
          <w:rFonts w:hint="eastAsia" w:ascii="宋体" w:hAnsi="宋体" w:eastAsia="宋体" w:cs="宋体"/>
          <w:b/>
          <w:bCs/>
          <w:color w:val="auto"/>
          <w:sz w:val="28"/>
          <w:szCs w:val="28"/>
          <w:highlight w:val="none"/>
          <w:lang w:val="en-US" w:eastAsia="zh-CN" w:bidi="ar-SA"/>
        </w:rPr>
        <w:t>超过预算价或最高限价；</w:t>
      </w:r>
    </w:p>
    <w:p>
      <w:pPr>
        <w:pStyle w:val="16"/>
        <w:pageBreakBefore w:val="0"/>
        <w:kinsoku/>
        <w:wordWrap/>
        <w:overflowPunct/>
        <w:topLinePunct w:val="0"/>
        <w:bidi w:val="0"/>
        <w:adjustRightInd w:val="0"/>
        <w:snapToGrid/>
        <w:spacing w:before="0" w:beforeLines="0" w:beforeAutospacing="0" w:after="0" w:afterLines="0" w:afterAutospacing="0" w:line="440" w:lineRule="exact"/>
        <w:ind w:firstLine="843" w:firstLineChars="300"/>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18.3.</w:t>
      </w:r>
      <w:r>
        <w:rPr>
          <w:rFonts w:hint="eastAsia" w:cs="宋体"/>
          <w:b/>
          <w:bCs/>
          <w:color w:val="auto"/>
          <w:sz w:val="28"/>
          <w:szCs w:val="28"/>
          <w:highlight w:val="none"/>
          <w:lang w:val="en-US" w:eastAsia="zh-CN" w:bidi="ar-SA"/>
        </w:rPr>
        <w:t>9</w:t>
      </w:r>
      <w:r>
        <w:rPr>
          <w:rFonts w:hint="eastAsia" w:ascii="宋体" w:hAnsi="宋体" w:eastAsia="宋体" w:cs="宋体"/>
          <w:b/>
          <w:bCs/>
          <w:color w:val="auto"/>
          <w:sz w:val="28"/>
          <w:szCs w:val="28"/>
          <w:highlight w:val="none"/>
          <w:lang w:val="en-US" w:eastAsia="zh-CN" w:bidi="ar-SA"/>
        </w:rPr>
        <w:t>响应文件</w:t>
      </w:r>
      <w:r>
        <w:rPr>
          <w:rFonts w:hint="eastAsia" w:cs="宋体"/>
          <w:b/>
          <w:bCs/>
          <w:color w:val="auto"/>
          <w:sz w:val="28"/>
          <w:szCs w:val="28"/>
          <w:highlight w:val="none"/>
          <w:lang w:val="en-US" w:eastAsia="zh-CN" w:bidi="ar-SA"/>
        </w:rPr>
        <w:t>未含</w:t>
      </w:r>
      <w:r>
        <w:rPr>
          <w:rFonts w:hint="eastAsia" w:ascii="宋体" w:hAnsi="宋体" w:eastAsia="宋体" w:cs="宋体"/>
          <w:b/>
          <w:bCs/>
          <w:color w:val="auto"/>
          <w:sz w:val="28"/>
          <w:szCs w:val="28"/>
          <w:highlight w:val="none"/>
          <w:lang w:val="en-US" w:eastAsia="zh-CN" w:bidi="ar-SA"/>
        </w:rPr>
        <w:t>有采购人不能接受的附加条件；</w:t>
      </w:r>
    </w:p>
    <w:p>
      <w:pPr>
        <w:pStyle w:val="16"/>
        <w:pageBreakBefore w:val="0"/>
        <w:kinsoku/>
        <w:wordWrap/>
        <w:overflowPunct/>
        <w:topLinePunct w:val="0"/>
        <w:bidi w:val="0"/>
        <w:adjustRightInd w:val="0"/>
        <w:snapToGrid/>
        <w:spacing w:before="0" w:beforeLines="0" w:beforeAutospacing="0" w:after="0" w:afterLines="0" w:afterAutospacing="0" w:line="440" w:lineRule="exact"/>
        <w:ind w:firstLine="843" w:firstLineChars="300"/>
        <w:rPr>
          <w:rFonts w:hint="eastAsia" w:ascii="宋体" w:hAnsi="宋体" w:eastAsia="宋体" w:cs="宋体"/>
          <w:b/>
          <w:bCs/>
          <w:color w:val="auto"/>
          <w:sz w:val="28"/>
          <w:szCs w:val="28"/>
          <w:highlight w:val="none"/>
          <w:lang w:val="en-US" w:eastAsia="zh-CN" w:bidi="ar-SA"/>
        </w:rPr>
      </w:pPr>
      <w:r>
        <w:rPr>
          <w:rFonts w:hint="eastAsia" w:cs="宋体"/>
          <w:b/>
          <w:bCs/>
          <w:color w:val="auto"/>
          <w:sz w:val="28"/>
          <w:szCs w:val="28"/>
          <w:highlight w:val="none"/>
          <w:lang w:val="en-US" w:eastAsia="zh-CN" w:bidi="ar-SA"/>
        </w:rPr>
        <w:t>18.3.10</w:t>
      </w:r>
      <w:r>
        <w:rPr>
          <w:rFonts w:hint="eastAsia" w:ascii="宋体" w:hAnsi="宋体" w:eastAsia="宋体" w:cs="宋体"/>
          <w:b/>
          <w:bCs/>
          <w:color w:val="auto"/>
          <w:sz w:val="28"/>
          <w:szCs w:val="28"/>
          <w:highlight w:val="none"/>
          <w:lang w:val="en-US" w:eastAsia="zh-CN" w:bidi="ar-SA"/>
        </w:rPr>
        <w:t>符合法律、法规和磋商文件中规定的其他实质性要求。</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如果响应文件实质上没有响应</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文件的要求，</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小组将予以拒绝，供应商不得再对响应文件进行任何修正从而使其</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成为实质上响应的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。并及时告知有关供应商。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 xml:space="preserve">初审中，对明显的文字和计算错误按下述原则处理： </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（1）如果正本与副本不一致，以正本为准。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（2）如果以文字表示的数据与数字表示的有差别，以文字为准修正数字。如果大小写金额不一致的，以大写金额为准。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（3）如果单价乘以数量不等于总价，以单价为准修正总价，但单价金额小数点有明显错误的,应以总价为准，并修改单价。如果明细价格相加不等于汇总价格，以明细价格为准。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（4）对存在细微遗漏的响应文件，应按照同包次供应商中最高报价进行补齐。</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（5）调整后的数据应对供应商具有约束力，供应商不同意以上修正，其</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将被拒绝。</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小组对响应文件的判定，只依据响应文件内容本身，不依据任何外来证明。</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文件能够详细列明采购标的的技术、服务要求的，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结束后，</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小组应当要求所有继续参加</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的供应商在规定时间内提交最终报价，提交最终报价的供应商不得少于3家。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文件不能详细列明采购标的的技术、服务要求，需经</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由供应商提供最终设计方案或解决方案的，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结束后，</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小组应当按照少数服从多数的原则投票推荐3家以上供应商的设计方案或者解决方案，并要求其在规定时间内提交最终报价。</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最终报价是供应商响应文件的有效组成部分。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w:t>
      </w:r>
      <w:r>
        <w:rPr>
          <w:rFonts w:hint="eastAsia" w:ascii="宋体" w:hAnsi="宋体" w:cs="宋体"/>
          <w:sz w:val="28"/>
          <w:szCs w:val="28"/>
          <w:highlight w:val="none"/>
          <w:lang w:val="en-US" w:eastAsia="zh-CN"/>
        </w:rPr>
        <w:t>10本项目</w:t>
      </w:r>
      <w:r>
        <w:rPr>
          <w:rFonts w:hint="eastAsia" w:ascii="宋体" w:hAnsi="宋体" w:eastAsia="宋体" w:cs="宋体"/>
          <w:color w:val="auto"/>
          <w:sz w:val="28"/>
          <w:szCs w:val="28"/>
          <w:highlight w:val="none"/>
        </w:rPr>
        <w:t>对小型和微型企业产品的价格给予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%的扣除，</w:t>
      </w:r>
      <w:r>
        <w:rPr>
          <w:rFonts w:hint="eastAsia" w:ascii="宋体" w:hAnsi="宋体" w:eastAsia="宋体" w:cs="宋体"/>
          <w:sz w:val="28"/>
          <w:szCs w:val="28"/>
          <w:highlight w:val="none"/>
        </w:rPr>
        <w:t>用扣除后的价格参与评审。</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49" w:name="_Toc62744624"/>
      <w:r>
        <w:rPr>
          <w:rFonts w:hint="eastAsia" w:ascii="宋体" w:hAnsi="宋体" w:eastAsia="宋体" w:cs="宋体"/>
          <w:highlight w:val="none"/>
        </w:rPr>
        <w:t>19、响应文件的澄清：</w:t>
      </w:r>
      <w:bookmarkEnd w:id="49"/>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19.1</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小组有权要求供应商对响应文件中含义不明确、对同类问题表述不一致或者有明显文字和计算错误等内容作必要的澄清、说明或者补正。该要求应当采用书面形式,并由</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小组专家签字。</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a）供应商必须按照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小组可拒绝该</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b）如</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小组一致认为某个供应商的报价明显不合理，有降低质量、不能诚信履行的可能时，</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小组有权通知供应商限期进行书面解释或提供相关证明材料。若该供应商在规定期限内未做出解释、作出的解释不合理或不能提供证明材料的，经</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小组取得一致意见后，可拒绝该</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0" w:name="_Toc62744625"/>
      <w:r>
        <w:rPr>
          <w:rFonts w:hint="eastAsia" w:ascii="宋体" w:hAnsi="宋体" w:eastAsia="宋体" w:cs="宋体"/>
          <w:highlight w:val="none"/>
        </w:rPr>
        <w:t>20、对响应文件的详细评审</w:t>
      </w:r>
      <w:bookmarkEnd w:id="50"/>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20.1 经</w:t>
      </w:r>
      <w:r>
        <w:rPr>
          <w:rFonts w:hint="eastAsia" w:ascii="宋体" w:hAnsi="宋体" w:eastAsia="宋体" w:cs="宋体"/>
          <w:sz w:val="28"/>
          <w:szCs w:val="28"/>
          <w:highlight w:val="none"/>
          <w:lang w:val="en-US" w:eastAsia="zh-CN"/>
        </w:rPr>
        <w:t>初步</w:t>
      </w:r>
      <w:r>
        <w:rPr>
          <w:rFonts w:hint="eastAsia" w:ascii="宋体" w:hAnsi="宋体" w:eastAsia="宋体" w:cs="宋体"/>
          <w:sz w:val="28"/>
          <w:szCs w:val="28"/>
          <w:highlight w:val="none"/>
        </w:rPr>
        <w:t>审查合格的响应文件，</w:t>
      </w:r>
      <w:r>
        <w:rPr>
          <w:rFonts w:hint="eastAsia" w:ascii="宋体" w:hAnsi="宋体" w:eastAsia="宋体" w:cs="宋体"/>
          <w:sz w:val="28"/>
          <w:szCs w:val="28"/>
          <w:highlight w:val="none"/>
          <w:lang w:val="en-US" w:eastAsia="zh-CN"/>
        </w:rPr>
        <w:t>磋商小组</w:t>
      </w:r>
      <w:r>
        <w:rPr>
          <w:rFonts w:hint="eastAsia" w:ascii="宋体" w:hAnsi="宋体" w:eastAsia="宋体" w:cs="宋体"/>
          <w:sz w:val="28"/>
          <w:szCs w:val="28"/>
          <w:highlight w:val="none"/>
        </w:rPr>
        <w:t>将根据磋商文件确定的评审方法和标准，对其技术部分和商务部分作进一步的比较和评价。</w:t>
      </w:r>
      <w:r>
        <w:rPr>
          <w:rFonts w:hint="eastAsia" w:ascii="宋体" w:hAnsi="宋体" w:cs="宋体"/>
          <w:sz w:val="28"/>
          <w:szCs w:val="28"/>
          <w:highlight w:val="none"/>
          <w:lang w:val="en-US" w:eastAsia="zh-CN"/>
        </w:rPr>
        <w:t>详细</w:t>
      </w:r>
      <w:r>
        <w:rPr>
          <w:rFonts w:hint="eastAsia" w:ascii="宋体" w:hAnsi="宋体" w:eastAsia="宋体" w:cs="宋体"/>
          <w:sz w:val="28"/>
          <w:szCs w:val="28"/>
          <w:highlight w:val="none"/>
        </w:rPr>
        <w:t>评审应严格按照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文件的要求和条件进行；具体评审原则、方法详见</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文件第四章“评审细则和评审办法”。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20.2 竞争性磋商共有两次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1" w:name="_Toc62744626"/>
      <w:r>
        <w:rPr>
          <w:rFonts w:hint="eastAsia" w:ascii="宋体" w:hAnsi="宋体" w:eastAsia="宋体" w:cs="宋体"/>
          <w:highlight w:val="none"/>
        </w:rPr>
        <w:t>21、确定成交供应商</w:t>
      </w:r>
      <w:bookmarkEnd w:id="51"/>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21.1</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小组应当从质量和服务均能满足</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文件实质性响应要求的供应商中，按照最终</w:t>
      </w:r>
      <w:r>
        <w:rPr>
          <w:rFonts w:hint="eastAsia" w:ascii="宋体" w:hAnsi="宋体" w:cs="宋体"/>
          <w:sz w:val="28"/>
          <w:szCs w:val="28"/>
          <w:highlight w:val="none"/>
          <w:lang w:val="en-US" w:eastAsia="zh-CN"/>
        </w:rPr>
        <w:t>得分</w:t>
      </w:r>
      <w:r>
        <w:rPr>
          <w:rFonts w:hint="eastAsia" w:ascii="宋体" w:hAnsi="宋体" w:eastAsia="宋体" w:cs="宋体"/>
          <w:sz w:val="28"/>
          <w:szCs w:val="28"/>
          <w:highlight w:val="none"/>
        </w:rPr>
        <w:t>由</w:t>
      </w:r>
      <w:r>
        <w:rPr>
          <w:rFonts w:hint="eastAsia" w:ascii="宋体" w:hAnsi="宋体" w:cs="宋体"/>
          <w:sz w:val="28"/>
          <w:szCs w:val="28"/>
          <w:highlight w:val="none"/>
          <w:lang w:val="en-US" w:eastAsia="zh-CN"/>
        </w:rPr>
        <w:t>高</w:t>
      </w:r>
      <w:r>
        <w:rPr>
          <w:rFonts w:hint="eastAsia" w:ascii="宋体" w:hAnsi="宋体" w:eastAsia="宋体" w:cs="宋体"/>
          <w:sz w:val="28"/>
          <w:szCs w:val="28"/>
          <w:highlight w:val="none"/>
        </w:rPr>
        <w:t>到</w:t>
      </w:r>
      <w:r>
        <w:rPr>
          <w:rFonts w:hint="eastAsia" w:ascii="宋体" w:hAnsi="宋体" w:cs="宋体"/>
          <w:sz w:val="28"/>
          <w:szCs w:val="28"/>
          <w:highlight w:val="none"/>
          <w:lang w:val="en-US" w:eastAsia="zh-CN"/>
        </w:rPr>
        <w:t>低</w:t>
      </w:r>
      <w:r>
        <w:rPr>
          <w:rFonts w:hint="eastAsia" w:ascii="宋体" w:hAnsi="宋体" w:eastAsia="宋体" w:cs="宋体"/>
          <w:sz w:val="28"/>
          <w:szCs w:val="28"/>
          <w:highlight w:val="none"/>
        </w:rPr>
        <w:t>的顺序提出3名（含3名）以上成交候选人，并编写评审报告。</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21.2采购人将确定排名第一的成交候选供应商为成交供应商并向其授予合同。排名第一的成交候选供应商因不可抗力或者自身原因不能履行合同，或者本文件规定应当提交履约保证金而在规定期限未能提交的，采购人将把合同授予排名第二的成交候选供应商。依次类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21.3采购代理机构将在</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结束后2个工作日内将评审报告送达采购人。采购人将在收到评审报告后5个工作日内按前款规定确定成交供应商。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采购人或者采购代理机构应当在成交供应商确定后2个工作日内，在省级以上财政部门指定的媒体上公告成交结果，同时向成交供应商发出成交通知书，并将</w:t>
      </w:r>
      <w:r>
        <w:rPr>
          <w:rFonts w:hint="eastAsia" w:ascii="宋体" w:hAnsi="宋体" w:eastAsia="宋体" w:cs="宋体"/>
          <w:sz w:val="28"/>
          <w:szCs w:val="28"/>
          <w:highlight w:val="none"/>
          <w:lang w:eastAsia="zh-CN"/>
        </w:rPr>
        <w:t>竞争性磋商</w:t>
      </w:r>
      <w:r>
        <w:rPr>
          <w:rFonts w:hint="eastAsia" w:ascii="宋体" w:hAnsi="宋体" w:eastAsia="宋体" w:cs="宋体"/>
          <w:sz w:val="28"/>
          <w:szCs w:val="28"/>
          <w:highlight w:val="none"/>
        </w:rPr>
        <w:t>文件随成交结果同时公告。</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2" w:name="_Toc62744627"/>
      <w:r>
        <w:rPr>
          <w:rFonts w:hint="eastAsia" w:ascii="宋体" w:hAnsi="宋体" w:eastAsia="宋体" w:cs="宋体"/>
          <w:highlight w:val="none"/>
        </w:rPr>
        <w:t>22、</w:t>
      </w:r>
      <w:r>
        <w:rPr>
          <w:rFonts w:hint="eastAsia" w:ascii="宋体" w:hAnsi="宋体" w:eastAsia="宋体" w:cs="宋体"/>
          <w:highlight w:val="none"/>
          <w:lang w:eastAsia="zh-CN"/>
        </w:rPr>
        <w:t>磋商</w:t>
      </w:r>
      <w:r>
        <w:rPr>
          <w:rFonts w:hint="eastAsia" w:ascii="宋体" w:hAnsi="宋体" w:eastAsia="宋体" w:cs="宋体"/>
          <w:highlight w:val="none"/>
        </w:rPr>
        <w:t>过程保密：</w:t>
      </w:r>
      <w:bookmarkEnd w:id="5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w w:val="100"/>
          <w:sz w:val="28"/>
          <w:szCs w:val="28"/>
          <w:highlight w:val="none"/>
        </w:rPr>
      </w:pPr>
      <w:r>
        <w:rPr>
          <w:rFonts w:hint="eastAsia" w:ascii="宋体" w:hAnsi="宋体" w:eastAsia="宋体" w:cs="宋体"/>
          <w:sz w:val="28"/>
          <w:szCs w:val="28"/>
          <w:highlight w:val="none"/>
        </w:rPr>
        <w:t>22.1</w:t>
      </w:r>
      <w:r>
        <w:rPr>
          <w:rFonts w:hint="eastAsia" w:ascii="宋体" w:hAnsi="宋体" w:eastAsia="宋体" w:cs="宋体"/>
          <w:w w:val="100"/>
          <w:sz w:val="28"/>
          <w:szCs w:val="28"/>
          <w:highlight w:val="none"/>
          <w:lang w:eastAsia="zh-CN"/>
        </w:rPr>
        <w:t>磋商</w:t>
      </w:r>
      <w:r>
        <w:rPr>
          <w:rFonts w:hint="eastAsia" w:ascii="宋体" w:hAnsi="宋体" w:eastAsia="宋体" w:cs="宋体"/>
          <w:w w:val="100"/>
          <w:sz w:val="28"/>
          <w:szCs w:val="28"/>
          <w:highlight w:val="none"/>
        </w:rPr>
        <w:t>过程中，直到授予供应商合同止，凡是属于审查、澄清、评审和比较的有关资料以及授予意向等，均不得向供应商或其他与评审无关的人员透露。</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22.2在评审期间，供应商企图影响采购人、采购代理机构或</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小组的任何活动，将导致评审被拒绝，并由其承担相应的法律责任。</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3" w:name="_Toc62744628"/>
      <w:r>
        <w:rPr>
          <w:rFonts w:hint="eastAsia" w:ascii="宋体" w:hAnsi="宋体" w:eastAsia="宋体" w:cs="宋体"/>
          <w:highlight w:val="none"/>
        </w:rPr>
        <w:t>23、采购人宣布取消</w:t>
      </w:r>
      <w:r>
        <w:rPr>
          <w:rFonts w:hint="eastAsia" w:ascii="宋体" w:hAnsi="宋体" w:eastAsia="宋体" w:cs="宋体"/>
          <w:highlight w:val="none"/>
          <w:lang w:eastAsia="zh-CN"/>
        </w:rPr>
        <w:t>磋商</w:t>
      </w:r>
      <w:r>
        <w:rPr>
          <w:rFonts w:hint="eastAsia" w:ascii="宋体" w:hAnsi="宋体" w:eastAsia="宋体" w:cs="宋体"/>
          <w:highlight w:val="none"/>
        </w:rPr>
        <w:t>的权利：</w:t>
      </w:r>
      <w:bookmarkEnd w:id="5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出现下列情况之一时，采购人有权宣布取消</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，并将理由通知所有供应商：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（1）出现影响采购公正的违法、违规行为的；</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（2）供应商的报价均超过了采购预算，采购人不能支付的；</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（3）因重大变故，采购任务取消的。</w:t>
      </w:r>
      <w:bookmarkStart w:id="54" w:name="_Toc86202587"/>
      <w:bookmarkStart w:id="55" w:name="_Toc171913599"/>
      <w:bookmarkStart w:id="56" w:name="_Toc98641136"/>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57" w:name="_Toc62744629"/>
      <w:r>
        <w:rPr>
          <w:rFonts w:hint="eastAsia" w:eastAsia="宋体" w:cs="宋体"/>
          <w:highlight w:val="none"/>
          <w:lang w:val="en-US" w:eastAsia="zh-CN"/>
        </w:rPr>
        <w:t>七</w:t>
      </w:r>
      <w:r>
        <w:rPr>
          <w:rFonts w:hint="eastAsia" w:ascii="宋体" w:hAnsi="宋体" w:eastAsia="宋体" w:cs="宋体"/>
          <w:highlight w:val="none"/>
        </w:rPr>
        <w:t>、签订合同</w:t>
      </w:r>
      <w:bookmarkEnd w:id="57"/>
    </w:p>
    <w:bookmarkEnd w:id="54"/>
    <w:bookmarkEnd w:id="55"/>
    <w:bookmarkEnd w:id="56"/>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8" w:name="_Toc62744630"/>
      <w:r>
        <w:rPr>
          <w:rFonts w:hint="eastAsia" w:ascii="宋体" w:hAnsi="宋体" w:eastAsia="宋体" w:cs="宋体"/>
          <w:highlight w:val="none"/>
        </w:rPr>
        <w:t>24、成交通知</w:t>
      </w:r>
      <w:bookmarkEnd w:id="5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24.1成交供应商确定后,采购代理机构将以书面形式向成交供应商发出成交通知书。成交通知书对采购人和成交供应商具有同等法律效力。成交通知书发出后，采购人改变成交结果或者成交供应商放弃成交，应当承担相应的法律责任。</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24.2采购代理机构同时向其他供应商发出未成交通知,采购代理机构对未成交的供应商不作未成交原因的解释。</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24.3成交通知书是合同的组成部分。</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59" w:name="_Toc62744631"/>
      <w:r>
        <w:rPr>
          <w:rFonts w:hint="eastAsia" w:ascii="宋体" w:hAnsi="宋体" w:eastAsia="宋体" w:cs="宋体"/>
          <w:highlight w:val="none"/>
        </w:rPr>
        <w:t>25、签订合同</w:t>
      </w:r>
      <w:bookmarkEnd w:id="59"/>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25.1自成交通知书发出30日内，成交供应商应按</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文件规定的时间、地点与采购人洽商并签订政府采购合同。</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政府采购合同履行中，采购人需追加与合同标的相同的服务的，在不改变合同其他条款的前提下，可以与供应商协商签订补充合同，但所有补充合同的采购金额不得超过原合同采购金额的10%。</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25.2成交供应商应按照</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文件、响应文件及评审过程中的有关澄清、说明或者补正文件的内容与采购人签订合同。成交供应商不得再与采购人签订背离合同实质性内容的其它协议或声明。</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25.3采购人如需追加与合同标的相同的服务，在不改变合同其他条款的前提下，成交供应商可与采购人协商签订补充合同，补充合同金额不得超过原合同总金额的10%。</w:t>
      </w:r>
      <w:bookmarkStart w:id="60" w:name="_Toc98641137"/>
      <w:bookmarkStart w:id="61" w:name="_Toc86202588"/>
      <w:bookmarkStart w:id="62" w:name="_Toc17191360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63" w:name="_Toc62744632"/>
      <w:r>
        <w:rPr>
          <w:rFonts w:hint="eastAsia" w:ascii="宋体" w:hAnsi="宋体" w:eastAsia="宋体" w:cs="宋体"/>
          <w:highlight w:val="none"/>
        </w:rPr>
        <w:t>八、采购代理服务费</w:t>
      </w:r>
      <w:bookmarkEnd w:id="60"/>
      <w:bookmarkEnd w:id="61"/>
      <w:bookmarkEnd w:id="62"/>
      <w:bookmarkEnd w:id="63"/>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64" w:name="_Toc62744633"/>
      <w:r>
        <w:rPr>
          <w:rFonts w:hint="eastAsia" w:ascii="宋体" w:hAnsi="宋体" w:eastAsia="宋体" w:cs="宋体"/>
          <w:highlight w:val="none"/>
        </w:rPr>
        <w:t>26、代理服务费</w:t>
      </w:r>
      <w:bookmarkEnd w:id="64"/>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bookmarkStart w:id="65" w:name="_Toc86202589"/>
      <w:bookmarkStart w:id="66" w:name="_Toc98641138"/>
      <w:r>
        <w:rPr>
          <w:rFonts w:hint="eastAsia" w:ascii="宋体" w:hAnsi="宋体" w:cs="宋体"/>
          <w:sz w:val="28"/>
          <w:szCs w:val="28"/>
          <w:highlight w:val="none"/>
          <w:lang w:val="en-US" w:eastAsia="zh-CN"/>
        </w:rPr>
        <w:t>26.1 收费标准</w:t>
      </w:r>
    </w:p>
    <w:p>
      <w:pPr>
        <w:pStyle w:val="31"/>
        <w:pageBreakBefore w:val="0"/>
        <w:kinsoku/>
        <w:wordWrap/>
        <w:overflowPunct/>
        <w:topLinePunct w:val="0"/>
        <w:bidi w:val="0"/>
        <w:adjustRightInd w:val="0"/>
        <w:snapToGrid/>
        <w:spacing w:line="440" w:lineRule="exact"/>
        <w:ind w:firstLine="560" w:firstLineChars="0"/>
        <w:rPr>
          <w:rFonts w:hint="default" w:ascii="宋体" w:hAnsi="宋体" w:eastAsia="宋体" w:cs="宋体"/>
          <w:color w:val="auto"/>
          <w:sz w:val="28"/>
          <w:szCs w:val="28"/>
          <w:highlight w:val="none"/>
          <w:lang w:val="en-US" w:eastAsia="zh-CN" w:bidi="ar-SA"/>
        </w:rPr>
      </w:pPr>
      <w:r>
        <w:rPr>
          <w:rFonts w:hint="default" w:ascii="宋体" w:hAnsi="宋体" w:eastAsia="宋体" w:cs="宋体"/>
          <w:color w:val="auto"/>
          <w:sz w:val="28"/>
          <w:szCs w:val="28"/>
          <w:highlight w:val="none"/>
          <w:lang w:val="en-US" w:eastAsia="zh-CN" w:bidi="ar-SA"/>
        </w:rPr>
        <w:t>按照发改价格〔2015〕299 号文、参照计价格【2002】1980号文执行。</w:t>
      </w:r>
    </w:p>
    <w:p>
      <w:pPr>
        <w:pageBreakBefore w:val="0"/>
        <w:kinsoku/>
        <w:wordWrap/>
        <w:overflowPunct/>
        <w:topLinePunct w:val="0"/>
        <w:bidi w:val="0"/>
        <w:adjustRightInd w:val="0"/>
        <w:snapToGrid/>
        <w:spacing w:line="44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26.2 缴纳方式</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b/>
          <w:bCs/>
          <w:sz w:val="36"/>
          <w:szCs w:val="36"/>
          <w:highlight w:val="none"/>
        </w:rPr>
      </w:pPr>
      <w:r>
        <w:rPr>
          <w:rFonts w:hint="eastAsia" w:ascii="宋体" w:hAnsi="宋体" w:eastAsia="宋体" w:cs="宋体"/>
          <w:sz w:val="28"/>
          <w:szCs w:val="28"/>
          <w:highlight w:val="none"/>
        </w:rPr>
        <w:t>成交方须向采购代理机构</w:t>
      </w:r>
      <w:r>
        <w:rPr>
          <w:rFonts w:hint="eastAsia" w:ascii="宋体" w:hAnsi="宋体" w:cs="宋体"/>
          <w:sz w:val="28"/>
          <w:szCs w:val="28"/>
          <w:highlight w:val="none"/>
          <w:lang w:eastAsia="zh-CN"/>
        </w:rPr>
        <w:t>缴纳</w:t>
      </w:r>
      <w:r>
        <w:rPr>
          <w:rFonts w:hint="eastAsia" w:ascii="宋体" w:hAnsi="宋体" w:eastAsia="宋体" w:cs="宋体"/>
          <w:sz w:val="28"/>
          <w:szCs w:val="28"/>
          <w:highlight w:val="none"/>
        </w:rPr>
        <w:t>代理服务费：在领取成交通知书时，一次性向采购代理机构缴清。</w:t>
      </w:r>
      <w:bookmarkEnd w:id="65"/>
      <w:bookmarkEnd w:id="66"/>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67" w:name="_Toc62744634"/>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r>
        <w:rPr>
          <w:rFonts w:hint="eastAsia" w:ascii="宋体" w:hAnsi="宋体" w:eastAsia="宋体" w:cs="宋体"/>
          <w:highlight w:val="none"/>
        </w:rPr>
        <w:t>九、处罚、询问和质疑</w:t>
      </w:r>
      <w:bookmarkEnd w:id="67"/>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68" w:name="_Toc62744635"/>
      <w:r>
        <w:rPr>
          <w:rFonts w:hint="eastAsia" w:ascii="宋体" w:hAnsi="宋体" w:eastAsia="宋体" w:cs="宋体"/>
          <w:highlight w:val="none"/>
        </w:rPr>
        <w:t>27、处罚</w:t>
      </w:r>
      <w:bookmarkEnd w:id="6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27.1发生下列情况之一，供应商的保证金将不予退还，并被列入不良记录名单，供应商今后参与同类政府采购项目的机会可能会受到影响：</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（1）递交响应文件截止后在报价有效期内，供应商撤回其响应文件；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（2）成交供应商未按本</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文件规定签约；</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（3）成交供应商与采购人订立背离合同实质性内容的其它协议；</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（4）供应商其它未按</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文件规定和合同约定履行义务的行为。</w:t>
      </w:r>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69" w:name="_Toc62744636"/>
      <w:r>
        <w:rPr>
          <w:rFonts w:hint="eastAsia" w:ascii="宋体" w:hAnsi="宋体" w:eastAsia="宋体" w:cs="宋体"/>
          <w:highlight w:val="none"/>
        </w:rPr>
        <w:t>28、质疑和询问</w:t>
      </w:r>
      <w:bookmarkEnd w:id="69"/>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28.1供应商有权就</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程序或签订合同的事宜提出质疑：</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28.2供应商对采购事项有疑问的，可以向采购人或采购代理机构提出询问。</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28.3招标程序受《中华人民共和国政府采购法》、《中华人民共和国政府采购法实施条例》、《政府采购非招标采购方式管理办法》和相关法律法规的约束，并受到严格的内部监察，以确保授予合同过程的公平公正。若供应商认为其</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未获公平评审或采购文件、采购过程和入围、成交结果使自己的合法权益受到损害，可以在知道或者应知其权益受到损害之日起7个工作日内，以书面形式向采购人或采购代理机构提出质疑并要求答复。</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28.4采购人或采购代理机构将在收到书面质疑后7个工作日内审查质疑事项，作出答复或相关处理决定，并以书面形式通知质疑供应商和其他有关供应商，但答复的内容不涉及商业秘密。若质疑涉及招标制度或程序，将被转交政府采购的管理部门审查。</w:t>
      </w:r>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28.5质疑供应商对采购人或采购代理机构的答复不满意以及采购人或采购代理机构未在规定的时间内做出答复的，可以在答复期满后15个工作日内向同级财政部门投诉。</w:t>
      </w:r>
      <w:bookmarkStart w:id="70" w:name="_Toc142470606"/>
      <w:bookmarkStart w:id="71" w:name="_Toc171913602"/>
      <w:bookmarkStart w:id="72" w:name="_Toc86202590"/>
    </w:p>
    <w:p>
      <w:pPr>
        <w:pStyle w:val="28"/>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28.6供应商质疑、投诉应当有明确的请求和必要的证明材料。供应商投诉的事项不得超出已质疑事项的范围。</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bookmarkStart w:id="73" w:name="_Toc62744637"/>
    </w:p>
    <w:p>
      <w:pPr>
        <w:pStyle w:val="4"/>
        <w:pageBreakBefore w:val="0"/>
        <w:kinsoku/>
        <w:wordWrap/>
        <w:overflowPunct/>
        <w:topLinePunct w:val="0"/>
        <w:bidi w:val="0"/>
        <w:adjustRightInd w:val="0"/>
        <w:snapToGrid/>
        <w:spacing w:before="0" w:after="0" w:line="440" w:lineRule="exact"/>
        <w:rPr>
          <w:rFonts w:hint="eastAsia" w:ascii="宋体" w:hAnsi="宋体" w:eastAsia="宋体" w:cs="宋体"/>
          <w:highlight w:val="none"/>
        </w:rPr>
      </w:pPr>
      <w:r>
        <w:rPr>
          <w:rFonts w:hint="eastAsia" w:ascii="宋体" w:hAnsi="宋体" w:eastAsia="宋体" w:cs="宋体"/>
          <w:highlight w:val="none"/>
        </w:rPr>
        <w:t>十、保密和披露</w:t>
      </w:r>
      <w:bookmarkEnd w:id="70"/>
      <w:bookmarkEnd w:id="71"/>
      <w:bookmarkEnd w:id="72"/>
      <w:bookmarkEnd w:id="73"/>
    </w:p>
    <w:p>
      <w:pPr>
        <w:pStyle w:val="6"/>
        <w:pageBreakBefore w:val="0"/>
        <w:kinsoku/>
        <w:wordWrap/>
        <w:overflowPunct/>
        <w:topLinePunct w:val="0"/>
        <w:bidi w:val="0"/>
        <w:adjustRightInd w:val="0"/>
        <w:snapToGrid/>
        <w:spacing w:line="440" w:lineRule="exact"/>
        <w:rPr>
          <w:rFonts w:hint="eastAsia" w:ascii="宋体" w:hAnsi="宋体" w:eastAsia="宋体" w:cs="宋体"/>
          <w:highlight w:val="none"/>
        </w:rPr>
      </w:pPr>
      <w:bookmarkStart w:id="74" w:name="_Toc62744638"/>
      <w:r>
        <w:rPr>
          <w:rFonts w:hint="eastAsia" w:ascii="宋体" w:hAnsi="宋体" w:eastAsia="宋体" w:cs="宋体"/>
          <w:highlight w:val="none"/>
        </w:rPr>
        <w:t>29.保密和披露</w:t>
      </w:r>
      <w:bookmarkEnd w:id="74"/>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29.1供应商自领取</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文件之日起，须承诺承担本采购项目下保密义务，不得将因本次采购获得的信息向第三人外传。</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29.2采购代理机构有权将供应商提供的所有资料向其他政府部门或有关的非政府机构负责评审标书的人员或与评审有关的人员披露。</w:t>
      </w:r>
    </w:p>
    <w:p>
      <w:pPr>
        <w:pageBreakBefore w:val="0"/>
        <w:kinsoku/>
        <w:wordWrap/>
        <w:overflowPunct/>
        <w:topLinePunct w:val="0"/>
        <w:bidi w:val="0"/>
        <w:adjustRightInd w:val="0"/>
        <w:snapToGrid/>
        <w:spacing w:line="44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29.3采购代理机构有权在认为适当时，或在任何第三人提出要求（书面或其他方式）时，无须事先征求成交供应商同意而披露关于已订立合同的资料、成交供应商的名称及地址、成交有关信息以及合同条款等。</w:t>
      </w:r>
      <w:bookmarkStart w:id="75" w:name="_Toc148857636"/>
      <w:bookmarkStart w:id="76" w:name="_Toc171913603"/>
    </w:p>
    <w:bookmarkEnd w:id="75"/>
    <w:bookmarkEnd w:id="76"/>
    <w:p>
      <w:pPr>
        <w:pStyle w:val="3"/>
        <w:pageBreakBefore w:val="0"/>
        <w:widowControl w:val="0"/>
        <w:kinsoku/>
        <w:overflowPunct/>
        <w:topLinePunct w:val="0"/>
        <w:bidi w:val="0"/>
        <w:adjustRightInd w:val="0"/>
        <w:spacing w:before="0" w:after="0" w:line="440" w:lineRule="exact"/>
        <w:outlineLvl w:val="0"/>
        <w:rPr>
          <w:rFonts w:hint="eastAsia" w:ascii="宋体" w:hAnsi="宋体" w:eastAsia="宋体" w:cs="宋体"/>
          <w:highlight w:val="none"/>
        </w:rPr>
      </w:pPr>
      <w:bookmarkStart w:id="77" w:name="_Toc171913604"/>
      <w:bookmarkStart w:id="78" w:name="_Toc98641140"/>
      <w:r>
        <w:rPr>
          <w:rFonts w:hint="eastAsia" w:ascii="宋体" w:hAnsi="宋体" w:eastAsia="宋体" w:cs="宋体"/>
          <w:highlight w:val="none"/>
        </w:rPr>
        <w:br w:type="page"/>
      </w:r>
      <w:bookmarkStart w:id="79" w:name="_Toc62744639"/>
      <w:bookmarkStart w:id="80" w:name="_Toc9184"/>
      <w:r>
        <w:rPr>
          <w:rFonts w:hint="eastAsia" w:ascii="宋体" w:hAnsi="宋体" w:eastAsia="宋体" w:cs="宋体"/>
          <w:highlight w:val="none"/>
        </w:rPr>
        <w:t>第四章  评审方法</w:t>
      </w:r>
      <w:bookmarkEnd w:id="77"/>
      <w:bookmarkEnd w:id="78"/>
      <w:bookmarkEnd w:id="79"/>
      <w:bookmarkEnd w:id="80"/>
      <w:bookmarkStart w:id="81" w:name="_Toc171913680"/>
      <w:bookmarkStart w:id="82" w:name="_Toc171913605"/>
    </w:p>
    <w:bookmarkEnd w:id="81"/>
    <w:bookmarkEnd w:id="82"/>
    <w:p>
      <w:pPr>
        <w:pStyle w:val="4"/>
        <w:pageBreakBefore w:val="0"/>
        <w:widowControl w:val="0"/>
        <w:kinsoku/>
        <w:overflowPunct/>
        <w:topLinePunct w:val="0"/>
        <w:bidi w:val="0"/>
        <w:adjustRightInd w:val="0"/>
        <w:spacing w:before="0" w:after="0" w:line="440" w:lineRule="exact"/>
        <w:rPr>
          <w:rFonts w:hint="eastAsia" w:ascii="宋体" w:hAnsi="宋体" w:eastAsia="宋体" w:cs="宋体"/>
          <w:highlight w:val="none"/>
        </w:rPr>
      </w:pPr>
      <w:bookmarkStart w:id="83" w:name="_Toc62744642"/>
      <w:bookmarkStart w:id="84" w:name="_Toc171913682"/>
      <w:bookmarkStart w:id="85" w:name="_Toc171913607"/>
      <w:bookmarkStart w:id="86" w:name="_Toc164047646"/>
      <w:bookmarkStart w:id="87" w:name="_Toc171913608"/>
    </w:p>
    <w:p>
      <w:pPr>
        <w:pStyle w:val="4"/>
        <w:pageBreakBefore w:val="0"/>
        <w:widowControl w:val="0"/>
        <w:kinsoku/>
        <w:overflowPunct/>
        <w:topLinePunct w:val="0"/>
        <w:bidi w:val="0"/>
        <w:adjustRightInd w:val="0"/>
        <w:spacing w:before="0" w:after="0" w:line="440" w:lineRule="exact"/>
        <w:rPr>
          <w:rFonts w:hint="eastAsia" w:ascii="宋体" w:hAnsi="宋体" w:eastAsia="宋体" w:cs="宋体"/>
          <w:b/>
          <w:bCs w:val="0"/>
          <w:highlight w:val="none"/>
        </w:rPr>
      </w:pPr>
      <w:r>
        <w:rPr>
          <w:rFonts w:hint="eastAsia" w:ascii="宋体" w:hAnsi="宋体" w:eastAsia="宋体" w:cs="宋体"/>
          <w:b/>
          <w:bCs w:val="0"/>
          <w:highlight w:val="none"/>
        </w:rPr>
        <w:t>初步审查表</w:t>
      </w:r>
      <w:bookmarkEnd w:id="83"/>
    </w:p>
    <w:p>
      <w:pPr>
        <w:pStyle w:val="23"/>
        <w:pageBreakBefore w:val="0"/>
        <w:widowControl w:val="0"/>
        <w:kinsoku/>
        <w:overflowPunct/>
        <w:topLinePunct w:val="0"/>
        <w:bidi w:val="0"/>
        <w:adjustRightInd w:val="0"/>
        <w:spacing w:line="440" w:lineRule="exact"/>
        <w:ind w:firstLine="240" w:firstLineChars="100"/>
        <w:rPr>
          <w:rFonts w:hint="eastAsia" w:ascii="宋体" w:hAnsi="宋体" w:eastAsia="宋体" w:cs="宋体"/>
          <w:highlight w:val="none"/>
        </w:rPr>
      </w:pPr>
      <w:r>
        <w:rPr>
          <w:rFonts w:hint="eastAsia" w:ascii="宋体" w:hAnsi="宋体" w:eastAsia="宋体" w:cs="宋体"/>
          <w:highlight w:val="none"/>
        </w:rPr>
        <w:t>项目名称：                                           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6360"/>
        <w:gridCol w:w="1170"/>
        <w:gridCol w:w="118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63" w:type="dxa"/>
            <w:vMerge w:val="restart"/>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6360" w:type="dxa"/>
            <w:vMerge w:val="restart"/>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评审内容</w:t>
            </w:r>
          </w:p>
        </w:tc>
        <w:tc>
          <w:tcPr>
            <w:tcW w:w="3465" w:type="dxa"/>
            <w:gridSpan w:val="3"/>
            <w:noWrap w:val="0"/>
            <w:vAlign w:val="top"/>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63" w:type="dxa"/>
            <w:vMerge w:val="continue"/>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p>
        </w:tc>
        <w:tc>
          <w:tcPr>
            <w:tcW w:w="6360" w:type="dxa"/>
            <w:vMerge w:val="continue"/>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70" w:type="dxa"/>
            <w:noWrap w:val="0"/>
            <w:vAlign w:val="top"/>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供应商1</w:t>
            </w:r>
          </w:p>
        </w:tc>
        <w:tc>
          <w:tcPr>
            <w:tcW w:w="1185" w:type="dxa"/>
            <w:noWrap w:val="0"/>
            <w:vAlign w:val="top"/>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供应商2</w:t>
            </w:r>
          </w:p>
        </w:tc>
        <w:tc>
          <w:tcPr>
            <w:tcW w:w="1110" w:type="dxa"/>
            <w:noWrap w:val="0"/>
            <w:vAlign w:val="top"/>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供应商3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响应文件组成是否完整，主要内容是否按磋商文件规定的内容、格式填写、装订；</w:t>
            </w:r>
          </w:p>
        </w:tc>
        <w:tc>
          <w:tcPr>
            <w:tcW w:w="117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响应文件的有效期是否满足磋商文件的规定；</w:t>
            </w:r>
          </w:p>
        </w:tc>
        <w:tc>
          <w:tcPr>
            <w:tcW w:w="117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法定代表人授权委托书是否由法定代表人签署</w:t>
            </w:r>
            <w:r>
              <w:rPr>
                <w:rFonts w:hint="eastAsia" w:ascii="宋体" w:hAnsi="宋体" w:eastAsia="宋体" w:cs="宋体"/>
                <w:szCs w:val="24"/>
                <w:highlight w:val="none"/>
                <w:lang w:val="zh-CN" w:eastAsia="zh-CN"/>
              </w:rPr>
              <w:t>并加盖公章</w:t>
            </w:r>
            <w:r>
              <w:rPr>
                <w:rFonts w:hint="eastAsia" w:ascii="宋体" w:hAnsi="宋体" w:eastAsia="宋体" w:cs="宋体"/>
                <w:szCs w:val="24"/>
                <w:highlight w:val="none"/>
                <w:lang w:val="en-US" w:eastAsia="zh-CN"/>
              </w:rPr>
              <w:t>；</w:t>
            </w:r>
          </w:p>
        </w:tc>
        <w:tc>
          <w:tcPr>
            <w:tcW w:w="1170"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响应文件是否按照规定在应由企业法人或法人授权代表在所有规定签章处逐一签署及加盖单位公章；</w:t>
            </w:r>
          </w:p>
        </w:tc>
        <w:tc>
          <w:tcPr>
            <w:tcW w:w="1170"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Cs w:val="24"/>
                <w:highlight w:val="none"/>
              </w:rPr>
            </w:pPr>
            <w:r>
              <w:rPr>
                <w:rFonts w:hint="eastAsia" w:ascii="宋体" w:hAnsi="宋体" w:eastAsia="宋体" w:cs="宋体"/>
                <w:szCs w:val="24"/>
                <w:highlight w:val="none"/>
              </w:rPr>
              <w:t>5</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响应文件载明的磋商项目交货期限符合磋商文件规定的期限；</w:t>
            </w:r>
          </w:p>
        </w:tc>
        <w:tc>
          <w:tcPr>
            <w:tcW w:w="1170"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6</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响应文件载明的磋商项目交货</w:t>
            </w:r>
            <w:r>
              <w:rPr>
                <w:rFonts w:hint="eastAsia" w:ascii="宋体" w:hAnsi="宋体" w:cs="宋体"/>
                <w:szCs w:val="24"/>
                <w:highlight w:val="none"/>
                <w:lang w:val="en-US" w:eastAsia="zh-CN"/>
              </w:rPr>
              <w:t>地点</w:t>
            </w:r>
            <w:r>
              <w:rPr>
                <w:rFonts w:hint="eastAsia" w:ascii="宋体" w:hAnsi="宋体" w:eastAsia="宋体" w:cs="宋体"/>
                <w:szCs w:val="24"/>
                <w:highlight w:val="none"/>
                <w:lang w:val="en-US" w:eastAsia="zh-CN"/>
              </w:rPr>
              <w:t>符合磋商文件规定的</w:t>
            </w:r>
            <w:r>
              <w:rPr>
                <w:rFonts w:hint="eastAsia" w:ascii="宋体" w:hAnsi="宋体" w:cs="宋体"/>
                <w:szCs w:val="24"/>
                <w:highlight w:val="none"/>
                <w:lang w:val="en-US" w:eastAsia="zh-CN"/>
              </w:rPr>
              <w:t>地点</w:t>
            </w:r>
            <w:r>
              <w:rPr>
                <w:rFonts w:hint="eastAsia" w:ascii="宋体" w:hAnsi="宋体" w:eastAsia="宋体" w:cs="宋体"/>
                <w:szCs w:val="24"/>
                <w:highlight w:val="none"/>
                <w:lang w:val="en-US" w:eastAsia="zh-CN"/>
              </w:rPr>
              <w:t>；</w:t>
            </w:r>
          </w:p>
        </w:tc>
        <w:tc>
          <w:tcPr>
            <w:tcW w:w="117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24"/>
                <w:highlight w:val="none"/>
                <w:lang w:val="en-US" w:eastAsia="zh-CN" w:bidi="ar-SA"/>
              </w:rPr>
            </w:pPr>
            <w:r>
              <w:rPr>
                <w:rFonts w:hint="eastAsia" w:ascii="宋体" w:hAnsi="宋体" w:cs="宋体"/>
                <w:szCs w:val="24"/>
                <w:highlight w:val="none"/>
                <w:lang w:val="en-US" w:eastAsia="zh-CN"/>
              </w:rPr>
              <w:t>7</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响应文件载明的磋商项目质保期符合磋商文件规定的期限；</w:t>
            </w:r>
          </w:p>
        </w:tc>
        <w:tc>
          <w:tcPr>
            <w:tcW w:w="117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24"/>
                <w:highlight w:val="none"/>
                <w:lang w:val="en-US" w:eastAsia="zh-CN" w:bidi="ar-SA"/>
              </w:rPr>
            </w:pPr>
            <w:r>
              <w:rPr>
                <w:rFonts w:hint="eastAsia" w:ascii="宋体" w:hAnsi="宋体" w:cs="宋体"/>
                <w:szCs w:val="24"/>
                <w:highlight w:val="none"/>
                <w:lang w:val="en-US" w:eastAsia="zh-CN"/>
              </w:rPr>
              <w:t>8</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供应商的报价是否未超过预算价或最高限价；</w:t>
            </w:r>
          </w:p>
        </w:tc>
        <w:tc>
          <w:tcPr>
            <w:tcW w:w="117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24"/>
                <w:highlight w:val="none"/>
                <w:lang w:val="en-US" w:eastAsia="zh-CN" w:bidi="ar-SA"/>
              </w:rPr>
            </w:pPr>
            <w:r>
              <w:rPr>
                <w:rFonts w:hint="eastAsia" w:ascii="宋体" w:hAnsi="宋体" w:cs="宋体"/>
                <w:szCs w:val="24"/>
                <w:highlight w:val="none"/>
                <w:lang w:val="en-US" w:eastAsia="zh-CN"/>
              </w:rPr>
              <w:t>9</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响应文件未含有采购人不能接受的附加条件；</w:t>
            </w:r>
          </w:p>
        </w:tc>
        <w:tc>
          <w:tcPr>
            <w:tcW w:w="117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63" w:type="dxa"/>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10</w:t>
            </w:r>
          </w:p>
        </w:tc>
        <w:tc>
          <w:tcPr>
            <w:tcW w:w="6360" w:type="dxa"/>
            <w:noWrap w:val="0"/>
            <w:vAlign w:val="center"/>
          </w:tcPr>
          <w:p>
            <w:pPr>
              <w:pageBreakBefore w:val="0"/>
              <w:widowControl w:val="0"/>
              <w:kinsoku/>
              <w:overflowPunct/>
              <w:topLinePunct w:val="0"/>
              <w:bidi w:val="0"/>
              <w:adjustRightInd w:val="0"/>
              <w:spacing w:line="440" w:lineRule="exact"/>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符合法律、法规和磋商文件中规定的其他实质性要求。</w:t>
            </w:r>
          </w:p>
        </w:tc>
        <w:tc>
          <w:tcPr>
            <w:tcW w:w="117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923" w:type="dxa"/>
            <w:gridSpan w:val="2"/>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结论：是否通过</w:t>
            </w:r>
          </w:p>
        </w:tc>
        <w:tc>
          <w:tcPr>
            <w:tcW w:w="117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85"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c>
          <w:tcPr>
            <w:tcW w:w="1110" w:type="dxa"/>
            <w:noWrap w:val="0"/>
            <w:vAlign w:val="top"/>
          </w:tcPr>
          <w:p>
            <w:pPr>
              <w:pageBreakBefore w:val="0"/>
              <w:widowControl w:val="0"/>
              <w:kinsoku/>
              <w:overflowPunct/>
              <w:topLinePunct w:val="0"/>
              <w:bidi w:val="0"/>
              <w:adjustRightInd w:val="0"/>
              <w:spacing w:line="440" w:lineRule="exact"/>
              <w:ind w:firstLine="0" w:firstLineChars="0"/>
              <w:rPr>
                <w:rFonts w:hint="eastAsia" w:ascii="宋体" w:hAnsi="宋体" w:eastAsia="宋体" w:cs="宋体"/>
                <w:szCs w:val="24"/>
                <w:highlight w:val="none"/>
              </w:rPr>
            </w:pPr>
          </w:p>
        </w:tc>
      </w:tr>
    </w:tbl>
    <w:p>
      <w:pPr>
        <w:pageBreakBefore w:val="0"/>
        <w:widowControl w:val="0"/>
        <w:kinsoku/>
        <w:overflowPunct/>
        <w:topLinePunct w:val="0"/>
        <w:bidi w:val="0"/>
        <w:adjustRightInd w:val="0"/>
        <w:spacing w:line="440" w:lineRule="exact"/>
        <w:ind w:firstLine="316" w:firstLineChars="150"/>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p>
      <w:pPr>
        <w:pageBreakBefore w:val="0"/>
        <w:widowControl w:val="0"/>
        <w:kinsoku/>
        <w:overflowPunct/>
        <w:topLinePunct w:val="0"/>
        <w:bidi w:val="0"/>
        <w:adjustRightInd w:val="0"/>
        <w:spacing w:line="440" w:lineRule="exact"/>
        <w:ind w:firstLine="316" w:firstLineChars="150"/>
        <w:rPr>
          <w:rFonts w:hint="eastAsia" w:ascii="宋体" w:hAnsi="宋体" w:eastAsia="宋体" w:cs="宋体"/>
          <w:b/>
          <w:sz w:val="21"/>
          <w:szCs w:val="21"/>
          <w:highlight w:val="none"/>
        </w:rPr>
      </w:pPr>
      <w:r>
        <w:rPr>
          <w:rFonts w:hint="eastAsia" w:ascii="宋体" w:hAnsi="宋体" w:eastAsia="宋体" w:cs="宋体"/>
          <w:b/>
          <w:sz w:val="21"/>
          <w:szCs w:val="21"/>
          <w:highlight w:val="none"/>
        </w:rPr>
        <w:t>1.如果响应文件中有一项未通过上述审查标准，评标委员会将认定整个响应文件未响应</w:t>
      </w:r>
      <w:r>
        <w:rPr>
          <w:rFonts w:hint="eastAsia" w:ascii="宋体" w:hAnsi="宋体" w:eastAsia="宋体" w:cs="宋体"/>
          <w:b/>
          <w:sz w:val="21"/>
          <w:szCs w:val="21"/>
          <w:highlight w:val="none"/>
          <w:lang w:eastAsia="zh-CN"/>
        </w:rPr>
        <w:t>竞争性磋商</w:t>
      </w:r>
      <w:r>
        <w:rPr>
          <w:rFonts w:hint="eastAsia" w:ascii="宋体" w:hAnsi="宋体" w:eastAsia="宋体" w:cs="宋体"/>
          <w:b/>
          <w:sz w:val="21"/>
          <w:szCs w:val="21"/>
          <w:highlight w:val="none"/>
        </w:rPr>
        <w:t>文件而予以废标处理。</w:t>
      </w:r>
    </w:p>
    <w:p>
      <w:pPr>
        <w:pageBreakBefore w:val="0"/>
        <w:widowControl w:val="0"/>
        <w:kinsoku/>
        <w:overflowPunct/>
        <w:topLinePunct w:val="0"/>
        <w:bidi w:val="0"/>
        <w:adjustRightInd w:val="0"/>
        <w:spacing w:line="440" w:lineRule="exact"/>
        <w:ind w:firstLine="316" w:firstLineChars="150"/>
        <w:rPr>
          <w:rFonts w:hint="eastAsia" w:ascii="宋体" w:hAnsi="宋体" w:eastAsia="宋体" w:cs="宋体"/>
          <w:szCs w:val="24"/>
          <w:highlight w:val="none"/>
        </w:rPr>
      </w:pPr>
      <w:r>
        <w:rPr>
          <w:rFonts w:hint="eastAsia" w:ascii="宋体" w:hAnsi="宋体" w:eastAsia="宋体" w:cs="宋体"/>
          <w:b/>
          <w:sz w:val="21"/>
          <w:szCs w:val="21"/>
          <w:highlight w:val="none"/>
        </w:rPr>
        <w:t>2.表中所述分项评审结果分两种：（1）合格用“√”表示；（2）不合格用“×”表示</w:t>
      </w:r>
      <w:r>
        <w:rPr>
          <w:rFonts w:hint="eastAsia" w:ascii="宋体" w:hAnsi="宋体" w:eastAsia="宋体" w:cs="宋体"/>
          <w:sz w:val="21"/>
          <w:szCs w:val="21"/>
          <w:highlight w:val="none"/>
        </w:rPr>
        <w:t>。</w:t>
      </w:r>
    </w:p>
    <w:p>
      <w:pPr>
        <w:pageBreakBefore w:val="0"/>
        <w:widowControl w:val="0"/>
        <w:kinsoku/>
        <w:overflowPunct/>
        <w:topLinePunct w:val="0"/>
        <w:bidi w:val="0"/>
        <w:adjustRightInd w:val="0"/>
        <w:spacing w:line="440" w:lineRule="exact"/>
        <w:ind w:firstLine="480" w:firstLineChars="200"/>
        <w:rPr>
          <w:rFonts w:hint="eastAsia" w:ascii="宋体" w:hAnsi="宋体" w:eastAsia="宋体" w:cs="宋体"/>
          <w:highlight w:val="none"/>
        </w:rPr>
      </w:pPr>
    </w:p>
    <w:p>
      <w:pPr>
        <w:pageBreakBefore w:val="0"/>
        <w:widowControl w:val="0"/>
        <w:kinsoku/>
        <w:overflowPunct/>
        <w:topLinePunct w:val="0"/>
        <w:bidi w:val="0"/>
        <w:adjustRightInd w:val="0"/>
        <w:spacing w:line="360" w:lineRule="auto"/>
        <w:ind w:firstLine="482" w:firstLineChars="200"/>
        <w:jc w:val="left"/>
        <w:rPr>
          <w:rFonts w:hint="eastAsia" w:hAnsi="宋体"/>
          <w:b/>
          <w:highlight w:val="none"/>
        </w:rPr>
      </w:pPr>
    </w:p>
    <w:p>
      <w:pPr>
        <w:pageBreakBefore w:val="0"/>
        <w:widowControl w:val="0"/>
        <w:kinsoku/>
        <w:overflowPunct/>
        <w:topLinePunct w:val="0"/>
        <w:bidi w:val="0"/>
        <w:adjustRightInd w:val="0"/>
        <w:spacing w:line="360" w:lineRule="auto"/>
        <w:ind w:firstLine="482" w:firstLineChars="200"/>
        <w:jc w:val="left"/>
        <w:rPr>
          <w:rFonts w:hint="eastAsia" w:cs="Arial"/>
          <w:highlight w:val="none"/>
        </w:rPr>
      </w:pPr>
      <w:r>
        <w:rPr>
          <w:rFonts w:hint="eastAsia" w:hAnsi="宋体"/>
          <w:b/>
          <w:highlight w:val="none"/>
        </w:rPr>
        <w:t>评标方法与定标原则</w:t>
      </w:r>
    </w:p>
    <w:p>
      <w:pPr>
        <w:pageBreakBefore w:val="0"/>
        <w:widowControl w:val="0"/>
        <w:kinsoku/>
        <w:overflowPunct/>
        <w:topLinePunct w:val="0"/>
        <w:bidi w:val="0"/>
        <w:adjustRightInd w:val="0"/>
        <w:spacing w:line="360" w:lineRule="auto"/>
        <w:ind w:firstLine="480" w:firstLineChars="200"/>
        <w:jc w:val="left"/>
        <w:rPr>
          <w:rFonts w:hint="eastAsia" w:ascii="宋体" w:hAnsi="宋体" w:eastAsia="宋体" w:cs="宋体"/>
          <w:b/>
          <w:bCs/>
          <w:sz w:val="28"/>
          <w:szCs w:val="28"/>
          <w:highlight w:val="none"/>
          <w:lang w:val="en-US" w:eastAsia="zh-CN" w:bidi="ar-SA"/>
        </w:rPr>
      </w:pPr>
      <w:r>
        <w:rPr>
          <w:rFonts w:hint="eastAsia" w:cs="Arial"/>
          <w:highlight w:val="none"/>
        </w:rPr>
        <w:t>本项目</w:t>
      </w:r>
      <w:r>
        <w:rPr>
          <w:rFonts w:cs="Arial"/>
          <w:highlight w:val="none"/>
        </w:rPr>
        <w:t>采用</w:t>
      </w:r>
      <w:r>
        <w:rPr>
          <w:rFonts w:cs="Arial"/>
          <w:b/>
          <w:bCs/>
          <w:highlight w:val="none"/>
        </w:rPr>
        <w:t>综合评分法</w:t>
      </w:r>
      <w:r>
        <w:rPr>
          <w:rFonts w:cs="Arial"/>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ageBreakBefore w:val="0"/>
        <w:widowControl w:val="0"/>
        <w:kinsoku/>
        <w:overflowPunct/>
        <w:topLinePunct w:val="0"/>
        <w:bidi w:val="0"/>
        <w:adjustRightInd w:val="0"/>
        <w:spacing w:line="440" w:lineRule="exact"/>
        <w:ind w:firstLine="562" w:firstLineChars="200"/>
        <w:jc w:val="center"/>
        <w:rPr>
          <w:rFonts w:hint="eastAsia" w:ascii="宋体" w:hAnsi="宋体" w:eastAsia="宋体" w:cs="宋体"/>
          <w:b/>
          <w:bCs/>
          <w:sz w:val="28"/>
          <w:szCs w:val="28"/>
          <w:highlight w:val="none"/>
          <w:lang w:val="en-US" w:eastAsia="zh-CN" w:bidi="ar-SA"/>
        </w:rPr>
      </w:pPr>
    </w:p>
    <w:p>
      <w:pPr>
        <w:pageBreakBefore w:val="0"/>
        <w:widowControl w:val="0"/>
        <w:kinsoku/>
        <w:overflowPunct/>
        <w:topLinePunct w:val="0"/>
        <w:bidi w:val="0"/>
        <w:adjustRightInd w:val="0"/>
        <w:spacing w:line="440" w:lineRule="exact"/>
        <w:ind w:firstLine="562" w:firstLineChars="200"/>
        <w:jc w:val="center"/>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t>详细评审表</w:t>
      </w:r>
    </w:p>
    <w:p>
      <w:pPr>
        <w:pStyle w:val="23"/>
        <w:pageBreakBefore w:val="0"/>
        <w:widowControl w:val="0"/>
        <w:kinsoku/>
        <w:overflowPunct/>
        <w:topLinePunct w:val="0"/>
        <w:bidi w:val="0"/>
        <w:adjustRightInd w:val="0"/>
        <w:spacing w:line="440" w:lineRule="exact"/>
        <w:ind w:firstLine="1200" w:firstLineChars="500"/>
        <w:rPr>
          <w:rFonts w:hint="eastAsia" w:ascii="宋体" w:hAnsi="宋体" w:eastAsia="宋体" w:cs="宋体"/>
          <w:highlight w:val="none"/>
        </w:rPr>
      </w:pPr>
      <w:r>
        <w:rPr>
          <w:rFonts w:hint="eastAsia" w:ascii="宋体" w:hAnsi="宋体" w:eastAsia="宋体" w:cs="宋体"/>
          <w:highlight w:val="none"/>
        </w:rPr>
        <w:t>项目名称：                                           项目编号：</w:t>
      </w:r>
    </w:p>
    <w:tbl>
      <w:tblPr>
        <w:tblStyle w:val="17"/>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34"/>
        <w:gridCol w:w="851"/>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序号</w:t>
            </w:r>
          </w:p>
        </w:tc>
        <w:tc>
          <w:tcPr>
            <w:tcW w:w="183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评分因素</w:t>
            </w:r>
          </w:p>
        </w:tc>
        <w:tc>
          <w:tcPr>
            <w:tcW w:w="851"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分值</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w:t>
            </w:r>
          </w:p>
        </w:tc>
        <w:tc>
          <w:tcPr>
            <w:tcW w:w="183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报价</w:t>
            </w:r>
          </w:p>
        </w:tc>
        <w:tc>
          <w:tcPr>
            <w:tcW w:w="851"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60</w:t>
            </w:r>
            <w:r>
              <w:rPr>
                <w:rFonts w:hint="eastAsia" w:ascii="宋体" w:hAnsi="宋体" w:eastAsia="宋体" w:cs="宋体"/>
                <w:szCs w:val="24"/>
                <w:highlight w:val="none"/>
                <w:lang w:val="en-US" w:eastAsia="zh-CN"/>
              </w:rPr>
              <w:t>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价格分统一采用低价优先法计算，即满足招标文件要求且最后报价最低的投标人的价格为评标基准价，其价格分为满分。价格分统一按照下列公式计算：报价得分=(评标基准价／最终报价)×</w:t>
            </w:r>
            <w:r>
              <w:rPr>
                <w:rFonts w:hint="eastAsia" w:ascii="宋体" w:hAnsi="宋体" w:cs="宋体"/>
                <w:szCs w:val="24"/>
                <w:highlight w:val="none"/>
                <w:lang w:val="en-US" w:eastAsia="zh-CN"/>
              </w:rPr>
              <w:t>60</w:t>
            </w:r>
            <w:r>
              <w:rPr>
                <w:rFonts w:hint="eastAsia" w:ascii="宋体" w:hAnsi="宋体" w:eastAsia="宋体" w:cs="宋体"/>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p>
        </w:tc>
        <w:tc>
          <w:tcPr>
            <w:tcW w:w="183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投标产品制造商生产研发制造能力</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3分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投标产品制造商有完备、可靠的质量管理体系、有完善的设计、工艺、加工、检验能力，依据提供的材料或证明综合评判。优计</w:t>
            </w:r>
            <w:r>
              <w:rPr>
                <w:rFonts w:hint="eastAsia" w:ascii="宋体" w:hAnsi="宋体" w:cs="宋体"/>
                <w:szCs w:val="24"/>
                <w:highlight w:val="none"/>
                <w:lang w:val="en-US" w:eastAsia="zh-CN"/>
              </w:rPr>
              <w:t>3</w:t>
            </w:r>
            <w:r>
              <w:rPr>
                <w:rFonts w:hint="eastAsia" w:ascii="宋体" w:hAnsi="宋体" w:eastAsia="宋体" w:cs="宋体"/>
                <w:szCs w:val="24"/>
                <w:highlight w:val="none"/>
                <w:lang w:val="en-US" w:eastAsia="zh-CN"/>
              </w:rPr>
              <w:t>分，良计</w:t>
            </w:r>
            <w:r>
              <w:rPr>
                <w:rFonts w:hint="eastAsia" w:ascii="宋体" w:hAnsi="宋体" w:cs="宋体"/>
                <w:szCs w:val="24"/>
                <w:highlight w:val="none"/>
                <w:lang w:val="en-US" w:eastAsia="zh-CN"/>
              </w:rPr>
              <w:t>2</w:t>
            </w:r>
            <w:r>
              <w:rPr>
                <w:rFonts w:hint="eastAsia" w:ascii="宋体" w:hAnsi="宋体" w:eastAsia="宋体" w:cs="宋体"/>
                <w:szCs w:val="24"/>
                <w:highlight w:val="none"/>
                <w:lang w:val="en-US" w:eastAsia="zh-CN"/>
              </w:rPr>
              <w:t>分，一般计</w:t>
            </w:r>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分。</w:t>
            </w:r>
          </w:p>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（材料或证明指国家行业主管部门颁发，具有公信力，材料复印件加盖投标人公章）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w:t>
            </w:r>
          </w:p>
        </w:tc>
        <w:tc>
          <w:tcPr>
            <w:tcW w:w="183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投标产品技术性能</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15分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由评委依据投标人对投标产品技术参数响应综合评分：主要核心部件及技术指标达到国家相关技术标准的要求、并满足招标文件全部要求得基本分</w:t>
            </w:r>
            <w:r>
              <w:rPr>
                <w:rFonts w:hint="eastAsia" w:ascii="宋体" w:hAnsi="宋体" w:cs="宋体"/>
                <w:szCs w:val="24"/>
                <w:highlight w:val="none"/>
                <w:lang w:val="en-US" w:eastAsia="zh-CN"/>
              </w:rPr>
              <w:t>15</w:t>
            </w:r>
            <w:r>
              <w:rPr>
                <w:rFonts w:hint="eastAsia" w:ascii="宋体" w:hAnsi="宋体" w:eastAsia="宋体" w:cs="宋体"/>
                <w:szCs w:val="24"/>
                <w:highlight w:val="none"/>
                <w:lang w:val="en-US" w:eastAsia="zh-CN"/>
              </w:rPr>
              <w:t>分；投标产品参数基本满足采购需求但有偏差的，以</w:t>
            </w:r>
            <w:r>
              <w:rPr>
                <w:rFonts w:hint="eastAsia" w:ascii="宋体" w:hAnsi="宋体" w:cs="宋体"/>
                <w:szCs w:val="24"/>
                <w:highlight w:val="none"/>
                <w:lang w:val="en-US" w:eastAsia="zh-CN"/>
              </w:rPr>
              <w:t>15</w:t>
            </w:r>
            <w:r>
              <w:rPr>
                <w:rFonts w:hint="eastAsia" w:ascii="宋体" w:hAnsi="宋体" w:eastAsia="宋体" w:cs="宋体"/>
                <w:szCs w:val="24"/>
                <w:highlight w:val="none"/>
                <w:lang w:val="en-US" w:eastAsia="zh-CN"/>
              </w:rPr>
              <w:t>分基准值，每一项减2分减完为止；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w:t>
            </w:r>
          </w:p>
        </w:tc>
        <w:tc>
          <w:tcPr>
            <w:tcW w:w="1834"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售后服务</w:t>
            </w:r>
            <w:r>
              <w:rPr>
                <w:rFonts w:hint="eastAsia" w:ascii="宋体" w:hAnsi="宋体" w:cs="宋体"/>
                <w:szCs w:val="24"/>
                <w:highlight w:val="none"/>
                <w:lang w:val="en-US" w:eastAsia="zh-CN"/>
              </w:rPr>
              <w:t>网点</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2分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在疆内具有售后服务站及配件中心库</w:t>
            </w:r>
            <w:r>
              <w:rPr>
                <w:rFonts w:hint="eastAsia" w:ascii="宋体" w:hAnsi="宋体" w:cs="宋体"/>
                <w:szCs w:val="24"/>
                <w:highlight w:val="none"/>
                <w:lang w:val="en-US" w:eastAsia="zh-CN"/>
              </w:rPr>
              <w:t>，并</w:t>
            </w:r>
            <w:r>
              <w:rPr>
                <w:rFonts w:hint="eastAsia" w:ascii="宋体" w:hAnsi="宋体" w:eastAsia="宋体" w:cs="宋体"/>
                <w:szCs w:val="24"/>
                <w:highlight w:val="none"/>
                <w:lang w:val="en-US" w:eastAsia="zh-CN"/>
              </w:rPr>
              <w:t>具备车辆维保、备件储备、专业培训等能力的，得</w:t>
            </w:r>
            <w:r>
              <w:rPr>
                <w:rFonts w:hint="eastAsia" w:ascii="宋体" w:hAnsi="宋体" w:cs="宋体"/>
                <w:szCs w:val="24"/>
                <w:highlight w:val="none"/>
                <w:lang w:val="en-US" w:eastAsia="zh-CN"/>
              </w:rPr>
              <w:t>2</w:t>
            </w:r>
            <w:r>
              <w:rPr>
                <w:rFonts w:hint="eastAsia" w:ascii="宋体" w:hAnsi="宋体" w:eastAsia="宋体" w:cs="宋体"/>
                <w:szCs w:val="24"/>
                <w:highlight w:val="none"/>
                <w:lang w:val="en-US" w:eastAsia="zh-CN"/>
              </w:rPr>
              <w:t>分；在疆内具有协议售后服务站的得</w:t>
            </w:r>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分，没有的不得分。（需提供相关证明复印件加盖投标人公章）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w:t>
            </w:r>
          </w:p>
        </w:tc>
        <w:tc>
          <w:tcPr>
            <w:tcW w:w="1834"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服务方案</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10分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售后服务方案（包括服务机构网点设置、服务人员配置、供货时间、供货承诺及有关售后保障措施、延保承诺）综合评判。优计6-10分，良计3-5分，一般计0-2分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6</w:t>
            </w:r>
          </w:p>
        </w:tc>
        <w:tc>
          <w:tcPr>
            <w:tcW w:w="183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履约能力</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 w:val="24"/>
                <w:szCs w:val="24"/>
                <w:highlight w:val="none"/>
                <w:lang w:val="en-US" w:eastAsia="zh-CN" w:bidi="ar-SA"/>
              </w:rPr>
            </w:pPr>
            <w:r>
              <w:rPr>
                <w:rFonts w:hint="eastAsia" w:ascii="宋体" w:hAnsi="宋体" w:cs="宋体"/>
                <w:szCs w:val="24"/>
                <w:highlight w:val="none"/>
                <w:lang w:val="en-US" w:eastAsia="zh-CN"/>
              </w:rPr>
              <w:t>5分</w:t>
            </w:r>
          </w:p>
        </w:tc>
        <w:tc>
          <w:tcPr>
            <w:tcW w:w="6349" w:type="dxa"/>
            <w:noWrap w:val="0"/>
            <w:vAlign w:val="center"/>
          </w:tcPr>
          <w:p>
            <w:pPr>
              <w:pageBreakBefore w:val="0"/>
              <w:widowControl w:val="0"/>
              <w:kinsoku/>
              <w:overflowPunct/>
              <w:topLinePunct w:val="0"/>
              <w:bidi w:val="0"/>
              <w:adjustRightInd w:val="0"/>
              <w:spacing w:line="440" w:lineRule="exact"/>
              <w:rPr>
                <w:rFonts w:hint="default"/>
                <w:highlight w:val="none"/>
                <w:lang w:val="en-US" w:eastAsia="zh-CN"/>
              </w:rPr>
            </w:pPr>
            <w:r>
              <w:rPr>
                <w:rFonts w:hint="eastAsia"/>
                <w:highlight w:val="none"/>
                <w:lang w:val="en-US" w:eastAsia="zh-CN"/>
              </w:rPr>
              <w:t>提供投标人2021年度财务审计报告或财务报表复印件并加盖公章。按要求提供得5分，不提供不得分。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w:t>
            </w:r>
          </w:p>
        </w:tc>
        <w:tc>
          <w:tcPr>
            <w:tcW w:w="183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投标人业绩</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 w:val="24"/>
                <w:szCs w:val="24"/>
                <w:highlight w:val="none"/>
                <w:lang w:val="en-US" w:eastAsia="zh-CN" w:bidi="ar-SA"/>
              </w:rPr>
            </w:pPr>
            <w:r>
              <w:rPr>
                <w:rFonts w:hint="eastAsia" w:ascii="宋体" w:hAnsi="宋体" w:cs="宋体"/>
                <w:szCs w:val="24"/>
                <w:highlight w:val="none"/>
                <w:lang w:val="en-US" w:eastAsia="zh-CN"/>
              </w:rPr>
              <w:t>4分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投标人</w:t>
            </w:r>
            <w:r>
              <w:rPr>
                <w:rFonts w:hint="eastAsia" w:ascii="宋体" w:hAnsi="宋体" w:cs="宋体"/>
                <w:szCs w:val="24"/>
                <w:highlight w:val="none"/>
                <w:lang w:val="en-US" w:eastAsia="zh-CN"/>
              </w:rPr>
              <w:t>或厂家</w:t>
            </w:r>
            <w:r>
              <w:rPr>
                <w:rFonts w:hint="eastAsia" w:ascii="宋体" w:hAnsi="宋体" w:eastAsia="宋体" w:cs="宋体"/>
                <w:szCs w:val="24"/>
                <w:highlight w:val="none"/>
                <w:lang w:val="en-US" w:eastAsia="zh-CN"/>
              </w:rPr>
              <w:t>近</w:t>
            </w:r>
            <w:r>
              <w:rPr>
                <w:rFonts w:hint="eastAsia" w:ascii="宋体" w:hAnsi="宋体" w:cs="宋体"/>
                <w:szCs w:val="24"/>
                <w:highlight w:val="none"/>
                <w:lang w:val="en-US" w:eastAsia="zh-CN"/>
              </w:rPr>
              <w:t>两</w:t>
            </w:r>
            <w:r>
              <w:rPr>
                <w:rFonts w:hint="eastAsia" w:ascii="宋体" w:hAnsi="宋体" w:eastAsia="宋体" w:cs="宋体"/>
                <w:szCs w:val="24"/>
                <w:highlight w:val="none"/>
                <w:lang w:val="en-US" w:eastAsia="zh-CN"/>
              </w:rPr>
              <w:t>年（20</w:t>
            </w:r>
            <w:r>
              <w:rPr>
                <w:rFonts w:hint="eastAsia" w:ascii="宋体" w:hAnsi="宋体" w:cs="宋体"/>
                <w:szCs w:val="24"/>
                <w:highlight w:val="none"/>
                <w:lang w:val="en-US" w:eastAsia="zh-CN"/>
              </w:rPr>
              <w:t>20</w:t>
            </w:r>
            <w:r>
              <w:rPr>
                <w:rFonts w:hint="eastAsia" w:ascii="宋体" w:hAnsi="宋体" w:eastAsia="宋体" w:cs="宋体"/>
                <w:szCs w:val="24"/>
                <w:highlight w:val="none"/>
                <w:lang w:val="en-US" w:eastAsia="zh-CN"/>
              </w:rPr>
              <w:t>年1月</w:t>
            </w:r>
            <w:r>
              <w:rPr>
                <w:rFonts w:hint="eastAsia" w:ascii="宋体" w:hAnsi="宋体" w:cs="宋体"/>
                <w:szCs w:val="24"/>
                <w:highlight w:val="none"/>
                <w:lang w:val="en-US" w:eastAsia="zh-CN"/>
              </w:rPr>
              <w:t>1日</w:t>
            </w:r>
            <w:r>
              <w:rPr>
                <w:rFonts w:hint="eastAsia" w:ascii="宋体" w:hAnsi="宋体" w:eastAsia="宋体" w:cs="宋体"/>
                <w:szCs w:val="24"/>
                <w:highlight w:val="none"/>
                <w:lang w:val="en-US" w:eastAsia="zh-CN"/>
              </w:rPr>
              <w:t>至今）全国范围</w:t>
            </w:r>
            <w:r>
              <w:rPr>
                <w:rFonts w:hint="eastAsia" w:ascii="宋体" w:hAnsi="宋体" w:cs="宋体"/>
                <w:szCs w:val="24"/>
                <w:highlight w:val="none"/>
                <w:lang w:val="en-US" w:eastAsia="zh-CN"/>
              </w:rPr>
              <w:t>内投标产品的</w:t>
            </w:r>
            <w:r>
              <w:rPr>
                <w:rFonts w:hint="eastAsia" w:ascii="宋体" w:hAnsi="宋体" w:eastAsia="宋体" w:cs="宋体"/>
                <w:szCs w:val="24"/>
                <w:highlight w:val="none"/>
                <w:lang w:val="en-US" w:eastAsia="zh-CN"/>
              </w:rPr>
              <w:t>业绩证明，要求提供</w:t>
            </w:r>
            <w:r>
              <w:rPr>
                <w:rFonts w:hint="eastAsia" w:ascii="宋体" w:hAnsi="宋体" w:cs="宋体"/>
                <w:szCs w:val="24"/>
                <w:highlight w:val="none"/>
                <w:lang w:val="en-US" w:eastAsia="zh-CN"/>
              </w:rPr>
              <w:t>中标通知书或</w:t>
            </w:r>
            <w:r>
              <w:rPr>
                <w:rFonts w:hint="eastAsia" w:ascii="宋体" w:hAnsi="宋体" w:eastAsia="宋体" w:cs="宋体"/>
                <w:szCs w:val="24"/>
                <w:highlight w:val="none"/>
                <w:lang w:val="en-US" w:eastAsia="zh-CN"/>
              </w:rPr>
              <w:t>合同复印件，1个业绩得</w:t>
            </w:r>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分，本项满分</w:t>
            </w: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8</w:t>
            </w:r>
          </w:p>
        </w:tc>
        <w:tc>
          <w:tcPr>
            <w:tcW w:w="1834"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 w:val="24"/>
                <w:szCs w:val="24"/>
                <w:highlight w:val="none"/>
                <w:lang w:val="en-US" w:eastAsia="zh-CN" w:bidi="ar-SA"/>
              </w:rPr>
            </w:pPr>
            <w:r>
              <w:rPr>
                <w:rFonts w:hint="eastAsia" w:ascii="宋体" w:hAnsi="宋体" w:cs="宋体"/>
                <w:szCs w:val="24"/>
                <w:highlight w:val="none"/>
                <w:lang w:val="en-US" w:eastAsia="zh-CN"/>
              </w:rPr>
              <w:t>响应文件编制质量</w:t>
            </w:r>
          </w:p>
        </w:tc>
        <w:tc>
          <w:tcPr>
            <w:tcW w:w="851"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 w:val="24"/>
                <w:szCs w:val="24"/>
                <w:highlight w:val="none"/>
                <w:lang w:val="en-US" w:eastAsia="zh-CN" w:bidi="ar-SA"/>
              </w:rPr>
            </w:pPr>
            <w:r>
              <w:rPr>
                <w:rFonts w:hint="eastAsia" w:ascii="宋体" w:hAnsi="宋体" w:cs="宋体"/>
                <w:szCs w:val="24"/>
                <w:highlight w:val="none"/>
                <w:lang w:val="en-US" w:eastAsia="zh-CN"/>
              </w:rPr>
              <w:t>1分</w:t>
            </w:r>
          </w:p>
        </w:tc>
        <w:tc>
          <w:tcPr>
            <w:tcW w:w="63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投标人根据磋商文件条款和要求认真组织编写响应文件，内容完整、齐全、叙述严谨；标书无涂改、错页、漏页现象；得</w:t>
            </w:r>
            <w:r>
              <w:rPr>
                <w:rFonts w:hint="eastAsia" w:ascii="宋体" w:hAnsi="宋体" w:cs="宋体"/>
                <w:szCs w:val="24"/>
                <w:highlight w:val="none"/>
                <w:lang w:val="en-US" w:eastAsia="zh-CN"/>
              </w:rPr>
              <w:t>0-1</w:t>
            </w:r>
            <w:r>
              <w:rPr>
                <w:rFonts w:hint="eastAsia" w:ascii="宋体" w:hAnsi="宋体" w:eastAsia="宋体" w:cs="宋体"/>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4" w:type="dxa"/>
            <w:noWrap w:val="0"/>
            <w:vAlign w:val="center"/>
          </w:tcPr>
          <w:p>
            <w:pPr>
              <w:pageBreakBefore w:val="0"/>
              <w:widowControl w:val="0"/>
              <w:kinsoku/>
              <w:overflowPunct/>
              <w:topLinePunct w:val="0"/>
              <w:bidi w:val="0"/>
              <w:adjustRightInd w:val="0"/>
              <w:spacing w:line="440" w:lineRule="exact"/>
              <w:rPr>
                <w:rFonts w:hint="default" w:ascii="宋体" w:hAnsi="宋体" w:cs="宋体"/>
                <w:szCs w:val="24"/>
                <w:highlight w:val="none"/>
                <w:lang w:val="en-US" w:eastAsia="zh-CN"/>
              </w:rPr>
            </w:pPr>
            <w:r>
              <w:rPr>
                <w:rFonts w:hint="eastAsia" w:ascii="宋体" w:hAnsi="宋体" w:cs="宋体"/>
                <w:szCs w:val="24"/>
                <w:highlight w:val="none"/>
                <w:lang w:val="en-US" w:eastAsia="zh-CN"/>
              </w:rPr>
              <w:t>合计</w:t>
            </w:r>
          </w:p>
        </w:tc>
        <w:tc>
          <w:tcPr>
            <w:tcW w:w="1834" w:type="dxa"/>
            <w:noWrap w:val="0"/>
            <w:vAlign w:val="center"/>
          </w:tcPr>
          <w:p>
            <w:pPr>
              <w:pageBreakBefore w:val="0"/>
              <w:widowControl w:val="0"/>
              <w:tabs>
                <w:tab w:val="left" w:pos="516"/>
              </w:tabs>
              <w:kinsoku/>
              <w:overflowPunct/>
              <w:topLinePunct w:val="0"/>
              <w:bidi w:val="0"/>
              <w:adjustRightInd w:val="0"/>
              <w:spacing w:line="440" w:lineRule="exact"/>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w:t>
            </w:r>
          </w:p>
        </w:tc>
        <w:tc>
          <w:tcPr>
            <w:tcW w:w="851" w:type="dxa"/>
            <w:noWrap w:val="0"/>
            <w:vAlign w:val="center"/>
          </w:tcPr>
          <w:p>
            <w:pPr>
              <w:pageBreakBefore w:val="0"/>
              <w:widowControl w:val="0"/>
              <w:kinsoku/>
              <w:overflowPunct/>
              <w:topLinePunct w:val="0"/>
              <w:bidi w:val="0"/>
              <w:adjustRightInd w:val="0"/>
              <w:spacing w:line="440" w:lineRule="exact"/>
              <w:rPr>
                <w:rFonts w:hint="default" w:ascii="宋体" w:hAnsi="宋体" w:cs="宋体"/>
                <w:szCs w:val="24"/>
                <w:highlight w:val="none"/>
                <w:lang w:val="en-US" w:eastAsia="zh-CN"/>
              </w:rPr>
            </w:pPr>
            <w:r>
              <w:rPr>
                <w:rFonts w:hint="eastAsia" w:ascii="宋体" w:hAnsi="宋体" w:cs="宋体"/>
                <w:szCs w:val="24"/>
                <w:highlight w:val="none"/>
                <w:lang w:val="en-US" w:eastAsia="zh-CN"/>
              </w:rPr>
              <w:t>100分</w:t>
            </w:r>
          </w:p>
        </w:tc>
        <w:tc>
          <w:tcPr>
            <w:tcW w:w="6349" w:type="dxa"/>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w:t>
            </w:r>
          </w:p>
        </w:tc>
      </w:tr>
      <w:bookmarkEnd w:id="84"/>
      <w:bookmarkEnd w:id="85"/>
      <w:bookmarkEnd w:id="86"/>
    </w:tbl>
    <w:p>
      <w:pPr>
        <w:pageBreakBefore w:val="0"/>
        <w:widowControl w:val="0"/>
        <w:kinsoku/>
        <w:overflowPunct/>
        <w:topLinePunct w:val="0"/>
        <w:bidi w:val="0"/>
        <w:adjustRightInd w:val="0"/>
        <w:spacing w:line="440" w:lineRule="exact"/>
        <w:ind w:firstLine="560" w:firstLineChars="0"/>
        <w:rPr>
          <w:rFonts w:hint="eastAsia" w:ascii="宋体" w:hAnsi="宋体"/>
          <w:b/>
          <w:kern w:val="2"/>
          <w:highlight w:val="none"/>
          <w:lang w:val="en-US" w:eastAsia="zh-CN"/>
        </w:rPr>
      </w:pPr>
    </w:p>
    <w:p>
      <w:pPr>
        <w:pageBreakBefore w:val="0"/>
        <w:widowControl w:val="0"/>
        <w:kinsoku/>
        <w:overflowPunct/>
        <w:topLinePunct w:val="0"/>
        <w:bidi w:val="0"/>
        <w:adjustRightInd w:val="0"/>
        <w:spacing w:line="440" w:lineRule="exact"/>
        <w:ind w:firstLine="560" w:firstLineChars="0"/>
        <w:rPr>
          <w:rFonts w:hint="eastAsia" w:ascii="宋体" w:hAnsi="宋体" w:eastAsia="宋体" w:cs="宋体"/>
          <w:highlight w:val="none"/>
          <w:lang w:eastAsia="zh-CN"/>
        </w:rPr>
      </w:pPr>
      <w:r>
        <w:rPr>
          <w:rFonts w:hint="eastAsia" w:ascii="宋体" w:hAnsi="宋体"/>
          <w:b/>
          <w:kern w:val="2"/>
          <w:highlight w:val="none"/>
          <w:lang w:val="en-US" w:eastAsia="zh-CN"/>
        </w:rPr>
        <w:t>落实</w:t>
      </w:r>
      <w:r>
        <w:rPr>
          <w:rFonts w:hint="eastAsia" w:ascii="宋体" w:hAnsi="宋体"/>
          <w:b/>
          <w:kern w:val="2"/>
          <w:highlight w:val="none"/>
        </w:rPr>
        <w:t>政府采购政策</w:t>
      </w:r>
      <w:r>
        <w:rPr>
          <w:rFonts w:hint="eastAsia" w:ascii="宋体" w:hAnsi="宋体"/>
          <w:b/>
          <w:kern w:val="2"/>
          <w:highlight w:val="none"/>
          <w:lang w:eastAsia="zh-CN"/>
        </w:rPr>
        <w:t>：</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1、小微型企业价格扣除</w:t>
      </w:r>
    </w:p>
    <w:p>
      <w:pPr>
        <w:pStyle w:val="34"/>
        <w:snapToGrid w:val="0"/>
        <w:spacing w:before="145" w:beforeLines="50" w:after="145" w:afterLines="50" w:line="293" w:lineRule="auto"/>
        <w:ind w:firstLine="360" w:firstLineChars="150"/>
        <w:rPr>
          <w:rFonts w:hint="eastAsia" w:ascii="宋体" w:hAnsi="宋体"/>
          <w:kern w:val="2"/>
          <w:highlight w:val="none"/>
        </w:rPr>
      </w:pPr>
      <w:r>
        <w:rPr>
          <w:rFonts w:hint="eastAsia" w:ascii="宋体" w:hAnsi="宋体"/>
          <w:kern w:val="2"/>
          <w:highlight w:val="none"/>
        </w:rPr>
        <w:t>（1）本项目对小型和微型企业产品给予</w:t>
      </w:r>
      <w:r>
        <w:rPr>
          <w:rFonts w:hint="eastAsia" w:ascii="宋体" w:hAnsi="宋体"/>
          <w:kern w:val="2"/>
          <w:highlight w:val="none"/>
          <w:lang w:val="en-US" w:eastAsia="zh-CN"/>
        </w:rPr>
        <w:t>10</w:t>
      </w:r>
      <w:r>
        <w:rPr>
          <w:rFonts w:hint="eastAsia" w:ascii="宋体" w:hAnsi="宋体"/>
          <w:kern w:val="2"/>
          <w:highlight w:val="none"/>
        </w:rPr>
        <w:t>%的扣除价格，用扣除后的价格参与评审。</w:t>
      </w:r>
    </w:p>
    <w:p>
      <w:pPr>
        <w:pStyle w:val="34"/>
        <w:snapToGrid w:val="0"/>
        <w:spacing w:before="145" w:beforeLines="50" w:after="145" w:afterLines="50" w:line="293" w:lineRule="auto"/>
        <w:ind w:firstLine="360" w:firstLineChars="150"/>
        <w:rPr>
          <w:rFonts w:hint="eastAsia" w:ascii="宋体" w:hAnsi="宋体"/>
          <w:kern w:val="2"/>
          <w:highlight w:val="none"/>
        </w:rPr>
      </w:pPr>
      <w:r>
        <w:rPr>
          <w:rFonts w:hint="eastAsia" w:ascii="宋体" w:hAnsi="宋体"/>
          <w:kern w:val="2"/>
          <w:highlight w:val="none"/>
        </w:rPr>
        <w:t>（2）供应商需按照采购文件的要求提供相应的《企业声明函》。</w:t>
      </w:r>
    </w:p>
    <w:p>
      <w:pPr>
        <w:pStyle w:val="34"/>
        <w:snapToGrid w:val="0"/>
        <w:spacing w:before="145" w:beforeLines="50" w:after="145" w:afterLines="50" w:line="293" w:lineRule="auto"/>
        <w:ind w:firstLine="360" w:firstLineChars="150"/>
        <w:rPr>
          <w:rFonts w:hint="eastAsia" w:ascii="宋体" w:hAnsi="宋体"/>
          <w:kern w:val="2"/>
          <w:highlight w:val="none"/>
        </w:rPr>
      </w:pPr>
      <w:r>
        <w:rPr>
          <w:rFonts w:hint="eastAsia" w:ascii="宋体" w:hAnsi="宋体"/>
          <w:kern w:val="2"/>
          <w:highlight w:val="none"/>
        </w:rPr>
        <w:t>（3）企业标准请参照《关于印发中小企业划型标准规定的通知》（工信部联企业[2011]300号）文件规定自行填写。</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2、残疾人福利单位价格扣除</w:t>
      </w:r>
    </w:p>
    <w:p>
      <w:pPr>
        <w:pStyle w:val="34"/>
        <w:snapToGrid w:val="0"/>
        <w:spacing w:before="145" w:beforeLines="50" w:after="145" w:afterLines="50" w:line="293" w:lineRule="auto"/>
        <w:ind w:left="137" w:leftChars="57" w:firstLine="360" w:firstLineChars="150"/>
        <w:rPr>
          <w:rFonts w:hint="eastAsia" w:ascii="宋体" w:hAnsi="宋体"/>
          <w:kern w:val="2"/>
          <w:highlight w:val="none"/>
        </w:rPr>
      </w:pPr>
      <w:r>
        <w:rPr>
          <w:rFonts w:hint="eastAsia" w:ascii="宋体" w:hAnsi="宋体"/>
          <w:kern w:val="2"/>
          <w:highlight w:val="none"/>
        </w:rPr>
        <w:t>（1）本项目对残疾人福利性单位视同小型、微型企业，用扣除后的价格参与评审。</w:t>
      </w:r>
    </w:p>
    <w:p>
      <w:pPr>
        <w:pStyle w:val="34"/>
        <w:snapToGrid w:val="0"/>
        <w:spacing w:before="145" w:beforeLines="50" w:after="145" w:afterLines="50" w:line="293" w:lineRule="auto"/>
        <w:ind w:left="137" w:leftChars="57" w:firstLine="360" w:firstLineChars="150"/>
        <w:rPr>
          <w:rFonts w:hint="eastAsia" w:ascii="宋体" w:hAnsi="宋体"/>
          <w:kern w:val="2"/>
          <w:highlight w:val="none"/>
        </w:rPr>
      </w:pPr>
      <w:r>
        <w:rPr>
          <w:rFonts w:hint="eastAsia" w:ascii="宋体" w:hAnsi="宋体"/>
          <w:kern w:val="2"/>
          <w:highlight w:val="none"/>
        </w:rPr>
        <w:t>（2）残疾人福利单位需按照采购文件的要求提供《残疾人福利性单位声明函》。</w:t>
      </w:r>
    </w:p>
    <w:p>
      <w:pPr>
        <w:pStyle w:val="34"/>
        <w:snapToGrid w:val="0"/>
        <w:spacing w:before="145" w:beforeLines="50" w:after="145" w:afterLines="50" w:line="293" w:lineRule="auto"/>
        <w:ind w:left="137" w:leftChars="57" w:firstLine="360" w:firstLineChars="150"/>
        <w:rPr>
          <w:rFonts w:hint="eastAsia" w:ascii="宋体" w:hAnsi="宋体"/>
          <w:kern w:val="2"/>
          <w:highlight w:val="none"/>
        </w:rPr>
      </w:pPr>
      <w:r>
        <w:rPr>
          <w:rFonts w:hint="eastAsia" w:ascii="宋体" w:hAnsi="宋体"/>
          <w:kern w:val="2"/>
          <w:highlight w:val="none"/>
        </w:rPr>
        <w:t>（3）残疾人福利单位标准请参照《关于促进残疾人就业政府采购政策的通知》（财库〔2017〕141号）。</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3、监狱和戒毒企业价格扣除</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（1）本项目对监狱和戒毒企业（简称监狱企业）视同小型、微型企业，用扣除后的价格参与评审。</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（2）监狱企业参加政府采购活动时，需提供由省级以上监狱管理局、戒毒管理局(含新疆生产建设兵团)出具的属于监狱企业的证明文件。</w:t>
      </w:r>
      <w:r>
        <w:rPr>
          <w:rFonts w:hint="eastAsia" w:ascii="宋体" w:hAnsi="宋体"/>
          <w:highlight w:val="none"/>
        </w:rPr>
        <w:t>供应商如不提供上述证明文件，价格将不做相应扣除</w:t>
      </w:r>
      <w:r>
        <w:rPr>
          <w:rFonts w:hint="eastAsia" w:ascii="宋体" w:hAnsi="宋体"/>
          <w:kern w:val="2"/>
          <w:highlight w:val="none"/>
        </w:rPr>
        <w:t>。</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（3）监狱企业标准请参照《关于政府采购支持监狱企业发展有关问题的通知》（</w:t>
      </w:r>
      <w:r>
        <w:rPr>
          <w:rFonts w:ascii="宋体" w:hAnsi="宋体"/>
          <w:kern w:val="2"/>
          <w:highlight w:val="none"/>
        </w:rPr>
        <w:t>财库[2014]68号</w:t>
      </w:r>
      <w:r>
        <w:rPr>
          <w:rFonts w:hint="eastAsia" w:ascii="宋体" w:hAnsi="宋体"/>
          <w:kern w:val="2"/>
          <w:highlight w:val="none"/>
        </w:rPr>
        <w:t>）。</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4、残疾人福利单位、监狱企业属于小型、微型企业的，不重复享受政策。</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用扣除后的价格参与评审</w:t>
      </w:r>
      <w:r>
        <w:rPr>
          <w:rFonts w:hint="eastAsia" w:ascii="宋体" w:hAnsi="宋体"/>
          <w:kern w:val="2"/>
          <w:highlight w:val="none"/>
          <w:lang w:eastAsia="zh-CN"/>
        </w:rPr>
        <w:t>，</w:t>
      </w:r>
      <w:r>
        <w:rPr>
          <w:rFonts w:hint="eastAsia" w:ascii="宋体" w:hAnsi="宋体"/>
          <w:kern w:val="2"/>
          <w:highlight w:val="none"/>
          <w:lang w:val="en-US" w:eastAsia="zh-CN"/>
        </w:rPr>
        <w:t>本项目不适用</w:t>
      </w:r>
      <w:r>
        <w:rPr>
          <w:rFonts w:hint="eastAsia" w:ascii="宋体" w:hAnsi="宋体"/>
          <w:kern w:val="2"/>
          <w:highlight w:val="none"/>
        </w:rPr>
        <w:t xml:space="preserve">。 </w:t>
      </w:r>
    </w:p>
    <w:p>
      <w:pPr>
        <w:pStyle w:val="34"/>
        <w:snapToGrid w:val="0"/>
        <w:spacing w:before="145" w:beforeLines="50" w:after="145" w:afterLines="50" w:line="293" w:lineRule="auto"/>
        <w:ind w:firstLineChars="200"/>
        <w:rPr>
          <w:rFonts w:hint="eastAsia" w:ascii="宋体" w:hAnsi="宋体"/>
          <w:kern w:val="2"/>
          <w:highlight w:val="none"/>
        </w:rPr>
      </w:pPr>
      <w:r>
        <w:rPr>
          <w:rFonts w:hint="eastAsia" w:ascii="宋体" w:hAnsi="宋体"/>
          <w:kern w:val="2"/>
          <w:highlight w:val="none"/>
        </w:rPr>
        <w:t>6、联合体各方均为小型、微型企业（残疾人福利单位、监狱企业）的，用扣除后的价格参与评审</w:t>
      </w:r>
      <w:r>
        <w:rPr>
          <w:rFonts w:hint="eastAsia" w:ascii="宋体" w:hAnsi="宋体"/>
          <w:kern w:val="2"/>
          <w:highlight w:val="none"/>
          <w:lang w:eastAsia="zh-CN"/>
        </w:rPr>
        <w:t>，</w:t>
      </w:r>
      <w:r>
        <w:rPr>
          <w:rFonts w:hint="eastAsia" w:ascii="宋体" w:hAnsi="宋体"/>
          <w:kern w:val="2"/>
          <w:highlight w:val="none"/>
          <w:lang w:val="en-US" w:eastAsia="zh-CN"/>
        </w:rPr>
        <w:t>本项目不适用</w:t>
      </w:r>
      <w:r>
        <w:rPr>
          <w:rFonts w:hint="eastAsia" w:ascii="宋体" w:hAnsi="宋体"/>
          <w:kern w:val="2"/>
          <w:highlight w:val="none"/>
        </w:rPr>
        <w:t>。</w:t>
      </w:r>
    </w:p>
    <w:p>
      <w:pPr>
        <w:pStyle w:val="7"/>
        <w:rPr>
          <w:rFonts w:hint="eastAsia"/>
          <w:highlight w:val="none"/>
        </w:rPr>
      </w:pPr>
    </w:p>
    <w:bookmarkEnd w:id="87"/>
    <w:p>
      <w:pPr>
        <w:rPr>
          <w:rFonts w:hint="eastAsia" w:ascii="宋体" w:hAnsi="宋体" w:eastAsia="宋体" w:cs="宋体"/>
          <w:highlight w:val="none"/>
        </w:rPr>
      </w:pPr>
      <w:bookmarkStart w:id="88" w:name="_Toc529270692"/>
      <w:bookmarkStart w:id="89" w:name="_Toc62744644"/>
      <w:bookmarkStart w:id="90" w:name="_Toc22436"/>
      <w:r>
        <w:rPr>
          <w:rFonts w:hint="eastAsia" w:ascii="宋体" w:hAnsi="宋体" w:eastAsia="宋体" w:cs="宋体"/>
          <w:highlight w:val="none"/>
        </w:rPr>
        <w:br w:type="page"/>
      </w:r>
    </w:p>
    <w:p>
      <w:pPr>
        <w:pStyle w:val="3"/>
        <w:pageBreakBefore w:val="0"/>
        <w:widowControl w:val="0"/>
        <w:kinsoku/>
        <w:overflowPunct/>
        <w:topLinePunct w:val="0"/>
        <w:bidi w:val="0"/>
        <w:adjustRightInd w:val="0"/>
        <w:spacing w:before="0" w:after="0" w:line="440" w:lineRule="exact"/>
        <w:rPr>
          <w:rFonts w:hint="eastAsia" w:ascii="宋体" w:hAnsi="宋体" w:eastAsia="宋体" w:cs="宋体"/>
          <w:highlight w:val="none"/>
        </w:rPr>
      </w:pPr>
      <w:r>
        <w:rPr>
          <w:rFonts w:hint="eastAsia" w:ascii="宋体" w:hAnsi="宋体" w:eastAsia="宋体" w:cs="宋体"/>
          <w:highlight w:val="none"/>
        </w:rPr>
        <w:t xml:space="preserve">第五章 </w:t>
      </w:r>
      <w:bookmarkEnd w:id="88"/>
      <w:r>
        <w:rPr>
          <w:rFonts w:hint="eastAsia" w:ascii="宋体" w:hAnsi="宋体" w:eastAsia="宋体" w:cs="宋体"/>
          <w:highlight w:val="none"/>
        </w:rPr>
        <w:t xml:space="preserve"> 采购内容及需求</w:t>
      </w:r>
      <w:bookmarkEnd w:id="89"/>
      <w:bookmarkEnd w:id="90"/>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440" w:lineRule="exact"/>
        <w:jc w:val="left"/>
        <w:textAlignment w:val="baseline"/>
        <w:outlineLvl w:val="0"/>
        <w:rPr>
          <w:rFonts w:hint="eastAsia" w:ascii="宋体" w:hAnsi="宋体" w:cs="宋体"/>
          <w:highlight w:val="none"/>
          <w:lang w:val="en-US" w:eastAsia="zh-CN"/>
        </w:rPr>
      </w:pPr>
    </w:p>
    <w:p>
      <w:pPr>
        <w:spacing w:line="360" w:lineRule="auto"/>
        <w:rPr>
          <w:rFonts w:hint="eastAsia"/>
          <w:b/>
          <w:bCs/>
          <w:sz w:val="32"/>
          <w:szCs w:val="22"/>
          <w:highlight w:val="none"/>
          <w:lang w:val="en-US" w:eastAsia="zh-CN"/>
        </w:rPr>
      </w:pPr>
      <w:r>
        <w:rPr>
          <w:rFonts w:hint="eastAsia"/>
          <w:b/>
          <w:bCs/>
          <w:sz w:val="32"/>
          <w:szCs w:val="22"/>
          <w:highlight w:val="none"/>
          <w:lang w:val="en-US" w:eastAsia="zh-CN"/>
        </w:rPr>
        <w:t>一、基本要求</w:t>
      </w:r>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0" w:firstLineChars="0"/>
        <w:jc w:val="left"/>
        <w:textAlignment w:val="baseline"/>
        <w:outlineLvl w:val="0"/>
        <w:rPr>
          <w:rFonts w:hint="eastAsia"/>
          <w:highlight w:val="none"/>
          <w:lang w:val="en-US" w:eastAsia="zh-CN"/>
        </w:rPr>
      </w:pPr>
      <w:r>
        <w:rPr>
          <w:rFonts w:hint="eastAsia" w:ascii="宋体" w:hAnsi="宋体" w:cs="宋体"/>
          <w:b/>
          <w:bCs/>
          <w:sz w:val="28"/>
          <w:szCs w:val="28"/>
          <w:highlight w:val="none"/>
          <w:lang w:val="en-US" w:eastAsia="zh-CN"/>
        </w:rPr>
        <w:t>采购四驱越野载货汽车两辆。</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（1）</w:t>
      </w:r>
      <w:r>
        <w:rPr>
          <w:rFonts w:hint="eastAsia" w:hAnsi="宋体"/>
          <w:bCs/>
          <w:sz w:val="24"/>
          <w:szCs w:val="24"/>
          <w:highlight w:val="none"/>
          <w:lang w:val="en-US" w:eastAsia="zh-CN"/>
        </w:rPr>
        <w:t>供应商</w:t>
      </w:r>
      <w:r>
        <w:rPr>
          <w:rFonts w:hint="eastAsia" w:hAnsi="宋体"/>
          <w:bCs/>
          <w:sz w:val="24"/>
          <w:szCs w:val="24"/>
          <w:highlight w:val="none"/>
        </w:rPr>
        <w:t>应保证货物是全新、未使用过的，是经过合法渠道进货的原装合格正品，</w:t>
      </w:r>
      <w:r>
        <w:rPr>
          <w:rFonts w:hint="eastAsia" w:hAnsi="宋体"/>
          <w:bCs/>
          <w:sz w:val="24"/>
          <w:szCs w:val="24"/>
          <w:highlight w:val="none"/>
          <w:lang w:val="en-US" w:eastAsia="zh-CN"/>
        </w:rPr>
        <w:t>不得减少原厂正品的基本配置，</w:t>
      </w:r>
      <w:r>
        <w:rPr>
          <w:rFonts w:hint="eastAsia" w:hAnsi="宋体"/>
          <w:bCs/>
          <w:sz w:val="24"/>
          <w:szCs w:val="24"/>
          <w:highlight w:val="none"/>
        </w:rPr>
        <w:t>并完全符合合同规定的质量、规格和性能的要求。</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（2）</w:t>
      </w:r>
      <w:r>
        <w:rPr>
          <w:rFonts w:hint="eastAsia" w:hAnsi="宋体"/>
          <w:bCs/>
          <w:sz w:val="24"/>
          <w:szCs w:val="24"/>
          <w:highlight w:val="none"/>
          <w:lang w:eastAsia="zh-CN"/>
        </w:rPr>
        <w:t>供应商</w:t>
      </w:r>
      <w:r>
        <w:rPr>
          <w:rFonts w:hint="eastAsia" w:hAnsi="宋体"/>
          <w:bCs/>
          <w:sz w:val="24"/>
          <w:szCs w:val="24"/>
          <w:highlight w:val="none"/>
        </w:rPr>
        <w:t>应保证其货物在正确安装、正常使用和保养条件下，在其使用寿命期内应具有满意的性能。</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（3）</w:t>
      </w:r>
      <w:r>
        <w:rPr>
          <w:rFonts w:hint="eastAsia" w:hAnsi="宋体"/>
          <w:bCs/>
          <w:sz w:val="24"/>
          <w:szCs w:val="24"/>
          <w:highlight w:val="none"/>
          <w:lang w:eastAsia="zh-CN"/>
        </w:rPr>
        <w:t>供应商</w:t>
      </w:r>
      <w:r>
        <w:rPr>
          <w:rFonts w:hint="eastAsia" w:hAnsi="宋体"/>
          <w:bCs/>
          <w:sz w:val="24"/>
          <w:szCs w:val="24"/>
          <w:highlight w:val="none"/>
        </w:rPr>
        <w:t>应保证货物整体能正常运行，达到买方要求。</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（4）项目最终验收后，在质量保证期内，</w:t>
      </w:r>
      <w:r>
        <w:rPr>
          <w:rFonts w:hint="eastAsia" w:hAnsi="宋体"/>
          <w:bCs/>
          <w:sz w:val="24"/>
          <w:szCs w:val="24"/>
          <w:highlight w:val="none"/>
          <w:lang w:eastAsia="zh-CN"/>
        </w:rPr>
        <w:t>供应商</w:t>
      </w:r>
      <w:r>
        <w:rPr>
          <w:rFonts w:hint="eastAsia" w:hAnsi="宋体"/>
          <w:bCs/>
          <w:sz w:val="24"/>
          <w:szCs w:val="24"/>
          <w:highlight w:val="none"/>
        </w:rPr>
        <w:t>应对由于设计、工艺或材料的缺陷而发生的任何不足或故障负责，费用由</w:t>
      </w:r>
      <w:r>
        <w:rPr>
          <w:rFonts w:hint="eastAsia" w:hAnsi="宋体"/>
          <w:bCs/>
          <w:sz w:val="24"/>
          <w:szCs w:val="24"/>
          <w:highlight w:val="none"/>
          <w:lang w:eastAsia="zh-CN"/>
        </w:rPr>
        <w:t>供应商</w:t>
      </w:r>
      <w:r>
        <w:rPr>
          <w:rFonts w:hint="eastAsia" w:hAnsi="宋体"/>
          <w:bCs/>
          <w:sz w:val="24"/>
          <w:szCs w:val="24"/>
          <w:highlight w:val="none"/>
        </w:rPr>
        <w:t>负担。</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（5）</w:t>
      </w:r>
      <w:r>
        <w:rPr>
          <w:rFonts w:hint="eastAsia" w:hAnsi="宋体"/>
          <w:bCs/>
          <w:sz w:val="24"/>
          <w:szCs w:val="24"/>
          <w:highlight w:val="none"/>
          <w:lang w:eastAsia="zh-CN"/>
        </w:rPr>
        <w:t>供应商</w:t>
      </w:r>
      <w:r>
        <w:rPr>
          <w:rFonts w:hint="eastAsia" w:hAnsi="宋体"/>
          <w:bCs/>
          <w:sz w:val="24"/>
          <w:szCs w:val="24"/>
          <w:highlight w:val="none"/>
        </w:rPr>
        <w:t>所提供货物的技术规格应与采购文件规定的技术规范相一致；若技术规格无相应说明，则以国家有关部门最新颁布的标准及规范为准。</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（6）中标人按招标文件要求完成供货、适应性改装、调试工作，完成项目验收工作。</w:t>
      </w:r>
    </w:p>
    <w:p>
      <w:pPr>
        <w:pStyle w:val="10"/>
        <w:snapToGrid w:val="0"/>
        <w:spacing w:before="120" w:after="120" w:line="360" w:lineRule="auto"/>
        <w:ind w:firstLine="480" w:firstLineChars="200"/>
        <w:rPr>
          <w:rFonts w:hint="eastAsia" w:hAnsi="宋体"/>
          <w:bCs/>
          <w:sz w:val="24"/>
          <w:szCs w:val="24"/>
          <w:highlight w:val="none"/>
        </w:rPr>
      </w:pPr>
      <w:r>
        <w:rPr>
          <w:rFonts w:hint="eastAsia" w:hAnsi="宋体"/>
          <w:bCs/>
          <w:sz w:val="24"/>
          <w:szCs w:val="24"/>
          <w:highlight w:val="none"/>
        </w:rPr>
        <w:t>（8）售后服务响应时间：4小时内响应，48小时内实施维修；要有售后维修人员，提供姓名、联系电话，24小时电话服务支持。</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（9）售后服务内容</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供应商或投标产品制造厂家在质量保证期内应当为采购人提供以下技术支持服务：</w:t>
      </w:r>
    </w:p>
    <w:p>
      <w:pPr>
        <w:pStyle w:val="10"/>
        <w:snapToGrid w:val="0"/>
        <w:spacing w:before="120" w:after="120" w:line="360" w:lineRule="auto"/>
        <w:ind w:firstLine="482" w:firstLineChars="200"/>
        <w:rPr>
          <w:rFonts w:hAnsi="宋体"/>
          <w:b/>
          <w:bCs/>
          <w:sz w:val="24"/>
          <w:szCs w:val="24"/>
          <w:highlight w:val="none"/>
        </w:rPr>
      </w:pPr>
      <w:r>
        <w:rPr>
          <w:rFonts w:hint="eastAsia" w:hAnsi="宋体"/>
          <w:b/>
          <w:bCs/>
          <w:sz w:val="24"/>
          <w:szCs w:val="24"/>
          <w:highlight w:val="none"/>
        </w:rPr>
        <w:t>A质保期内服务要求</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1）电话咨询</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供应商当为用户提供技术援助电话，解答用户在使用中遇到的问题，及时为用户提出解决问题的建议。</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2）现场响应</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用户遇到使用及技术问题，电话咨询不能解决的，供应商在48小时内采取相应措施，提供上门服务，确保产品正常工作；无法在72小时内解决的，应在72小时内提供备品，使用户能够正常使用。</w:t>
      </w:r>
    </w:p>
    <w:p>
      <w:pPr>
        <w:pStyle w:val="10"/>
        <w:snapToGrid w:val="0"/>
        <w:spacing w:before="120" w:after="120" w:line="360" w:lineRule="auto"/>
        <w:ind w:firstLine="482" w:firstLineChars="200"/>
        <w:rPr>
          <w:rFonts w:hAnsi="宋体"/>
          <w:b/>
          <w:bCs/>
          <w:sz w:val="24"/>
          <w:szCs w:val="24"/>
          <w:highlight w:val="none"/>
        </w:rPr>
      </w:pPr>
      <w:r>
        <w:rPr>
          <w:rFonts w:hint="eastAsia" w:hAnsi="宋体"/>
          <w:b/>
          <w:bCs/>
          <w:sz w:val="24"/>
          <w:szCs w:val="24"/>
          <w:highlight w:val="none"/>
        </w:rPr>
        <w:t>B</w:t>
      </w:r>
      <w:r>
        <w:rPr>
          <w:rFonts w:hint="eastAsia" w:hAnsi="宋体"/>
          <w:b/>
          <w:bCs/>
          <w:sz w:val="24"/>
          <w:szCs w:val="24"/>
          <w:highlight w:val="none"/>
          <w:lang w:val="en-US" w:eastAsia="zh-CN"/>
        </w:rPr>
        <w:t>质保期</w:t>
      </w:r>
      <w:r>
        <w:rPr>
          <w:rFonts w:hint="eastAsia" w:hAnsi="宋体"/>
          <w:b/>
          <w:bCs/>
          <w:sz w:val="24"/>
          <w:szCs w:val="24"/>
          <w:highlight w:val="none"/>
        </w:rPr>
        <w:t>外服务要求</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1）质量保证期过后，供应商同样提供免费电话咨询服务，并应承诺提供产品上门维护服务。</w:t>
      </w:r>
    </w:p>
    <w:p>
      <w:pPr>
        <w:pStyle w:val="10"/>
        <w:snapToGrid w:val="0"/>
        <w:spacing w:before="120" w:after="120" w:line="360" w:lineRule="auto"/>
        <w:ind w:firstLine="480" w:firstLineChars="200"/>
        <w:rPr>
          <w:rFonts w:hint="eastAsia" w:hAnsi="宋体"/>
          <w:bCs/>
          <w:sz w:val="24"/>
          <w:szCs w:val="24"/>
          <w:highlight w:val="none"/>
        </w:rPr>
      </w:pPr>
      <w:r>
        <w:rPr>
          <w:rFonts w:hint="eastAsia" w:hAnsi="宋体"/>
          <w:bCs/>
          <w:sz w:val="24"/>
          <w:szCs w:val="24"/>
          <w:highlight w:val="none"/>
        </w:rPr>
        <w:t>2）质量保证期过后，采购人需要继续由原供应商提供售后服务的，该供应商和厂家应以优惠价格提供售后服务。</w:t>
      </w:r>
    </w:p>
    <w:p>
      <w:pPr>
        <w:pStyle w:val="10"/>
        <w:snapToGrid w:val="0"/>
        <w:spacing w:before="120" w:after="120" w:line="360" w:lineRule="auto"/>
        <w:ind w:firstLine="480" w:firstLineChars="200"/>
        <w:rPr>
          <w:rFonts w:hint="eastAsia" w:hAnsi="宋体"/>
          <w:bCs/>
          <w:sz w:val="24"/>
          <w:szCs w:val="24"/>
          <w:highlight w:val="none"/>
        </w:rPr>
      </w:pPr>
      <w:r>
        <w:rPr>
          <w:rFonts w:hint="eastAsia" w:hAnsi="宋体"/>
          <w:bCs/>
          <w:sz w:val="24"/>
          <w:szCs w:val="24"/>
          <w:highlight w:val="none"/>
        </w:rPr>
        <w:t>（1</w:t>
      </w:r>
      <w:r>
        <w:rPr>
          <w:rFonts w:hint="eastAsia" w:hAnsi="宋体"/>
          <w:bCs/>
          <w:sz w:val="24"/>
          <w:szCs w:val="24"/>
          <w:highlight w:val="none"/>
          <w:lang w:val="en-US" w:eastAsia="zh-CN"/>
        </w:rPr>
        <w:t>0</w:t>
      </w:r>
      <w:r>
        <w:rPr>
          <w:rFonts w:hint="eastAsia" w:hAnsi="宋体"/>
          <w:bCs/>
          <w:sz w:val="24"/>
          <w:szCs w:val="24"/>
          <w:highlight w:val="none"/>
        </w:rPr>
        <w:t>）维修配件：</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供应商售后服务中，使用的维修零配件应为原厂配件，未经用户同意不得使用非原厂配件。</w:t>
      </w:r>
    </w:p>
    <w:p>
      <w:pPr>
        <w:pStyle w:val="10"/>
        <w:snapToGrid w:val="0"/>
        <w:spacing w:before="120" w:after="120" w:line="360" w:lineRule="auto"/>
        <w:ind w:firstLine="480" w:firstLineChars="200"/>
        <w:rPr>
          <w:rFonts w:hint="eastAsia" w:hAnsi="宋体"/>
          <w:bCs/>
          <w:sz w:val="24"/>
          <w:szCs w:val="24"/>
          <w:highlight w:val="none"/>
        </w:rPr>
      </w:pPr>
      <w:r>
        <w:rPr>
          <w:rFonts w:hint="eastAsia" w:hAnsi="宋体"/>
          <w:bCs/>
          <w:sz w:val="24"/>
          <w:szCs w:val="24"/>
          <w:highlight w:val="none"/>
        </w:rPr>
        <w:t>（1</w:t>
      </w:r>
      <w:r>
        <w:rPr>
          <w:rFonts w:hint="eastAsia" w:hAnsi="宋体"/>
          <w:bCs/>
          <w:sz w:val="24"/>
          <w:szCs w:val="24"/>
          <w:highlight w:val="none"/>
          <w:lang w:val="en-US" w:eastAsia="zh-CN"/>
        </w:rPr>
        <w:t>1</w:t>
      </w:r>
      <w:r>
        <w:rPr>
          <w:rFonts w:hint="eastAsia" w:hAnsi="宋体"/>
          <w:bCs/>
          <w:sz w:val="24"/>
          <w:szCs w:val="24"/>
          <w:highlight w:val="none"/>
        </w:rPr>
        <w:t>）在新疆区域有固定售后服务网点，并提供售后服务网点相关资料。</w:t>
      </w:r>
    </w:p>
    <w:p>
      <w:pPr>
        <w:pStyle w:val="10"/>
        <w:snapToGrid w:val="0"/>
        <w:spacing w:before="120" w:after="120" w:line="360" w:lineRule="auto"/>
        <w:ind w:firstLine="480" w:firstLineChars="200"/>
        <w:rPr>
          <w:rFonts w:hAnsi="宋体"/>
          <w:bCs/>
          <w:sz w:val="24"/>
          <w:szCs w:val="24"/>
          <w:highlight w:val="none"/>
        </w:rPr>
      </w:pPr>
      <w:r>
        <w:rPr>
          <w:rFonts w:hint="eastAsia" w:hAnsi="宋体"/>
          <w:bCs/>
          <w:sz w:val="24"/>
          <w:szCs w:val="24"/>
          <w:highlight w:val="none"/>
        </w:rPr>
        <w:t>（1</w:t>
      </w:r>
      <w:r>
        <w:rPr>
          <w:rFonts w:hint="eastAsia" w:hAnsi="宋体"/>
          <w:bCs/>
          <w:sz w:val="24"/>
          <w:szCs w:val="24"/>
          <w:highlight w:val="none"/>
          <w:lang w:val="en-US" w:eastAsia="zh-CN"/>
        </w:rPr>
        <w:t>2</w:t>
      </w:r>
      <w:r>
        <w:rPr>
          <w:rFonts w:hint="eastAsia" w:hAnsi="宋体"/>
          <w:bCs/>
          <w:sz w:val="24"/>
          <w:szCs w:val="24"/>
          <w:highlight w:val="none"/>
        </w:rPr>
        <w:t>）免费培训：</w:t>
      </w:r>
    </w:p>
    <w:p>
      <w:pPr>
        <w:pStyle w:val="10"/>
        <w:snapToGrid w:val="0"/>
        <w:spacing w:before="120" w:after="120" w:line="360" w:lineRule="auto"/>
        <w:ind w:firstLine="480" w:firstLineChars="200"/>
        <w:rPr>
          <w:rFonts w:hint="eastAsia" w:hAnsi="宋体"/>
          <w:bCs/>
          <w:sz w:val="24"/>
          <w:szCs w:val="24"/>
          <w:highlight w:val="none"/>
        </w:rPr>
      </w:pPr>
      <w:r>
        <w:rPr>
          <w:rFonts w:hint="eastAsia" w:hAnsi="宋体"/>
          <w:bCs/>
          <w:sz w:val="24"/>
          <w:szCs w:val="24"/>
          <w:highlight w:val="none"/>
        </w:rPr>
        <w:t>供应商对其提供的产品应尽培训义务。供应商应提供对采购人免费培训，使采购人使用人员能够正常使用及基本维护。</w:t>
      </w:r>
    </w:p>
    <w:p>
      <w:pPr>
        <w:pStyle w:val="7"/>
        <w:spacing w:line="360" w:lineRule="auto"/>
        <w:ind w:left="0" w:leftChars="0" w:firstLine="0" w:firstLineChars="0"/>
        <w:rPr>
          <w:rFonts w:hint="eastAsia" w:ascii="Calibri" w:hAnsi="Calibri" w:eastAsia="宋体" w:cs="Times New Roman"/>
          <w:b/>
          <w:bCs/>
          <w:sz w:val="24"/>
          <w:szCs w:val="24"/>
          <w:highlight w:val="none"/>
          <w:lang w:val="en-US" w:eastAsia="zh-CN" w:bidi="ar-SA"/>
        </w:rPr>
      </w:pPr>
    </w:p>
    <w:p>
      <w:pPr>
        <w:pStyle w:val="6"/>
        <w:spacing w:line="360" w:lineRule="auto"/>
        <w:rPr>
          <w:rFonts w:hint="eastAsia" w:ascii="Calibri" w:hAnsi="Calibri" w:eastAsia="宋体" w:cs="Times New Roman"/>
          <w:b/>
          <w:bCs/>
          <w:sz w:val="24"/>
          <w:szCs w:val="24"/>
          <w:highlight w:val="none"/>
          <w:lang w:val="en-US" w:eastAsia="zh-CN" w:bidi="ar-SA"/>
        </w:rPr>
      </w:pPr>
      <w:bookmarkStart w:id="91" w:name="_Toc534816638"/>
      <w:bookmarkStart w:id="92" w:name="_Toc534725609"/>
      <w:r>
        <w:rPr>
          <w:rFonts w:hint="eastAsia" w:ascii="Calibri" w:hAnsi="Calibri" w:eastAsia="宋体" w:cs="Times New Roman"/>
          <w:b/>
          <w:bCs/>
          <w:sz w:val="24"/>
          <w:szCs w:val="24"/>
          <w:highlight w:val="none"/>
          <w:lang w:val="en-US" w:eastAsia="zh-CN" w:bidi="ar-SA"/>
        </w:rPr>
        <w:t>二、商务条款</w:t>
      </w:r>
      <w:bookmarkEnd w:id="91"/>
      <w:bookmarkEnd w:id="92"/>
    </w:p>
    <w:p>
      <w:pPr>
        <w:pStyle w:val="8"/>
        <w:spacing w:line="360" w:lineRule="auto"/>
        <w:ind w:firstLine="422"/>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质保期</w:t>
      </w:r>
    </w:p>
    <w:p>
      <w:pPr>
        <w:pStyle w:val="10"/>
        <w:snapToGrid w:val="0"/>
        <w:spacing w:before="120" w:after="120" w:line="360" w:lineRule="auto"/>
        <w:ind w:firstLine="560" w:firstLineChars="0"/>
        <w:rPr>
          <w:rFonts w:hAnsi="宋体"/>
          <w:sz w:val="24"/>
          <w:szCs w:val="24"/>
          <w:highlight w:val="none"/>
        </w:rPr>
      </w:pPr>
      <w:r>
        <w:rPr>
          <w:rFonts w:hAnsi="宋体"/>
          <w:sz w:val="24"/>
          <w:szCs w:val="24"/>
          <w:highlight w:val="none"/>
          <w:u w:val="single"/>
        </w:rPr>
        <w:t xml:space="preserve"> </w:t>
      </w:r>
      <w:r>
        <w:rPr>
          <w:rFonts w:hint="eastAsia" w:hAnsi="宋体"/>
          <w:sz w:val="24"/>
          <w:szCs w:val="24"/>
          <w:highlight w:val="none"/>
          <w:u w:val="single"/>
        </w:rPr>
        <w:t>12</w:t>
      </w:r>
      <w:r>
        <w:rPr>
          <w:rFonts w:hAnsi="宋体"/>
          <w:sz w:val="24"/>
          <w:szCs w:val="24"/>
          <w:highlight w:val="none"/>
          <w:u w:val="single"/>
        </w:rPr>
        <w:t xml:space="preserve"> </w:t>
      </w:r>
      <w:r>
        <w:rPr>
          <w:rFonts w:hint="eastAsia" w:hAnsi="宋体"/>
          <w:sz w:val="24"/>
          <w:szCs w:val="24"/>
          <w:highlight w:val="none"/>
        </w:rPr>
        <w:t>个月</w:t>
      </w:r>
      <w:r>
        <w:rPr>
          <w:rFonts w:hAnsi="宋体"/>
          <w:sz w:val="24"/>
          <w:szCs w:val="24"/>
          <w:highlight w:val="none"/>
        </w:rPr>
        <w:t>。（自</w:t>
      </w:r>
      <w:r>
        <w:rPr>
          <w:rFonts w:hint="eastAsia" w:hAnsi="宋体"/>
          <w:sz w:val="24"/>
          <w:szCs w:val="24"/>
          <w:highlight w:val="none"/>
        </w:rPr>
        <w:t>通过甲方</w:t>
      </w:r>
      <w:r>
        <w:rPr>
          <w:rFonts w:hAnsi="宋体"/>
          <w:sz w:val="24"/>
          <w:szCs w:val="24"/>
          <w:highlight w:val="none"/>
        </w:rPr>
        <w:t>验收合格之日起计）</w:t>
      </w:r>
    </w:p>
    <w:p>
      <w:pPr>
        <w:pStyle w:val="8"/>
        <w:spacing w:line="360" w:lineRule="auto"/>
        <w:ind w:firstLine="422"/>
        <w:rPr>
          <w:sz w:val="24"/>
          <w:szCs w:val="24"/>
          <w:highlight w:val="none"/>
        </w:rPr>
      </w:pPr>
      <w:r>
        <w:rPr>
          <w:rFonts w:hint="eastAsia"/>
          <w:sz w:val="24"/>
          <w:szCs w:val="24"/>
          <w:highlight w:val="none"/>
        </w:rPr>
        <w:t>3．</w:t>
      </w:r>
      <w:r>
        <w:rPr>
          <w:sz w:val="24"/>
          <w:szCs w:val="24"/>
          <w:highlight w:val="none"/>
        </w:rPr>
        <w:t>交</w:t>
      </w:r>
      <w:r>
        <w:rPr>
          <w:rFonts w:hint="eastAsia"/>
          <w:sz w:val="24"/>
          <w:szCs w:val="24"/>
          <w:highlight w:val="none"/>
        </w:rPr>
        <w:t>付</w:t>
      </w:r>
      <w:r>
        <w:rPr>
          <w:sz w:val="24"/>
          <w:szCs w:val="24"/>
          <w:highlight w:val="none"/>
        </w:rPr>
        <w:t>期、交</w:t>
      </w:r>
      <w:r>
        <w:rPr>
          <w:rFonts w:hint="eastAsia"/>
          <w:sz w:val="24"/>
          <w:szCs w:val="24"/>
          <w:highlight w:val="none"/>
        </w:rPr>
        <w:t>付</w:t>
      </w:r>
      <w:r>
        <w:rPr>
          <w:sz w:val="24"/>
          <w:szCs w:val="24"/>
          <w:highlight w:val="none"/>
        </w:rPr>
        <w:t>方式及交</w:t>
      </w:r>
      <w:r>
        <w:rPr>
          <w:rFonts w:hint="eastAsia"/>
          <w:sz w:val="24"/>
          <w:szCs w:val="24"/>
          <w:highlight w:val="none"/>
        </w:rPr>
        <w:t>付</w:t>
      </w:r>
      <w:r>
        <w:rPr>
          <w:sz w:val="24"/>
          <w:szCs w:val="24"/>
          <w:highlight w:val="none"/>
        </w:rPr>
        <w:t>地点</w:t>
      </w:r>
    </w:p>
    <w:p>
      <w:pPr>
        <w:pStyle w:val="10"/>
        <w:snapToGrid w:val="0"/>
        <w:spacing w:before="120" w:after="120" w:line="360" w:lineRule="auto"/>
        <w:ind w:firstLine="480" w:firstLineChars="200"/>
        <w:rPr>
          <w:rFonts w:hint="eastAsia" w:hAnsi="宋体"/>
          <w:bCs/>
          <w:sz w:val="24"/>
          <w:szCs w:val="24"/>
          <w:highlight w:val="none"/>
        </w:rPr>
      </w:pPr>
      <w:r>
        <w:rPr>
          <w:rFonts w:hint="eastAsia" w:hAnsi="宋体"/>
          <w:bCs/>
          <w:sz w:val="24"/>
          <w:szCs w:val="24"/>
          <w:highlight w:val="none"/>
        </w:rPr>
        <w:t>3</w:t>
      </w:r>
      <w:r>
        <w:rPr>
          <w:rFonts w:hAnsi="宋体"/>
          <w:bCs/>
          <w:sz w:val="24"/>
          <w:szCs w:val="24"/>
          <w:highlight w:val="none"/>
        </w:rPr>
        <w:t>.1 交</w:t>
      </w:r>
      <w:r>
        <w:rPr>
          <w:rFonts w:hint="eastAsia" w:hAnsi="宋体"/>
          <w:sz w:val="24"/>
          <w:szCs w:val="24"/>
          <w:highlight w:val="none"/>
        </w:rPr>
        <w:t>付</w:t>
      </w:r>
      <w:r>
        <w:rPr>
          <w:rFonts w:hAnsi="宋体"/>
          <w:bCs/>
          <w:sz w:val="24"/>
          <w:szCs w:val="24"/>
          <w:highlight w:val="none"/>
        </w:rPr>
        <w:t>期：</w:t>
      </w:r>
      <w:r>
        <w:rPr>
          <w:rFonts w:hint="eastAsia" w:hAnsi="宋体"/>
          <w:sz w:val="24"/>
          <w:szCs w:val="24"/>
          <w:highlight w:val="none"/>
        </w:rPr>
        <w:t>签订合同后</w:t>
      </w:r>
      <w:r>
        <w:rPr>
          <w:rFonts w:hint="eastAsia" w:hAnsi="宋体"/>
          <w:sz w:val="24"/>
          <w:szCs w:val="24"/>
          <w:highlight w:val="none"/>
          <w:u w:val="single"/>
        </w:rPr>
        <w:t xml:space="preserve"> </w:t>
      </w:r>
      <w:r>
        <w:rPr>
          <w:rFonts w:hint="eastAsia" w:hAnsi="宋体"/>
          <w:sz w:val="24"/>
          <w:szCs w:val="24"/>
          <w:highlight w:val="none"/>
          <w:u w:val="single"/>
          <w:lang w:val="en-US" w:eastAsia="zh-CN"/>
        </w:rPr>
        <w:t>50</w:t>
      </w:r>
      <w:r>
        <w:rPr>
          <w:rFonts w:hint="eastAsia" w:hAnsi="宋体"/>
          <w:sz w:val="24"/>
          <w:szCs w:val="24"/>
          <w:highlight w:val="none"/>
          <w:u w:val="single"/>
        </w:rPr>
        <w:t xml:space="preserve"> </w:t>
      </w:r>
      <w:r>
        <w:rPr>
          <w:rFonts w:hint="eastAsia" w:hAnsi="宋体"/>
          <w:sz w:val="24"/>
          <w:szCs w:val="24"/>
          <w:highlight w:val="none"/>
          <w:u w:val="none"/>
          <w:lang w:val="en-US" w:eastAsia="zh-CN"/>
        </w:rPr>
        <w:t>天（日历日）</w:t>
      </w:r>
      <w:r>
        <w:rPr>
          <w:rFonts w:hint="eastAsia" w:hAnsi="宋体"/>
          <w:sz w:val="24"/>
          <w:szCs w:val="24"/>
          <w:highlight w:val="none"/>
        </w:rPr>
        <w:t>内交付。</w:t>
      </w:r>
    </w:p>
    <w:p>
      <w:pPr>
        <w:pStyle w:val="10"/>
        <w:snapToGrid w:val="0"/>
        <w:spacing w:before="120" w:after="120" w:line="360" w:lineRule="auto"/>
        <w:ind w:firstLine="480" w:firstLineChars="200"/>
        <w:rPr>
          <w:rFonts w:hint="eastAsia" w:hAnsi="宋体"/>
          <w:bCs/>
          <w:sz w:val="24"/>
          <w:szCs w:val="24"/>
          <w:highlight w:val="none"/>
        </w:rPr>
      </w:pPr>
      <w:r>
        <w:rPr>
          <w:rFonts w:hint="eastAsia" w:hAnsi="宋体"/>
          <w:bCs/>
          <w:sz w:val="24"/>
          <w:szCs w:val="24"/>
          <w:highlight w:val="none"/>
        </w:rPr>
        <w:t>3</w:t>
      </w:r>
      <w:r>
        <w:rPr>
          <w:rFonts w:hAnsi="宋体"/>
          <w:bCs/>
          <w:sz w:val="24"/>
          <w:szCs w:val="24"/>
          <w:highlight w:val="none"/>
        </w:rPr>
        <w:t>.2 交</w:t>
      </w:r>
      <w:r>
        <w:rPr>
          <w:rFonts w:hint="eastAsia" w:hAnsi="宋体"/>
          <w:sz w:val="24"/>
          <w:szCs w:val="24"/>
          <w:highlight w:val="none"/>
        </w:rPr>
        <w:t>付</w:t>
      </w:r>
      <w:r>
        <w:rPr>
          <w:rFonts w:hAnsi="宋体"/>
          <w:bCs/>
          <w:sz w:val="24"/>
          <w:szCs w:val="24"/>
          <w:highlight w:val="none"/>
        </w:rPr>
        <w:t>方式：</w:t>
      </w:r>
      <w:r>
        <w:rPr>
          <w:rFonts w:hint="eastAsia" w:hAnsi="宋体"/>
          <w:bCs/>
          <w:sz w:val="24"/>
          <w:szCs w:val="24"/>
          <w:highlight w:val="none"/>
        </w:rPr>
        <w:t>现场交</w:t>
      </w:r>
      <w:r>
        <w:rPr>
          <w:rFonts w:hint="eastAsia" w:hAnsi="宋体"/>
          <w:sz w:val="24"/>
          <w:szCs w:val="24"/>
          <w:highlight w:val="none"/>
        </w:rPr>
        <w:t>付</w:t>
      </w:r>
      <w:r>
        <w:rPr>
          <w:rFonts w:hint="eastAsia" w:hAnsi="宋体"/>
          <w:bCs/>
          <w:sz w:val="24"/>
          <w:szCs w:val="24"/>
          <w:highlight w:val="none"/>
        </w:rPr>
        <w:t xml:space="preserve"> </w:t>
      </w:r>
    </w:p>
    <w:p>
      <w:pPr>
        <w:pStyle w:val="10"/>
        <w:snapToGrid w:val="0"/>
        <w:spacing w:before="120" w:after="120" w:line="360" w:lineRule="auto"/>
        <w:ind w:firstLine="480" w:firstLineChars="200"/>
        <w:rPr>
          <w:rFonts w:hint="eastAsia" w:hAnsi="宋体" w:eastAsia="宋体"/>
          <w:bCs/>
          <w:sz w:val="24"/>
          <w:szCs w:val="24"/>
          <w:highlight w:val="none"/>
          <w:lang w:eastAsia="zh-CN"/>
        </w:rPr>
      </w:pPr>
      <w:r>
        <w:rPr>
          <w:rFonts w:hint="eastAsia" w:hAnsi="宋体"/>
          <w:bCs/>
          <w:sz w:val="24"/>
          <w:szCs w:val="24"/>
          <w:highlight w:val="none"/>
        </w:rPr>
        <w:t>3</w:t>
      </w:r>
      <w:r>
        <w:rPr>
          <w:rFonts w:hAnsi="宋体"/>
          <w:bCs/>
          <w:sz w:val="24"/>
          <w:szCs w:val="24"/>
          <w:highlight w:val="none"/>
        </w:rPr>
        <w:t>.3 交</w:t>
      </w:r>
      <w:r>
        <w:rPr>
          <w:rFonts w:hint="eastAsia" w:hAnsi="宋体"/>
          <w:sz w:val="24"/>
          <w:szCs w:val="24"/>
          <w:highlight w:val="none"/>
        </w:rPr>
        <w:t>付</w:t>
      </w:r>
      <w:r>
        <w:rPr>
          <w:rFonts w:hAnsi="宋体"/>
          <w:bCs/>
          <w:sz w:val="24"/>
          <w:szCs w:val="24"/>
          <w:highlight w:val="none"/>
        </w:rPr>
        <w:t>地点：</w:t>
      </w:r>
      <w:r>
        <w:rPr>
          <w:rFonts w:hint="eastAsia" w:hAnsi="宋体"/>
          <w:bCs/>
          <w:sz w:val="24"/>
          <w:szCs w:val="24"/>
          <w:highlight w:val="none"/>
          <w:lang w:val="en-US" w:eastAsia="zh-CN"/>
        </w:rPr>
        <w:t>乌鲁木齐市</w:t>
      </w:r>
    </w:p>
    <w:p>
      <w:pPr>
        <w:pStyle w:val="8"/>
        <w:spacing w:line="360" w:lineRule="auto"/>
        <w:ind w:firstLine="422"/>
        <w:rPr>
          <w:sz w:val="24"/>
          <w:szCs w:val="24"/>
          <w:highlight w:val="none"/>
        </w:rPr>
      </w:pPr>
      <w:r>
        <w:rPr>
          <w:sz w:val="24"/>
          <w:szCs w:val="24"/>
          <w:highlight w:val="none"/>
        </w:rPr>
        <w:t>4</w:t>
      </w:r>
      <w:r>
        <w:rPr>
          <w:rFonts w:hint="eastAsia"/>
          <w:sz w:val="24"/>
          <w:szCs w:val="24"/>
          <w:highlight w:val="none"/>
        </w:rPr>
        <w:t>．付款条件</w:t>
      </w:r>
    </w:p>
    <w:p>
      <w:pPr>
        <w:snapToGrid w:val="0"/>
        <w:spacing w:before="145" w:beforeLines="50" w:after="145" w:afterLines="50" w:line="360" w:lineRule="auto"/>
        <w:ind w:firstLine="480" w:firstLineChars="200"/>
        <w:rPr>
          <w:rFonts w:hint="eastAsia" w:hAnsi="宋体"/>
          <w:bCs/>
          <w:sz w:val="24"/>
          <w:szCs w:val="24"/>
          <w:highlight w:val="none"/>
        </w:rPr>
      </w:pPr>
      <w:r>
        <w:rPr>
          <w:rFonts w:hint="eastAsia" w:hAnsi="宋体"/>
          <w:bCs/>
          <w:sz w:val="24"/>
          <w:szCs w:val="24"/>
          <w:highlight w:val="none"/>
        </w:rPr>
        <w:t>4.1 合同签订后支付合同金额的</w:t>
      </w:r>
      <w:r>
        <w:rPr>
          <w:rFonts w:hint="eastAsia" w:hAnsi="宋体"/>
          <w:bCs/>
          <w:sz w:val="24"/>
          <w:szCs w:val="24"/>
          <w:highlight w:val="none"/>
          <w:lang w:val="en-US" w:eastAsia="zh-CN"/>
        </w:rPr>
        <w:t>20</w:t>
      </w:r>
      <w:r>
        <w:rPr>
          <w:rFonts w:hint="eastAsia" w:hAnsi="宋体"/>
          <w:bCs/>
          <w:sz w:val="24"/>
          <w:szCs w:val="24"/>
          <w:highlight w:val="none"/>
        </w:rPr>
        <w:t>%</w:t>
      </w:r>
      <w:r>
        <w:rPr>
          <w:rFonts w:hint="eastAsia" w:hAnsi="宋体"/>
          <w:bCs/>
          <w:sz w:val="24"/>
          <w:szCs w:val="24"/>
          <w:highlight w:val="none"/>
          <w:lang w:eastAsia="zh-CN"/>
        </w:rPr>
        <w:t>，</w:t>
      </w:r>
      <w:r>
        <w:rPr>
          <w:rFonts w:hint="eastAsia" w:hAnsi="宋体"/>
          <w:bCs/>
          <w:sz w:val="24"/>
          <w:szCs w:val="24"/>
          <w:highlight w:val="none"/>
        </w:rPr>
        <w:t>项目供货完毕、验收合格且完成车辆落户手续后支付合同价款的</w:t>
      </w:r>
      <w:r>
        <w:rPr>
          <w:rFonts w:hint="eastAsia" w:hAnsi="宋体"/>
          <w:bCs/>
          <w:sz w:val="24"/>
          <w:szCs w:val="24"/>
          <w:highlight w:val="none"/>
          <w:lang w:val="en-US" w:eastAsia="zh-CN"/>
        </w:rPr>
        <w:t>80</w:t>
      </w:r>
      <w:r>
        <w:rPr>
          <w:rFonts w:hint="eastAsia" w:hAnsi="宋体"/>
          <w:bCs/>
          <w:sz w:val="24"/>
          <w:szCs w:val="24"/>
          <w:highlight w:val="none"/>
        </w:rPr>
        <w:t>%。</w:t>
      </w:r>
    </w:p>
    <w:p>
      <w:pPr>
        <w:pStyle w:val="6"/>
        <w:spacing w:line="360" w:lineRule="auto"/>
        <w:rPr>
          <w:rFonts w:hint="eastAsia" w:ascii="Calibri" w:hAnsi="Calibri" w:eastAsia="宋体" w:cs="Times New Roman"/>
          <w:b/>
          <w:bCs/>
          <w:sz w:val="24"/>
          <w:szCs w:val="24"/>
          <w:highlight w:val="none"/>
          <w:lang w:val="en-US" w:eastAsia="zh-CN" w:bidi="ar-SA"/>
        </w:rPr>
      </w:pPr>
    </w:p>
    <w:p>
      <w:pPr>
        <w:pStyle w:val="6"/>
        <w:spacing w:line="360" w:lineRule="auto"/>
        <w:rPr>
          <w:rFonts w:hint="eastAsia" w:ascii="Calibri" w:hAnsi="Calibri" w:eastAsia="宋体" w:cs="Times New Roman"/>
          <w:b/>
          <w:bCs/>
          <w:sz w:val="24"/>
          <w:szCs w:val="24"/>
          <w:highlight w:val="none"/>
          <w:lang w:val="en-US" w:eastAsia="zh-CN" w:bidi="ar-SA"/>
        </w:rPr>
      </w:pPr>
      <w:r>
        <w:rPr>
          <w:rFonts w:hint="eastAsia" w:ascii="Calibri" w:hAnsi="Calibri" w:eastAsia="宋体" w:cs="Times New Roman"/>
          <w:b/>
          <w:bCs/>
          <w:sz w:val="24"/>
          <w:szCs w:val="24"/>
          <w:highlight w:val="none"/>
          <w:lang w:val="en-US" w:eastAsia="zh-CN" w:bidi="ar-SA"/>
        </w:rPr>
        <w:t>三、采购需求及车辆性能指标</w:t>
      </w:r>
    </w:p>
    <w:p>
      <w:pPr>
        <w:spacing w:line="360" w:lineRule="auto"/>
        <w:ind w:firstLine="560" w:firstLineChars="0"/>
        <w:rPr>
          <w:rFonts w:hint="default" w:ascii="宋体" w:hAnsi="宋体" w:cs="宋体"/>
          <w:b w:val="0"/>
          <w:bCs w:val="0"/>
          <w:sz w:val="24"/>
          <w:szCs w:val="24"/>
          <w:highlight w:val="none"/>
          <w:lang w:val="en-US" w:eastAsia="zh-CN"/>
        </w:rPr>
      </w:pPr>
      <w:r>
        <w:rPr>
          <w:rFonts w:hint="eastAsia" w:ascii="宋体" w:hAnsi="宋体" w:cs="宋体"/>
          <w:b/>
          <w:bCs/>
          <w:color w:val="000000"/>
          <w:sz w:val="24"/>
          <w:szCs w:val="24"/>
          <w:highlight w:val="none"/>
          <w:lang w:val="en-US" w:eastAsia="zh-CN"/>
        </w:rPr>
        <w:t>1、采购需求：</w:t>
      </w:r>
      <w:r>
        <w:rPr>
          <w:rFonts w:hint="eastAsia" w:ascii="宋体" w:hAnsi="宋体" w:cs="宋体"/>
          <w:b w:val="0"/>
          <w:bCs w:val="0"/>
          <w:sz w:val="24"/>
          <w:szCs w:val="24"/>
          <w:highlight w:val="none"/>
          <w:lang w:val="en-US" w:eastAsia="zh-CN"/>
        </w:rPr>
        <w:t>四驱越野载货汽车两辆，交货地点：乌鲁木齐市。</w:t>
      </w:r>
    </w:p>
    <w:p>
      <w:pPr>
        <w:spacing w:line="360" w:lineRule="auto"/>
        <w:ind w:firstLine="560" w:firstLineChars="0"/>
        <w:rPr>
          <w:rFonts w:hint="default"/>
          <w:sz w:val="24"/>
          <w:szCs w:val="24"/>
          <w:highlight w:val="none"/>
          <w:lang w:val="en-US" w:eastAsia="zh-CN"/>
        </w:rPr>
      </w:pPr>
      <w:r>
        <w:rPr>
          <w:rFonts w:hint="eastAsia" w:ascii="宋体" w:hAnsi="宋体" w:cs="宋体"/>
          <w:b/>
          <w:bCs/>
          <w:sz w:val="24"/>
          <w:szCs w:val="24"/>
          <w:highlight w:val="none"/>
          <w:lang w:val="en-US" w:eastAsia="zh-CN"/>
        </w:rPr>
        <w:t>2、车辆性能指标及技术参数：</w:t>
      </w:r>
    </w:p>
    <w:tbl>
      <w:tblPr>
        <w:tblStyle w:val="17"/>
        <w:tblpPr w:leftFromText="180" w:rightFromText="180" w:vertAnchor="text" w:horzAnchor="page" w:tblpX="1252" w:tblpY="108"/>
        <w:tblOverlap w:val="never"/>
        <w:tblW w:w="10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5"/>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535" w:type="dxa"/>
            <w:tcBorders>
              <w:tl2br w:val="single" w:color="auto" w:sz="4" w:space="0"/>
            </w:tcBorders>
            <w:noWrap w:val="0"/>
            <w:vAlign w:val="top"/>
          </w:tcPr>
          <w:p>
            <w:pPr>
              <w:pStyle w:val="10"/>
              <w:snapToGrid w:val="0"/>
              <w:spacing w:before="120" w:after="120"/>
              <w:ind w:firstLine="480" w:firstLineChars="200"/>
              <w:rPr>
                <w:rFonts w:hAnsi="宋体"/>
                <w:bCs/>
                <w:sz w:val="24"/>
                <w:szCs w:val="24"/>
                <w:highlight w:val="none"/>
              </w:rPr>
            </w:pPr>
            <w:r>
              <w:rPr>
                <w:rFonts w:hint="eastAsia" w:hAnsi="宋体"/>
                <w:bCs/>
                <w:sz w:val="24"/>
                <w:szCs w:val="24"/>
                <w:highlight w:val="none"/>
              </w:rPr>
              <w:t xml:space="preserve">                 车型             </w:t>
            </w:r>
          </w:p>
          <w:p>
            <w:pPr>
              <w:pStyle w:val="10"/>
              <w:snapToGrid w:val="0"/>
              <w:spacing w:before="120" w:after="120"/>
              <w:ind w:firstLine="480" w:firstLineChars="200"/>
              <w:rPr>
                <w:rFonts w:hAnsi="宋体"/>
                <w:bCs/>
                <w:sz w:val="24"/>
                <w:szCs w:val="24"/>
                <w:highlight w:val="none"/>
              </w:rPr>
            </w:pPr>
            <w:r>
              <w:rPr>
                <w:rFonts w:hint="eastAsia" w:hAnsi="宋体"/>
                <w:bCs/>
                <w:sz w:val="24"/>
                <w:szCs w:val="24"/>
                <w:highlight w:val="none"/>
              </w:rPr>
              <w:t>项目</w:t>
            </w:r>
          </w:p>
        </w:tc>
        <w:tc>
          <w:tcPr>
            <w:tcW w:w="6597" w:type="dxa"/>
            <w:noWrap w:val="0"/>
            <w:vAlign w:val="center"/>
          </w:tcPr>
          <w:p>
            <w:pPr>
              <w:pStyle w:val="10"/>
              <w:snapToGrid w:val="0"/>
              <w:spacing w:before="120" w:after="120"/>
              <w:ind w:firstLine="480" w:firstLineChars="200"/>
              <w:rPr>
                <w:rFonts w:hint="eastAsia" w:hAnsi="宋体" w:eastAsia="宋体"/>
                <w:bCs/>
                <w:sz w:val="24"/>
                <w:szCs w:val="24"/>
                <w:highlight w:val="none"/>
                <w:lang w:eastAsia="zh-CN"/>
              </w:rPr>
            </w:pPr>
            <w:r>
              <w:rPr>
                <w:rFonts w:hint="eastAsia" w:hAnsi="宋体"/>
                <w:bCs/>
                <w:sz w:val="24"/>
                <w:szCs w:val="24"/>
                <w:highlight w:val="none"/>
                <w:lang w:val="en-US" w:eastAsia="zh-CN"/>
              </w:rPr>
              <w:t>四驱越野载货汽车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535" w:type="dxa"/>
            <w:noWrap w:val="0"/>
            <w:vAlign w:val="center"/>
          </w:tcPr>
          <w:p>
            <w:pPr>
              <w:pStyle w:val="10"/>
              <w:snapToGrid w:val="0"/>
              <w:spacing w:before="120" w:after="120"/>
              <w:ind w:firstLine="480" w:firstLineChars="200"/>
              <w:rPr>
                <w:rFonts w:hint="eastAsia" w:hAnsi="宋体" w:eastAsia="宋体"/>
                <w:bCs/>
                <w:sz w:val="24"/>
                <w:szCs w:val="24"/>
                <w:highlight w:val="none"/>
                <w:lang w:eastAsia="zh-CN"/>
              </w:rPr>
            </w:pPr>
            <w:r>
              <w:rPr>
                <w:rFonts w:hint="eastAsia" w:hAnsi="宋体"/>
                <w:bCs/>
                <w:sz w:val="24"/>
                <w:szCs w:val="24"/>
                <w:highlight w:val="none"/>
                <w:lang w:val="en-US" w:eastAsia="zh-CN"/>
              </w:rPr>
              <w:t>驱动方式</w:t>
            </w:r>
          </w:p>
        </w:tc>
        <w:tc>
          <w:tcPr>
            <w:tcW w:w="6597" w:type="dxa"/>
            <w:noWrap w:val="0"/>
            <w:vAlign w:val="top"/>
          </w:tcPr>
          <w:p>
            <w:pPr>
              <w:pStyle w:val="10"/>
              <w:snapToGrid w:val="0"/>
              <w:spacing w:before="120" w:after="120"/>
              <w:ind w:firstLine="480" w:firstLineChars="200"/>
              <w:rPr>
                <w:rFonts w:hint="default" w:hAnsi="宋体" w:eastAsia="宋体"/>
                <w:bCs/>
                <w:sz w:val="24"/>
                <w:szCs w:val="24"/>
                <w:highlight w:val="none"/>
                <w:lang w:val="en-US" w:eastAsia="zh-CN"/>
              </w:rPr>
            </w:pPr>
            <w:r>
              <w:rPr>
                <w:rFonts w:hint="eastAsia" w:hAnsi="宋体"/>
                <w:bCs/>
                <w:sz w:val="24"/>
                <w:szCs w:val="24"/>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535" w:type="dxa"/>
            <w:noWrap w:val="0"/>
            <w:vAlign w:val="center"/>
          </w:tcPr>
          <w:p>
            <w:pPr>
              <w:pStyle w:val="10"/>
              <w:snapToGrid w:val="0"/>
              <w:spacing w:before="120" w:after="120"/>
              <w:ind w:firstLine="480" w:firstLineChars="200"/>
              <w:rPr>
                <w:rFonts w:hint="default" w:hAnsi="宋体"/>
                <w:bCs/>
                <w:sz w:val="24"/>
                <w:szCs w:val="24"/>
                <w:highlight w:val="none"/>
                <w:lang w:val="en-US" w:eastAsia="zh-CN"/>
              </w:rPr>
            </w:pPr>
            <w:r>
              <w:rPr>
                <w:rFonts w:hint="eastAsia" w:hAnsi="宋体"/>
                <w:bCs/>
                <w:sz w:val="24"/>
                <w:szCs w:val="24"/>
                <w:highlight w:val="none"/>
                <w:lang w:val="en-US" w:eastAsia="zh-CN"/>
              </w:rPr>
              <w:t>排放等级</w:t>
            </w:r>
          </w:p>
        </w:tc>
        <w:tc>
          <w:tcPr>
            <w:tcW w:w="6597" w:type="dxa"/>
            <w:noWrap w:val="0"/>
            <w:vAlign w:val="top"/>
          </w:tcPr>
          <w:p>
            <w:pPr>
              <w:pStyle w:val="10"/>
              <w:snapToGrid w:val="0"/>
              <w:spacing w:before="120" w:after="120"/>
              <w:ind w:firstLine="480" w:firstLineChars="200"/>
              <w:rPr>
                <w:rFonts w:hint="eastAsia" w:hAnsi="宋体" w:cs="Times New Roman"/>
                <w:bCs/>
                <w:sz w:val="24"/>
                <w:szCs w:val="24"/>
                <w:highlight w:val="none"/>
                <w:lang w:val="en-US" w:eastAsia="zh-CN" w:bidi="ar-SA"/>
              </w:rPr>
            </w:pPr>
            <w:r>
              <w:rPr>
                <w:rFonts w:hint="eastAsia" w:hAnsi="宋体" w:cs="Times New Roman"/>
                <w:bCs/>
                <w:sz w:val="24"/>
                <w:szCs w:val="24"/>
                <w:highlight w:val="none"/>
                <w:lang w:val="en-US" w:eastAsia="zh-CN" w:bidi="ar-SA"/>
              </w:rPr>
              <w:t xml:space="preserve">国Ⅵ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535" w:type="dxa"/>
            <w:noWrap w:val="0"/>
            <w:vAlign w:val="center"/>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hAnsi="宋体" w:cs="Times New Roman"/>
                <w:bCs/>
                <w:sz w:val="24"/>
                <w:szCs w:val="24"/>
                <w:highlight w:val="none"/>
                <w:lang w:val="en-US" w:eastAsia="zh-CN" w:bidi="ar-SA"/>
              </w:rPr>
              <w:t>发动机型号</w:t>
            </w:r>
          </w:p>
        </w:tc>
        <w:tc>
          <w:tcPr>
            <w:tcW w:w="6597" w:type="dxa"/>
            <w:noWrap w:val="0"/>
            <w:vAlign w:val="top"/>
          </w:tcPr>
          <w:p>
            <w:pPr>
              <w:pStyle w:val="10"/>
              <w:snapToGrid w:val="0"/>
              <w:spacing w:before="120" w:after="120"/>
              <w:ind w:firstLine="480" w:firstLineChars="200"/>
              <w:rPr>
                <w:rFonts w:hint="default" w:hAnsi="宋体" w:cs="Times New Roman"/>
                <w:bCs/>
                <w:sz w:val="24"/>
                <w:szCs w:val="24"/>
                <w:highlight w:val="none"/>
                <w:lang w:val="en-US" w:eastAsia="zh-CN" w:bidi="ar-SA"/>
              </w:rPr>
            </w:pPr>
            <w:r>
              <w:rPr>
                <w:rFonts w:hint="eastAsia" w:hAnsi="宋体" w:cs="Times New Roman"/>
                <w:bCs/>
                <w:sz w:val="24"/>
                <w:szCs w:val="24"/>
                <w:highlight w:val="none"/>
                <w:lang w:val="en-US" w:eastAsia="zh-CN" w:bidi="ar-SA"/>
              </w:rPr>
              <w:t>康明斯B6.2NS6B210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535" w:type="dxa"/>
            <w:noWrap w:val="0"/>
            <w:vAlign w:val="center"/>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变速箱</w:t>
            </w:r>
          </w:p>
        </w:tc>
        <w:tc>
          <w:tcPr>
            <w:tcW w:w="6597" w:type="dxa"/>
            <w:noWrap w:val="0"/>
            <w:vAlign w:val="top"/>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ascii="宋体" w:hAnsi="宋体" w:cs="宋体"/>
                <w:color w:val="000000"/>
                <w:sz w:val="24"/>
                <w:szCs w:val="24"/>
                <w:highlight w:val="none"/>
              </w:rPr>
              <w:t>韶齿六档变速箱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535" w:type="dxa"/>
            <w:noWrap w:val="0"/>
            <w:vAlign w:val="center"/>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hAnsi="宋体" w:cs="Times New Roman"/>
                <w:bCs/>
                <w:sz w:val="24"/>
                <w:szCs w:val="24"/>
                <w:highlight w:val="none"/>
                <w:lang w:val="en-US" w:eastAsia="zh-CN" w:bidi="ar-SA"/>
              </w:rPr>
              <w:t>马力</w:t>
            </w:r>
          </w:p>
        </w:tc>
        <w:tc>
          <w:tcPr>
            <w:tcW w:w="6597" w:type="dxa"/>
            <w:noWrap w:val="0"/>
            <w:vAlign w:val="top"/>
          </w:tcPr>
          <w:p>
            <w:pPr>
              <w:pStyle w:val="10"/>
              <w:snapToGrid w:val="0"/>
              <w:spacing w:before="120" w:after="120"/>
              <w:ind w:firstLine="480" w:firstLineChars="200"/>
              <w:rPr>
                <w:rFonts w:hint="default" w:ascii="宋体" w:hAnsi="宋体" w:eastAsia="宋体" w:cs="宋体"/>
                <w:color w:val="000000"/>
                <w:sz w:val="24"/>
                <w:szCs w:val="24"/>
                <w:highlight w:val="none"/>
                <w:lang w:val="en-US" w:eastAsia="zh-CN" w:bidi="ar-SA"/>
              </w:rPr>
            </w:pPr>
            <w:r>
              <w:rPr>
                <w:rFonts w:hint="eastAsia" w:hAnsi="宋体"/>
                <w:bCs/>
                <w:sz w:val="24"/>
                <w:szCs w:val="24"/>
                <w:highlight w:val="none"/>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535" w:type="dxa"/>
            <w:noWrap w:val="0"/>
            <w:vAlign w:val="center"/>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hAnsi="宋体" w:cs="Times New Roman"/>
                <w:bCs/>
                <w:sz w:val="24"/>
                <w:szCs w:val="24"/>
                <w:highlight w:val="none"/>
                <w:lang w:val="en-US" w:eastAsia="zh-CN" w:bidi="ar-SA"/>
              </w:rPr>
              <w:t>最高车速（km/h）</w:t>
            </w:r>
          </w:p>
        </w:tc>
        <w:tc>
          <w:tcPr>
            <w:tcW w:w="6597" w:type="dxa"/>
            <w:noWrap w:val="0"/>
            <w:vAlign w:val="top"/>
          </w:tcPr>
          <w:p>
            <w:pPr>
              <w:pStyle w:val="10"/>
              <w:snapToGrid w:val="0"/>
              <w:spacing w:before="120" w:after="120"/>
              <w:ind w:firstLine="480" w:firstLineChars="200"/>
              <w:rPr>
                <w:rFonts w:hint="default" w:ascii="宋体" w:hAnsi="宋体" w:eastAsia="宋体" w:cs="宋体"/>
                <w:color w:val="000000"/>
                <w:sz w:val="24"/>
                <w:szCs w:val="24"/>
                <w:highlight w:val="none"/>
                <w:lang w:val="en-US" w:eastAsia="zh-CN" w:bidi="ar-SA"/>
              </w:rPr>
            </w:pPr>
            <w:r>
              <w:rPr>
                <w:rFonts w:hint="eastAsia" w:hAnsi="宋体"/>
                <w:bCs/>
                <w:sz w:val="24"/>
                <w:szCs w:val="24"/>
                <w:highlight w:val="none"/>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535" w:type="dxa"/>
            <w:noWrap w:val="0"/>
            <w:vAlign w:val="center"/>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排量（L）</w:t>
            </w:r>
          </w:p>
        </w:tc>
        <w:tc>
          <w:tcPr>
            <w:tcW w:w="6597" w:type="dxa"/>
            <w:noWrap w:val="0"/>
            <w:vAlign w:val="top"/>
          </w:tcPr>
          <w:p>
            <w:pPr>
              <w:pStyle w:val="10"/>
              <w:snapToGrid w:val="0"/>
              <w:spacing w:before="120" w:after="120"/>
              <w:ind w:firstLine="480" w:firstLineChars="200"/>
              <w:rPr>
                <w:rFonts w:hint="default" w:ascii="宋体" w:hAnsi="宋体" w:eastAsia="宋体" w:cs="宋体"/>
                <w:color w:val="000000"/>
                <w:sz w:val="24"/>
                <w:szCs w:val="24"/>
                <w:highlight w:val="none"/>
                <w:lang w:val="en-US" w:eastAsia="zh-CN" w:bidi="ar-SA"/>
              </w:rPr>
            </w:pPr>
            <w:r>
              <w:rPr>
                <w:rFonts w:hint="eastAsia" w:hAnsi="宋体"/>
                <w:bCs/>
                <w:sz w:val="24"/>
                <w:szCs w:val="24"/>
                <w:highlight w:val="none"/>
                <w:lang w:val="en-US" w:eastAsia="zh-CN"/>
              </w:rPr>
              <w:t>≥6.2L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35" w:type="dxa"/>
            <w:noWrap w:val="0"/>
            <w:vAlign w:val="center"/>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总质量（kg）</w:t>
            </w:r>
          </w:p>
        </w:tc>
        <w:tc>
          <w:tcPr>
            <w:tcW w:w="6597" w:type="dxa"/>
            <w:noWrap w:val="0"/>
            <w:vAlign w:val="top"/>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≥16490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35" w:type="dxa"/>
            <w:noWrap w:val="0"/>
            <w:vAlign w:val="center"/>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前桥（T）</w:t>
            </w:r>
          </w:p>
        </w:tc>
        <w:tc>
          <w:tcPr>
            <w:tcW w:w="6597" w:type="dxa"/>
            <w:noWrap w:val="0"/>
            <w:vAlign w:val="top"/>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35" w:type="dxa"/>
            <w:noWrap w:val="0"/>
            <w:vAlign w:val="center"/>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cs="Times New Roman"/>
                <w:bCs/>
                <w:sz w:val="24"/>
                <w:szCs w:val="24"/>
                <w:highlight w:val="none"/>
                <w:lang w:val="en-US" w:eastAsia="zh-CN" w:bidi="ar-SA"/>
              </w:rPr>
              <w:t>后桥</w:t>
            </w:r>
            <w:r>
              <w:rPr>
                <w:rFonts w:hint="eastAsia" w:hAnsi="宋体"/>
                <w:bCs/>
                <w:sz w:val="24"/>
                <w:szCs w:val="24"/>
                <w:highlight w:val="none"/>
                <w:lang w:val="en-US" w:eastAsia="zh-CN"/>
              </w:rPr>
              <w:t>（T）</w:t>
            </w:r>
          </w:p>
        </w:tc>
        <w:tc>
          <w:tcPr>
            <w:tcW w:w="6597" w:type="dxa"/>
            <w:noWrap w:val="0"/>
            <w:vAlign w:val="top"/>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35" w:type="dxa"/>
            <w:noWrap w:val="0"/>
            <w:vAlign w:val="center"/>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ascii="宋体" w:hAnsi="宋体" w:cs="宋体"/>
                <w:color w:val="000000"/>
                <w:sz w:val="24"/>
                <w:szCs w:val="24"/>
                <w:highlight w:val="none"/>
              </w:rPr>
              <w:t>轴距</w:t>
            </w:r>
            <w:r>
              <w:rPr>
                <w:rFonts w:hint="eastAsia" w:hAnsi="宋体" w:cs="宋体"/>
                <w:color w:val="000000"/>
                <w:sz w:val="24"/>
                <w:szCs w:val="24"/>
                <w:highlight w:val="none"/>
                <w:lang w:eastAsia="zh-CN"/>
              </w:rPr>
              <w:t>（</w:t>
            </w:r>
            <w:r>
              <w:rPr>
                <w:rFonts w:hint="eastAsia" w:hAnsi="宋体" w:cs="宋体"/>
                <w:color w:val="000000"/>
                <w:sz w:val="24"/>
                <w:szCs w:val="24"/>
                <w:highlight w:val="none"/>
                <w:lang w:val="en-US" w:eastAsia="zh-CN"/>
              </w:rPr>
              <w:t>MM</w:t>
            </w:r>
            <w:r>
              <w:rPr>
                <w:rFonts w:hint="eastAsia" w:hAnsi="宋体" w:cs="宋体"/>
                <w:color w:val="000000"/>
                <w:sz w:val="24"/>
                <w:szCs w:val="24"/>
                <w:highlight w:val="none"/>
                <w:lang w:eastAsia="zh-CN"/>
              </w:rPr>
              <w:t>）</w:t>
            </w:r>
          </w:p>
        </w:tc>
        <w:tc>
          <w:tcPr>
            <w:tcW w:w="6597" w:type="dxa"/>
            <w:noWrap w:val="0"/>
            <w:vAlign w:val="top"/>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w:t>
            </w:r>
            <w:r>
              <w:rPr>
                <w:rFonts w:hint="eastAsia" w:ascii="宋体" w:hAnsi="宋体" w:cs="宋体"/>
                <w:color w:val="000000"/>
                <w:sz w:val="24"/>
                <w:szCs w:val="24"/>
                <w:highlight w:val="none"/>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35" w:type="dxa"/>
            <w:noWrap w:val="0"/>
            <w:vAlign w:val="center"/>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ascii="宋体" w:hAnsi="宋体" w:cs="宋体"/>
                <w:color w:val="000000"/>
                <w:sz w:val="24"/>
                <w:szCs w:val="24"/>
                <w:highlight w:val="none"/>
              </w:rPr>
              <w:t>轮胎型号</w:t>
            </w:r>
          </w:p>
        </w:tc>
        <w:tc>
          <w:tcPr>
            <w:tcW w:w="6597" w:type="dxa"/>
            <w:noWrap w:val="0"/>
            <w:vAlign w:val="top"/>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ascii="宋体" w:hAnsi="宋体" w:cs="宋体"/>
                <w:color w:val="000000"/>
                <w:sz w:val="24"/>
                <w:szCs w:val="24"/>
                <w:highlight w:val="none"/>
              </w:rPr>
              <w:t>10.00R20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35" w:type="dxa"/>
            <w:noWrap w:val="0"/>
            <w:vAlign w:val="center"/>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车厢尺寸（MM）</w:t>
            </w:r>
          </w:p>
        </w:tc>
        <w:tc>
          <w:tcPr>
            <w:tcW w:w="6597" w:type="dxa"/>
            <w:noWrap w:val="0"/>
            <w:vAlign w:val="center"/>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 xml:space="preserve">≥5400×2450×600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35" w:type="dxa"/>
            <w:noWrap w:val="0"/>
            <w:vAlign w:val="center"/>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颜色</w:t>
            </w:r>
          </w:p>
        </w:tc>
        <w:tc>
          <w:tcPr>
            <w:tcW w:w="6597" w:type="dxa"/>
            <w:noWrap w:val="0"/>
            <w:vAlign w:val="top"/>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35" w:type="dxa"/>
            <w:noWrap w:val="0"/>
            <w:vAlign w:val="center"/>
          </w:tcPr>
          <w:p>
            <w:pPr>
              <w:pStyle w:val="10"/>
              <w:snapToGrid w:val="0"/>
              <w:spacing w:before="120" w:after="120"/>
              <w:ind w:firstLine="480" w:firstLineChars="200"/>
              <w:rPr>
                <w:rFonts w:hint="eastAsia" w:ascii="宋体" w:hAnsi="宋体" w:eastAsia="宋体" w:cs="Times New Roman"/>
                <w:bCs/>
                <w:sz w:val="24"/>
                <w:szCs w:val="24"/>
                <w:highlight w:val="none"/>
                <w:lang w:val="en-US" w:eastAsia="zh-CN" w:bidi="ar-SA"/>
              </w:rPr>
            </w:pPr>
            <w:r>
              <w:rPr>
                <w:rFonts w:hint="eastAsia" w:hAnsi="宋体"/>
                <w:bCs/>
                <w:sz w:val="24"/>
                <w:szCs w:val="24"/>
                <w:highlight w:val="none"/>
                <w:lang w:val="en-US" w:eastAsia="zh-CN"/>
              </w:rPr>
              <w:t>其他功能</w:t>
            </w:r>
          </w:p>
        </w:tc>
        <w:tc>
          <w:tcPr>
            <w:tcW w:w="6597" w:type="dxa"/>
            <w:noWrap w:val="0"/>
            <w:vAlign w:val="center"/>
          </w:tcPr>
          <w:p>
            <w:pPr>
              <w:pStyle w:val="10"/>
              <w:snapToGrid w:val="0"/>
              <w:spacing w:before="120" w:after="120"/>
              <w:ind w:firstLine="480" w:firstLineChars="200"/>
              <w:rPr>
                <w:rFonts w:hint="default" w:ascii="宋体" w:hAnsi="宋体" w:eastAsia="宋体" w:cs="Times New Roman"/>
                <w:bCs/>
                <w:sz w:val="24"/>
                <w:szCs w:val="24"/>
                <w:highlight w:val="none"/>
                <w:lang w:val="en-US" w:eastAsia="zh-CN" w:bidi="ar-SA"/>
              </w:rPr>
            </w:pPr>
            <w:r>
              <w:rPr>
                <w:rFonts w:hint="eastAsia" w:ascii="宋体" w:hAnsi="宋体" w:cs="宋体"/>
                <w:color w:val="000000"/>
                <w:sz w:val="24"/>
                <w:szCs w:val="24"/>
                <w:highlight w:val="none"/>
              </w:rPr>
              <w:t>带方向助力，断气刹，电动玻璃，带ABS</w:t>
            </w:r>
            <w:r>
              <w:rPr>
                <w:rFonts w:hint="eastAsia" w:hAnsi="宋体" w:cs="宋体"/>
                <w:color w:val="000000"/>
                <w:sz w:val="24"/>
                <w:szCs w:val="24"/>
                <w:highlight w:val="none"/>
                <w:lang w:eastAsia="zh-CN"/>
              </w:rPr>
              <w:t>；</w:t>
            </w:r>
            <w:r>
              <w:rPr>
                <w:rFonts w:hint="eastAsia" w:hAnsi="宋体" w:cs="宋体"/>
                <w:color w:val="000000"/>
                <w:sz w:val="24"/>
                <w:szCs w:val="24"/>
                <w:highlight w:val="none"/>
                <w:lang w:val="en-US" w:eastAsia="zh-CN"/>
              </w:rPr>
              <w:t>驾驶室空调</w:t>
            </w:r>
          </w:p>
        </w:tc>
      </w:tr>
    </w:tbl>
    <w:p>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440" w:lineRule="exact"/>
        <w:jc w:val="center"/>
        <w:textAlignment w:val="baseline"/>
        <w:outlineLvl w:val="0"/>
        <w:rPr>
          <w:rFonts w:hint="eastAsia" w:ascii="宋体" w:hAnsi="宋体" w:eastAsia="宋体" w:cs="宋体"/>
          <w:highlight w:val="none"/>
        </w:rPr>
      </w:pPr>
      <w:r>
        <w:rPr>
          <w:rFonts w:hint="eastAsia" w:ascii="宋体" w:hAnsi="宋体" w:eastAsia="宋体" w:cs="宋体"/>
          <w:highlight w:val="none"/>
        </w:rPr>
        <w:br w:type="page"/>
      </w:r>
      <w:bookmarkStart w:id="93" w:name="_Toc3352"/>
      <w:bookmarkStart w:id="94" w:name="_Toc62744645"/>
      <w:r>
        <w:rPr>
          <w:rFonts w:hint="eastAsia" w:ascii="宋体" w:hAnsi="宋体" w:cs="宋体"/>
          <w:highlight w:val="none"/>
          <w:lang w:val="en-US" w:eastAsia="zh-CN"/>
        </w:rPr>
        <w:t xml:space="preserve">第六章 </w:t>
      </w:r>
      <w:r>
        <w:rPr>
          <w:rFonts w:hint="eastAsia" w:ascii="宋体" w:hAnsi="宋体" w:eastAsia="宋体" w:cs="宋体"/>
          <w:highlight w:val="none"/>
        </w:rPr>
        <w:t>合同格式及合同条款</w:t>
      </w:r>
      <w:bookmarkEnd w:id="93"/>
      <w:bookmarkEnd w:id="94"/>
    </w:p>
    <w:p>
      <w:pPr>
        <w:pStyle w:val="6"/>
        <w:pageBreakBefore w:val="0"/>
        <w:widowControl w:val="0"/>
        <w:kinsoku/>
        <w:overflowPunct/>
        <w:topLinePunct w:val="0"/>
        <w:bidi w:val="0"/>
        <w:adjustRightInd w:val="0"/>
        <w:spacing w:line="440" w:lineRule="exact"/>
        <w:ind w:left="0" w:leftChars="0" w:right="30" w:rightChars="0" w:firstLine="0" w:firstLineChars="0"/>
        <w:jc w:val="center"/>
        <w:rPr>
          <w:rFonts w:hint="eastAsia" w:ascii="宋体" w:hAnsi="宋体" w:eastAsia="宋体" w:cs="宋体"/>
          <w:w w:val="95"/>
          <w:highlight w:val="none"/>
        </w:rPr>
      </w:pPr>
      <w:r>
        <w:rPr>
          <w:rFonts w:hint="eastAsia" w:ascii="宋体" w:hAnsi="宋体" w:eastAsia="宋体" w:cs="宋体"/>
          <w:w w:val="95"/>
          <w:highlight w:val="none"/>
        </w:rPr>
        <w:t>(此合同样本仅供参考,合同具体细则以成交双方协定为准)</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u w:val="single"/>
        </w:rPr>
      </w:pPr>
      <w:r>
        <w:rPr>
          <w:rFonts w:hint="eastAsia" w:ascii="宋体" w:hAnsi="宋体" w:eastAsia="宋体" w:cs="宋体"/>
          <w:sz w:val="28"/>
          <w:highlight w:val="none"/>
        </w:rPr>
        <w:t>甲方（买方）：</w:t>
      </w:r>
      <w:r>
        <w:rPr>
          <w:rFonts w:hint="eastAsia" w:ascii="宋体" w:hAnsi="宋体" w:eastAsia="宋体" w:cs="宋体"/>
          <w:sz w:val="28"/>
          <w:highlight w:val="none"/>
          <w:u w:val="single"/>
        </w:rPr>
        <w:t xml:space="preserve">                         </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rPr>
      </w:pPr>
      <w:r>
        <w:rPr>
          <w:rFonts w:hint="eastAsia" w:ascii="宋体" w:hAnsi="宋体" w:eastAsia="宋体" w:cs="宋体"/>
          <w:sz w:val="28"/>
          <w:highlight w:val="none"/>
        </w:rPr>
        <w:t>乙方（卖方）：</w:t>
      </w:r>
      <w:r>
        <w:rPr>
          <w:rFonts w:hint="eastAsia" w:ascii="宋体" w:hAnsi="宋体" w:eastAsia="宋体" w:cs="宋体"/>
          <w:sz w:val="28"/>
          <w:highlight w:val="none"/>
          <w:u w:val="single"/>
        </w:rPr>
        <w:t xml:space="preserve">                         </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 xml:space="preserve">甲乙双方根据《中华人民共和国合同法》的规定，按照公平、公正、平等自愿和诚实信用、协商一致的原则，甲、乙双方签订合同如下。 </w:t>
      </w:r>
    </w:p>
    <w:p>
      <w:pPr>
        <w:pStyle w:val="32"/>
        <w:pageBreakBefore w:val="0"/>
        <w:widowControl w:val="0"/>
        <w:kinsoku/>
        <w:overflowPunct/>
        <w:topLinePunct w:val="0"/>
        <w:bidi w:val="0"/>
        <w:adjustRightInd w:val="0"/>
        <w:spacing w:line="440" w:lineRule="exact"/>
        <w:jc w:val="both"/>
        <w:rPr>
          <w:rFonts w:hint="eastAsia" w:ascii="宋体" w:hAnsi="宋体" w:eastAsia="宋体" w:cs="宋体"/>
          <w:highlight w:val="none"/>
        </w:rPr>
      </w:pPr>
      <w:r>
        <w:rPr>
          <w:rFonts w:hint="eastAsia" w:ascii="宋体" w:hAnsi="宋体" w:eastAsia="宋体" w:cs="宋体"/>
          <w:highlight w:val="none"/>
        </w:rPr>
        <w:t>一、设备名称、型号、制造商、数量、价格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序号</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名称</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型号</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制造商</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数量</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单价（元）</w:t>
            </w: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1</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kern w:val="0"/>
                <w:sz w:val="24"/>
                <w:szCs w:val="18"/>
                <w:highlight w:val="none"/>
              </w:rPr>
            </w:pP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kern w:val="0"/>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 </w:t>
            </w:r>
          </w:p>
        </w:tc>
      </w:tr>
    </w:tbl>
    <w:p>
      <w:pPr>
        <w:pageBreakBefore w:val="0"/>
        <w:widowControl w:val="0"/>
        <w:kinsoku/>
        <w:overflowPunct/>
        <w:topLinePunct w:val="0"/>
        <w:bidi w:val="0"/>
        <w:adjustRightInd w:val="0"/>
        <w:spacing w:line="440" w:lineRule="exact"/>
        <w:rPr>
          <w:rFonts w:hint="eastAsia" w:ascii="宋体" w:hAnsi="宋体" w:eastAsia="宋体" w:cs="宋体"/>
          <w:sz w:val="28"/>
          <w:highlight w:val="none"/>
          <w:u w:val="single"/>
        </w:rPr>
      </w:pPr>
      <w:r>
        <w:rPr>
          <w:rFonts w:hint="eastAsia" w:ascii="宋体" w:hAnsi="宋体" w:eastAsia="宋体" w:cs="宋体"/>
          <w:b/>
          <w:bCs/>
          <w:sz w:val="28"/>
          <w:highlight w:val="none"/>
        </w:rPr>
        <w:t>二、合同总金额</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小写：   大写     。</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rPr>
      </w:pPr>
      <w:r>
        <w:rPr>
          <w:rFonts w:hint="eastAsia" w:ascii="宋体" w:hAnsi="宋体" w:eastAsia="宋体" w:cs="宋体"/>
          <w:sz w:val="28"/>
          <w:highlight w:val="none"/>
        </w:rPr>
        <w:t>上述合同金额包括但不限于：设备价款、包装费、安装调试费、税费、保险费、知识产权费、检测费用等一切相关费用。</w:t>
      </w:r>
    </w:p>
    <w:p>
      <w:pPr>
        <w:pageBreakBefore w:val="0"/>
        <w:widowControl w:val="0"/>
        <w:kinsoku/>
        <w:overflowPunct/>
        <w:topLinePunct w:val="0"/>
        <w:bidi w:val="0"/>
        <w:adjustRightInd w:val="0"/>
        <w:spacing w:line="440" w:lineRule="exact"/>
        <w:rPr>
          <w:rFonts w:hint="eastAsia" w:ascii="宋体" w:hAnsi="宋体" w:eastAsia="宋体" w:cs="宋体"/>
          <w:sz w:val="28"/>
          <w:szCs w:val="28"/>
          <w:highlight w:val="none"/>
        </w:rPr>
      </w:pPr>
      <w:r>
        <w:rPr>
          <w:rFonts w:hint="eastAsia" w:ascii="宋体" w:hAnsi="宋体" w:eastAsia="宋体" w:cs="宋体"/>
          <w:b/>
          <w:bCs/>
          <w:sz w:val="28"/>
          <w:highlight w:val="none"/>
        </w:rPr>
        <w:t>三、付款方式</w:t>
      </w:r>
      <w:r>
        <w:rPr>
          <w:rFonts w:hint="eastAsia" w:ascii="宋体" w:hAnsi="宋体" w:eastAsia="宋体" w:cs="宋体"/>
          <w:sz w:val="28"/>
          <w:highlight w:val="none"/>
        </w:rPr>
        <w:t>：</w:t>
      </w:r>
      <w:r>
        <w:rPr>
          <w:rFonts w:hint="eastAsia" w:ascii="宋体" w:hAnsi="宋体" w:eastAsia="宋体" w:cs="宋体"/>
          <w:sz w:val="28"/>
          <w:szCs w:val="28"/>
          <w:highlight w:val="none"/>
        </w:rPr>
        <w:t xml:space="preserve"> </w:t>
      </w:r>
    </w:p>
    <w:p>
      <w:pPr>
        <w:pageBreakBefore w:val="0"/>
        <w:widowControl w:val="0"/>
        <w:kinsoku/>
        <w:overflowPunct/>
        <w:topLinePunct w:val="0"/>
        <w:bidi w:val="0"/>
        <w:adjustRightInd w:val="0"/>
        <w:spacing w:line="440" w:lineRule="exact"/>
        <w:rPr>
          <w:rFonts w:hint="eastAsia" w:ascii="宋体" w:hAnsi="宋体" w:eastAsia="宋体" w:cs="宋体"/>
          <w:sz w:val="28"/>
          <w:szCs w:val="28"/>
          <w:highlight w:val="none"/>
        </w:rPr>
      </w:pPr>
      <w:r>
        <w:rPr>
          <w:rFonts w:hint="eastAsia" w:ascii="宋体" w:hAnsi="宋体" w:eastAsia="宋体" w:cs="宋体"/>
          <w:b/>
          <w:bCs/>
          <w:sz w:val="28"/>
          <w:highlight w:val="none"/>
        </w:rPr>
        <w:t>四、交货日期</w:t>
      </w:r>
      <w:r>
        <w:rPr>
          <w:rFonts w:hint="eastAsia" w:ascii="宋体" w:hAnsi="宋体" w:eastAsia="宋体" w:cs="宋体"/>
          <w:sz w:val="28"/>
          <w:highlight w:val="none"/>
        </w:rPr>
        <w:t>：</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u w:val="single"/>
          <w:lang w:eastAsia="zh-CN"/>
        </w:rPr>
      </w:pPr>
      <w:r>
        <w:rPr>
          <w:rFonts w:hint="eastAsia" w:ascii="宋体" w:hAnsi="宋体" w:eastAsia="宋体" w:cs="宋体"/>
          <w:b/>
          <w:bCs/>
          <w:sz w:val="28"/>
          <w:highlight w:val="none"/>
        </w:rPr>
        <w:t>五、交货地点</w:t>
      </w:r>
      <w:r>
        <w:rPr>
          <w:rFonts w:hint="eastAsia" w:ascii="宋体" w:hAnsi="宋体" w:eastAsia="宋体" w:cs="宋体"/>
          <w:sz w:val="28"/>
          <w:highlight w:val="none"/>
        </w:rPr>
        <w:t>：</w:t>
      </w:r>
      <w:r>
        <w:rPr>
          <w:rFonts w:hint="eastAsia" w:ascii="宋体" w:hAnsi="宋体" w:cs="宋体"/>
          <w:sz w:val="28"/>
          <w:highlight w:val="none"/>
          <w:u w:val="single"/>
          <w:lang w:val="en-US" w:eastAsia="zh-CN"/>
        </w:rPr>
        <w:t>乌鲁木齐市</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u w:val="single"/>
        </w:rPr>
      </w:pPr>
      <w:r>
        <w:rPr>
          <w:rFonts w:hint="eastAsia" w:ascii="宋体" w:hAnsi="宋体" w:eastAsia="宋体" w:cs="宋体"/>
          <w:b/>
          <w:bCs/>
          <w:sz w:val="28"/>
          <w:highlight w:val="none"/>
        </w:rPr>
        <w:t>六、质保期</w:t>
      </w:r>
      <w:r>
        <w:rPr>
          <w:rFonts w:hint="eastAsia" w:ascii="宋体" w:hAnsi="宋体" w:eastAsia="宋体" w:cs="宋体"/>
          <w:sz w:val="28"/>
          <w:highlight w:val="none"/>
        </w:rPr>
        <w:t>：</w:t>
      </w:r>
    </w:p>
    <w:p>
      <w:pPr>
        <w:pageBreakBefore w:val="0"/>
        <w:widowControl w:val="0"/>
        <w:kinsoku/>
        <w:overflowPunct/>
        <w:topLinePunct w:val="0"/>
        <w:bidi w:val="0"/>
        <w:adjustRightInd w:val="0"/>
        <w:spacing w:line="440" w:lineRule="exact"/>
        <w:rPr>
          <w:rFonts w:hint="eastAsia" w:ascii="宋体" w:hAnsi="宋体" w:eastAsia="宋体" w:cs="宋体"/>
          <w:sz w:val="28"/>
          <w:highlight w:val="none"/>
        </w:rPr>
      </w:pPr>
      <w:r>
        <w:rPr>
          <w:rFonts w:hint="eastAsia" w:ascii="宋体" w:hAnsi="宋体" w:eastAsia="宋体" w:cs="宋体"/>
          <w:b/>
          <w:bCs/>
          <w:sz w:val="28"/>
          <w:highlight w:val="none"/>
        </w:rPr>
        <w:t>七、验收标准</w:t>
      </w:r>
      <w:r>
        <w:rPr>
          <w:rFonts w:hint="eastAsia" w:ascii="宋体" w:hAnsi="宋体" w:eastAsia="宋体" w:cs="宋体"/>
          <w:sz w:val="28"/>
          <w:highlight w:val="none"/>
        </w:rPr>
        <w:t>：</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乙方免费负责设备的安装和调试，在设备安装和调试结束后，由甲乙双方按照</w:t>
      </w:r>
      <w:r>
        <w:rPr>
          <w:rFonts w:hint="eastAsia" w:ascii="宋体" w:hAnsi="宋体" w:eastAsia="宋体" w:cs="宋体"/>
          <w:sz w:val="28"/>
          <w:highlight w:val="none"/>
          <w:lang w:eastAsia="zh-CN"/>
        </w:rPr>
        <w:t>相关标准</w:t>
      </w:r>
      <w:r>
        <w:rPr>
          <w:rFonts w:hint="eastAsia" w:ascii="宋体" w:hAnsi="宋体" w:eastAsia="宋体" w:cs="宋体"/>
          <w:sz w:val="28"/>
          <w:highlight w:val="none"/>
        </w:rPr>
        <w:t>进行验收，验收合格以甲方指定验收人员签字确认为准。验收合格后进入</w:t>
      </w:r>
      <w:r>
        <w:rPr>
          <w:rFonts w:hint="eastAsia" w:ascii="宋体" w:hAnsi="宋体" w:eastAsia="宋体" w:cs="宋体"/>
          <w:sz w:val="28"/>
          <w:highlight w:val="none"/>
          <w:lang w:eastAsia="zh-CN"/>
        </w:rPr>
        <w:t>质保</w:t>
      </w:r>
      <w:r>
        <w:rPr>
          <w:rFonts w:hint="eastAsia" w:ascii="宋体" w:hAnsi="宋体" w:eastAsia="宋体" w:cs="宋体"/>
          <w:sz w:val="28"/>
          <w:highlight w:val="none"/>
        </w:rPr>
        <w:t>期（如需要技术监督局进行检测，相关检测费用由乙方承担。）</w:t>
      </w:r>
    </w:p>
    <w:p>
      <w:pPr>
        <w:pStyle w:val="32"/>
        <w:pageBreakBefore w:val="0"/>
        <w:widowControl w:val="0"/>
        <w:kinsoku/>
        <w:overflowPunct/>
        <w:topLinePunct w:val="0"/>
        <w:bidi w:val="0"/>
        <w:adjustRightInd w:val="0"/>
        <w:spacing w:line="440" w:lineRule="exact"/>
        <w:jc w:val="both"/>
        <w:rPr>
          <w:rFonts w:hint="eastAsia" w:ascii="宋体" w:hAnsi="宋体" w:eastAsia="宋体" w:cs="宋体"/>
          <w:highlight w:val="none"/>
        </w:rPr>
      </w:pPr>
      <w:r>
        <w:rPr>
          <w:rFonts w:hint="eastAsia" w:ascii="宋体" w:hAnsi="宋体" w:eastAsia="宋体" w:cs="宋体"/>
          <w:highlight w:val="none"/>
        </w:rPr>
        <w:t>八、产品质量保证</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乙方须保证提供的货物是全新及未经使用过的，所使用的技术标准是全新的达到甲方要求并经确认，符合合同规定的质量、规格和性能要求。</w:t>
      </w:r>
    </w:p>
    <w:p>
      <w:pPr>
        <w:pStyle w:val="32"/>
        <w:pageBreakBefore w:val="0"/>
        <w:widowControl w:val="0"/>
        <w:kinsoku/>
        <w:overflowPunct/>
        <w:topLinePunct w:val="0"/>
        <w:bidi w:val="0"/>
        <w:adjustRightInd w:val="0"/>
        <w:spacing w:line="440" w:lineRule="exact"/>
        <w:jc w:val="left"/>
        <w:textAlignment w:val="baseline"/>
        <w:rPr>
          <w:rFonts w:hint="eastAsia" w:ascii="宋体" w:hAnsi="宋体" w:eastAsia="宋体" w:cs="宋体"/>
          <w:highlight w:val="none"/>
        </w:rPr>
      </w:pPr>
      <w:r>
        <w:rPr>
          <w:rFonts w:hint="eastAsia" w:ascii="宋体" w:hAnsi="宋体" w:eastAsia="宋体" w:cs="宋体"/>
          <w:highlight w:val="none"/>
        </w:rPr>
        <w:t>九、售后服务</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1、乙方应向甲方提供完整的中文版技术资料（操作、维修、保养资料）。设备所包含的所有软件均须提供合法的使用证书。乙方应免费提供甲方设备使用期间软件的升级工作。</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后无偿技术支持。</w:t>
      </w:r>
    </w:p>
    <w:p>
      <w:pPr>
        <w:keepNext w:val="0"/>
        <w:keepLines w:val="0"/>
        <w:pageBreakBefore w:val="0"/>
        <w:widowControl w:val="0"/>
        <w:kinsoku/>
        <w:wordWrap w:val="0"/>
        <w:overflowPunct/>
        <w:topLinePunct w:val="0"/>
        <w:autoSpaceDE/>
        <w:autoSpaceDN/>
        <w:bidi w:val="0"/>
        <w:adjustRightInd w:val="0"/>
        <w:snapToGrid/>
        <w:spacing w:line="440" w:lineRule="exact"/>
        <w:ind w:firstLine="560" w:firstLineChars="200"/>
        <w:textAlignment w:val="baseline"/>
        <w:rPr>
          <w:rFonts w:hint="eastAsia" w:ascii="宋体" w:hAnsi="宋体" w:eastAsia="宋体" w:cs="宋体"/>
          <w:sz w:val="28"/>
          <w:highlight w:val="none"/>
        </w:rPr>
      </w:pPr>
      <w:r>
        <w:rPr>
          <w:rFonts w:hint="eastAsia" w:ascii="宋体" w:hAnsi="宋体" w:eastAsia="宋体" w:cs="宋体"/>
          <w:sz w:val="28"/>
          <w:highlight w:val="none"/>
        </w:rPr>
        <w:t>3、乙方应提供国内（包括新疆地区）维修站：</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，维修工程师：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，联系电话</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提供正规的备品备件价格表。</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后的维修费用，先维修后付款。零备件的购买，先交货后付款。提供</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后无偿技术支持。</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4、乙方的技术人员应对甲方的设备维修人员及使用人员进行培训，使维修人员达到对设备的日常维护和一般性故障的查找及故障的排除，使用人员能熟练掌握设备的各项功能操作。</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5、乙方应在</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内每年应对设备进行4次全面维护、保养。因设备故障等问题所造成的一切损失由乙方负责赔偿。</w:t>
      </w:r>
      <w:r>
        <w:rPr>
          <w:rFonts w:hint="eastAsia" w:ascii="宋体" w:hAnsi="宋体" w:eastAsia="宋体" w:cs="宋体"/>
          <w:sz w:val="28"/>
          <w:highlight w:val="none"/>
          <w:lang w:eastAsia="zh-CN"/>
        </w:rPr>
        <w:t>质保期</w:t>
      </w:r>
      <w:r>
        <w:rPr>
          <w:rFonts w:hint="eastAsia" w:ascii="宋体" w:hAnsi="宋体" w:eastAsia="宋体" w:cs="宋体"/>
          <w:sz w:val="28"/>
          <w:highlight w:val="none"/>
        </w:rPr>
        <w:t>后，乙方应终生提供免费上门维修服务，并只按投标书中所提供的零备件价格提供备件收取配件成本费。</w:t>
      </w:r>
    </w:p>
    <w:p>
      <w:pPr>
        <w:pStyle w:val="32"/>
        <w:pageBreakBefore w:val="0"/>
        <w:widowControl w:val="0"/>
        <w:kinsoku/>
        <w:overflowPunct/>
        <w:topLinePunct w:val="0"/>
        <w:bidi w:val="0"/>
        <w:adjustRightInd w:val="0"/>
        <w:spacing w:line="440" w:lineRule="exact"/>
        <w:jc w:val="left"/>
        <w:textAlignment w:val="baseline"/>
        <w:rPr>
          <w:rFonts w:hint="eastAsia" w:ascii="宋体" w:hAnsi="宋体" w:eastAsia="宋体" w:cs="宋体"/>
          <w:highlight w:val="none"/>
        </w:rPr>
      </w:pPr>
      <w:r>
        <w:rPr>
          <w:rFonts w:hint="eastAsia" w:ascii="宋体" w:hAnsi="宋体" w:eastAsia="宋体" w:cs="宋体"/>
          <w:highlight w:val="none"/>
        </w:rPr>
        <w:t>十、违约责任</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1、如逾期交货，乙方每天向甲方支付违约金1000元。并承担甲方因此所受的直接损失。</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3、甲方应按合同规定的付款要求履约，由于非不可抗力原因不能在本合同规定的时间内支付合同款项时应告知乙方，乙方应给予30个工作日的宽限期。</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4、因包装不符合规定造成货物损坏或灭失的，乙方应当给予更换。</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5、如设备质量存在问题，给甲方造成损失，由乙方承担合同总金额30%的违约金并赔偿甲方由此产生的其他全部损失。</w:t>
      </w:r>
    </w:p>
    <w:p>
      <w:pPr>
        <w:pageBreakBefore w:val="0"/>
        <w:widowControl w:val="0"/>
        <w:tabs>
          <w:tab w:val="left" w:pos="435"/>
        </w:tabs>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lang w:val="en-US" w:eastAsia="zh-CN"/>
        </w:rPr>
        <w:t>6</w:t>
      </w:r>
      <w:r>
        <w:rPr>
          <w:rFonts w:hint="eastAsia" w:ascii="宋体" w:hAnsi="宋体" w:eastAsia="宋体" w:cs="宋体"/>
          <w:sz w:val="28"/>
          <w:highlight w:val="none"/>
        </w:rPr>
        <w:t>、乙方合同执行代表</w:t>
      </w:r>
      <w:r>
        <w:rPr>
          <w:rFonts w:hint="eastAsia" w:ascii="宋体" w:hAnsi="宋体" w:eastAsia="宋体" w:cs="宋体"/>
          <w:sz w:val="28"/>
          <w:highlight w:val="none"/>
          <w:u w:val="single"/>
        </w:rPr>
        <w:t xml:space="preserve">         </w:t>
      </w:r>
      <w:r>
        <w:rPr>
          <w:rFonts w:hint="eastAsia" w:ascii="宋体" w:hAnsi="宋体" w:eastAsia="宋体" w:cs="宋体"/>
          <w:color w:val="000000"/>
          <w:sz w:val="28"/>
          <w:highlight w:val="none"/>
          <w:u w:val="single"/>
        </w:rPr>
        <w:t xml:space="preserve">，身份证号：                       联系电话：                </w:t>
      </w:r>
      <w:r>
        <w:rPr>
          <w:rFonts w:hint="eastAsia" w:ascii="宋体" w:hAnsi="宋体" w:eastAsia="宋体" w:cs="宋体"/>
          <w:sz w:val="28"/>
          <w:highlight w:val="none"/>
        </w:rPr>
        <w:t>，在合同签订及履行过程中，不得实施商业贿赂。</w:t>
      </w:r>
    </w:p>
    <w:p>
      <w:pPr>
        <w:pageBreakBefore w:val="0"/>
        <w:widowControl w:val="0"/>
        <w:tabs>
          <w:tab w:val="left" w:pos="435"/>
        </w:tabs>
        <w:kinsoku/>
        <w:overflowPunct/>
        <w:topLinePunct w:val="0"/>
        <w:bidi w:val="0"/>
        <w:adjustRightInd w:val="0"/>
        <w:spacing w:line="440" w:lineRule="exact"/>
        <w:rPr>
          <w:rFonts w:hint="eastAsia" w:ascii="宋体" w:hAnsi="宋体" w:eastAsia="宋体" w:cs="宋体"/>
          <w:b/>
          <w:bCs/>
          <w:sz w:val="28"/>
          <w:highlight w:val="none"/>
        </w:rPr>
      </w:pPr>
      <w:r>
        <w:rPr>
          <w:rFonts w:hint="eastAsia" w:ascii="宋体" w:hAnsi="宋体" w:eastAsia="宋体" w:cs="宋体"/>
          <w:b/>
          <w:bCs/>
          <w:sz w:val="28"/>
          <w:highlight w:val="none"/>
        </w:rPr>
        <w:t>十一、不可抗力</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pageBreakBefore w:val="0"/>
        <w:widowControl w:val="0"/>
        <w:tabs>
          <w:tab w:val="left" w:pos="435"/>
        </w:tabs>
        <w:kinsoku/>
        <w:overflowPunct/>
        <w:topLinePunct w:val="0"/>
        <w:bidi w:val="0"/>
        <w:adjustRightInd w:val="0"/>
        <w:spacing w:line="440" w:lineRule="exact"/>
        <w:rPr>
          <w:rFonts w:hint="eastAsia" w:ascii="宋体" w:hAnsi="宋体" w:eastAsia="宋体" w:cs="宋体"/>
          <w:b/>
          <w:bCs/>
          <w:sz w:val="28"/>
          <w:highlight w:val="none"/>
        </w:rPr>
      </w:pPr>
      <w:r>
        <w:rPr>
          <w:rFonts w:hint="eastAsia" w:ascii="宋体" w:hAnsi="宋体" w:eastAsia="宋体" w:cs="宋体"/>
          <w:b/>
          <w:bCs/>
          <w:sz w:val="28"/>
          <w:highlight w:val="none"/>
        </w:rPr>
        <w:t>十二、其他</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2、本合同一式五份，甲方执四份，乙方执一份。</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3、双方其他约定：与本合同有关的招标文件、投标文件、答疑等附件与合同具有同等法律效力。</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sz w:val="28"/>
          <w:highlight w:val="none"/>
        </w:rPr>
      </w:pPr>
      <w:r>
        <w:rPr>
          <w:rFonts w:hint="eastAsia" w:ascii="宋体" w:hAnsi="宋体" w:eastAsia="宋体" w:cs="宋体"/>
          <w:sz w:val="28"/>
          <w:highlight w:val="none"/>
        </w:rPr>
        <w:t>4、甲乙双方的指定送达地址等信息确认如下：</w:t>
      </w:r>
    </w:p>
    <w:tbl>
      <w:tblPr>
        <w:tblStyle w:val="17"/>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甲方单位名称：</w:t>
            </w:r>
          </w:p>
        </w:tc>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乙方单位名称：</w:t>
            </w:r>
          </w:p>
        </w:tc>
      </w:tr>
      <w:tr>
        <w:tblPrEx>
          <w:tblCellMar>
            <w:top w:w="0" w:type="dxa"/>
            <w:left w:w="108" w:type="dxa"/>
            <w:bottom w:w="0" w:type="dxa"/>
            <w:right w:w="108" w:type="dxa"/>
          </w:tblCellMar>
        </w:tblPrEx>
        <w:trPr>
          <w:jc w:val="center"/>
        </w:trPr>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法人签字：</w:t>
            </w:r>
          </w:p>
        </w:tc>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法人签字：</w:t>
            </w:r>
          </w:p>
        </w:tc>
      </w:tr>
      <w:tr>
        <w:tblPrEx>
          <w:tblCellMar>
            <w:top w:w="0" w:type="dxa"/>
            <w:left w:w="108" w:type="dxa"/>
            <w:bottom w:w="0" w:type="dxa"/>
            <w:right w:w="108" w:type="dxa"/>
          </w:tblCellMar>
        </w:tblPrEx>
        <w:trPr>
          <w:jc w:val="center"/>
        </w:trPr>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w:t>
            </w:r>
          </w:p>
        </w:tc>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w:t>
            </w:r>
          </w:p>
        </w:tc>
      </w:tr>
      <w:tr>
        <w:tblPrEx>
          <w:tblCellMar>
            <w:top w:w="0" w:type="dxa"/>
            <w:left w:w="108" w:type="dxa"/>
            <w:bottom w:w="0" w:type="dxa"/>
            <w:right w:w="108" w:type="dxa"/>
          </w:tblCellMar>
        </w:tblPrEx>
        <w:trPr>
          <w:jc w:val="center"/>
        </w:trPr>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tblPrEx>
          <w:tblCellMar>
            <w:top w:w="0" w:type="dxa"/>
            <w:left w:w="108" w:type="dxa"/>
            <w:bottom w:w="0" w:type="dxa"/>
            <w:right w:w="108" w:type="dxa"/>
          </w:tblCellMar>
        </w:tblPrEx>
        <w:trPr>
          <w:jc w:val="center"/>
        </w:trPr>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单位账户名称：</w:t>
            </w:r>
          </w:p>
        </w:tc>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单位账户名称：</w:t>
            </w:r>
          </w:p>
        </w:tc>
      </w:tr>
      <w:tr>
        <w:tblPrEx>
          <w:tblCellMar>
            <w:top w:w="0" w:type="dxa"/>
            <w:left w:w="108" w:type="dxa"/>
            <w:bottom w:w="0" w:type="dxa"/>
            <w:right w:w="108" w:type="dxa"/>
          </w:tblCellMar>
        </w:tblPrEx>
        <w:trPr>
          <w:jc w:val="center"/>
        </w:trPr>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单位帐号：</w:t>
            </w:r>
          </w:p>
        </w:tc>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单位帐号：</w:t>
            </w:r>
          </w:p>
        </w:tc>
      </w:tr>
      <w:tr>
        <w:tblPrEx>
          <w:tblCellMar>
            <w:top w:w="0" w:type="dxa"/>
            <w:left w:w="108" w:type="dxa"/>
            <w:bottom w:w="0" w:type="dxa"/>
            <w:right w:w="108" w:type="dxa"/>
          </w:tblCellMar>
        </w:tblPrEx>
        <w:trPr>
          <w:jc w:val="center"/>
        </w:trPr>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p>
        </w:tc>
        <w:tc>
          <w:tcPr>
            <w:tcW w:w="4927" w:type="dxa"/>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jc w:val="center"/>
        </w:trPr>
        <w:tc>
          <w:tcPr>
            <w:tcW w:w="9854" w:type="dxa"/>
            <w:gridSpan w:val="2"/>
            <w:noWrap w:val="0"/>
            <w:vAlign w:val="top"/>
          </w:tcPr>
          <w:p>
            <w:pPr>
              <w:pStyle w:val="32"/>
              <w:pageBreakBefore w:val="0"/>
              <w:widowControl w:val="0"/>
              <w:kinsoku/>
              <w:overflowPunct/>
              <w:topLinePunct w:val="0"/>
              <w:bidi w:val="0"/>
              <w:adjustRightInd w:val="0"/>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合同签订日期：</w:t>
            </w:r>
          </w:p>
        </w:tc>
      </w:tr>
    </w:tbl>
    <w:p>
      <w:pPr>
        <w:pStyle w:val="32"/>
        <w:pageBreakBefore w:val="0"/>
        <w:widowControl w:val="0"/>
        <w:kinsoku/>
        <w:overflowPunct/>
        <w:topLinePunct w:val="0"/>
        <w:bidi w:val="0"/>
        <w:adjustRightInd w:val="0"/>
        <w:spacing w:line="440" w:lineRule="exact"/>
        <w:ind w:left="-617" w:leftChars="-257" w:firstLine="2"/>
        <w:jc w:val="both"/>
        <w:rPr>
          <w:rFonts w:hint="eastAsia" w:ascii="宋体" w:hAnsi="宋体" w:eastAsia="宋体" w:cs="宋体"/>
          <w:highlight w:val="none"/>
        </w:rPr>
      </w:pPr>
    </w:p>
    <w:p>
      <w:pPr>
        <w:pStyle w:val="32"/>
        <w:pageBreakBefore w:val="0"/>
        <w:widowControl w:val="0"/>
        <w:kinsoku/>
        <w:overflowPunct/>
        <w:topLinePunct w:val="0"/>
        <w:bidi w:val="0"/>
        <w:adjustRightInd w:val="0"/>
        <w:spacing w:line="440" w:lineRule="exact"/>
        <w:ind w:left="-208" w:leftChars="-95" w:hanging="20" w:hangingChars="7"/>
        <w:jc w:val="both"/>
        <w:rPr>
          <w:rFonts w:hint="eastAsia" w:ascii="宋体" w:hAnsi="宋体" w:eastAsia="宋体" w:cs="宋体"/>
          <w:highlight w:val="none"/>
        </w:rPr>
      </w:pPr>
      <w:r>
        <w:rPr>
          <w:rFonts w:hint="eastAsia" w:ascii="宋体" w:hAnsi="宋体" w:eastAsia="宋体" w:cs="宋体"/>
          <w:highlight w:val="none"/>
          <w:lang w:eastAsia="zh-CN"/>
        </w:rPr>
        <w:t>附</w:t>
      </w:r>
      <w:r>
        <w:rPr>
          <w:rFonts w:hint="eastAsia" w:ascii="宋体" w:hAnsi="宋体" w:eastAsia="宋体" w:cs="宋体"/>
          <w:highlight w:val="none"/>
        </w:rPr>
        <w:t>与投标文件中一致的配置清单</w:t>
      </w:r>
    </w:p>
    <w:p>
      <w:pPr>
        <w:pageBreakBefore w:val="0"/>
        <w:widowControl w:val="0"/>
        <w:kinsoku/>
        <w:overflowPunct/>
        <w:topLinePunct w:val="0"/>
        <w:bidi w:val="0"/>
        <w:adjustRightInd w:val="0"/>
        <w:spacing w:line="440" w:lineRule="exact"/>
        <w:rPr>
          <w:rFonts w:hint="eastAsia" w:ascii="宋体" w:hAnsi="宋体" w:eastAsia="宋体" w:cs="宋体"/>
          <w:highlight w:val="none"/>
        </w:rPr>
      </w:pPr>
    </w:p>
    <w:p>
      <w:pPr>
        <w:pageBreakBefore w:val="0"/>
        <w:widowControl w:val="0"/>
        <w:numPr>
          <w:ilvl w:val="0"/>
          <w:numId w:val="0"/>
        </w:numPr>
        <w:kinsoku/>
        <w:overflowPunct/>
        <w:topLinePunct w:val="0"/>
        <w:bidi w:val="0"/>
        <w:adjustRightInd w:val="0"/>
        <w:spacing w:line="440" w:lineRule="exact"/>
        <w:rPr>
          <w:rFonts w:hint="eastAsia" w:ascii="宋体" w:hAnsi="宋体" w:eastAsia="宋体" w:cs="宋体"/>
          <w:highlight w:val="none"/>
          <w:lang w:val="en-US" w:eastAsia="zh-CN"/>
        </w:rPr>
      </w:pPr>
    </w:p>
    <w:p>
      <w:pPr>
        <w:pageBreakBefore w:val="0"/>
        <w:widowControl w:val="0"/>
        <w:kinsoku/>
        <w:overflowPunct/>
        <w:topLinePunct w:val="0"/>
        <w:bidi w:val="0"/>
        <w:adjustRightInd w:val="0"/>
        <w:spacing w:line="440" w:lineRule="exact"/>
        <w:jc w:val="left"/>
        <w:rPr>
          <w:rFonts w:hint="eastAsia" w:ascii="宋体" w:hAnsi="宋体" w:eastAsia="宋体" w:cs="宋体"/>
          <w:highlight w:val="none"/>
        </w:rPr>
      </w:pPr>
    </w:p>
    <w:p>
      <w:pPr>
        <w:pStyle w:val="3"/>
        <w:spacing w:line="360" w:lineRule="auto"/>
        <w:outlineLvl w:val="0"/>
        <w:rPr>
          <w:rFonts w:hint="eastAsia" w:ascii="宋体" w:hAnsi="宋体" w:eastAsia="宋体" w:cs="宋体"/>
          <w:highlight w:val="none"/>
        </w:rPr>
      </w:pPr>
      <w:bookmarkStart w:id="95" w:name="_Toc171913610"/>
      <w:bookmarkStart w:id="96" w:name="_Toc88449336"/>
      <w:bookmarkStart w:id="97" w:name="_Toc86202633"/>
      <w:r>
        <w:rPr>
          <w:rFonts w:hint="eastAsia" w:ascii="宋体" w:hAnsi="宋体" w:eastAsia="宋体" w:cs="宋体"/>
          <w:highlight w:val="none"/>
        </w:rPr>
        <w:br w:type="page"/>
      </w:r>
      <w:bookmarkStart w:id="98" w:name="_Toc30083"/>
      <w:bookmarkStart w:id="99" w:name="_Toc62744669"/>
      <w:r>
        <w:rPr>
          <w:rFonts w:hint="eastAsia" w:ascii="宋体" w:hAnsi="宋体" w:eastAsia="宋体" w:cs="宋体"/>
          <w:highlight w:val="none"/>
        </w:rPr>
        <w:t>第七</w:t>
      </w:r>
      <w:r>
        <w:rPr>
          <w:rFonts w:hint="eastAsia" w:ascii="宋体" w:hAnsi="宋体" w:eastAsia="宋体" w:cs="宋体"/>
          <w:kern w:val="2"/>
          <w:highlight w:val="none"/>
        </w:rPr>
        <w:t>章</w:t>
      </w:r>
      <w:r>
        <w:rPr>
          <w:rFonts w:hint="eastAsia" w:ascii="宋体" w:hAnsi="宋体" w:eastAsia="宋体" w:cs="宋体"/>
          <w:highlight w:val="none"/>
        </w:rPr>
        <w:t xml:space="preserve">  </w:t>
      </w:r>
      <w:bookmarkStart w:id="100" w:name="_Toc86202632"/>
      <w:r>
        <w:rPr>
          <w:rFonts w:hint="eastAsia" w:ascii="宋体" w:hAnsi="宋体" w:eastAsia="宋体" w:cs="宋体"/>
          <w:highlight w:val="none"/>
        </w:rPr>
        <w:t>响应文件格式</w:t>
      </w:r>
      <w:bookmarkEnd w:id="95"/>
      <w:bookmarkEnd w:id="96"/>
      <w:bookmarkEnd w:id="97"/>
      <w:bookmarkEnd w:id="98"/>
      <w:bookmarkEnd w:id="99"/>
      <w:bookmarkEnd w:id="100"/>
      <w:bookmarkStart w:id="101" w:name="_Toc171913690"/>
      <w:bookmarkStart w:id="102" w:name="_Toc88449337"/>
      <w:bookmarkStart w:id="103" w:name="_Toc171913611"/>
    </w:p>
    <w:p>
      <w:pPr>
        <w:spacing w:line="360" w:lineRule="auto"/>
        <w:ind w:left="555"/>
        <w:jc w:val="center"/>
        <w:rPr>
          <w:rFonts w:hint="eastAsia" w:ascii="宋体" w:hAnsi="宋体" w:eastAsia="宋体" w:cs="宋体"/>
          <w:sz w:val="36"/>
          <w:szCs w:val="36"/>
          <w:highlight w:val="none"/>
        </w:rPr>
      </w:pPr>
    </w:p>
    <w:p>
      <w:pPr>
        <w:pStyle w:val="4"/>
        <w:spacing w:line="360" w:lineRule="auto"/>
        <w:rPr>
          <w:rFonts w:hint="eastAsia" w:ascii="宋体" w:hAnsi="宋体" w:eastAsia="宋体" w:cs="宋体"/>
          <w:highlight w:val="none"/>
        </w:rPr>
      </w:pPr>
      <w:bookmarkStart w:id="104" w:name="_Toc62744670"/>
      <w:r>
        <w:rPr>
          <w:rFonts w:hint="eastAsia" w:ascii="宋体" w:hAnsi="宋体" w:eastAsia="宋体" w:cs="宋体"/>
          <w:highlight w:val="none"/>
        </w:rPr>
        <w:t>供应商提交文件须知</w:t>
      </w:r>
      <w:bookmarkEnd w:id="101"/>
      <w:bookmarkEnd w:id="102"/>
      <w:bookmarkEnd w:id="103"/>
      <w:bookmarkEnd w:id="104"/>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1、供应商应严格按照以下顺序填写和提交下述规定的全部格式文件以及其他有关资料，混乱的编排导致</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文件被误读或查找不到，后果由供应商承担。</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2、所附表格中要求回答的全部问题和信息都必须正面回答。</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3、资格声明的签字人应保证全部声明和问题的回答是真实的和准确的。</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小组将应用供应商提交的资料并根据自己的判断，决定供应商履行合同的合格性及能力。</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5、供应商提交的材料将被保密保存，但不退还。</w:t>
      </w:r>
    </w:p>
    <w:p>
      <w:pPr>
        <w:spacing w:line="360" w:lineRule="auto"/>
        <w:ind w:left="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6、全部文件应按供应商须知中规定的语言和份数提交。</w:t>
      </w:r>
    </w:p>
    <w:p>
      <w:pPr>
        <w:spacing w:line="360" w:lineRule="auto"/>
        <w:jc w:val="both"/>
        <w:rPr>
          <w:rFonts w:hint="eastAsia" w:ascii="宋体" w:hAnsi="宋体" w:eastAsia="宋体" w:cs="宋体"/>
          <w:highlight w:val="none"/>
        </w:rPr>
      </w:pPr>
    </w:p>
    <w:p>
      <w:pPr>
        <w:pStyle w:val="4"/>
        <w:pageBreakBefore w:val="0"/>
        <w:widowControl w:val="0"/>
        <w:kinsoku/>
        <w:wordWrap/>
        <w:overflowPunct/>
        <w:topLinePunct w:val="0"/>
        <w:bidi w:val="0"/>
        <w:adjustRightInd w:val="0"/>
        <w:snapToGrid/>
        <w:spacing w:line="460" w:lineRule="exact"/>
        <w:rPr>
          <w:rFonts w:hint="eastAsia" w:ascii="宋体" w:hAnsi="宋体" w:eastAsia="宋体" w:cs="宋体"/>
          <w:highlight w:val="none"/>
        </w:rPr>
      </w:pPr>
      <w:r>
        <w:rPr>
          <w:rFonts w:hint="eastAsia" w:ascii="宋体" w:hAnsi="宋体" w:eastAsia="宋体" w:cs="宋体"/>
          <w:highlight w:val="none"/>
        </w:rPr>
        <w:br w:type="page"/>
      </w:r>
      <w:bookmarkStart w:id="105" w:name="_Toc62744671"/>
      <w:bookmarkStart w:id="106" w:name="_Toc86202634"/>
      <w:r>
        <w:rPr>
          <w:rFonts w:hint="eastAsia" w:ascii="宋体" w:hAnsi="宋体" w:eastAsia="宋体" w:cs="宋体"/>
          <w:b/>
          <w:bCs/>
          <w:sz w:val="28"/>
          <w:szCs w:val="28"/>
          <w:highlight w:val="none"/>
          <w:lang w:val="en-US" w:eastAsia="zh-CN" w:bidi="ar-SA"/>
        </w:rPr>
        <w:t>一、承诺函</w:t>
      </w:r>
      <w:bookmarkEnd w:id="105"/>
      <w:bookmarkEnd w:id="106"/>
    </w:p>
    <w:p>
      <w:pPr>
        <w:pStyle w:val="23"/>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color w:val="auto"/>
          <w:sz w:val="28"/>
          <w:szCs w:val="28"/>
          <w:highlight w:val="none"/>
          <w:lang w:eastAsia="zh-CN"/>
        </w:rPr>
      </w:pPr>
      <w:bookmarkStart w:id="107" w:name="_Toc86202635"/>
      <w:r>
        <w:rPr>
          <w:rFonts w:hint="eastAsia" w:ascii="宋体" w:hAnsi="宋体" w:eastAsia="宋体" w:cs="宋体"/>
          <w:color w:val="auto"/>
          <w:sz w:val="28"/>
          <w:szCs w:val="28"/>
          <w:highlight w:val="none"/>
        </w:rPr>
        <w:t>致：</w:t>
      </w:r>
      <w:r>
        <w:rPr>
          <w:rFonts w:hint="eastAsia" w:ascii="宋体" w:hAnsi="宋体" w:cs="宋体"/>
          <w:color w:val="auto"/>
          <w:sz w:val="28"/>
          <w:szCs w:val="28"/>
          <w:highlight w:val="none"/>
          <w:lang w:eastAsia="zh-CN"/>
        </w:rPr>
        <w:t>新疆维吾尔自治区地质矿产勘查开发局第一区域地质调查大队</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（供应商全称）授权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（供应商代表姓名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（职务、职称）为我方代表，参加贵方组织的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项目名称、项目编号）采购的有关活动，并对此项目进行</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。为此：</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1.我方同意在本项目</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文件中规定的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截止时间起90天（日历日）内遵守本响应文件中的承诺且在此期限期满之前均具有约束力。</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2.我方承诺已经具备《中华人民共和国政府采购法》中规定的参加政府采购活动的供应商应当具备的条件：</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（2）具有良好的商业信誉和健全的财务会计制度；</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（3）具有履行合同所必需的设备和专业技术能力；</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（4）有依法缴纳税收和社会保障资金的良好记录；</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（5）参加此项采购活动前三年内，在经营活动中没有重大违法记录。</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3.提供供应商须知规定的全部响应文件，包括响应文件正本</w:t>
      </w:r>
      <w:r>
        <w:rPr>
          <w:rFonts w:hint="eastAsia" w:ascii="宋体" w:hAnsi="宋体" w:eastAsia="宋体" w:cs="宋体"/>
          <w:color w:val="auto"/>
          <w:sz w:val="28"/>
          <w:szCs w:val="28"/>
          <w:highlight w:val="none"/>
          <w:u w:val="single"/>
        </w:rPr>
        <w:t xml:space="preserve"> 1 </w:t>
      </w:r>
      <w:r>
        <w:rPr>
          <w:rFonts w:hint="eastAsia" w:ascii="宋体" w:hAnsi="宋体" w:eastAsia="宋体" w:cs="宋体"/>
          <w:color w:val="auto"/>
          <w:sz w:val="28"/>
          <w:szCs w:val="28"/>
          <w:highlight w:val="none"/>
        </w:rPr>
        <w:t>份，副本</w:t>
      </w:r>
      <w:r>
        <w:rPr>
          <w:rFonts w:hint="eastAsia" w:ascii="宋体" w:hAnsi="宋体" w:eastAsia="宋体" w:cs="宋体"/>
          <w:color w:val="auto"/>
          <w:sz w:val="28"/>
          <w:szCs w:val="28"/>
          <w:highlight w:val="none"/>
          <w:u w:val="single"/>
        </w:rPr>
        <w:t xml:space="preserve"> 2 </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val="en-US" w:eastAsia="zh-CN"/>
        </w:rPr>
        <w:t>报价一览表</w:t>
      </w:r>
      <w:r>
        <w:rPr>
          <w:rFonts w:hint="eastAsia" w:ascii="宋体" w:hAnsi="宋体" w:eastAsia="宋体" w:cs="宋体"/>
          <w:color w:val="auto"/>
          <w:sz w:val="28"/>
          <w:szCs w:val="28"/>
          <w:highlight w:val="none"/>
          <w:u w:val="single"/>
          <w:lang w:val="en-US" w:eastAsia="zh-CN"/>
        </w:rPr>
        <w:t xml:space="preserve"> 1 </w:t>
      </w:r>
      <w:r>
        <w:rPr>
          <w:rFonts w:hint="eastAsia" w:ascii="宋体" w:hAnsi="宋体" w:eastAsia="宋体" w:cs="宋体"/>
          <w:color w:val="auto"/>
          <w:sz w:val="28"/>
          <w:szCs w:val="28"/>
          <w:highlight w:val="none"/>
          <w:u w:val="none"/>
          <w:lang w:val="en-US" w:eastAsia="zh-CN"/>
        </w:rPr>
        <w:t>份、</w:t>
      </w:r>
      <w:r>
        <w:rPr>
          <w:rFonts w:hint="eastAsia" w:ascii="宋体" w:hAnsi="宋体" w:eastAsia="宋体" w:cs="宋体"/>
          <w:color w:val="auto"/>
          <w:sz w:val="28"/>
          <w:szCs w:val="28"/>
          <w:highlight w:val="none"/>
        </w:rPr>
        <w:t>电子版（</w:t>
      </w:r>
      <w:r>
        <w:rPr>
          <w:rFonts w:hint="eastAsia" w:ascii="宋体" w:hAnsi="宋体" w:eastAsia="宋体" w:cs="宋体"/>
          <w:color w:val="auto"/>
          <w:sz w:val="28"/>
          <w:szCs w:val="28"/>
          <w:highlight w:val="none"/>
          <w:lang w:val="en-US" w:eastAsia="zh-CN"/>
        </w:rPr>
        <w:t>U</w:t>
      </w:r>
      <w:r>
        <w:rPr>
          <w:rFonts w:hint="eastAsia" w:ascii="宋体" w:hAnsi="宋体" w:eastAsia="宋体" w:cs="宋体"/>
          <w:color w:val="auto"/>
          <w:sz w:val="28"/>
          <w:szCs w:val="28"/>
          <w:highlight w:val="none"/>
        </w:rPr>
        <w:t>盘）</w:t>
      </w:r>
      <w:r>
        <w:rPr>
          <w:rFonts w:hint="eastAsia" w:ascii="宋体" w:hAnsi="宋体" w:eastAsia="宋体" w:cs="宋体"/>
          <w:color w:val="auto"/>
          <w:sz w:val="28"/>
          <w:szCs w:val="28"/>
          <w:highlight w:val="none"/>
          <w:u w:val="single"/>
        </w:rPr>
        <w:t xml:space="preserve"> 1 </w:t>
      </w:r>
      <w:r>
        <w:rPr>
          <w:rFonts w:hint="eastAsia" w:ascii="宋体" w:hAnsi="宋体" w:eastAsia="宋体" w:cs="宋体"/>
          <w:color w:val="auto"/>
          <w:sz w:val="28"/>
          <w:szCs w:val="28"/>
          <w:highlight w:val="none"/>
        </w:rPr>
        <w:t>份。</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文件要求提供和交付的服务的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报价详见报价一览表。</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5.保证忠实地执行双方所签订的合同，并承担合同规定的责任和义务。</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6.保证遵守</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文件的规定。</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7.如果在递交响应文件后规定的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有效期内撤回</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，我方的保证金贵方可不予退还。</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8.我方愿意向贵方提供任何与本项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有关的数据、情况和技术资料。若贵方需要，我方愿意提供我方作出的一切承诺的证明材料。</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9.我方已详细审核全部</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文件，包括</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文件修改书（如有的话）、参考资料及有关附件，确认无误。</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10.我方承诺：采购人若需追加采购本项目</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文件所列相关服务的，在不改变合同其他实质性条款的前提下，按相同或更优惠的折扣率保证供货。</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（1）提供虚假材料谋取中标、成交的；</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（2）采取不正当手段诋毁、排挤其他供应商的；</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（3）与采购人、其它供应商或者采购代理机构工作人员恶意串通的；</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（4）向采购人、采购代理机构工作人员行贿或者提供其他不正当利益的；</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（5）未经采购代理机构同意，在采购过程中与采购人进行协商</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的；</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（6）拒绝有关部门监督检查或提供虚假情况的。</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与本</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有关的一切往来通讯请寄：</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邮编： </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电话： </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p>
    <w:p>
      <w:pPr>
        <w:pStyle w:val="23"/>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注：除可填报项目外，对本承诺函的任何修改将被视为非实质性响应</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，从而导致该</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被拒绝。</w:t>
      </w:r>
    </w:p>
    <w:p>
      <w:pPr>
        <w:pStyle w:val="4"/>
        <w:spacing w:line="360" w:lineRule="auto"/>
        <w:rPr>
          <w:rFonts w:hint="eastAsia" w:ascii="宋体" w:hAnsi="宋体" w:eastAsia="宋体" w:cs="宋体"/>
          <w:b/>
          <w:bCs/>
          <w:sz w:val="28"/>
          <w:szCs w:val="28"/>
          <w:highlight w:val="none"/>
          <w:lang w:val="en-US" w:eastAsia="zh-CN" w:bidi="ar-SA"/>
        </w:rPr>
      </w:pPr>
      <w:r>
        <w:rPr>
          <w:rFonts w:hint="eastAsia" w:ascii="宋体" w:hAnsi="宋体" w:eastAsia="宋体" w:cs="宋体"/>
          <w:kern w:val="2"/>
          <w:highlight w:val="none"/>
        </w:rPr>
        <w:br w:type="page"/>
      </w:r>
      <w:bookmarkStart w:id="108" w:name="_Toc62744672"/>
      <w:r>
        <w:rPr>
          <w:rFonts w:hint="eastAsia" w:ascii="宋体" w:hAnsi="宋体" w:eastAsia="宋体" w:cs="宋体"/>
          <w:b/>
          <w:bCs/>
          <w:sz w:val="28"/>
          <w:szCs w:val="28"/>
          <w:highlight w:val="none"/>
          <w:lang w:val="en-US" w:eastAsia="zh-CN" w:bidi="ar-SA"/>
        </w:rPr>
        <w:t>二、法定代表人资格证明书</w:t>
      </w:r>
    </w:p>
    <w:p>
      <w:pPr>
        <w:pStyle w:val="33"/>
        <w:spacing w:line="360" w:lineRule="auto"/>
        <w:ind w:firstLine="560"/>
        <w:rPr>
          <w:rFonts w:hint="eastAsia" w:ascii="宋体" w:hAnsi="宋体" w:eastAsia="宋体" w:cs="宋体"/>
          <w:color w:val="000000"/>
          <w:sz w:val="28"/>
          <w:szCs w:val="28"/>
          <w:highlight w:val="none"/>
        </w:rPr>
      </w:pPr>
    </w:p>
    <w:p>
      <w:pPr>
        <w:pStyle w:val="33"/>
        <w:spacing w:line="360" w:lineRule="auto"/>
        <w:ind w:firstLine="56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单位名称：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pPr>
        <w:pStyle w:val="33"/>
        <w:spacing w:line="360" w:lineRule="auto"/>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    址：</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pPr>
        <w:pStyle w:val="33"/>
        <w:spacing w:line="360" w:lineRule="auto"/>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    名：</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性别：</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职务：</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pPr>
        <w:pStyle w:val="33"/>
        <w:spacing w:line="360" w:lineRule="auto"/>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该同志系</w:t>
      </w:r>
      <w:r>
        <w:rPr>
          <w:rFonts w:hint="eastAsia" w:ascii="宋体" w:hAnsi="宋体" w:eastAsia="宋体" w:cs="宋体"/>
          <w:color w:val="000000"/>
          <w:sz w:val="28"/>
          <w:szCs w:val="28"/>
          <w:highlight w:val="none"/>
          <w:u w:val="single"/>
        </w:rPr>
        <w:t xml:space="preserve">                                  公司</w:t>
      </w:r>
      <w:r>
        <w:rPr>
          <w:rFonts w:hint="eastAsia" w:ascii="宋体" w:hAnsi="宋体" w:eastAsia="宋体" w:cs="宋体"/>
          <w:color w:val="000000"/>
          <w:sz w:val="28"/>
          <w:szCs w:val="28"/>
          <w:highlight w:val="none"/>
        </w:rPr>
        <w:t>的法定代表人。</w:t>
      </w:r>
    </w:p>
    <w:p>
      <w:pPr>
        <w:pStyle w:val="33"/>
        <w:spacing w:line="360" w:lineRule="auto"/>
        <w:ind w:firstLine="56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特此证明！</w:t>
      </w:r>
    </w:p>
    <w:p>
      <w:pPr>
        <w:pStyle w:val="33"/>
        <w:spacing w:line="360" w:lineRule="auto"/>
        <w:ind w:firstLine="560"/>
        <w:rPr>
          <w:rFonts w:hint="eastAsia" w:ascii="宋体" w:hAnsi="宋体" w:eastAsia="宋体" w:cs="宋体"/>
          <w:color w:val="000000"/>
          <w:sz w:val="28"/>
          <w:szCs w:val="28"/>
          <w:highlight w:val="none"/>
          <w:lang w:eastAsia="zh-CN"/>
        </w:rPr>
      </w:pPr>
    </w:p>
    <w:p>
      <w:pPr>
        <w:ind w:firstLine="420" w:firstLineChars="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附法定代表人身份证正面及背面：</w:t>
      </w:r>
    </w:p>
    <w:p>
      <w:pPr>
        <w:pStyle w:val="23"/>
        <w:spacing w:line="360" w:lineRule="auto"/>
        <w:ind w:left="0" w:firstLine="560" w:firstLineChars="200"/>
        <w:jc w:val="right"/>
        <w:rPr>
          <w:rFonts w:hint="eastAsia" w:ascii="宋体" w:hAnsi="宋体" w:eastAsia="宋体" w:cs="宋体"/>
          <w:color w:val="auto"/>
          <w:sz w:val="28"/>
          <w:highlight w:val="none"/>
        </w:rPr>
      </w:pPr>
    </w:p>
    <w:p>
      <w:pPr>
        <w:pStyle w:val="23"/>
        <w:spacing w:line="360" w:lineRule="auto"/>
        <w:ind w:left="0" w:firstLine="560" w:firstLineChars="200"/>
        <w:jc w:val="right"/>
        <w:rPr>
          <w:rFonts w:hint="eastAsia" w:ascii="宋体" w:hAnsi="宋体" w:eastAsia="宋体" w:cs="宋体"/>
          <w:color w:val="auto"/>
          <w:sz w:val="28"/>
          <w:highlight w:val="none"/>
        </w:rPr>
      </w:pPr>
    </w:p>
    <w:p>
      <w:pPr>
        <w:pStyle w:val="23"/>
        <w:spacing w:line="360" w:lineRule="auto"/>
        <w:ind w:left="0" w:firstLine="560" w:firstLineChars="200"/>
        <w:jc w:val="right"/>
        <w:rPr>
          <w:rFonts w:hint="eastAsia" w:ascii="宋体" w:hAnsi="宋体" w:eastAsia="宋体" w:cs="宋体"/>
          <w:color w:val="auto"/>
          <w:sz w:val="28"/>
          <w:highlight w:val="none"/>
        </w:rPr>
      </w:pPr>
    </w:p>
    <w:p>
      <w:pPr>
        <w:pStyle w:val="23"/>
        <w:spacing w:line="360" w:lineRule="auto"/>
        <w:ind w:left="0" w:firstLine="560" w:firstLineChars="200"/>
        <w:jc w:val="right"/>
        <w:rPr>
          <w:rFonts w:hint="eastAsia" w:ascii="宋体" w:hAnsi="宋体" w:eastAsia="宋体" w:cs="宋体"/>
          <w:color w:val="auto"/>
          <w:sz w:val="28"/>
          <w:highlight w:val="none"/>
        </w:rPr>
      </w:pPr>
    </w:p>
    <w:p>
      <w:pPr>
        <w:pStyle w:val="23"/>
        <w:spacing w:line="360" w:lineRule="auto"/>
        <w:ind w:left="0" w:firstLine="560" w:firstLineChars="200"/>
        <w:jc w:val="right"/>
        <w:rPr>
          <w:rFonts w:hint="eastAsia" w:ascii="宋体" w:hAnsi="宋体" w:eastAsia="宋体" w:cs="宋体"/>
          <w:color w:val="auto"/>
          <w:sz w:val="28"/>
          <w:highlight w:val="none"/>
        </w:rPr>
      </w:pPr>
    </w:p>
    <w:p>
      <w:pPr>
        <w:pStyle w:val="23"/>
        <w:spacing w:line="360" w:lineRule="auto"/>
        <w:ind w:left="0" w:firstLine="560" w:firstLineChars="200"/>
        <w:jc w:val="righ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单位名称（公章） </w:t>
      </w:r>
      <w:r>
        <w:rPr>
          <w:rFonts w:hint="eastAsia" w:ascii="宋体" w:hAnsi="宋体" w:eastAsia="宋体" w:cs="宋体"/>
          <w:color w:val="auto"/>
          <w:sz w:val="28"/>
          <w:highlight w:val="none"/>
          <w:lang w:eastAsia="zh-CN"/>
        </w:rPr>
        <w:t>：</w:t>
      </w:r>
    </w:p>
    <w:p>
      <w:pPr>
        <w:pStyle w:val="23"/>
        <w:spacing w:line="360" w:lineRule="auto"/>
        <w:ind w:left="0" w:firstLine="560" w:firstLineChars="200"/>
        <w:jc w:val="righ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                       法定代表人（签章）</w:t>
      </w:r>
      <w:r>
        <w:rPr>
          <w:rFonts w:hint="eastAsia" w:ascii="宋体" w:hAnsi="宋体" w:eastAsia="宋体" w:cs="宋体"/>
          <w:color w:val="auto"/>
          <w:sz w:val="28"/>
          <w:highlight w:val="none"/>
          <w:lang w:eastAsia="zh-CN"/>
        </w:rPr>
        <w:t>：</w:t>
      </w:r>
    </w:p>
    <w:p>
      <w:pPr>
        <w:spacing w:line="360" w:lineRule="auto"/>
        <w:ind w:firstLine="560" w:firstLineChars="200"/>
        <w:jc w:val="right"/>
        <w:rPr>
          <w:rFonts w:hint="eastAsia" w:ascii="宋体" w:hAnsi="宋体" w:eastAsia="宋体" w:cs="宋体"/>
          <w:sz w:val="28"/>
          <w:highlight w:val="none"/>
        </w:rPr>
      </w:pPr>
      <w:r>
        <w:rPr>
          <w:rFonts w:hint="eastAsia" w:ascii="宋体" w:hAnsi="宋体" w:eastAsia="宋体" w:cs="宋体"/>
          <w:sz w:val="28"/>
          <w:szCs w:val="24"/>
          <w:highlight w:val="none"/>
        </w:rPr>
        <w:t>年   月   日</w:t>
      </w:r>
    </w:p>
    <w:p>
      <w:pPr>
        <w:pStyle w:val="31"/>
        <w:rPr>
          <w:rFonts w:hint="eastAsia" w:ascii="宋体" w:hAnsi="宋体" w:eastAsia="宋体" w:cs="宋体"/>
          <w:highlight w:val="none"/>
          <w:lang w:eastAsia="zh-CN"/>
        </w:rPr>
      </w:pPr>
    </w:p>
    <w:p>
      <w:pP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br w:type="page"/>
      </w:r>
    </w:p>
    <w:p>
      <w:pPr>
        <w:pStyle w:val="4"/>
        <w:spacing w:line="360" w:lineRule="auto"/>
        <w:rPr>
          <w:rFonts w:hint="eastAsia" w:ascii="宋体" w:hAnsi="宋体" w:eastAsia="宋体" w:cs="宋体"/>
          <w:b/>
          <w:sz w:val="28"/>
          <w:szCs w:val="28"/>
          <w:highlight w:val="none"/>
        </w:rPr>
      </w:pPr>
      <w:r>
        <w:rPr>
          <w:rFonts w:hint="eastAsia" w:ascii="宋体" w:hAnsi="宋体" w:eastAsia="宋体" w:cs="宋体"/>
          <w:b/>
          <w:bCs/>
          <w:sz w:val="28"/>
          <w:szCs w:val="28"/>
          <w:highlight w:val="none"/>
          <w:lang w:val="en-US" w:eastAsia="zh-CN" w:bidi="ar-SA"/>
        </w:rPr>
        <w:t>三、法定代表人授权委托书</w:t>
      </w:r>
      <w:bookmarkEnd w:id="107"/>
      <w:bookmarkEnd w:id="108"/>
    </w:p>
    <w:p>
      <w:pPr>
        <w:spacing w:line="360" w:lineRule="auto"/>
        <w:jc w:val="both"/>
        <w:rPr>
          <w:rFonts w:hint="eastAsia" w:ascii="宋体" w:hAnsi="宋体" w:eastAsia="宋体" w:cs="宋体"/>
          <w:highlight w:val="none"/>
        </w:rPr>
      </w:pPr>
      <w:r>
        <w:rPr>
          <w:rFonts w:hint="eastAsia" w:ascii="宋体" w:hAnsi="宋体" w:cs="宋体"/>
          <w:sz w:val="28"/>
          <w:szCs w:val="28"/>
          <w:highlight w:val="none"/>
          <w:u w:val="single"/>
          <w:lang w:eastAsia="zh-CN"/>
        </w:rPr>
        <w:t>新疆维吾尔自治区地质矿产勘查开发局第一区域地质调查大队</w:t>
      </w:r>
      <w:r>
        <w:rPr>
          <w:rFonts w:hint="eastAsia" w:ascii="宋体" w:hAnsi="宋体" w:eastAsia="宋体" w:cs="宋体"/>
          <w:sz w:val="28"/>
          <w:szCs w:val="28"/>
          <w:highlight w:val="none"/>
        </w:rPr>
        <w:t>：</w:t>
      </w:r>
    </w:p>
    <w:p>
      <w:pPr>
        <w:pStyle w:val="23"/>
        <w:spacing w:line="360" w:lineRule="auto"/>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我单位</w:t>
      </w:r>
      <w:r>
        <w:rPr>
          <w:rFonts w:hint="eastAsia" w:ascii="宋体" w:hAnsi="宋体" w:eastAsia="宋体" w:cs="宋体"/>
          <w:color w:val="auto"/>
          <w:sz w:val="28"/>
          <w:highlight w:val="none"/>
          <w:u w:val="single"/>
          <w:lang w:val="en-US" w:eastAsia="zh-CN"/>
        </w:rPr>
        <w:t xml:space="preserve">              （单位名称）</w:t>
      </w:r>
      <w:r>
        <w:rPr>
          <w:rFonts w:hint="eastAsia" w:ascii="宋体" w:hAnsi="宋体" w:eastAsia="宋体" w:cs="宋体"/>
          <w:color w:val="auto"/>
          <w:sz w:val="28"/>
          <w:highlight w:val="none"/>
        </w:rPr>
        <w:t>现委托</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u w:val="single"/>
          <w:lang w:val="en-US" w:eastAsia="zh-CN"/>
        </w:rPr>
        <w:t>姓名</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rPr>
        <w:t>参加贵公司组织的</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u w:val="single"/>
          <w:lang w:val="en-US" w:eastAsia="zh-CN"/>
        </w:rPr>
        <w:t>项目名称、项目编号</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rPr>
        <w:t xml:space="preserve"> 招标活动，全权代表我单位处理</w:t>
      </w:r>
      <w:r>
        <w:rPr>
          <w:rFonts w:hint="eastAsia" w:ascii="宋体" w:hAnsi="宋体" w:eastAsia="宋体" w:cs="宋体"/>
          <w:color w:val="auto"/>
          <w:sz w:val="28"/>
          <w:highlight w:val="none"/>
          <w:lang w:val="en-US" w:eastAsia="zh-CN"/>
        </w:rPr>
        <w:t>磋商</w:t>
      </w:r>
      <w:r>
        <w:rPr>
          <w:rFonts w:hint="eastAsia" w:ascii="宋体" w:hAnsi="宋体" w:eastAsia="宋体" w:cs="宋体"/>
          <w:color w:val="auto"/>
          <w:sz w:val="28"/>
          <w:highlight w:val="none"/>
        </w:rPr>
        <w:t>的有关事宜，代理人所签署的一切有关文件，我单位均予承认。</w:t>
      </w:r>
    </w:p>
    <w:p>
      <w:pPr>
        <w:pStyle w:val="23"/>
        <w:spacing w:line="360" w:lineRule="auto"/>
        <w:ind w:firstLine="560" w:firstLineChars="200"/>
        <w:rPr>
          <w:rFonts w:hint="eastAsia" w:ascii="宋体" w:hAnsi="宋体" w:eastAsia="宋体" w:cs="宋体"/>
          <w:color w:val="auto"/>
          <w:highlight w:val="none"/>
        </w:rPr>
      </w:pPr>
      <w:r>
        <w:rPr>
          <w:rFonts w:hint="eastAsia" w:ascii="宋体" w:hAnsi="宋体" w:eastAsia="宋体" w:cs="宋体"/>
          <w:color w:val="auto"/>
          <w:sz w:val="28"/>
          <w:highlight w:val="none"/>
        </w:rPr>
        <w:t>授权期限：    年   月   日至    年   月   日。（此期限开始时间应该是其报名时间，截止时间是</w:t>
      </w:r>
      <w:r>
        <w:rPr>
          <w:rFonts w:hint="eastAsia" w:ascii="宋体" w:hAnsi="宋体" w:eastAsia="宋体" w:cs="宋体"/>
          <w:color w:val="auto"/>
          <w:sz w:val="28"/>
          <w:highlight w:val="none"/>
          <w:lang w:eastAsia="zh-CN"/>
        </w:rPr>
        <w:t>磋商</w:t>
      </w:r>
      <w:r>
        <w:rPr>
          <w:rFonts w:hint="eastAsia" w:ascii="宋体" w:hAnsi="宋体" w:eastAsia="宋体" w:cs="宋体"/>
          <w:color w:val="auto"/>
          <w:sz w:val="28"/>
          <w:highlight w:val="none"/>
        </w:rPr>
        <w:t>有效期截止时间）</w:t>
      </w:r>
    </w:p>
    <w:p>
      <w:pPr>
        <w:pStyle w:val="23"/>
        <w:spacing w:line="360" w:lineRule="auto"/>
        <w:ind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代理人无转委托权，特此委托！</w:t>
      </w:r>
    </w:p>
    <w:p>
      <w:pPr>
        <w:pStyle w:val="23"/>
        <w:spacing w:line="360" w:lineRule="auto"/>
        <w:ind w:firstLine="480" w:firstLineChars="200"/>
        <w:rPr>
          <w:rFonts w:hint="eastAsia" w:ascii="宋体" w:hAnsi="宋体" w:eastAsia="宋体" w:cs="宋体"/>
          <w:color w:val="auto"/>
          <w:highlight w:val="none"/>
        </w:rPr>
      </w:pPr>
    </w:p>
    <w:p>
      <w:pPr>
        <w:pStyle w:val="23"/>
        <w:spacing w:line="360" w:lineRule="auto"/>
        <w:ind w:left="0"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代理人</w:t>
      </w:r>
      <w:r>
        <w:rPr>
          <w:rFonts w:hint="eastAsia" w:ascii="宋体" w:hAnsi="宋体" w:eastAsia="宋体" w:cs="宋体"/>
          <w:color w:val="auto"/>
          <w:sz w:val="28"/>
          <w:highlight w:val="none"/>
        </w:rPr>
        <w:t>姓名：                性  别：</w:t>
      </w:r>
    </w:p>
    <w:p>
      <w:pPr>
        <w:pStyle w:val="23"/>
        <w:spacing w:line="360" w:lineRule="auto"/>
        <w:ind w:left="0"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年  龄：                </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职  务：</w:t>
      </w:r>
    </w:p>
    <w:p>
      <w:pPr>
        <w:pStyle w:val="23"/>
        <w:spacing w:line="360" w:lineRule="auto"/>
        <w:ind w:left="0" w:firstLine="560" w:firstLineChars="200"/>
        <w:rPr>
          <w:rFonts w:hint="eastAsia" w:ascii="宋体" w:hAnsi="宋体" w:eastAsia="宋体" w:cs="宋体"/>
          <w:color w:val="auto"/>
          <w:sz w:val="28"/>
          <w:highlight w:val="none"/>
          <w:lang w:val="en-US" w:eastAsia="zh-CN"/>
        </w:rPr>
      </w:pPr>
    </w:p>
    <w:p>
      <w:pPr>
        <w:pStyle w:val="23"/>
        <w:spacing w:line="360" w:lineRule="auto"/>
        <w:ind w:left="0" w:firstLine="560" w:firstLineChars="200"/>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附授权代理人身份证正面及背面：</w:t>
      </w:r>
    </w:p>
    <w:p>
      <w:pPr>
        <w:pStyle w:val="23"/>
        <w:spacing w:line="360" w:lineRule="auto"/>
        <w:ind w:left="0" w:firstLine="560" w:firstLineChars="200"/>
        <w:rPr>
          <w:rFonts w:hint="eastAsia" w:ascii="宋体" w:hAnsi="宋体" w:eastAsia="宋体" w:cs="宋体"/>
          <w:color w:val="auto"/>
          <w:sz w:val="28"/>
          <w:highlight w:val="none"/>
        </w:rPr>
      </w:pPr>
    </w:p>
    <w:p>
      <w:pPr>
        <w:pStyle w:val="23"/>
        <w:spacing w:line="360" w:lineRule="auto"/>
        <w:ind w:left="0" w:firstLine="560" w:firstLineChars="200"/>
        <w:rPr>
          <w:rFonts w:hint="eastAsia" w:ascii="宋体" w:hAnsi="宋体" w:eastAsia="宋体" w:cs="宋体"/>
          <w:color w:val="auto"/>
          <w:sz w:val="28"/>
          <w:highlight w:val="none"/>
        </w:rPr>
      </w:pPr>
    </w:p>
    <w:p>
      <w:pPr>
        <w:pStyle w:val="23"/>
        <w:spacing w:line="360" w:lineRule="auto"/>
        <w:ind w:left="0" w:firstLine="560" w:firstLineChars="200"/>
        <w:rPr>
          <w:rFonts w:hint="eastAsia" w:ascii="宋体" w:hAnsi="宋体" w:eastAsia="宋体" w:cs="宋体"/>
          <w:color w:val="auto"/>
          <w:sz w:val="28"/>
          <w:highlight w:val="none"/>
        </w:rPr>
      </w:pPr>
    </w:p>
    <w:p>
      <w:pPr>
        <w:pStyle w:val="23"/>
        <w:spacing w:line="360" w:lineRule="auto"/>
        <w:ind w:left="0" w:firstLine="560" w:firstLineChars="200"/>
        <w:jc w:val="righ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单位名称（公章） </w:t>
      </w:r>
      <w:r>
        <w:rPr>
          <w:rFonts w:hint="eastAsia" w:ascii="宋体" w:hAnsi="宋体" w:eastAsia="宋体" w:cs="宋体"/>
          <w:color w:val="auto"/>
          <w:sz w:val="28"/>
          <w:highlight w:val="none"/>
          <w:lang w:eastAsia="zh-CN"/>
        </w:rPr>
        <w:t>：</w:t>
      </w:r>
    </w:p>
    <w:p>
      <w:pPr>
        <w:pStyle w:val="23"/>
        <w:spacing w:line="360" w:lineRule="auto"/>
        <w:ind w:left="0" w:firstLine="560" w:firstLineChars="200"/>
        <w:jc w:val="righ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                       法定代表人（签章）</w:t>
      </w:r>
      <w:r>
        <w:rPr>
          <w:rFonts w:hint="eastAsia" w:ascii="宋体" w:hAnsi="宋体" w:eastAsia="宋体" w:cs="宋体"/>
          <w:color w:val="auto"/>
          <w:sz w:val="28"/>
          <w:highlight w:val="none"/>
          <w:lang w:eastAsia="zh-CN"/>
        </w:rPr>
        <w:t>：</w:t>
      </w:r>
    </w:p>
    <w:p>
      <w:pPr>
        <w:spacing w:line="360" w:lineRule="auto"/>
        <w:ind w:firstLine="560" w:firstLineChars="200"/>
        <w:jc w:val="right"/>
        <w:rPr>
          <w:rFonts w:hint="eastAsia" w:ascii="宋体" w:hAnsi="宋体" w:eastAsia="宋体" w:cs="宋体"/>
          <w:sz w:val="28"/>
          <w:highlight w:val="none"/>
        </w:rPr>
      </w:pPr>
      <w:r>
        <w:rPr>
          <w:rFonts w:hint="eastAsia" w:ascii="宋体" w:hAnsi="宋体" w:eastAsia="宋体" w:cs="宋体"/>
          <w:sz w:val="28"/>
          <w:szCs w:val="24"/>
          <w:highlight w:val="none"/>
        </w:rPr>
        <w:t>年   月   日</w:t>
      </w:r>
    </w:p>
    <w:p>
      <w:pPr>
        <w:pStyle w:val="4"/>
        <w:spacing w:line="360" w:lineRule="auto"/>
        <w:rPr>
          <w:rFonts w:hint="eastAsia" w:ascii="宋体" w:hAnsi="宋体" w:eastAsia="宋体" w:cs="宋体"/>
          <w:highlight w:val="none"/>
        </w:rPr>
      </w:pPr>
      <w:r>
        <w:rPr>
          <w:rFonts w:hint="eastAsia" w:ascii="宋体" w:hAnsi="宋体" w:eastAsia="宋体" w:cs="宋体"/>
          <w:b w:val="0"/>
          <w:bCs w:val="0"/>
          <w:szCs w:val="21"/>
          <w:highlight w:val="none"/>
        </w:rPr>
        <w:br w:type="page"/>
      </w:r>
      <w:bookmarkStart w:id="109" w:name="_Toc62744673"/>
      <w:bookmarkStart w:id="110" w:name="_Toc86202638"/>
      <w:r>
        <w:rPr>
          <w:rFonts w:hint="eastAsia" w:ascii="宋体" w:hAnsi="宋体" w:eastAsia="宋体" w:cs="宋体"/>
          <w:b/>
          <w:bCs/>
          <w:sz w:val="28"/>
          <w:szCs w:val="28"/>
          <w:highlight w:val="none"/>
          <w:lang w:val="en-US" w:eastAsia="zh-CN" w:bidi="ar-SA"/>
        </w:rPr>
        <w:t>四、供应商资格声明</w:t>
      </w:r>
      <w:bookmarkEnd w:id="109"/>
      <w:bookmarkEnd w:id="110"/>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1、名称及基本情况：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（1）供应商名称：</w:t>
      </w:r>
      <w:r>
        <w:rPr>
          <w:rFonts w:hint="eastAsia" w:ascii="宋体" w:hAnsi="宋体" w:eastAsia="宋体" w:cs="宋体"/>
          <w:sz w:val="28"/>
          <w:szCs w:val="28"/>
          <w:highlight w:val="none"/>
          <w:u w:val="single"/>
        </w:rPr>
        <w:t xml:space="preserve">                            </w:t>
      </w:r>
    </w:p>
    <w:p>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ab/>
      </w:r>
      <w:r>
        <w:rPr>
          <w:rFonts w:hint="eastAsia" w:ascii="宋体" w:hAnsi="宋体" w:eastAsia="宋体" w:cs="宋体"/>
          <w:sz w:val="28"/>
          <w:szCs w:val="28"/>
          <w:highlight w:val="none"/>
        </w:rPr>
        <w:t>邮编：</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keepNext w:val="0"/>
        <w:keepLines w:val="0"/>
        <w:pageBreakBefore w:val="0"/>
        <w:widowControl w:val="0"/>
        <w:tabs>
          <w:tab w:val="left" w:pos="600"/>
          <w:tab w:val="left" w:pos="4320"/>
        </w:tabs>
        <w:kinsoku/>
        <w:wordWrap/>
        <w:overflowPunct/>
        <w:topLinePunct w:val="0"/>
        <w:autoSpaceDE/>
        <w:autoSpaceDN/>
        <w:bidi w:val="0"/>
        <w:adjustRightInd w:val="0"/>
        <w:snapToGrid w:val="0"/>
        <w:spacing w:line="360" w:lineRule="auto"/>
        <w:ind w:firstLine="1120" w:firstLineChars="40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传真：</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（3）成立和/或注册日期：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（4）公司性质：</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（5）法定代表人或主要负责人：</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（6）职员人数：</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（7）注册资本：</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（8）实收资本：</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（9）近一年资产负债表：</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&lt;1&gt; 固定资产：</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&lt;2&gt; 流动资金：</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&lt;3&gt; 长期负债：</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&lt;4&gt; 短期负债：</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、供应商认为需要声明的其他情况：</w:t>
      </w:r>
      <w:r>
        <w:rPr>
          <w:rFonts w:hint="eastAsia" w:ascii="宋体" w:hAnsi="宋体" w:eastAsia="宋体" w:cs="宋体"/>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兹证明上述声明是真实的、正确的，并提供了全部能提供的资料和数据，我们同意遵照贵方要求出示有关证明文件。</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后附营业执照、其他生产经营该产品所必需的证明文件、制造商授权书等（如有）等相关证明材料</w:t>
      </w:r>
      <w:r>
        <w:rPr>
          <w:rFonts w:hint="eastAsia" w:ascii="宋体" w:hAnsi="宋体" w:cs="宋体"/>
          <w:sz w:val="28"/>
          <w:szCs w:val="28"/>
          <w:highlight w:val="none"/>
          <w:lang w:eastAsia="zh-CN"/>
        </w:rPr>
        <w:t>）</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4"/>
        <w:spacing w:line="360" w:lineRule="auto"/>
        <w:rPr>
          <w:rFonts w:hint="eastAsia" w:ascii="宋体" w:hAnsi="宋体" w:eastAsia="宋体" w:cs="宋体"/>
          <w:b/>
          <w:sz w:val="28"/>
          <w:szCs w:val="28"/>
          <w:highlight w:val="none"/>
        </w:rPr>
      </w:pPr>
      <w:bookmarkStart w:id="111" w:name="_Toc62744674"/>
      <w:r>
        <w:rPr>
          <w:rFonts w:hint="eastAsia" w:ascii="宋体" w:hAnsi="宋体" w:eastAsia="宋体" w:cs="宋体"/>
          <w:b/>
          <w:bCs/>
          <w:sz w:val="28"/>
          <w:szCs w:val="28"/>
          <w:highlight w:val="none"/>
          <w:lang w:val="en-US" w:eastAsia="zh-CN" w:bidi="ar-SA"/>
        </w:rPr>
        <w:t>五、中小企业声明函</w:t>
      </w:r>
      <w:bookmarkEnd w:id="111"/>
      <w:r>
        <w:rPr>
          <w:rFonts w:hint="eastAsia" w:cs="宋体"/>
          <w:b/>
          <w:bCs/>
          <w:sz w:val="28"/>
          <w:szCs w:val="28"/>
          <w:highlight w:val="none"/>
          <w:lang w:val="en-US" w:eastAsia="zh-CN" w:bidi="ar-SA"/>
        </w:rPr>
        <w:t>（货物）</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bookmarkStart w:id="112" w:name="_Toc62744675"/>
      <w:r>
        <w:rPr>
          <w:rFonts w:hint="eastAsia" w:ascii="宋体" w:hAnsi="宋体" w:eastAsia="宋体" w:cs="宋体"/>
          <w:color w:val="auto"/>
          <w:kern w:val="2"/>
          <w:sz w:val="28"/>
          <w:szCs w:val="28"/>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kern w:val="2"/>
          <w:sz w:val="28"/>
          <w:szCs w:val="28"/>
          <w:highlight w:val="none"/>
          <w:u w:val="single"/>
          <w:lang w:val="en-US" w:eastAsia="zh-CN" w:bidi="ar-SA"/>
        </w:rPr>
        <w:t>（单位名称）</w:t>
      </w:r>
      <w:r>
        <w:rPr>
          <w:rFonts w:hint="eastAsia" w:ascii="宋体" w:hAnsi="宋体" w:eastAsia="宋体" w:cs="宋体"/>
          <w:color w:val="auto"/>
          <w:kern w:val="2"/>
          <w:sz w:val="28"/>
          <w:szCs w:val="28"/>
          <w:highlight w:val="none"/>
          <w:lang w:val="en-US" w:eastAsia="zh-CN" w:bidi="ar-SA"/>
        </w:rPr>
        <w:t>的</w:t>
      </w:r>
      <w:r>
        <w:rPr>
          <w:rFonts w:hint="eastAsia" w:ascii="宋体" w:hAnsi="宋体" w:eastAsia="宋体" w:cs="宋体"/>
          <w:color w:val="auto"/>
          <w:kern w:val="2"/>
          <w:sz w:val="28"/>
          <w:szCs w:val="28"/>
          <w:highlight w:val="none"/>
          <w:u w:val="single"/>
          <w:lang w:val="en-US" w:eastAsia="zh-CN" w:bidi="ar-SA"/>
        </w:rPr>
        <w:t>（项目名称）</w:t>
      </w:r>
      <w:r>
        <w:rPr>
          <w:rFonts w:hint="eastAsia" w:ascii="宋体" w:hAnsi="宋体" w:eastAsia="宋体" w:cs="宋体"/>
          <w:color w:val="auto"/>
          <w:kern w:val="2"/>
          <w:sz w:val="28"/>
          <w:szCs w:val="28"/>
          <w:highlight w:val="none"/>
          <w:lang w:val="en-US" w:eastAsia="zh-CN" w:bidi="ar-SA"/>
        </w:rPr>
        <w:t xml:space="preserve">采购活动，提供的货物全部由符合政策要求的中小企业制造。相关企业（含联合体中的中小企业、签订分包意向协议的中小企业）的具体情况如下： </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u w:val="single"/>
          <w:lang w:val="en-US" w:eastAsia="zh-CN" w:bidi="ar-SA"/>
        </w:rPr>
        <w:t xml:space="preserve"> （标的名称） </w:t>
      </w:r>
      <w:r>
        <w:rPr>
          <w:rFonts w:hint="eastAsia" w:ascii="宋体" w:hAnsi="宋体" w:eastAsia="宋体" w:cs="宋体"/>
          <w:color w:val="auto"/>
          <w:kern w:val="2"/>
          <w:sz w:val="28"/>
          <w:szCs w:val="28"/>
          <w:highlight w:val="none"/>
          <w:lang w:val="en-US" w:eastAsia="zh-CN" w:bidi="ar-SA"/>
        </w:rPr>
        <w:t>，属于</w:t>
      </w:r>
      <w:r>
        <w:rPr>
          <w:rFonts w:hint="eastAsia" w:ascii="宋体" w:hAnsi="宋体" w:eastAsia="宋体" w:cs="宋体"/>
          <w:color w:val="auto"/>
          <w:kern w:val="2"/>
          <w:sz w:val="28"/>
          <w:szCs w:val="28"/>
          <w:highlight w:val="none"/>
          <w:u w:val="single"/>
          <w:lang w:val="en-US" w:eastAsia="zh-CN" w:bidi="ar-SA"/>
        </w:rPr>
        <w:t>（采购文件中明确的所属行业）</w:t>
      </w:r>
      <w:r>
        <w:rPr>
          <w:rFonts w:hint="eastAsia" w:ascii="宋体" w:hAnsi="宋体" w:eastAsia="宋体" w:cs="宋体"/>
          <w:color w:val="auto"/>
          <w:kern w:val="2"/>
          <w:sz w:val="28"/>
          <w:szCs w:val="28"/>
          <w:highlight w:val="none"/>
          <w:lang w:val="en-US" w:eastAsia="zh-CN" w:bidi="ar-SA"/>
        </w:rPr>
        <w:t>行业；制造商为</w:t>
      </w:r>
      <w:r>
        <w:rPr>
          <w:rFonts w:hint="eastAsia" w:ascii="宋体" w:hAnsi="宋体" w:eastAsia="宋体" w:cs="宋体"/>
          <w:color w:val="auto"/>
          <w:kern w:val="2"/>
          <w:sz w:val="28"/>
          <w:szCs w:val="28"/>
          <w:highlight w:val="none"/>
          <w:u w:val="single"/>
          <w:lang w:val="en-US" w:eastAsia="zh-CN" w:bidi="ar-SA"/>
        </w:rPr>
        <w:t>（企业名称）</w:t>
      </w:r>
      <w:r>
        <w:rPr>
          <w:rFonts w:hint="eastAsia" w:ascii="宋体" w:hAnsi="宋体" w:eastAsia="宋体" w:cs="宋体"/>
          <w:color w:val="auto"/>
          <w:kern w:val="2"/>
          <w:sz w:val="28"/>
          <w:szCs w:val="28"/>
          <w:highlight w:val="none"/>
          <w:lang w:val="en-US" w:eastAsia="zh-CN" w:bidi="ar-SA"/>
        </w:rPr>
        <w:t>，从业人员</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人，营业收入为</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万元，资产总额为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万元，属于</w:t>
      </w:r>
      <w:r>
        <w:rPr>
          <w:rFonts w:hint="eastAsia" w:ascii="宋体" w:hAnsi="宋体" w:eastAsia="宋体" w:cs="宋体"/>
          <w:color w:val="auto"/>
          <w:kern w:val="2"/>
          <w:sz w:val="28"/>
          <w:szCs w:val="28"/>
          <w:highlight w:val="none"/>
          <w:u w:val="single"/>
          <w:lang w:val="en-US" w:eastAsia="zh-CN" w:bidi="ar-SA"/>
        </w:rPr>
        <w:t>（中型企业、小型企业、微型企业）</w:t>
      </w:r>
      <w:r>
        <w:rPr>
          <w:rFonts w:hint="eastAsia" w:ascii="宋体" w:hAnsi="宋体" w:eastAsia="宋体" w:cs="宋体"/>
          <w:color w:val="auto"/>
          <w:kern w:val="2"/>
          <w:sz w:val="28"/>
          <w:szCs w:val="28"/>
          <w:highlight w:val="none"/>
          <w:lang w:val="en-US" w:eastAsia="zh-CN" w:bidi="ar-SA"/>
        </w:rPr>
        <w:t xml:space="preserve">； </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u w:val="single"/>
          <w:lang w:val="en-US" w:eastAsia="zh-CN" w:bidi="ar-SA"/>
        </w:rPr>
        <w:t xml:space="preserve"> （标的名称） </w:t>
      </w:r>
      <w:r>
        <w:rPr>
          <w:rFonts w:hint="eastAsia" w:ascii="宋体" w:hAnsi="宋体" w:eastAsia="宋体" w:cs="宋体"/>
          <w:color w:val="auto"/>
          <w:kern w:val="2"/>
          <w:sz w:val="28"/>
          <w:szCs w:val="28"/>
          <w:highlight w:val="none"/>
          <w:lang w:val="en-US" w:eastAsia="zh-CN" w:bidi="ar-SA"/>
        </w:rPr>
        <w:t>，属于</w:t>
      </w:r>
      <w:r>
        <w:rPr>
          <w:rFonts w:hint="eastAsia" w:ascii="宋体" w:hAnsi="宋体" w:eastAsia="宋体" w:cs="宋体"/>
          <w:color w:val="auto"/>
          <w:kern w:val="2"/>
          <w:sz w:val="28"/>
          <w:szCs w:val="28"/>
          <w:highlight w:val="none"/>
          <w:u w:val="single"/>
          <w:lang w:val="en-US" w:eastAsia="zh-CN" w:bidi="ar-SA"/>
        </w:rPr>
        <w:t>（采购文件中明确的所属行业）</w:t>
      </w:r>
      <w:r>
        <w:rPr>
          <w:rFonts w:hint="eastAsia" w:ascii="宋体" w:hAnsi="宋体" w:eastAsia="宋体" w:cs="宋体"/>
          <w:color w:val="auto"/>
          <w:kern w:val="2"/>
          <w:sz w:val="28"/>
          <w:szCs w:val="28"/>
          <w:highlight w:val="none"/>
          <w:lang w:val="en-US" w:eastAsia="zh-CN" w:bidi="ar-SA"/>
        </w:rPr>
        <w:t>行业；制造商为</w:t>
      </w:r>
      <w:r>
        <w:rPr>
          <w:rFonts w:hint="eastAsia" w:ascii="宋体" w:hAnsi="宋体" w:eastAsia="宋体" w:cs="宋体"/>
          <w:color w:val="auto"/>
          <w:kern w:val="2"/>
          <w:sz w:val="28"/>
          <w:szCs w:val="28"/>
          <w:highlight w:val="none"/>
          <w:u w:val="single"/>
          <w:lang w:val="en-US" w:eastAsia="zh-CN" w:bidi="ar-SA"/>
        </w:rPr>
        <w:t>（企业名称）</w:t>
      </w:r>
      <w:r>
        <w:rPr>
          <w:rFonts w:hint="eastAsia" w:ascii="宋体" w:hAnsi="宋体" w:eastAsia="宋体" w:cs="宋体"/>
          <w:color w:val="auto"/>
          <w:kern w:val="2"/>
          <w:sz w:val="28"/>
          <w:szCs w:val="28"/>
          <w:highlight w:val="none"/>
          <w:lang w:val="en-US" w:eastAsia="zh-CN" w:bidi="ar-SA"/>
        </w:rPr>
        <w:t>，从业人员</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人，营业收入为</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万元，资产总额为</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万元，属于</w:t>
      </w:r>
      <w:r>
        <w:rPr>
          <w:rFonts w:hint="eastAsia" w:ascii="宋体" w:hAnsi="宋体" w:eastAsia="宋体" w:cs="宋体"/>
          <w:color w:val="auto"/>
          <w:kern w:val="2"/>
          <w:sz w:val="28"/>
          <w:szCs w:val="28"/>
          <w:highlight w:val="none"/>
          <w:u w:val="single"/>
          <w:lang w:val="en-US" w:eastAsia="zh-CN" w:bidi="ar-SA"/>
        </w:rPr>
        <w:t>（中型企业、小型企业、微型企业）</w:t>
      </w:r>
      <w:r>
        <w:rPr>
          <w:rFonts w:hint="eastAsia" w:ascii="宋体" w:hAnsi="宋体" w:eastAsia="宋体" w:cs="宋体"/>
          <w:color w:val="auto"/>
          <w:kern w:val="2"/>
          <w:sz w:val="28"/>
          <w:szCs w:val="28"/>
          <w:highlight w:val="none"/>
          <w:lang w:val="en-US" w:eastAsia="zh-CN" w:bidi="ar-SA"/>
        </w:rPr>
        <w:t xml:space="preserve">； </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56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本企业对上述声明内容的真实性负责。如有虚假，将依法承担相应责任。 </w:t>
      </w:r>
    </w:p>
    <w:p>
      <w:pPr>
        <w:keepNext w:val="0"/>
        <w:keepLines w:val="0"/>
        <w:widowControl/>
        <w:suppressLineNumbers w:val="0"/>
        <w:jc w:val="right"/>
        <w:rPr>
          <w:rFonts w:hint="eastAsia" w:ascii="宋体" w:hAnsi="宋体" w:eastAsia="宋体" w:cs="宋体"/>
          <w:color w:val="auto"/>
          <w:kern w:val="2"/>
          <w:sz w:val="28"/>
          <w:szCs w:val="28"/>
          <w:highlight w:val="none"/>
          <w:lang w:val="en-US" w:eastAsia="zh-CN" w:bidi="ar-SA"/>
        </w:rPr>
      </w:pPr>
    </w:p>
    <w:p>
      <w:pPr>
        <w:keepNext w:val="0"/>
        <w:keepLines w:val="0"/>
        <w:widowControl/>
        <w:suppressLineNumbers w:val="0"/>
        <w:jc w:val="right"/>
        <w:rPr>
          <w:rFonts w:hint="eastAsia" w:ascii="宋体" w:hAnsi="宋体" w:eastAsia="宋体" w:cs="宋体"/>
          <w:color w:val="auto"/>
          <w:kern w:val="2"/>
          <w:sz w:val="28"/>
          <w:szCs w:val="28"/>
          <w:highlight w:val="none"/>
          <w:lang w:val="en-US" w:eastAsia="zh-CN" w:bidi="ar-SA"/>
        </w:rPr>
      </w:pPr>
    </w:p>
    <w:p>
      <w:pPr>
        <w:keepNext w:val="0"/>
        <w:keepLines w:val="0"/>
        <w:widowControl/>
        <w:suppressLineNumbers w:val="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企业名称（盖章）： </w:t>
      </w:r>
    </w:p>
    <w:p>
      <w:pPr>
        <w:keepNext w:val="0"/>
        <w:keepLines w:val="0"/>
        <w:widowControl/>
        <w:suppressLineNumbers w:val="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日 期： </w:t>
      </w:r>
    </w:p>
    <w:p>
      <w:pPr>
        <w:pStyle w:val="23"/>
        <w:spacing w:before="100" w:after="100" w:line="360" w:lineRule="auto"/>
        <w:ind w:firstLine="3542" w:firstLineChars="1265"/>
        <w:jc w:val="right"/>
        <w:rPr>
          <w:rFonts w:hint="eastAsia" w:ascii="宋体" w:hAnsi="宋体" w:eastAsia="宋体" w:cs="宋体"/>
          <w:color w:val="auto"/>
          <w:sz w:val="28"/>
          <w:szCs w:val="28"/>
          <w:highlight w:val="none"/>
        </w:rPr>
      </w:pPr>
    </w:p>
    <w:p>
      <w:pPr>
        <w:pStyle w:val="23"/>
        <w:spacing w:before="100" w:after="100" w:line="360" w:lineRule="auto"/>
        <w:ind w:firstLine="3542" w:firstLineChars="1265"/>
        <w:jc w:val="right"/>
        <w:rPr>
          <w:rFonts w:hint="eastAsia" w:ascii="宋体" w:hAnsi="宋体" w:eastAsia="宋体" w:cs="宋体"/>
          <w:color w:val="auto"/>
          <w:sz w:val="28"/>
          <w:szCs w:val="28"/>
          <w:highlight w:val="none"/>
        </w:rPr>
      </w:pPr>
    </w:p>
    <w:p>
      <w:pPr>
        <w:pStyle w:val="23"/>
        <w:spacing w:before="100" w:after="100" w:line="360" w:lineRule="auto"/>
        <w:ind w:left="0" w:leftChars="0" w:firstLine="0" w:firstLineChars="0"/>
        <w:jc w:val="left"/>
        <w:rPr>
          <w:rFonts w:hint="eastAsia" w:ascii="宋体" w:hAnsi="宋体" w:eastAsia="宋体" w:cs="宋体"/>
          <w:color w:val="auto"/>
          <w:sz w:val="28"/>
          <w:szCs w:val="28"/>
          <w:highlight w:val="none"/>
          <w:lang w:eastAsia="zh-CN"/>
        </w:rPr>
        <w:sectPr>
          <w:headerReference r:id="rId9" w:type="first"/>
          <w:footerReference r:id="rId11" w:type="first"/>
          <w:footerReference r:id="rId10" w:type="default"/>
          <w:pgSz w:w="12240" w:h="15840"/>
          <w:pgMar w:top="850" w:right="850" w:bottom="1417" w:left="850" w:header="851" w:footer="850" w:gutter="0"/>
          <w:cols w:space="0" w:num="1"/>
          <w:titlePg/>
          <w:rtlGutter w:val="0"/>
          <w:docGrid w:linePitch="312" w:charSpace="0"/>
        </w:sect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从业人员、营业收入、资产总额填报上一年度数据，无上一年度数据的新成立企业可不填报。</w:t>
      </w:r>
      <w:r>
        <w:rPr>
          <w:rFonts w:hint="eastAsia" w:ascii="宋体" w:hAnsi="宋体" w:cs="宋体"/>
          <w:color w:val="auto"/>
          <w:sz w:val="28"/>
          <w:szCs w:val="28"/>
          <w:highlight w:val="none"/>
          <w:lang w:eastAsia="zh-CN"/>
        </w:rPr>
        <w:t>）</w:t>
      </w:r>
    </w:p>
    <w:p>
      <w:pPr>
        <w:pStyle w:val="4"/>
        <w:spacing w:line="360" w:lineRule="auto"/>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t>六、报价一览表</w:t>
      </w:r>
      <w:bookmarkEnd w:id="112"/>
    </w:p>
    <w:p>
      <w:pPr>
        <w:pStyle w:val="29"/>
        <w:spacing w:line="360" w:lineRule="auto"/>
        <w:ind w:firstLine="0" w:firstLineChars="0"/>
        <w:rPr>
          <w:rFonts w:hint="eastAsia" w:ascii="宋体" w:hAnsi="宋体" w:eastAsia="宋体" w:cs="宋体"/>
          <w:b/>
          <w:bCs/>
          <w:sz w:val="28"/>
          <w:szCs w:val="21"/>
          <w:highlight w:val="none"/>
        </w:rPr>
      </w:pPr>
      <w:r>
        <w:rPr>
          <w:rFonts w:hint="eastAsia" w:ascii="宋体" w:hAnsi="宋体" w:eastAsia="宋体" w:cs="宋体"/>
          <w:sz w:val="28"/>
          <w:szCs w:val="21"/>
          <w:highlight w:val="none"/>
        </w:rPr>
        <w:t>项目名称 ：                                      项目编号：                        单位：元</w:t>
      </w:r>
    </w:p>
    <w:tbl>
      <w:tblPr>
        <w:tblStyle w:val="17"/>
        <w:tblW w:w="12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0"/>
        <w:gridCol w:w="4839"/>
        <w:gridCol w:w="1080"/>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exact"/>
        </w:trPr>
        <w:tc>
          <w:tcPr>
            <w:tcW w:w="1770" w:type="dxa"/>
            <w:noWrap w:val="0"/>
            <w:vAlign w:val="center"/>
          </w:tcPr>
          <w:p>
            <w:pPr>
              <w:spacing w:line="360" w:lineRule="auto"/>
              <w:ind w:firstLine="0" w:firstLineChars="0"/>
              <w:jc w:val="center"/>
              <w:rPr>
                <w:rFonts w:hint="default" w:ascii="宋体" w:hAnsi="宋体" w:eastAsia="宋体" w:cs="宋体"/>
                <w:sz w:val="28"/>
                <w:szCs w:val="21"/>
                <w:highlight w:val="none"/>
                <w:lang w:val="en-US" w:eastAsia="zh-CN"/>
              </w:rPr>
            </w:pPr>
            <w:r>
              <w:rPr>
                <w:rFonts w:hint="eastAsia" w:ascii="宋体" w:hAnsi="宋体" w:cs="宋体"/>
                <w:sz w:val="28"/>
                <w:szCs w:val="21"/>
                <w:highlight w:val="none"/>
                <w:lang w:val="en-US" w:eastAsia="zh-CN"/>
              </w:rPr>
              <w:t>供应商名称</w:t>
            </w:r>
          </w:p>
        </w:tc>
        <w:tc>
          <w:tcPr>
            <w:tcW w:w="11006" w:type="dxa"/>
            <w:gridSpan w:val="3"/>
            <w:noWrap w:val="0"/>
            <w:vAlign w:val="center"/>
          </w:tcPr>
          <w:p>
            <w:pPr>
              <w:spacing w:line="360" w:lineRule="auto"/>
              <w:ind w:firstLine="0" w:firstLineChars="0"/>
              <w:rPr>
                <w:rFonts w:hint="eastAsia" w:ascii="宋体" w:hAnsi="宋体" w:eastAsia="宋体" w:cs="宋体"/>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exact"/>
        </w:trPr>
        <w:tc>
          <w:tcPr>
            <w:tcW w:w="1770" w:type="dxa"/>
            <w:tcBorders>
              <w:bottom w:val="single" w:color="auto" w:sz="4" w:space="0"/>
            </w:tcBorders>
            <w:noWrap w:val="0"/>
            <w:vAlign w:val="center"/>
          </w:tcPr>
          <w:p>
            <w:pPr>
              <w:spacing w:line="360" w:lineRule="auto"/>
              <w:ind w:firstLine="0" w:firstLineChars="0"/>
              <w:jc w:val="center"/>
              <w:rPr>
                <w:rFonts w:hint="default" w:ascii="宋体" w:hAnsi="宋体" w:cs="宋体"/>
                <w:sz w:val="28"/>
                <w:szCs w:val="21"/>
                <w:highlight w:val="none"/>
                <w:lang w:val="en-US" w:eastAsia="zh-CN"/>
              </w:rPr>
            </w:pPr>
            <w:r>
              <w:rPr>
                <w:rFonts w:hint="eastAsia" w:ascii="宋体" w:hAnsi="宋体" w:cs="宋体"/>
                <w:sz w:val="28"/>
                <w:szCs w:val="21"/>
                <w:highlight w:val="none"/>
                <w:lang w:val="en-US" w:eastAsia="zh-CN"/>
              </w:rPr>
              <w:t>品牌、型号</w:t>
            </w:r>
          </w:p>
        </w:tc>
        <w:tc>
          <w:tcPr>
            <w:tcW w:w="4839" w:type="dxa"/>
            <w:tcBorders>
              <w:bottom w:val="single" w:color="auto" w:sz="4" w:space="0"/>
            </w:tcBorders>
            <w:noWrap w:val="0"/>
            <w:vAlign w:val="center"/>
          </w:tcPr>
          <w:p>
            <w:pPr>
              <w:spacing w:line="360" w:lineRule="auto"/>
              <w:ind w:firstLine="0" w:firstLineChars="0"/>
              <w:rPr>
                <w:rFonts w:hint="eastAsia" w:ascii="宋体" w:hAnsi="宋体" w:eastAsia="宋体" w:cs="宋体"/>
                <w:sz w:val="28"/>
                <w:szCs w:val="21"/>
                <w:highlight w:val="none"/>
                <w:lang w:val="en-US" w:eastAsia="zh-CN" w:bidi="ar-SA"/>
              </w:rPr>
            </w:pPr>
          </w:p>
        </w:tc>
        <w:tc>
          <w:tcPr>
            <w:tcW w:w="1080" w:type="dxa"/>
            <w:tcBorders>
              <w:bottom w:val="single" w:color="auto" w:sz="4" w:space="0"/>
            </w:tcBorders>
            <w:noWrap w:val="0"/>
            <w:vAlign w:val="center"/>
          </w:tcPr>
          <w:p>
            <w:pPr>
              <w:spacing w:line="360" w:lineRule="auto"/>
              <w:ind w:firstLine="0" w:firstLineChars="0"/>
              <w:jc w:val="center"/>
              <w:rPr>
                <w:rFonts w:hint="default" w:ascii="宋体" w:hAnsi="宋体" w:eastAsia="宋体" w:cs="宋体"/>
                <w:sz w:val="28"/>
                <w:szCs w:val="21"/>
                <w:highlight w:val="none"/>
                <w:lang w:val="en-US" w:eastAsia="zh-CN" w:bidi="ar-SA"/>
              </w:rPr>
            </w:pPr>
            <w:r>
              <w:rPr>
                <w:rFonts w:hint="eastAsia" w:ascii="宋体" w:hAnsi="宋体" w:cs="宋体"/>
                <w:sz w:val="28"/>
                <w:szCs w:val="21"/>
                <w:highlight w:val="none"/>
                <w:lang w:val="en-US" w:eastAsia="zh-CN" w:bidi="ar-SA"/>
              </w:rPr>
              <w:t>产地</w:t>
            </w:r>
          </w:p>
        </w:tc>
        <w:tc>
          <w:tcPr>
            <w:tcW w:w="5087" w:type="dxa"/>
            <w:tcBorders>
              <w:bottom w:val="single" w:color="auto" w:sz="4" w:space="0"/>
            </w:tcBorders>
            <w:noWrap w:val="0"/>
            <w:vAlign w:val="center"/>
          </w:tcPr>
          <w:p>
            <w:pPr>
              <w:spacing w:line="360" w:lineRule="auto"/>
              <w:ind w:firstLine="0" w:firstLineChars="0"/>
              <w:rPr>
                <w:rFonts w:hint="eastAsia" w:ascii="宋体" w:hAnsi="宋体" w:eastAsia="宋体" w:cs="宋体"/>
                <w:sz w:val="2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exact"/>
        </w:trPr>
        <w:tc>
          <w:tcPr>
            <w:tcW w:w="1770" w:type="dxa"/>
            <w:tcBorders>
              <w:bottom w:val="single" w:color="auto" w:sz="4" w:space="0"/>
            </w:tcBorders>
            <w:noWrap w:val="0"/>
            <w:vAlign w:val="center"/>
          </w:tcPr>
          <w:p>
            <w:pPr>
              <w:spacing w:line="360" w:lineRule="auto"/>
              <w:ind w:firstLine="0" w:firstLineChars="0"/>
              <w:jc w:val="center"/>
              <w:rPr>
                <w:rFonts w:hint="eastAsia" w:ascii="宋体" w:hAnsi="宋体" w:eastAsia="宋体" w:cs="宋体"/>
                <w:sz w:val="28"/>
                <w:szCs w:val="21"/>
                <w:highlight w:val="none"/>
                <w:lang w:val="en-US" w:eastAsia="zh-CN" w:bidi="ar-SA"/>
              </w:rPr>
            </w:pPr>
            <w:r>
              <w:rPr>
                <w:rFonts w:hint="eastAsia" w:ascii="宋体" w:hAnsi="宋体" w:cs="宋体"/>
                <w:sz w:val="28"/>
                <w:szCs w:val="21"/>
                <w:highlight w:val="none"/>
                <w:lang w:val="en-US" w:eastAsia="zh-CN"/>
              </w:rPr>
              <w:t>交货期</w:t>
            </w:r>
          </w:p>
        </w:tc>
        <w:tc>
          <w:tcPr>
            <w:tcW w:w="4839" w:type="dxa"/>
            <w:tcBorders>
              <w:bottom w:val="single" w:color="auto" w:sz="4" w:space="0"/>
            </w:tcBorders>
            <w:noWrap w:val="0"/>
            <w:vAlign w:val="center"/>
          </w:tcPr>
          <w:p>
            <w:pPr>
              <w:spacing w:line="360" w:lineRule="auto"/>
              <w:ind w:firstLine="0" w:firstLineChars="0"/>
              <w:rPr>
                <w:rFonts w:hint="eastAsia" w:ascii="宋体" w:hAnsi="宋体" w:eastAsia="宋体" w:cs="宋体"/>
                <w:sz w:val="28"/>
                <w:szCs w:val="21"/>
                <w:highlight w:val="none"/>
                <w:lang w:val="en-US" w:eastAsia="zh-CN" w:bidi="ar-SA"/>
              </w:rPr>
            </w:pPr>
          </w:p>
        </w:tc>
        <w:tc>
          <w:tcPr>
            <w:tcW w:w="1080" w:type="dxa"/>
            <w:tcBorders>
              <w:bottom w:val="single" w:color="auto" w:sz="4" w:space="0"/>
            </w:tcBorders>
            <w:noWrap w:val="0"/>
            <w:vAlign w:val="center"/>
          </w:tcPr>
          <w:p>
            <w:pPr>
              <w:spacing w:line="360" w:lineRule="auto"/>
              <w:ind w:firstLine="0" w:firstLineChars="0"/>
              <w:jc w:val="center"/>
              <w:rPr>
                <w:rFonts w:hint="eastAsia" w:ascii="宋体" w:hAnsi="宋体" w:eastAsia="宋体" w:cs="宋体"/>
                <w:sz w:val="28"/>
                <w:szCs w:val="21"/>
                <w:highlight w:val="none"/>
                <w:lang w:val="en-US" w:eastAsia="zh-CN" w:bidi="ar-SA"/>
              </w:rPr>
            </w:pPr>
            <w:r>
              <w:rPr>
                <w:rFonts w:hint="eastAsia" w:ascii="宋体" w:hAnsi="宋体" w:eastAsia="宋体" w:cs="宋体"/>
                <w:sz w:val="28"/>
                <w:szCs w:val="21"/>
                <w:highlight w:val="none"/>
                <w:lang w:val="en-US" w:eastAsia="zh-CN" w:bidi="ar-SA"/>
              </w:rPr>
              <w:t>质保期</w:t>
            </w:r>
          </w:p>
        </w:tc>
        <w:tc>
          <w:tcPr>
            <w:tcW w:w="5087" w:type="dxa"/>
            <w:tcBorders>
              <w:bottom w:val="single" w:color="auto" w:sz="4" w:space="0"/>
            </w:tcBorders>
            <w:noWrap w:val="0"/>
            <w:vAlign w:val="center"/>
          </w:tcPr>
          <w:p>
            <w:pPr>
              <w:spacing w:line="360" w:lineRule="auto"/>
              <w:ind w:firstLine="0" w:firstLineChars="0"/>
              <w:rPr>
                <w:rFonts w:hint="eastAsia" w:ascii="宋体" w:hAnsi="宋体" w:eastAsia="宋体" w:cs="宋体"/>
                <w:sz w:val="2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exact"/>
        </w:trPr>
        <w:tc>
          <w:tcPr>
            <w:tcW w:w="1770" w:type="dxa"/>
            <w:vAlign w:val="center"/>
          </w:tcPr>
          <w:p>
            <w:pPr>
              <w:spacing w:line="360" w:lineRule="auto"/>
              <w:ind w:firstLine="0" w:firstLineChars="0"/>
              <w:jc w:val="center"/>
              <w:rPr>
                <w:rFonts w:hint="default" w:ascii="宋体" w:hAnsi="宋体" w:eastAsia="宋体" w:cs="宋体"/>
                <w:sz w:val="28"/>
                <w:szCs w:val="21"/>
                <w:highlight w:val="none"/>
                <w:lang w:val="en-US" w:eastAsia="zh-CN" w:bidi="ar-SA"/>
              </w:rPr>
            </w:pPr>
            <w:r>
              <w:rPr>
                <w:rFonts w:hint="eastAsia" w:ascii="宋体" w:hAnsi="宋体" w:cs="宋体"/>
                <w:sz w:val="28"/>
                <w:szCs w:val="21"/>
                <w:highlight w:val="none"/>
                <w:lang w:val="en-US" w:eastAsia="zh-CN" w:bidi="ar-SA"/>
              </w:rPr>
              <w:t>交货地点</w:t>
            </w:r>
          </w:p>
        </w:tc>
        <w:tc>
          <w:tcPr>
            <w:tcW w:w="11006" w:type="dxa"/>
            <w:gridSpan w:val="3"/>
            <w:vAlign w:val="center"/>
          </w:tcPr>
          <w:p>
            <w:pPr>
              <w:spacing w:line="360" w:lineRule="auto"/>
              <w:ind w:firstLine="0" w:firstLineChars="0"/>
              <w:rPr>
                <w:rFonts w:hint="eastAsia" w:ascii="宋体" w:hAnsi="宋体" w:eastAsia="宋体" w:cs="宋体"/>
                <w:sz w:val="2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exact"/>
        </w:trPr>
        <w:tc>
          <w:tcPr>
            <w:tcW w:w="1770" w:type="dxa"/>
            <w:vAlign w:val="center"/>
          </w:tcPr>
          <w:p>
            <w:pPr>
              <w:spacing w:line="360" w:lineRule="auto"/>
              <w:ind w:firstLine="0" w:firstLineChars="0"/>
              <w:jc w:val="center"/>
              <w:rPr>
                <w:rFonts w:hint="eastAsia" w:ascii="宋体" w:hAnsi="宋体" w:eastAsia="宋体" w:cs="宋体"/>
                <w:sz w:val="28"/>
                <w:szCs w:val="21"/>
                <w:highlight w:val="none"/>
                <w:lang w:val="en-US" w:eastAsia="zh-CN" w:bidi="ar-SA"/>
              </w:rPr>
            </w:pPr>
            <w:r>
              <w:rPr>
                <w:rFonts w:hint="eastAsia" w:ascii="宋体" w:hAnsi="宋体" w:eastAsia="宋体" w:cs="宋体"/>
                <w:sz w:val="28"/>
                <w:szCs w:val="21"/>
                <w:highlight w:val="none"/>
              </w:rPr>
              <w:t>磋商总报价</w:t>
            </w:r>
          </w:p>
        </w:tc>
        <w:tc>
          <w:tcPr>
            <w:tcW w:w="11006" w:type="dxa"/>
            <w:gridSpan w:val="3"/>
            <w:vAlign w:val="center"/>
          </w:tcPr>
          <w:p>
            <w:pPr>
              <w:spacing w:line="360" w:lineRule="auto"/>
              <w:ind w:firstLine="0" w:firstLineChars="0"/>
              <w:rPr>
                <w:rFonts w:hint="eastAsia" w:ascii="宋体" w:hAnsi="宋体" w:eastAsia="宋体" w:cs="宋体"/>
                <w:sz w:val="28"/>
                <w:szCs w:val="21"/>
                <w:highlight w:val="none"/>
                <w:lang w:val="en-US" w:eastAsia="zh-CN" w:bidi="ar-SA"/>
              </w:rPr>
            </w:pPr>
            <w:r>
              <w:rPr>
                <w:rFonts w:hint="eastAsia" w:ascii="宋体" w:hAnsi="宋体" w:eastAsia="宋体" w:cs="宋体"/>
                <w:sz w:val="28"/>
                <w:szCs w:val="21"/>
                <w:highlight w:val="none"/>
              </w:rPr>
              <w:t xml:space="preserve">小写：          </w:t>
            </w:r>
            <w:r>
              <w:rPr>
                <w:rFonts w:hint="eastAsia" w:ascii="宋体" w:hAnsi="宋体" w:eastAsia="宋体" w:cs="宋体"/>
                <w:sz w:val="28"/>
                <w:szCs w:val="21"/>
                <w:highlight w:val="none"/>
                <w:lang w:val="en-US" w:eastAsia="zh-CN"/>
              </w:rPr>
              <w:t>¥</w:t>
            </w:r>
            <w:r>
              <w:rPr>
                <w:rFonts w:hint="eastAsia" w:ascii="宋体" w:hAnsi="宋体" w:eastAsia="宋体" w:cs="宋体"/>
                <w:sz w:val="28"/>
                <w:szCs w:val="21"/>
                <w:highlight w:val="none"/>
              </w:rPr>
              <w:t xml:space="preserve">                   大写：</w:t>
            </w:r>
            <w:r>
              <w:rPr>
                <w:rFonts w:hint="eastAsia" w:ascii="宋体" w:hAnsi="宋体" w:eastAsia="宋体" w:cs="宋体"/>
                <w:sz w:val="28"/>
                <w:szCs w:val="21"/>
                <w:highlight w:val="none"/>
                <w:lang w:val="en-US" w:eastAsia="zh-CN"/>
              </w:rPr>
              <w:t xml:space="preserve">        </w:t>
            </w:r>
            <w:r>
              <w:rPr>
                <w:rFonts w:hint="eastAsia" w:ascii="宋体" w:hAnsi="宋体" w:eastAsia="宋体" w:cs="宋体"/>
                <w:sz w:val="28"/>
                <w:szCs w:val="21"/>
                <w:highlight w:val="none"/>
              </w:rPr>
              <w:t xml:space="preserve">  </w:t>
            </w:r>
            <w:r>
              <w:rPr>
                <w:rFonts w:hint="eastAsia" w:ascii="宋体" w:hAnsi="宋体" w:eastAsia="宋体" w:cs="宋体"/>
                <w:sz w:val="28"/>
                <w:szCs w:val="21"/>
                <w:highlight w:val="none"/>
                <w:lang w:val="en-US" w:eastAsia="zh-CN"/>
              </w:rPr>
              <w:t>元</w:t>
            </w:r>
          </w:p>
        </w:tc>
      </w:tr>
    </w:tbl>
    <w:p>
      <w:pPr>
        <w:pStyle w:val="29"/>
        <w:spacing w:line="360" w:lineRule="auto"/>
        <w:rPr>
          <w:rFonts w:hint="eastAsia" w:ascii="宋体" w:hAnsi="宋体" w:eastAsia="宋体" w:cs="宋体"/>
          <w:bCs/>
          <w:sz w:val="28"/>
          <w:szCs w:val="21"/>
          <w:highlight w:val="none"/>
        </w:rPr>
      </w:pPr>
      <w:r>
        <w:rPr>
          <w:rFonts w:hint="eastAsia" w:ascii="宋体" w:hAnsi="宋体" w:eastAsia="宋体" w:cs="宋体"/>
          <w:bCs/>
          <w:sz w:val="28"/>
          <w:szCs w:val="21"/>
          <w:highlight w:val="none"/>
        </w:rPr>
        <w:t>注：报价一览表须单独密封递交一份。</w:t>
      </w:r>
    </w:p>
    <w:p>
      <w:pPr>
        <w:pStyle w:val="29"/>
        <w:spacing w:line="360" w:lineRule="auto"/>
        <w:rPr>
          <w:rFonts w:hint="eastAsia" w:ascii="宋体" w:hAnsi="宋体" w:eastAsia="宋体" w:cs="宋体"/>
          <w:bCs/>
          <w:sz w:val="28"/>
          <w:szCs w:val="21"/>
          <w:highlight w:val="none"/>
        </w:rPr>
      </w:pPr>
      <w:r>
        <w:rPr>
          <w:rFonts w:hint="eastAsia" w:ascii="宋体" w:hAnsi="宋体" w:eastAsia="宋体" w:cs="宋体"/>
          <w:bCs/>
          <w:sz w:val="28"/>
          <w:szCs w:val="21"/>
          <w:highlight w:val="none"/>
        </w:rPr>
        <w:t>说明：1．</w:t>
      </w:r>
      <w:r>
        <w:rPr>
          <w:rFonts w:hint="eastAsia" w:ascii="宋体" w:hAnsi="宋体" w:eastAsia="宋体" w:cs="宋体"/>
          <w:sz w:val="28"/>
          <w:szCs w:val="28"/>
          <w:highlight w:val="none"/>
          <w:lang w:eastAsia="zh-CN"/>
        </w:rPr>
        <w:t>磋商</w:t>
      </w:r>
      <w:r>
        <w:rPr>
          <w:rFonts w:hint="eastAsia" w:ascii="宋体" w:hAnsi="宋体" w:cs="宋体"/>
          <w:sz w:val="28"/>
          <w:szCs w:val="28"/>
          <w:highlight w:val="none"/>
          <w:lang w:val="en-US" w:eastAsia="zh-CN"/>
        </w:rPr>
        <w:t>总</w:t>
      </w:r>
      <w:r>
        <w:rPr>
          <w:rFonts w:hint="eastAsia" w:ascii="宋体" w:hAnsi="宋体" w:eastAsia="宋体" w:cs="宋体"/>
          <w:sz w:val="28"/>
          <w:szCs w:val="28"/>
          <w:highlight w:val="none"/>
        </w:rPr>
        <w:t>报价应已经包含了供应商及时交付合格所需缴纳的所有税</w:t>
      </w:r>
      <w:r>
        <w:rPr>
          <w:rFonts w:hint="eastAsia" w:ascii="宋体" w:hAnsi="宋体" w:cs="宋体"/>
          <w:sz w:val="28"/>
          <w:szCs w:val="28"/>
          <w:highlight w:val="none"/>
          <w:lang w:val="en-US" w:eastAsia="zh-CN"/>
        </w:rPr>
        <w:t>运</w:t>
      </w:r>
      <w:r>
        <w:rPr>
          <w:rFonts w:hint="eastAsia" w:ascii="宋体" w:hAnsi="宋体" w:eastAsia="宋体" w:cs="宋体"/>
          <w:sz w:val="28"/>
          <w:szCs w:val="28"/>
          <w:highlight w:val="none"/>
        </w:rPr>
        <w:t>费</w:t>
      </w:r>
      <w:r>
        <w:rPr>
          <w:rFonts w:hint="eastAsia" w:ascii="宋体" w:hAnsi="宋体" w:cs="宋体"/>
          <w:sz w:val="28"/>
          <w:szCs w:val="28"/>
          <w:highlight w:val="none"/>
          <w:lang w:val="en-US" w:eastAsia="zh-CN"/>
        </w:rPr>
        <w:t>杂费等</w:t>
      </w:r>
      <w:r>
        <w:rPr>
          <w:rFonts w:hint="eastAsia" w:ascii="宋体" w:hAnsi="宋体" w:eastAsia="宋体" w:cs="宋体"/>
          <w:sz w:val="28"/>
          <w:szCs w:val="28"/>
          <w:highlight w:val="none"/>
        </w:rPr>
        <w:t>一切费用</w:t>
      </w:r>
      <w:r>
        <w:rPr>
          <w:rFonts w:hint="eastAsia" w:ascii="宋体" w:hAnsi="宋体" w:cs="宋体"/>
          <w:sz w:val="28"/>
          <w:szCs w:val="28"/>
          <w:highlight w:val="none"/>
          <w:lang w:eastAsia="zh-CN"/>
        </w:rPr>
        <w:t>，</w:t>
      </w:r>
      <w:r>
        <w:rPr>
          <w:rFonts w:hint="eastAsia" w:ascii="宋体" w:hAnsi="宋体" w:eastAsia="宋体" w:cs="宋体"/>
          <w:bCs/>
          <w:sz w:val="28"/>
          <w:szCs w:val="21"/>
          <w:highlight w:val="none"/>
        </w:rPr>
        <w:t>采购人不必再支付其他任何费用。</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23"/>
        <w:spacing w:before="100" w:after="100" w:line="360" w:lineRule="auto"/>
        <w:ind w:left="0" w:leftChars="0" w:firstLine="0" w:firstLineChars="0"/>
        <w:jc w:val="left"/>
        <w:rPr>
          <w:rFonts w:hint="eastAsia" w:ascii="宋体" w:hAnsi="宋体" w:cs="宋体"/>
          <w:color w:val="auto"/>
          <w:sz w:val="28"/>
          <w:szCs w:val="28"/>
          <w:highlight w:val="none"/>
          <w:lang w:eastAsia="zh-CN"/>
        </w:rPr>
        <w:sectPr>
          <w:headerReference r:id="rId12" w:type="first"/>
          <w:footerReference r:id="rId14" w:type="first"/>
          <w:footerReference r:id="rId13" w:type="default"/>
          <w:pgSz w:w="15840" w:h="12240" w:orient="landscape"/>
          <w:pgMar w:top="850" w:right="850" w:bottom="850" w:left="1417" w:header="851" w:footer="850" w:gutter="0"/>
          <w:cols w:space="0" w:num="1"/>
          <w:titlePg/>
          <w:rtlGutter w:val="0"/>
          <w:docGrid w:linePitch="312" w:charSpace="0"/>
        </w:sectPr>
      </w:pPr>
    </w:p>
    <w:p>
      <w:pPr>
        <w:spacing w:line="360" w:lineRule="auto"/>
        <w:jc w:val="center"/>
        <w:rPr>
          <w:rFonts w:hint="eastAsia" w:ascii="宋体" w:hAnsi="宋体" w:eastAsia="宋体" w:cs="宋体"/>
          <w:b/>
          <w:bCs/>
          <w:highlight w:val="none"/>
        </w:rPr>
      </w:pPr>
      <w:r>
        <w:rPr>
          <w:rFonts w:hint="eastAsia" w:ascii="宋体" w:hAnsi="宋体" w:eastAsia="宋体" w:cs="宋体"/>
          <w:b/>
          <w:bCs/>
          <w:sz w:val="28"/>
          <w:szCs w:val="28"/>
          <w:highlight w:val="none"/>
          <w:lang w:val="en-US" w:eastAsia="zh-CN" w:bidi="ar-SA"/>
        </w:rPr>
        <w:t>七、商务条款偏离表</w:t>
      </w:r>
    </w:p>
    <w:p>
      <w:pPr>
        <w:pStyle w:val="29"/>
        <w:spacing w:line="360" w:lineRule="auto"/>
        <w:rPr>
          <w:rFonts w:hint="eastAsia" w:ascii="宋体" w:hAnsi="宋体" w:eastAsia="宋体" w:cs="宋体"/>
          <w:b/>
          <w:bCs/>
          <w:sz w:val="28"/>
          <w:szCs w:val="21"/>
          <w:highlight w:val="none"/>
        </w:rPr>
      </w:pPr>
      <w:r>
        <w:rPr>
          <w:rFonts w:hint="eastAsia" w:ascii="宋体" w:hAnsi="宋体" w:eastAsia="宋体" w:cs="宋体"/>
          <w:bCs/>
          <w:sz w:val="28"/>
          <w:szCs w:val="21"/>
          <w:highlight w:val="none"/>
        </w:rPr>
        <w:t>项目名称：                          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0"/>
        <w:gridCol w:w="1930"/>
        <w:gridCol w:w="1701"/>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210"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文件条目号</w:t>
            </w:r>
          </w:p>
        </w:tc>
        <w:tc>
          <w:tcPr>
            <w:tcW w:w="1930"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文件的商务条款</w:t>
            </w:r>
          </w:p>
        </w:tc>
        <w:tc>
          <w:tcPr>
            <w:tcW w:w="1701"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响应文件的商务条款</w:t>
            </w:r>
          </w:p>
        </w:tc>
        <w:tc>
          <w:tcPr>
            <w:tcW w:w="1843"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1701"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221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930"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843"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701" w:type="dxa"/>
            <w:noWrap w:val="0"/>
            <w:vAlign w:val="top"/>
          </w:tcPr>
          <w:p>
            <w:pPr>
              <w:pStyle w:val="23"/>
              <w:spacing w:line="360" w:lineRule="auto"/>
              <w:jc w:val="center"/>
              <w:rPr>
                <w:rFonts w:hint="eastAsia" w:ascii="宋体" w:hAnsi="宋体" w:eastAsia="宋体" w:cs="宋体"/>
                <w:color w:val="auto"/>
                <w:sz w:val="28"/>
                <w:szCs w:val="28"/>
                <w:highlight w:val="none"/>
              </w:rPr>
            </w:pPr>
          </w:p>
        </w:tc>
      </w:tr>
    </w:tbl>
    <w:p>
      <w:pPr>
        <w:pStyle w:val="29"/>
        <w:spacing w:line="360" w:lineRule="auto"/>
        <w:rPr>
          <w:rFonts w:hint="eastAsia" w:ascii="宋体" w:hAnsi="宋体" w:eastAsia="宋体" w:cs="宋体"/>
          <w:sz w:val="28"/>
          <w:szCs w:val="21"/>
          <w:highlight w:val="none"/>
        </w:rPr>
      </w:pPr>
      <w:r>
        <w:rPr>
          <w:rFonts w:hint="eastAsia" w:ascii="宋体" w:hAnsi="宋体" w:eastAsia="宋体" w:cs="宋体"/>
          <w:sz w:val="28"/>
          <w:szCs w:val="21"/>
          <w:highlight w:val="none"/>
        </w:rPr>
        <w:t>注：请供应商按</w:t>
      </w:r>
      <w:r>
        <w:rPr>
          <w:rFonts w:hint="eastAsia" w:ascii="宋体" w:hAnsi="宋体" w:eastAsia="宋体" w:cs="宋体"/>
          <w:sz w:val="28"/>
          <w:szCs w:val="21"/>
          <w:highlight w:val="none"/>
          <w:lang w:eastAsia="zh-CN"/>
        </w:rPr>
        <w:t>磋商</w:t>
      </w:r>
      <w:r>
        <w:rPr>
          <w:rFonts w:hint="eastAsia" w:ascii="宋体" w:hAnsi="宋体" w:eastAsia="宋体" w:cs="宋体"/>
          <w:sz w:val="28"/>
          <w:szCs w:val="21"/>
          <w:highlight w:val="none"/>
        </w:rPr>
        <w:t>文件第六章内容逐条填写。若有偏离,请将具体偏离条款在“偏离”一栏中详细说明;若无偏离,请在“偏离”一栏中标注“无”字样，不填写视为不响应。</w:t>
      </w:r>
    </w:p>
    <w:p>
      <w:pPr>
        <w:pStyle w:val="29"/>
        <w:spacing w:line="360" w:lineRule="auto"/>
        <w:rPr>
          <w:rFonts w:hint="eastAsia" w:ascii="宋体" w:hAnsi="宋体" w:eastAsia="宋体" w:cs="宋体"/>
          <w:sz w:val="28"/>
          <w:szCs w:val="21"/>
          <w:highlight w:val="none"/>
        </w:rPr>
      </w:pPr>
    </w:p>
    <w:p>
      <w:pPr>
        <w:pStyle w:val="23"/>
        <w:spacing w:line="360" w:lineRule="auto"/>
        <w:ind w:firstLine="3542" w:firstLineChars="126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3"/>
        <w:spacing w:line="360" w:lineRule="auto"/>
        <w:ind w:firstLine="3542" w:firstLineChars="126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p>
    <w:p>
      <w:pPr>
        <w:pStyle w:val="23"/>
        <w:spacing w:line="360" w:lineRule="auto"/>
        <w:ind w:firstLine="3542" w:firstLineChars="126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29"/>
        <w:spacing w:line="360" w:lineRule="auto"/>
        <w:rPr>
          <w:rFonts w:hint="eastAsia" w:ascii="宋体" w:hAnsi="宋体" w:eastAsia="宋体" w:cs="宋体"/>
          <w:b/>
          <w:bCs/>
          <w:highlight w:val="none"/>
        </w:rPr>
      </w:pPr>
    </w:p>
    <w:p>
      <w:pPr>
        <w:spacing w:line="360" w:lineRule="auto"/>
        <w:jc w:val="center"/>
        <w:rPr>
          <w:rFonts w:hint="default" w:ascii="宋体" w:hAnsi="宋体" w:eastAsia="宋体" w:cs="宋体"/>
          <w:b/>
          <w:bCs/>
          <w:sz w:val="28"/>
          <w:szCs w:val="28"/>
          <w:highlight w:val="none"/>
          <w:lang w:val="en-US" w:eastAsia="zh-CN" w:bidi="ar-SA"/>
        </w:rPr>
      </w:pPr>
      <w:r>
        <w:rPr>
          <w:rFonts w:hint="eastAsia" w:ascii="宋体" w:hAnsi="宋体" w:eastAsia="宋体" w:cs="宋体"/>
          <w:highlight w:val="none"/>
        </w:rPr>
        <w:br w:type="page"/>
      </w:r>
      <w:bookmarkStart w:id="113" w:name="_Toc62744676"/>
      <w:r>
        <w:rPr>
          <w:rFonts w:hint="eastAsia" w:cs="宋体"/>
          <w:b/>
          <w:bCs/>
          <w:sz w:val="28"/>
          <w:szCs w:val="28"/>
          <w:highlight w:val="none"/>
          <w:lang w:val="en-US" w:eastAsia="zh-CN" w:bidi="ar-SA"/>
        </w:rPr>
        <w:t>八</w:t>
      </w:r>
      <w:r>
        <w:rPr>
          <w:rFonts w:hint="eastAsia" w:ascii="宋体" w:hAnsi="宋体" w:eastAsia="宋体" w:cs="宋体"/>
          <w:b/>
          <w:bCs/>
          <w:sz w:val="28"/>
          <w:szCs w:val="28"/>
          <w:highlight w:val="none"/>
          <w:lang w:val="en-US" w:eastAsia="zh-CN" w:bidi="ar-SA"/>
        </w:rPr>
        <w:t>、</w:t>
      </w:r>
      <w:r>
        <w:rPr>
          <w:rFonts w:hint="eastAsia" w:ascii="宋体" w:hAnsi="宋体" w:cs="宋体"/>
          <w:b/>
          <w:bCs/>
          <w:sz w:val="28"/>
          <w:szCs w:val="28"/>
          <w:highlight w:val="none"/>
          <w:lang w:val="en-US" w:eastAsia="zh-CN" w:bidi="ar-SA"/>
        </w:rPr>
        <w:t>投标产品技术参数</w:t>
      </w:r>
    </w:p>
    <w:p>
      <w:pPr>
        <w:spacing w:line="360" w:lineRule="auto"/>
        <w:jc w:val="left"/>
        <w:rPr>
          <w:rFonts w:ascii="宋体" w:hAnsi="宋体" w:cs="仿宋"/>
          <w:kern w:val="0"/>
          <w:sz w:val="24"/>
          <w:szCs w:val="24"/>
          <w:highlight w:val="none"/>
        </w:rPr>
      </w:pPr>
      <w:r>
        <w:rPr>
          <w:rFonts w:hint="eastAsia" w:ascii="宋体" w:hAnsi="宋体" w:cs="仿宋"/>
          <w:kern w:val="0"/>
          <w:sz w:val="24"/>
          <w:szCs w:val="24"/>
          <w:highlight w:val="none"/>
        </w:rPr>
        <w:t>包括：</w:t>
      </w:r>
    </w:p>
    <w:p>
      <w:pPr>
        <w:spacing w:line="360" w:lineRule="auto"/>
        <w:jc w:val="left"/>
        <w:rPr>
          <w:rFonts w:hint="eastAsia" w:ascii="宋体" w:hAnsi="宋体" w:eastAsia="宋体" w:cs="仿宋"/>
          <w:kern w:val="0"/>
          <w:sz w:val="24"/>
          <w:szCs w:val="24"/>
          <w:highlight w:val="none"/>
          <w:lang w:eastAsia="zh-CN"/>
        </w:rPr>
      </w:pPr>
      <w:r>
        <w:rPr>
          <w:rFonts w:hint="eastAsia" w:ascii="宋体" w:hAnsi="宋体" w:cs="仿宋"/>
          <w:kern w:val="0"/>
          <w:sz w:val="24"/>
          <w:szCs w:val="24"/>
          <w:highlight w:val="none"/>
        </w:rPr>
        <w:t>(1)产品技术参数（指标）、功能等性能描述；（产品技术参数（指标）、功能等性能描述内容必须为可编辑Word版本）</w:t>
      </w:r>
      <w:r>
        <w:rPr>
          <w:rFonts w:hint="eastAsia" w:ascii="宋体" w:hAnsi="宋体" w:cs="仿宋"/>
          <w:kern w:val="0"/>
          <w:sz w:val="24"/>
          <w:szCs w:val="24"/>
          <w:highlight w:val="none"/>
          <w:lang w:eastAsia="zh-CN"/>
        </w:rPr>
        <w:t>；</w:t>
      </w:r>
    </w:p>
    <w:p>
      <w:pPr>
        <w:spacing w:line="360" w:lineRule="auto"/>
        <w:jc w:val="left"/>
        <w:rPr>
          <w:rFonts w:ascii="宋体" w:hAnsi="宋体" w:cs="仿宋"/>
          <w:kern w:val="0"/>
          <w:sz w:val="24"/>
          <w:szCs w:val="24"/>
          <w:highlight w:val="none"/>
        </w:rPr>
      </w:pPr>
      <w:r>
        <w:rPr>
          <w:rFonts w:hint="eastAsia" w:ascii="宋体" w:hAnsi="宋体" w:cs="仿宋"/>
          <w:kern w:val="0"/>
          <w:sz w:val="24"/>
          <w:szCs w:val="24"/>
          <w:highlight w:val="none"/>
        </w:rPr>
        <w:t>(2)产品的规范资料</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白皮书</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rPr>
        <w:t>、外观彩图及尺寸等描述（要求提供复印件）；</w:t>
      </w:r>
    </w:p>
    <w:p>
      <w:pPr>
        <w:spacing w:line="360" w:lineRule="auto"/>
        <w:jc w:val="left"/>
        <w:rPr>
          <w:rFonts w:ascii="宋体" w:hAnsi="宋体" w:cs="仿宋"/>
          <w:kern w:val="0"/>
          <w:sz w:val="24"/>
          <w:szCs w:val="24"/>
          <w:highlight w:val="none"/>
        </w:rPr>
      </w:pPr>
      <w:r>
        <w:rPr>
          <w:rFonts w:hint="eastAsia" w:ascii="宋体" w:hAnsi="宋体" w:cs="仿宋"/>
          <w:kern w:val="0"/>
          <w:sz w:val="24"/>
          <w:szCs w:val="24"/>
          <w:highlight w:val="none"/>
        </w:rPr>
        <w:t>(3)</w:t>
      </w:r>
      <w:r>
        <w:rPr>
          <w:rFonts w:hint="eastAsia" w:ascii="宋体" w:hAnsi="宋体" w:cs="仿宋"/>
          <w:kern w:val="0"/>
          <w:sz w:val="24"/>
          <w:szCs w:val="24"/>
          <w:highlight w:val="none"/>
          <w:lang w:val="en-US" w:eastAsia="zh-CN"/>
        </w:rPr>
        <w:t>产品</w:t>
      </w:r>
      <w:r>
        <w:rPr>
          <w:rFonts w:hint="eastAsia" w:ascii="宋体" w:hAnsi="宋体" w:cs="仿宋"/>
          <w:kern w:val="0"/>
          <w:sz w:val="24"/>
          <w:szCs w:val="24"/>
          <w:highlight w:val="none"/>
        </w:rPr>
        <w:t>优势介绍；</w:t>
      </w:r>
    </w:p>
    <w:p>
      <w:pPr>
        <w:spacing w:line="360" w:lineRule="auto"/>
        <w:jc w:val="left"/>
        <w:rPr>
          <w:rFonts w:ascii="宋体" w:hAnsi="宋体" w:cs="仿宋"/>
          <w:kern w:val="0"/>
          <w:sz w:val="24"/>
          <w:szCs w:val="24"/>
          <w:highlight w:val="none"/>
        </w:rPr>
      </w:pP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4</w:t>
      </w:r>
      <w:r>
        <w:rPr>
          <w:rFonts w:hint="eastAsia" w:ascii="宋体" w:hAnsi="宋体" w:cs="仿宋"/>
          <w:kern w:val="0"/>
          <w:sz w:val="24"/>
          <w:szCs w:val="24"/>
          <w:highlight w:val="none"/>
        </w:rPr>
        <w:t>)投标人认为有必要提供的其他说明材料。</w:t>
      </w:r>
    </w:p>
    <w:p>
      <w:pPr>
        <w:pStyle w:val="4"/>
        <w:spacing w:line="360" w:lineRule="auto"/>
        <w:rPr>
          <w:rFonts w:hint="eastAsia" w:ascii="宋体" w:hAnsi="宋体" w:eastAsia="宋体" w:cs="宋体"/>
          <w:b/>
          <w:bCs/>
          <w:sz w:val="28"/>
          <w:szCs w:val="28"/>
          <w:highlight w:val="none"/>
          <w:lang w:val="en-US" w:eastAsia="zh-CN" w:bidi="ar-SA"/>
        </w:rPr>
      </w:pPr>
    </w:p>
    <w:p>
      <w:pPr>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br w:type="page"/>
      </w:r>
    </w:p>
    <w:p>
      <w:pPr>
        <w:pStyle w:val="4"/>
        <w:spacing w:line="360" w:lineRule="auto"/>
        <w:rPr>
          <w:rFonts w:hint="eastAsia" w:ascii="宋体" w:hAnsi="宋体" w:eastAsia="宋体" w:cs="宋体"/>
          <w:highlight w:val="none"/>
        </w:rPr>
      </w:pPr>
      <w:r>
        <w:rPr>
          <w:rFonts w:hint="eastAsia" w:cs="宋体"/>
          <w:b/>
          <w:bCs/>
          <w:sz w:val="28"/>
          <w:szCs w:val="28"/>
          <w:highlight w:val="none"/>
          <w:lang w:val="en-US" w:eastAsia="zh-CN" w:bidi="ar-SA"/>
        </w:rPr>
        <w:t>九、</w:t>
      </w:r>
      <w:r>
        <w:rPr>
          <w:rFonts w:hint="eastAsia" w:ascii="宋体" w:hAnsi="宋体" w:eastAsia="宋体" w:cs="宋体"/>
          <w:b/>
          <w:bCs/>
          <w:sz w:val="28"/>
          <w:szCs w:val="28"/>
          <w:highlight w:val="none"/>
          <w:lang w:val="en-US" w:eastAsia="zh-CN" w:bidi="ar-SA"/>
        </w:rPr>
        <w:t>技术条款偏离表</w:t>
      </w:r>
      <w:bookmarkEnd w:id="113"/>
    </w:p>
    <w:p>
      <w:pPr>
        <w:pStyle w:val="29"/>
        <w:spacing w:line="360" w:lineRule="auto"/>
        <w:rPr>
          <w:rFonts w:hint="eastAsia" w:ascii="宋体" w:hAnsi="宋体" w:eastAsia="宋体" w:cs="宋体"/>
          <w:b/>
          <w:bCs/>
          <w:sz w:val="28"/>
          <w:szCs w:val="21"/>
          <w:highlight w:val="none"/>
        </w:rPr>
      </w:pPr>
      <w:r>
        <w:rPr>
          <w:rFonts w:hint="eastAsia" w:ascii="宋体" w:hAnsi="宋体" w:eastAsia="宋体" w:cs="宋体"/>
          <w:bCs/>
          <w:sz w:val="28"/>
          <w:szCs w:val="21"/>
          <w:highlight w:val="none"/>
        </w:rPr>
        <w:t>项目名称：                          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208"/>
        <w:gridCol w:w="3239"/>
        <w:gridCol w:w="123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1"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208"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文件的技术条款</w:t>
            </w:r>
          </w:p>
        </w:tc>
        <w:tc>
          <w:tcPr>
            <w:tcW w:w="3239"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响应文件的技术条款</w:t>
            </w:r>
          </w:p>
        </w:tc>
        <w:tc>
          <w:tcPr>
            <w:tcW w:w="1232"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927" w:type="dxa"/>
            <w:noWrap w:val="0"/>
            <w:vAlign w:val="center"/>
          </w:tcPr>
          <w:p>
            <w:pPr>
              <w:pStyle w:val="23"/>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3"/>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3"/>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3"/>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3"/>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1"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08"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3239"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1232" w:type="dxa"/>
            <w:noWrap w:val="0"/>
            <w:vAlign w:val="top"/>
          </w:tcPr>
          <w:p>
            <w:pPr>
              <w:pStyle w:val="23"/>
              <w:spacing w:line="360" w:lineRule="auto"/>
              <w:jc w:val="center"/>
              <w:rPr>
                <w:rFonts w:hint="eastAsia" w:ascii="宋体" w:hAnsi="宋体" w:eastAsia="宋体" w:cs="宋体"/>
                <w:color w:val="auto"/>
                <w:sz w:val="28"/>
                <w:szCs w:val="28"/>
                <w:highlight w:val="none"/>
              </w:rPr>
            </w:pPr>
          </w:p>
        </w:tc>
        <w:tc>
          <w:tcPr>
            <w:tcW w:w="927" w:type="dxa"/>
            <w:noWrap w:val="0"/>
            <w:vAlign w:val="top"/>
          </w:tcPr>
          <w:p>
            <w:pPr>
              <w:pStyle w:val="23"/>
              <w:spacing w:line="360" w:lineRule="auto"/>
              <w:jc w:val="center"/>
              <w:rPr>
                <w:rFonts w:hint="eastAsia" w:ascii="宋体" w:hAnsi="宋体" w:eastAsia="宋体" w:cs="宋体"/>
                <w:color w:val="auto"/>
                <w:sz w:val="28"/>
                <w:szCs w:val="28"/>
                <w:highlight w:val="none"/>
              </w:rPr>
            </w:pPr>
          </w:p>
        </w:tc>
      </w:tr>
    </w:tbl>
    <w:p>
      <w:pPr>
        <w:pStyle w:val="29"/>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eastAsia" w:ascii="宋体" w:hAnsi="宋体" w:eastAsia="宋体" w:cs="宋体"/>
          <w:sz w:val="28"/>
          <w:szCs w:val="21"/>
          <w:highlight w:val="none"/>
        </w:rPr>
      </w:pPr>
      <w:r>
        <w:rPr>
          <w:rFonts w:hint="eastAsia" w:ascii="宋体" w:hAnsi="宋体" w:eastAsia="宋体" w:cs="宋体"/>
          <w:sz w:val="28"/>
          <w:szCs w:val="21"/>
          <w:highlight w:val="none"/>
        </w:rPr>
        <w:t>注：请供应商按照</w:t>
      </w:r>
      <w:r>
        <w:rPr>
          <w:rFonts w:hint="eastAsia" w:ascii="宋体" w:hAnsi="宋体" w:eastAsia="宋体" w:cs="宋体"/>
          <w:sz w:val="28"/>
          <w:szCs w:val="21"/>
          <w:highlight w:val="none"/>
          <w:lang w:eastAsia="zh-CN"/>
        </w:rPr>
        <w:t>磋商</w:t>
      </w:r>
      <w:r>
        <w:rPr>
          <w:rFonts w:hint="eastAsia" w:ascii="宋体" w:hAnsi="宋体" w:eastAsia="宋体" w:cs="宋体"/>
          <w:sz w:val="28"/>
          <w:szCs w:val="21"/>
          <w:highlight w:val="none"/>
        </w:rPr>
        <w:t>文件第五章</w:t>
      </w:r>
      <w:r>
        <w:rPr>
          <w:rFonts w:hint="eastAsia" w:ascii="宋体" w:hAnsi="宋体" w:cs="宋体"/>
          <w:sz w:val="28"/>
          <w:szCs w:val="21"/>
          <w:highlight w:val="none"/>
          <w:lang w:val="en-US" w:eastAsia="zh-CN"/>
        </w:rPr>
        <w:t>技术条款的</w:t>
      </w:r>
      <w:r>
        <w:rPr>
          <w:rFonts w:hint="eastAsia" w:ascii="宋体" w:hAnsi="宋体" w:eastAsia="宋体" w:cs="宋体"/>
          <w:sz w:val="28"/>
          <w:szCs w:val="21"/>
          <w:highlight w:val="none"/>
        </w:rPr>
        <w:t>内容逐条填写。若有偏离,请将具体偏离条款在“偏离”一栏中详细说明;若无偏离,请在“偏离”一栏中标注“无”字样，不填写视为不响应。</w:t>
      </w:r>
    </w:p>
    <w:p>
      <w:pPr>
        <w:pStyle w:val="29"/>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eastAsia" w:ascii="宋体" w:hAnsi="宋体" w:eastAsia="宋体" w:cs="宋体"/>
          <w:sz w:val="28"/>
          <w:szCs w:val="21"/>
          <w:highlight w:val="none"/>
        </w:rPr>
      </w:pP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4"/>
        <w:spacing w:line="360" w:lineRule="auto"/>
        <w:rPr>
          <w:rFonts w:hint="eastAsia" w:ascii="宋体" w:hAnsi="宋体" w:eastAsia="宋体" w:cs="宋体"/>
          <w:b/>
          <w:sz w:val="28"/>
          <w:highlight w:val="none"/>
        </w:rPr>
      </w:pPr>
      <w:r>
        <w:rPr>
          <w:rFonts w:hint="eastAsia" w:ascii="宋体" w:hAnsi="宋体" w:eastAsia="宋体" w:cs="宋体"/>
          <w:highlight w:val="none"/>
        </w:rPr>
        <w:br w:type="page"/>
      </w:r>
      <w:bookmarkStart w:id="114" w:name="_Toc62744677"/>
      <w:r>
        <w:rPr>
          <w:rFonts w:hint="eastAsia" w:cs="宋体"/>
          <w:b/>
          <w:bCs/>
          <w:sz w:val="28"/>
          <w:szCs w:val="28"/>
          <w:highlight w:val="none"/>
          <w:lang w:val="en-US" w:eastAsia="zh-CN" w:bidi="ar-SA"/>
        </w:rPr>
        <w:t>十</w:t>
      </w:r>
      <w:r>
        <w:rPr>
          <w:rFonts w:hint="eastAsia" w:ascii="宋体" w:hAnsi="宋体" w:eastAsia="宋体" w:cs="宋体"/>
          <w:b/>
          <w:bCs/>
          <w:sz w:val="28"/>
          <w:szCs w:val="28"/>
          <w:highlight w:val="none"/>
          <w:lang w:val="en-US" w:eastAsia="zh-CN" w:bidi="ar-SA"/>
        </w:rPr>
        <w:t>、近</w:t>
      </w:r>
      <w:r>
        <w:rPr>
          <w:rFonts w:hint="eastAsia" w:cs="宋体"/>
          <w:b/>
          <w:bCs/>
          <w:sz w:val="28"/>
          <w:szCs w:val="28"/>
          <w:highlight w:val="none"/>
          <w:lang w:val="en-US" w:eastAsia="zh-CN" w:bidi="ar-SA"/>
        </w:rPr>
        <w:t>两</w:t>
      </w:r>
      <w:r>
        <w:rPr>
          <w:rFonts w:hint="eastAsia" w:ascii="宋体" w:hAnsi="宋体" w:eastAsia="宋体" w:cs="宋体"/>
          <w:b/>
          <w:bCs/>
          <w:sz w:val="28"/>
          <w:szCs w:val="28"/>
          <w:highlight w:val="none"/>
          <w:lang w:val="en-US" w:eastAsia="zh-CN" w:bidi="ar-SA"/>
        </w:rPr>
        <w:t>年（20</w:t>
      </w:r>
      <w:r>
        <w:rPr>
          <w:rFonts w:hint="eastAsia" w:cs="宋体"/>
          <w:b/>
          <w:bCs/>
          <w:sz w:val="28"/>
          <w:szCs w:val="28"/>
          <w:highlight w:val="none"/>
          <w:lang w:val="en-US" w:eastAsia="zh-CN" w:bidi="ar-SA"/>
        </w:rPr>
        <w:t>20</w:t>
      </w:r>
      <w:r>
        <w:rPr>
          <w:rFonts w:hint="eastAsia" w:ascii="宋体" w:hAnsi="宋体" w:eastAsia="宋体" w:cs="宋体"/>
          <w:b/>
          <w:bCs/>
          <w:sz w:val="28"/>
          <w:szCs w:val="28"/>
          <w:highlight w:val="none"/>
          <w:lang w:val="en-US" w:eastAsia="zh-CN" w:bidi="ar-SA"/>
        </w:rPr>
        <w:t>年1月1日至今）类似业绩表</w:t>
      </w:r>
      <w:bookmarkEnd w:id="114"/>
    </w:p>
    <w:p>
      <w:pPr>
        <w:pStyle w:val="23"/>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                             项目编号：</w:t>
      </w:r>
    </w:p>
    <w:tbl>
      <w:tblPr>
        <w:tblStyle w:val="1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701"/>
        <w:gridCol w:w="1846"/>
        <w:gridCol w:w="2238"/>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jc w:val="center"/>
        </w:trPr>
        <w:tc>
          <w:tcPr>
            <w:tcW w:w="1198" w:type="dxa"/>
            <w:noWrap w:val="0"/>
            <w:vAlign w:val="center"/>
          </w:tcPr>
          <w:p>
            <w:pPr>
              <w:pStyle w:val="2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1" w:type="dxa"/>
            <w:noWrap w:val="0"/>
            <w:vAlign w:val="center"/>
          </w:tcPr>
          <w:p>
            <w:pPr>
              <w:pStyle w:val="2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846" w:type="dxa"/>
            <w:noWrap w:val="0"/>
            <w:vAlign w:val="center"/>
          </w:tcPr>
          <w:p>
            <w:pPr>
              <w:pStyle w:val="2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签订合同时间</w:t>
            </w:r>
          </w:p>
        </w:tc>
        <w:tc>
          <w:tcPr>
            <w:tcW w:w="2238" w:type="dxa"/>
            <w:noWrap w:val="0"/>
            <w:vAlign w:val="center"/>
          </w:tcPr>
          <w:p>
            <w:pPr>
              <w:pStyle w:val="2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251" w:type="dxa"/>
            <w:noWrap w:val="0"/>
            <w:vAlign w:val="center"/>
          </w:tcPr>
          <w:p>
            <w:pPr>
              <w:pStyle w:val="2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3"/>
              <w:spacing w:line="360" w:lineRule="auto"/>
              <w:rPr>
                <w:rFonts w:hint="eastAsia" w:ascii="宋体" w:hAnsi="宋体" w:eastAsia="宋体" w:cs="宋体"/>
                <w:color w:val="auto"/>
                <w:highlight w:val="none"/>
              </w:rPr>
            </w:pPr>
          </w:p>
        </w:tc>
        <w:tc>
          <w:tcPr>
            <w:tcW w:w="2701" w:type="dxa"/>
            <w:noWrap w:val="0"/>
            <w:vAlign w:val="center"/>
          </w:tcPr>
          <w:p>
            <w:pPr>
              <w:pStyle w:val="23"/>
              <w:spacing w:line="360" w:lineRule="auto"/>
              <w:rPr>
                <w:rFonts w:hint="eastAsia" w:ascii="宋体" w:hAnsi="宋体" w:eastAsia="宋体" w:cs="宋体"/>
                <w:color w:val="auto"/>
                <w:highlight w:val="none"/>
              </w:rPr>
            </w:pPr>
          </w:p>
        </w:tc>
        <w:tc>
          <w:tcPr>
            <w:tcW w:w="1846" w:type="dxa"/>
            <w:noWrap w:val="0"/>
            <w:vAlign w:val="center"/>
          </w:tcPr>
          <w:p>
            <w:pPr>
              <w:pStyle w:val="23"/>
              <w:spacing w:line="360" w:lineRule="auto"/>
              <w:rPr>
                <w:rFonts w:hint="eastAsia" w:ascii="宋体" w:hAnsi="宋体" w:eastAsia="宋体" w:cs="宋体"/>
                <w:color w:val="auto"/>
                <w:highlight w:val="none"/>
              </w:rPr>
            </w:pPr>
          </w:p>
        </w:tc>
        <w:tc>
          <w:tcPr>
            <w:tcW w:w="2238" w:type="dxa"/>
            <w:noWrap w:val="0"/>
            <w:vAlign w:val="center"/>
          </w:tcPr>
          <w:p>
            <w:pPr>
              <w:pStyle w:val="23"/>
              <w:spacing w:line="360" w:lineRule="auto"/>
              <w:rPr>
                <w:rFonts w:hint="eastAsia" w:ascii="宋体" w:hAnsi="宋体" w:eastAsia="宋体" w:cs="宋体"/>
                <w:color w:val="auto"/>
                <w:highlight w:val="none"/>
              </w:rPr>
            </w:pPr>
          </w:p>
        </w:tc>
        <w:tc>
          <w:tcPr>
            <w:tcW w:w="1251" w:type="dxa"/>
            <w:noWrap w:val="0"/>
            <w:vAlign w:val="center"/>
          </w:tcPr>
          <w:p>
            <w:pPr>
              <w:pStyle w:val="23"/>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3"/>
              <w:spacing w:line="360" w:lineRule="auto"/>
              <w:rPr>
                <w:rFonts w:hint="eastAsia" w:ascii="宋体" w:hAnsi="宋体" w:eastAsia="宋体" w:cs="宋体"/>
                <w:color w:val="auto"/>
                <w:highlight w:val="none"/>
              </w:rPr>
            </w:pPr>
          </w:p>
        </w:tc>
        <w:tc>
          <w:tcPr>
            <w:tcW w:w="2701" w:type="dxa"/>
            <w:noWrap w:val="0"/>
            <w:vAlign w:val="center"/>
          </w:tcPr>
          <w:p>
            <w:pPr>
              <w:pStyle w:val="23"/>
              <w:spacing w:line="360" w:lineRule="auto"/>
              <w:rPr>
                <w:rFonts w:hint="eastAsia" w:ascii="宋体" w:hAnsi="宋体" w:eastAsia="宋体" w:cs="宋体"/>
                <w:color w:val="auto"/>
                <w:highlight w:val="none"/>
              </w:rPr>
            </w:pPr>
          </w:p>
        </w:tc>
        <w:tc>
          <w:tcPr>
            <w:tcW w:w="1846" w:type="dxa"/>
            <w:noWrap w:val="0"/>
            <w:vAlign w:val="center"/>
          </w:tcPr>
          <w:p>
            <w:pPr>
              <w:pStyle w:val="23"/>
              <w:spacing w:line="360" w:lineRule="auto"/>
              <w:rPr>
                <w:rFonts w:hint="eastAsia" w:ascii="宋体" w:hAnsi="宋体" w:eastAsia="宋体" w:cs="宋体"/>
                <w:color w:val="auto"/>
                <w:highlight w:val="none"/>
              </w:rPr>
            </w:pPr>
          </w:p>
        </w:tc>
        <w:tc>
          <w:tcPr>
            <w:tcW w:w="2238" w:type="dxa"/>
            <w:noWrap w:val="0"/>
            <w:vAlign w:val="center"/>
          </w:tcPr>
          <w:p>
            <w:pPr>
              <w:pStyle w:val="23"/>
              <w:spacing w:line="360" w:lineRule="auto"/>
              <w:rPr>
                <w:rFonts w:hint="eastAsia" w:ascii="宋体" w:hAnsi="宋体" w:eastAsia="宋体" w:cs="宋体"/>
                <w:color w:val="auto"/>
                <w:highlight w:val="none"/>
              </w:rPr>
            </w:pPr>
          </w:p>
        </w:tc>
        <w:tc>
          <w:tcPr>
            <w:tcW w:w="1251" w:type="dxa"/>
            <w:noWrap w:val="0"/>
            <w:vAlign w:val="center"/>
          </w:tcPr>
          <w:p>
            <w:pPr>
              <w:pStyle w:val="23"/>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3"/>
              <w:spacing w:line="360" w:lineRule="auto"/>
              <w:rPr>
                <w:rFonts w:hint="eastAsia" w:ascii="宋体" w:hAnsi="宋体" w:eastAsia="宋体" w:cs="宋体"/>
                <w:color w:val="auto"/>
                <w:highlight w:val="none"/>
              </w:rPr>
            </w:pPr>
          </w:p>
        </w:tc>
        <w:tc>
          <w:tcPr>
            <w:tcW w:w="2701" w:type="dxa"/>
            <w:noWrap w:val="0"/>
            <w:vAlign w:val="center"/>
          </w:tcPr>
          <w:p>
            <w:pPr>
              <w:pStyle w:val="23"/>
              <w:spacing w:line="360" w:lineRule="auto"/>
              <w:rPr>
                <w:rFonts w:hint="eastAsia" w:ascii="宋体" w:hAnsi="宋体" w:eastAsia="宋体" w:cs="宋体"/>
                <w:color w:val="auto"/>
                <w:highlight w:val="none"/>
              </w:rPr>
            </w:pPr>
          </w:p>
        </w:tc>
        <w:tc>
          <w:tcPr>
            <w:tcW w:w="1846" w:type="dxa"/>
            <w:noWrap w:val="0"/>
            <w:vAlign w:val="center"/>
          </w:tcPr>
          <w:p>
            <w:pPr>
              <w:pStyle w:val="23"/>
              <w:spacing w:line="360" w:lineRule="auto"/>
              <w:rPr>
                <w:rFonts w:hint="eastAsia" w:ascii="宋体" w:hAnsi="宋体" w:eastAsia="宋体" w:cs="宋体"/>
                <w:color w:val="auto"/>
                <w:highlight w:val="none"/>
              </w:rPr>
            </w:pPr>
          </w:p>
        </w:tc>
        <w:tc>
          <w:tcPr>
            <w:tcW w:w="2238" w:type="dxa"/>
            <w:noWrap w:val="0"/>
            <w:vAlign w:val="center"/>
          </w:tcPr>
          <w:p>
            <w:pPr>
              <w:pStyle w:val="23"/>
              <w:spacing w:line="360" w:lineRule="auto"/>
              <w:rPr>
                <w:rFonts w:hint="eastAsia" w:ascii="宋体" w:hAnsi="宋体" w:eastAsia="宋体" w:cs="宋体"/>
                <w:color w:val="auto"/>
                <w:highlight w:val="none"/>
              </w:rPr>
            </w:pPr>
          </w:p>
        </w:tc>
        <w:tc>
          <w:tcPr>
            <w:tcW w:w="1251" w:type="dxa"/>
            <w:noWrap w:val="0"/>
            <w:vAlign w:val="center"/>
          </w:tcPr>
          <w:p>
            <w:pPr>
              <w:pStyle w:val="23"/>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3"/>
              <w:spacing w:line="360" w:lineRule="auto"/>
              <w:rPr>
                <w:rFonts w:hint="eastAsia" w:ascii="宋体" w:hAnsi="宋体" w:eastAsia="宋体" w:cs="宋体"/>
                <w:color w:val="auto"/>
                <w:highlight w:val="none"/>
              </w:rPr>
            </w:pPr>
          </w:p>
        </w:tc>
        <w:tc>
          <w:tcPr>
            <w:tcW w:w="2701" w:type="dxa"/>
            <w:noWrap w:val="0"/>
            <w:vAlign w:val="center"/>
          </w:tcPr>
          <w:p>
            <w:pPr>
              <w:pStyle w:val="23"/>
              <w:spacing w:line="360" w:lineRule="auto"/>
              <w:rPr>
                <w:rFonts w:hint="eastAsia" w:ascii="宋体" w:hAnsi="宋体" w:eastAsia="宋体" w:cs="宋体"/>
                <w:color w:val="auto"/>
                <w:highlight w:val="none"/>
              </w:rPr>
            </w:pPr>
          </w:p>
        </w:tc>
        <w:tc>
          <w:tcPr>
            <w:tcW w:w="1846" w:type="dxa"/>
            <w:noWrap w:val="0"/>
            <w:vAlign w:val="center"/>
          </w:tcPr>
          <w:p>
            <w:pPr>
              <w:pStyle w:val="23"/>
              <w:spacing w:line="360" w:lineRule="auto"/>
              <w:rPr>
                <w:rFonts w:hint="eastAsia" w:ascii="宋体" w:hAnsi="宋体" w:eastAsia="宋体" w:cs="宋体"/>
                <w:color w:val="auto"/>
                <w:highlight w:val="none"/>
              </w:rPr>
            </w:pPr>
          </w:p>
        </w:tc>
        <w:tc>
          <w:tcPr>
            <w:tcW w:w="2238" w:type="dxa"/>
            <w:noWrap w:val="0"/>
            <w:vAlign w:val="center"/>
          </w:tcPr>
          <w:p>
            <w:pPr>
              <w:pStyle w:val="23"/>
              <w:spacing w:line="360" w:lineRule="auto"/>
              <w:rPr>
                <w:rFonts w:hint="eastAsia" w:ascii="宋体" w:hAnsi="宋体" w:eastAsia="宋体" w:cs="宋体"/>
                <w:color w:val="auto"/>
                <w:highlight w:val="none"/>
              </w:rPr>
            </w:pPr>
          </w:p>
        </w:tc>
        <w:tc>
          <w:tcPr>
            <w:tcW w:w="1251" w:type="dxa"/>
            <w:noWrap w:val="0"/>
            <w:vAlign w:val="center"/>
          </w:tcPr>
          <w:p>
            <w:pPr>
              <w:pStyle w:val="23"/>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3"/>
              <w:spacing w:line="360" w:lineRule="auto"/>
              <w:rPr>
                <w:rFonts w:hint="eastAsia" w:ascii="宋体" w:hAnsi="宋体" w:eastAsia="宋体" w:cs="宋体"/>
                <w:color w:val="auto"/>
                <w:highlight w:val="none"/>
              </w:rPr>
            </w:pPr>
          </w:p>
        </w:tc>
        <w:tc>
          <w:tcPr>
            <w:tcW w:w="2701" w:type="dxa"/>
            <w:noWrap w:val="0"/>
            <w:vAlign w:val="center"/>
          </w:tcPr>
          <w:p>
            <w:pPr>
              <w:pStyle w:val="23"/>
              <w:spacing w:line="360" w:lineRule="auto"/>
              <w:rPr>
                <w:rFonts w:hint="eastAsia" w:ascii="宋体" w:hAnsi="宋体" w:eastAsia="宋体" w:cs="宋体"/>
                <w:color w:val="auto"/>
                <w:highlight w:val="none"/>
              </w:rPr>
            </w:pPr>
          </w:p>
        </w:tc>
        <w:tc>
          <w:tcPr>
            <w:tcW w:w="1846" w:type="dxa"/>
            <w:noWrap w:val="0"/>
            <w:vAlign w:val="center"/>
          </w:tcPr>
          <w:p>
            <w:pPr>
              <w:pStyle w:val="23"/>
              <w:spacing w:line="360" w:lineRule="auto"/>
              <w:rPr>
                <w:rFonts w:hint="eastAsia" w:ascii="宋体" w:hAnsi="宋体" w:eastAsia="宋体" w:cs="宋体"/>
                <w:color w:val="auto"/>
                <w:highlight w:val="none"/>
              </w:rPr>
            </w:pPr>
          </w:p>
        </w:tc>
        <w:tc>
          <w:tcPr>
            <w:tcW w:w="2238" w:type="dxa"/>
            <w:noWrap w:val="0"/>
            <w:vAlign w:val="center"/>
          </w:tcPr>
          <w:p>
            <w:pPr>
              <w:pStyle w:val="23"/>
              <w:spacing w:line="360" w:lineRule="auto"/>
              <w:rPr>
                <w:rFonts w:hint="eastAsia" w:ascii="宋体" w:hAnsi="宋体" w:eastAsia="宋体" w:cs="宋体"/>
                <w:color w:val="auto"/>
                <w:highlight w:val="none"/>
              </w:rPr>
            </w:pPr>
          </w:p>
        </w:tc>
        <w:tc>
          <w:tcPr>
            <w:tcW w:w="1251" w:type="dxa"/>
            <w:noWrap w:val="0"/>
            <w:vAlign w:val="center"/>
          </w:tcPr>
          <w:p>
            <w:pPr>
              <w:pStyle w:val="23"/>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3"/>
              <w:spacing w:line="360" w:lineRule="auto"/>
              <w:rPr>
                <w:rFonts w:hint="eastAsia" w:ascii="宋体" w:hAnsi="宋体" w:eastAsia="宋体" w:cs="宋体"/>
                <w:color w:val="auto"/>
                <w:highlight w:val="none"/>
              </w:rPr>
            </w:pPr>
          </w:p>
        </w:tc>
        <w:tc>
          <w:tcPr>
            <w:tcW w:w="2701" w:type="dxa"/>
            <w:noWrap w:val="0"/>
            <w:vAlign w:val="center"/>
          </w:tcPr>
          <w:p>
            <w:pPr>
              <w:pStyle w:val="23"/>
              <w:spacing w:line="360" w:lineRule="auto"/>
              <w:rPr>
                <w:rFonts w:hint="eastAsia" w:ascii="宋体" w:hAnsi="宋体" w:eastAsia="宋体" w:cs="宋体"/>
                <w:color w:val="auto"/>
                <w:highlight w:val="none"/>
              </w:rPr>
            </w:pPr>
          </w:p>
        </w:tc>
        <w:tc>
          <w:tcPr>
            <w:tcW w:w="1846" w:type="dxa"/>
            <w:noWrap w:val="0"/>
            <w:vAlign w:val="center"/>
          </w:tcPr>
          <w:p>
            <w:pPr>
              <w:pStyle w:val="23"/>
              <w:spacing w:line="360" w:lineRule="auto"/>
              <w:rPr>
                <w:rFonts w:hint="eastAsia" w:ascii="宋体" w:hAnsi="宋体" w:eastAsia="宋体" w:cs="宋体"/>
                <w:color w:val="auto"/>
                <w:highlight w:val="none"/>
              </w:rPr>
            </w:pPr>
          </w:p>
        </w:tc>
        <w:tc>
          <w:tcPr>
            <w:tcW w:w="2238" w:type="dxa"/>
            <w:noWrap w:val="0"/>
            <w:vAlign w:val="center"/>
          </w:tcPr>
          <w:p>
            <w:pPr>
              <w:pStyle w:val="23"/>
              <w:spacing w:line="360" w:lineRule="auto"/>
              <w:rPr>
                <w:rFonts w:hint="eastAsia" w:ascii="宋体" w:hAnsi="宋体" w:eastAsia="宋体" w:cs="宋体"/>
                <w:color w:val="auto"/>
                <w:highlight w:val="none"/>
              </w:rPr>
            </w:pPr>
          </w:p>
        </w:tc>
        <w:tc>
          <w:tcPr>
            <w:tcW w:w="1251" w:type="dxa"/>
            <w:noWrap w:val="0"/>
            <w:vAlign w:val="center"/>
          </w:tcPr>
          <w:p>
            <w:pPr>
              <w:pStyle w:val="23"/>
              <w:spacing w:line="360" w:lineRule="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3"/>
              <w:spacing w:line="360" w:lineRule="auto"/>
              <w:rPr>
                <w:rFonts w:hint="eastAsia" w:ascii="宋体" w:hAnsi="宋体" w:eastAsia="宋体" w:cs="宋体"/>
                <w:color w:val="auto"/>
                <w:highlight w:val="none"/>
              </w:rPr>
            </w:pPr>
          </w:p>
        </w:tc>
        <w:tc>
          <w:tcPr>
            <w:tcW w:w="2701" w:type="dxa"/>
            <w:noWrap w:val="0"/>
            <w:vAlign w:val="center"/>
          </w:tcPr>
          <w:p>
            <w:pPr>
              <w:pStyle w:val="23"/>
              <w:spacing w:line="360" w:lineRule="auto"/>
              <w:rPr>
                <w:rFonts w:hint="eastAsia" w:ascii="宋体" w:hAnsi="宋体" w:eastAsia="宋体" w:cs="宋体"/>
                <w:color w:val="auto"/>
                <w:highlight w:val="none"/>
              </w:rPr>
            </w:pPr>
          </w:p>
        </w:tc>
        <w:tc>
          <w:tcPr>
            <w:tcW w:w="1846" w:type="dxa"/>
            <w:noWrap w:val="0"/>
            <w:vAlign w:val="center"/>
          </w:tcPr>
          <w:p>
            <w:pPr>
              <w:pStyle w:val="23"/>
              <w:spacing w:line="360" w:lineRule="auto"/>
              <w:rPr>
                <w:rFonts w:hint="eastAsia" w:ascii="宋体" w:hAnsi="宋体" w:eastAsia="宋体" w:cs="宋体"/>
                <w:color w:val="auto"/>
                <w:highlight w:val="none"/>
              </w:rPr>
            </w:pPr>
          </w:p>
        </w:tc>
        <w:tc>
          <w:tcPr>
            <w:tcW w:w="2238" w:type="dxa"/>
            <w:noWrap w:val="0"/>
            <w:vAlign w:val="center"/>
          </w:tcPr>
          <w:p>
            <w:pPr>
              <w:pStyle w:val="23"/>
              <w:spacing w:line="360" w:lineRule="auto"/>
              <w:rPr>
                <w:rFonts w:hint="eastAsia" w:ascii="宋体" w:hAnsi="宋体" w:eastAsia="宋体" w:cs="宋体"/>
                <w:color w:val="auto"/>
                <w:highlight w:val="none"/>
              </w:rPr>
            </w:pPr>
          </w:p>
        </w:tc>
        <w:tc>
          <w:tcPr>
            <w:tcW w:w="1251" w:type="dxa"/>
            <w:noWrap w:val="0"/>
            <w:vAlign w:val="center"/>
          </w:tcPr>
          <w:p>
            <w:pPr>
              <w:pStyle w:val="23"/>
              <w:spacing w:line="360" w:lineRule="auto"/>
              <w:rPr>
                <w:rFonts w:hint="eastAsia" w:ascii="宋体" w:hAnsi="宋体" w:eastAsia="宋体" w:cs="宋体"/>
                <w:color w:val="auto"/>
                <w:highlight w:val="none"/>
              </w:rPr>
            </w:pPr>
          </w:p>
        </w:tc>
      </w:tr>
    </w:tbl>
    <w:p>
      <w:pPr>
        <w:pStyle w:val="29"/>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default" w:ascii="宋体" w:hAnsi="宋体" w:eastAsia="宋体" w:cs="宋体"/>
          <w:sz w:val="28"/>
          <w:szCs w:val="21"/>
          <w:highlight w:val="none"/>
          <w:lang w:val="en-US" w:eastAsia="zh-CN"/>
        </w:rPr>
      </w:pPr>
      <w:r>
        <w:rPr>
          <w:rFonts w:hint="eastAsia" w:ascii="宋体" w:hAnsi="宋体" w:eastAsia="宋体" w:cs="宋体"/>
          <w:sz w:val="28"/>
          <w:szCs w:val="21"/>
          <w:highlight w:val="none"/>
          <w:lang w:val="en-US" w:eastAsia="zh-CN"/>
        </w:rPr>
        <w:t>注：供应商应随此表附上类似业绩证明（须包含中标通知书或合同）</w:t>
      </w:r>
      <w:r>
        <w:rPr>
          <w:rFonts w:hint="eastAsia" w:ascii="宋体" w:hAnsi="宋体" w:cs="宋体"/>
          <w:sz w:val="28"/>
          <w:szCs w:val="21"/>
          <w:highlight w:val="none"/>
          <w:lang w:val="en-US" w:eastAsia="zh-CN"/>
        </w:rPr>
        <w:t>，类似业绩指本次投标产品，投标人或厂家在全国范围内的销售业绩。</w:t>
      </w:r>
    </w:p>
    <w:p>
      <w:pPr>
        <w:pStyle w:val="29"/>
        <w:spacing w:line="360" w:lineRule="auto"/>
        <w:rPr>
          <w:rFonts w:hint="eastAsia" w:ascii="宋体" w:hAnsi="宋体" w:eastAsia="宋体" w:cs="宋体"/>
          <w:sz w:val="28"/>
          <w:szCs w:val="21"/>
          <w:highlight w:val="none"/>
          <w:lang w:val="en-US" w:eastAsia="zh-CN"/>
        </w:rPr>
      </w:pP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w:t>
      </w:r>
      <w:r>
        <w:rPr>
          <w:rFonts w:hint="eastAsia" w:ascii="宋体" w:hAnsi="宋体" w:eastAsia="宋体" w:cs="宋体"/>
          <w:color w:val="auto"/>
          <w:sz w:val="28"/>
          <w:highlight w:val="none"/>
        </w:rPr>
        <w:t>名称</w:t>
      </w:r>
      <w:r>
        <w:rPr>
          <w:rFonts w:hint="eastAsia" w:ascii="宋体" w:hAnsi="宋体" w:eastAsia="宋体" w:cs="宋体"/>
          <w:color w:val="auto"/>
          <w:sz w:val="28"/>
          <w:szCs w:val="28"/>
          <w:highlight w:val="none"/>
        </w:rPr>
        <w:t>（公章）：</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法人代表或授权代表（签字）：</w:t>
      </w:r>
    </w:p>
    <w:p>
      <w:pPr>
        <w:pStyle w:val="23"/>
        <w:spacing w:line="360" w:lineRule="auto"/>
        <w:ind w:firstLine="3542" w:firstLineChars="1265"/>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4"/>
        <w:spacing w:line="360" w:lineRule="auto"/>
        <w:rPr>
          <w:rFonts w:hint="eastAsia" w:eastAsia="宋体" w:cs="宋体"/>
          <w:b/>
          <w:bCs/>
          <w:sz w:val="28"/>
          <w:szCs w:val="28"/>
          <w:highlight w:val="none"/>
          <w:lang w:val="en-US" w:eastAsia="zh-CN" w:bidi="ar-SA"/>
        </w:rPr>
      </w:pPr>
      <w:r>
        <w:rPr>
          <w:rFonts w:hint="eastAsia" w:ascii="宋体" w:hAnsi="宋体" w:eastAsia="宋体" w:cs="宋体"/>
          <w:highlight w:val="none"/>
        </w:rPr>
        <w:br w:type="page"/>
      </w:r>
      <w:r>
        <w:rPr>
          <w:rFonts w:hint="eastAsia" w:ascii="宋体" w:hAnsi="宋体" w:eastAsia="宋体" w:cs="宋体"/>
          <w:b/>
          <w:bCs/>
          <w:sz w:val="28"/>
          <w:szCs w:val="28"/>
          <w:highlight w:val="none"/>
          <w:lang w:val="en-US" w:eastAsia="zh-CN" w:bidi="ar-SA"/>
        </w:rPr>
        <w:t>十</w:t>
      </w:r>
      <w:r>
        <w:rPr>
          <w:rFonts w:hint="eastAsia" w:cs="宋体"/>
          <w:b/>
          <w:bCs/>
          <w:sz w:val="28"/>
          <w:szCs w:val="28"/>
          <w:highlight w:val="none"/>
          <w:lang w:val="en-US" w:eastAsia="zh-CN" w:bidi="ar-SA"/>
        </w:rPr>
        <w:t>一</w:t>
      </w:r>
      <w:r>
        <w:rPr>
          <w:rFonts w:hint="eastAsia" w:ascii="宋体" w:hAnsi="宋体" w:eastAsia="宋体" w:cs="宋体"/>
          <w:b/>
          <w:bCs/>
          <w:sz w:val="28"/>
          <w:szCs w:val="28"/>
          <w:highlight w:val="none"/>
          <w:lang w:val="en-US" w:eastAsia="zh-CN" w:bidi="ar-SA"/>
        </w:rPr>
        <w:t>、</w:t>
      </w:r>
      <w:r>
        <w:rPr>
          <w:rFonts w:hint="eastAsia" w:eastAsia="宋体" w:cs="宋体"/>
          <w:b/>
          <w:bCs/>
          <w:sz w:val="28"/>
          <w:szCs w:val="28"/>
          <w:highlight w:val="none"/>
          <w:lang w:val="en-US" w:eastAsia="zh-CN" w:bidi="ar-SA"/>
        </w:rPr>
        <w:t>2021年度财务</w:t>
      </w:r>
      <w:r>
        <w:rPr>
          <w:rFonts w:hint="eastAsia" w:cs="宋体"/>
          <w:b/>
          <w:bCs/>
          <w:sz w:val="28"/>
          <w:szCs w:val="28"/>
          <w:highlight w:val="none"/>
          <w:lang w:val="en-US" w:eastAsia="zh-CN" w:bidi="ar-SA"/>
        </w:rPr>
        <w:t>审计报告或财务报表</w:t>
      </w:r>
    </w:p>
    <w:p>
      <w:pPr>
        <w:rPr>
          <w:rFonts w:hint="eastAsia" w:eastAsia="宋体" w:cs="宋体"/>
          <w:b/>
          <w:bCs/>
          <w:sz w:val="28"/>
          <w:szCs w:val="28"/>
          <w:highlight w:val="none"/>
          <w:lang w:val="en-US" w:eastAsia="zh-CN" w:bidi="ar-SA"/>
        </w:rPr>
      </w:pPr>
      <w:r>
        <w:rPr>
          <w:rFonts w:hint="eastAsia" w:eastAsia="宋体" w:cs="宋体"/>
          <w:b/>
          <w:bCs/>
          <w:sz w:val="28"/>
          <w:szCs w:val="28"/>
          <w:highlight w:val="none"/>
          <w:lang w:val="en-US" w:eastAsia="zh-CN" w:bidi="ar-SA"/>
        </w:rPr>
        <w:br w:type="page"/>
      </w:r>
    </w:p>
    <w:p>
      <w:pPr>
        <w:rPr>
          <w:rFonts w:hint="default"/>
          <w:highlight w:val="none"/>
          <w:lang w:val="en-US"/>
        </w:rPr>
      </w:pPr>
    </w:p>
    <w:p>
      <w:pPr>
        <w:jc w:val="center"/>
        <w:rPr>
          <w:rFonts w:hint="eastAsia"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t>十</w:t>
      </w:r>
      <w:r>
        <w:rPr>
          <w:rFonts w:hint="eastAsia" w:ascii="宋体" w:hAnsi="宋体" w:cs="宋体"/>
          <w:b/>
          <w:bCs/>
          <w:sz w:val="28"/>
          <w:szCs w:val="28"/>
          <w:highlight w:val="none"/>
          <w:lang w:val="en-US" w:eastAsia="zh-CN" w:bidi="ar-SA"/>
        </w:rPr>
        <w:t>二</w:t>
      </w:r>
      <w:r>
        <w:rPr>
          <w:rFonts w:hint="eastAsia" w:ascii="宋体" w:hAnsi="宋体" w:eastAsia="宋体" w:cs="宋体"/>
          <w:b/>
          <w:bCs/>
          <w:sz w:val="28"/>
          <w:szCs w:val="28"/>
          <w:highlight w:val="none"/>
          <w:lang w:val="en-US" w:eastAsia="zh-CN" w:bidi="ar-SA"/>
        </w:rPr>
        <w:t>、</w:t>
      </w:r>
      <w:r>
        <w:rPr>
          <w:rFonts w:hint="eastAsia" w:ascii="宋体" w:hAnsi="宋体" w:cs="宋体"/>
          <w:b/>
          <w:bCs/>
          <w:sz w:val="28"/>
          <w:szCs w:val="28"/>
          <w:highlight w:val="none"/>
          <w:lang w:val="en-US" w:eastAsia="zh-CN" w:bidi="ar-SA"/>
        </w:rPr>
        <w:t>实施方案及</w:t>
      </w:r>
      <w:r>
        <w:rPr>
          <w:rFonts w:hint="eastAsia" w:ascii="Calibri" w:hAnsi="Calibri" w:eastAsia="宋体" w:cs="宋体"/>
          <w:b/>
          <w:bCs/>
          <w:sz w:val="28"/>
          <w:szCs w:val="28"/>
          <w:highlight w:val="none"/>
          <w:lang w:val="en-US" w:eastAsia="zh-CN" w:bidi="ar-SA"/>
        </w:rPr>
        <w:t>售后服务</w:t>
      </w:r>
    </w:p>
    <w:p>
      <w:pPr>
        <w:rPr>
          <w:rFonts w:hint="eastAsia" w:eastAsia="宋体" w:cs="宋体"/>
          <w:b/>
          <w:bCs/>
          <w:sz w:val="28"/>
          <w:szCs w:val="28"/>
          <w:highlight w:val="none"/>
          <w:lang w:val="en-US" w:eastAsia="zh-CN" w:bidi="ar-SA"/>
        </w:rPr>
      </w:pPr>
      <w:r>
        <w:rPr>
          <w:rFonts w:hint="eastAsia" w:eastAsia="宋体" w:cs="宋体"/>
          <w:b w:val="0"/>
          <w:bCs w:val="0"/>
          <w:sz w:val="28"/>
          <w:szCs w:val="28"/>
          <w:highlight w:val="none"/>
          <w:lang w:val="en-US" w:eastAsia="zh-CN" w:bidi="ar-SA"/>
        </w:rPr>
        <w:t>（格式自拟）</w:t>
      </w:r>
      <w:r>
        <w:rPr>
          <w:rFonts w:hint="eastAsia" w:eastAsia="宋体" w:cs="宋体"/>
          <w:b/>
          <w:bCs/>
          <w:sz w:val="28"/>
          <w:szCs w:val="28"/>
          <w:highlight w:val="none"/>
          <w:lang w:val="en-US" w:eastAsia="zh-CN" w:bidi="ar-SA"/>
        </w:rPr>
        <w:br w:type="page"/>
      </w:r>
    </w:p>
    <w:p>
      <w:pPr>
        <w:pStyle w:val="14"/>
        <w:jc w:val="center"/>
        <w:rPr>
          <w:rFonts w:hint="eastAsia" w:eastAsia="宋体" w:cs="宋体"/>
          <w:b/>
          <w:bCs/>
          <w:sz w:val="28"/>
          <w:szCs w:val="28"/>
          <w:highlight w:val="none"/>
          <w:lang w:val="en-US" w:eastAsia="zh-CN" w:bidi="ar-SA"/>
        </w:rPr>
      </w:pPr>
      <w:r>
        <w:rPr>
          <w:rFonts w:hint="eastAsia" w:ascii="Calibri" w:hAnsi="Calibri" w:eastAsia="宋体" w:cs="宋体"/>
          <w:b/>
          <w:bCs/>
          <w:sz w:val="28"/>
          <w:szCs w:val="28"/>
          <w:highlight w:val="none"/>
          <w:lang w:val="en-US" w:eastAsia="zh-CN" w:bidi="ar-SA"/>
        </w:rPr>
        <w:t>十</w:t>
      </w:r>
      <w:r>
        <w:rPr>
          <w:rFonts w:hint="eastAsia" w:cs="宋体"/>
          <w:b/>
          <w:bCs/>
          <w:sz w:val="28"/>
          <w:szCs w:val="28"/>
          <w:highlight w:val="none"/>
          <w:lang w:val="en-US" w:eastAsia="zh-CN" w:bidi="ar-SA"/>
        </w:rPr>
        <w:t>三</w:t>
      </w:r>
      <w:r>
        <w:rPr>
          <w:rFonts w:hint="eastAsia" w:ascii="Calibri" w:hAnsi="Calibri" w:eastAsia="宋体" w:cs="宋体"/>
          <w:b/>
          <w:bCs/>
          <w:sz w:val="28"/>
          <w:szCs w:val="28"/>
          <w:highlight w:val="none"/>
          <w:lang w:val="en-US" w:eastAsia="zh-CN" w:bidi="ar-SA"/>
        </w:rPr>
        <w:t>、</w:t>
      </w:r>
      <w:r>
        <w:rPr>
          <w:rFonts w:hint="eastAsia" w:eastAsia="宋体" w:cs="宋体"/>
          <w:b/>
          <w:bCs/>
          <w:sz w:val="28"/>
          <w:szCs w:val="28"/>
          <w:highlight w:val="none"/>
          <w:lang w:val="en-US" w:eastAsia="zh-CN" w:bidi="ar-SA"/>
        </w:rPr>
        <w:t>其他</w:t>
      </w:r>
    </w:p>
    <w:p>
      <w:pPr>
        <w:pStyle w:val="14"/>
        <w:numPr>
          <w:ilvl w:val="0"/>
          <w:numId w:val="0"/>
        </w:numPr>
        <w:rPr>
          <w:rFonts w:hint="eastAsia"/>
          <w:highlight w:val="none"/>
          <w:lang w:val="en-US" w:eastAsia="zh-CN"/>
        </w:rPr>
      </w:pPr>
    </w:p>
    <w:p>
      <w:pPr>
        <w:pStyle w:val="14"/>
        <w:numPr>
          <w:ilvl w:val="0"/>
          <w:numId w:val="6"/>
        </w:numPr>
        <w:spacing w:line="360" w:lineRule="auto"/>
        <w:rPr>
          <w:rFonts w:hint="eastAsia" w:ascii="宋体" w:hAnsi="宋体" w:eastAsia="宋体" w:cs="宋体"/>
          <w:b w:val="0"/>
          <w:bCs w:val="0"/>
          <w:sz w:val="28"/>
          <w:szCs w:val="28"/>
          <w:highlight w:val="none"/>
          <w:lang w:val="en-US" w:eastAsia="zh-CN" w:bidi="ar-SA"/>
        </w:rPr>
      </w:pPr>
      <w:r>
        <w:rPr>
          <w:rFonts w:hint="eastAsia" w:ascii="宋体" w:hAnsi="宋体" w:eastAsia="宋体" w:cs="宋体"/>
          <w:b w:val="0"/>
          <w:bCs w:val="0"/>
          <w:sz w:val="28"/>
          <w:szCs w:val="28"/>
          <w:highlight w:val="none"/>
        </w:rPr>
        <w:t>“信用中国”网（www.creditchina.gov.cn）中</w:t>
      </w:r>
      <w:r>
        <w:rPr>
          <w:rFonts w:hint="eastAsia" w:ascii="宋体" w:hAnsi="宋体" w:eastAsia="宋体" w:cs="宋体"/>
          <w:b w:val="0"/>
          <w:bCs w:val="0"/>
          <w:sz w:val="28"/>
          <w:szCs w:val="28"/>
          <w:highlight w:val="none"/>
          <w:lang w:val="en-US" w:eastAsia="zh-CN"/>
        </w:rPr>
        <w:t>未被</w:t>
      </w:r>
      <w:r>
        <w:rPr>
          <w:rFonts w:hint="eastAsia" w:ascii="宋体" w:hAnsi="宋体" w:eastAsia="宋体" w:cs="宋体"/>
          <w:b w:val="0"/>
          <w:bCs w:val="0"/>
          <w:sz w:val="28"/>
          <w:szCs w:val="28"/>
          <w:highlight w:val="none"/>
        </w:rPr>
        <w:t>列入失信被执行人和重大税收违法案件当事人名单</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未被列入</w:t>
      </w:r>
      <w:r>
        <w:rPr>
          <w:rFonts w:hint="eastAsia" w:ascii="宋体" w:hAnsi="宋体" w:eastAsia="宋体" w:cs="宋体"/>
          <w:b w:val="0"/>
          <w:bCs w:val="0"/>
          <w:sz w:val="28"/>
          <w:szCs w:val="28"/>
          <w:highlight w:val="none"/>
        </w:rPr>
        <w:t>中国政府采购网（www.ccgp.gov.cn）政府采购严重违法失信行为记录名单</w:t>
      </w:r>
      <w:r>
        <w:rPr>
          <w:rFonts w:hint="eastAsia" w:ascii="宋体" w:hAnsi="宋体" w:eastAsia="宋体" w:cs="宋体"/>
          <w:b w:val="0"/>
          <w:bCs w:val="0"/>
          <w:sz w:val="28"/>
          <w:szCs w:val="28"/>
          <w:highlight w:val="none"/>
          <w:lang w:val="en-US" w:eastAsia="zh-CN"/>
        </w:rPr>
        <w:t>的查询记录</w:t>
      </w:r>
      <w:r>
        <w:rPr>
          <w:rFonts w:hint="eastAsia" w:ascii="宋体" w:hAnsi="宋体" w:eastAsia="宋体" w:cs="宋体"/>
          <w:b w:val="0"/>
          <w:bCs w:val="0"/>
          <w:sz w:val="28"/>
          <w:szCs w:val="28"/>
          <w:highlight w:val="none"/>
        </w:rPr>
        <w:t>；</w:t>
      </w:r>
    </w:p>
    <w:p>
      <w:pPr>
        <w:pStyle w:val="14"/>
        <w:numPr>
          <w:ilvl w:val="0"/>
          <w:numId w:val="6"/>
        </w:numPr>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磋商保证金凭证</w:t>
      </w:r>
    </w:p>
    <w:p>
      <w:pPr>
        <w:pStyle w:val="14"/>
        <w:numPr>
          <w:ilvl w:val="0"/>
          <w:numId w:val="6"/>
        </w:numPr>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供应商认为需要提供的其他材料</w:t>
      </w:r>
    </w:p>
    <w:sectPr>
      <w:pgSz w:w="12240" w:h="15840"/>
      <w:pgMar w:top="850" w:right="850" w:bottom="1417" w:left="850" w:header="851" w:footer="850" w:gutter="0"/>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20"/>
      </w:rPr>
      <w:instrText xml:space="preserve"> PAGE </w:instrText>
    </w:r>
    <w:r>
      <w:fldChar w:fldCharType="separate"/>
    </w:r>
    <w:r>
      <w:rPr>
        <w:rStyle w:val="20"/>
      </w:rPr>
      <w:t>21</w:t>
    </w:r>
    <w: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dashDotStroked" w:color="auto" w:sz="24" w:space="1"/>
      </w:pBdr>
    </w:pPr>
    <w:r>
      <w:rPr>
        <w:rFonts w:hint="eastAsia"/>
        <w:b/>
        <w:bCs/>
        <w:i/>
        <w:iCs/>
      </w:rPr>
      <w:t xml:space="preserve">             </w:t>
    </w:r>
    <w:r>
      <w:rPr>
        <w:rFonts w:hint="eastAsia"/>
        <w:b/>
        <w:bCs/>
      </w:rPr>
      <w:t xml:space="preserve">                                                           </w:t>
    </w:r>
  </w:p>
  <w:p>
    <w:pPr>
      <w:pStyle w:val="1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20"/>
      </w:rPr>
      <w:instrText xml:space="preserve"> PAGE </w:instrText>
    </w:r>
    <w:r>
      <w:fldChar w:fldCharType="separate"/>
    </w:r>
    <w:r>
      <w:rPr>
        <w:rStyle w:val="20"/>
      </w:rPr>
      <w:t>21</w:t>
    </w:r>
    <w: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dashDotStroked" w:color="auto" w:sz="24" w:space="1"/>
      </w:pBdr>
    </w:pPr>
    <w:r>
      <w:rPr>
        <w:rFonts w:hint="eastAsia"/>
        <w:b/>
        <w:bCs/>
        <w:i/>
        <w:iCs/>
      </w:rPr>
      <w:t xml:space="preserve">             </w:t>
    </w:r>
    <w:r>
      <w:rPr>
        <w:rFonts w:hint="eastAsia"/>
        <w:b/>
        <w:bCs/>
      </w:rPr>
      <w:t xml:space="preserve">                                                           </w:t>
    </w:r>
  </w:p>
  <w:p>
    <w:pPr>
      <w:pStyle w:val="1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ashDotStroked" w:color="auto" w:sz="24" w:space="1"/>
      </w:pBdr>
      <w:tabs>
        <w:tab w:val="right" w:pos="9180"/>
        <w:tab w:val="clear" w:pos="8306"/>
      </w:tabs>
      <w:ind w:right="22" w:rightChars="9"/>
      <w:jc w:val="right"/>
      <w:rPr>
        <w:rFonts w:hint="eastAsia"/>
        <w:color w:val="FF0000"/>
      </w:rPr>
    </w:pPr>
    <w:r>
      <w:rPr>
        <w:rFonts w:hint="eastAsia" w:eastAsia="宋体"/>
        <w:color w:val="FF0000"/>
        <w:lang w:eastAsia="zh-CN"/>
      </w:rPr>
      <w:drawing>
        <wp:inline distT="0" distB="0" distL="114300" distR="114300">
          <wp:extent cx="253365" cy="258445"/>
          <wp:effectExtent l="0" t="0" r="13335" b="8255"/>
          <wp:docPr id="3" name="图片 2"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ashDotStroked" w:color="auto" w:sz="24" w:space="1"/>
      </w:pBdr>
      <w:tabs>
        <w:tab w:val="right" w:pos="9180"/>
        <w:tab w:val="clear" w:pos="8306"/>
      </w:tabs>
      <w:ind w:right="22" w:rightChars="9"/>
      <w:jc w:val="right"/>
      <w:rPr>
        <w:rFonts w:hint="eastAsia"/>
        <w:color w:val="FF0000"/>
      </w:rPr>
    </w:pPr>
    <w:r>
      <w:rPr>
        <w:rFonts w:hint="eastAsia" w:eastAsia="宋体"/>
        <w:color w:val="FF0000"/>
        <w:lang w:eastAsia="zh-CN"/>
      </w:rPr>
      <w:drawing>
        <wp:inline distT="0" distB="0" distL="114300" distR="114300">
          <wp:extent cx="253365" cy="258445"/>
          <wp:effectExtent l="0" t="0" r="13335" b="8255"/>
          <wp:docPr id="1" name="图片 1"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ashDotStroked" w:color="auto" w:sz="24" w:space="1"/>
      </w:pBdr>
      <w:tabs>
        <w:tab w:val="right" w:pos="9180"/>
        <w:tab w:val="clear" w:pos="8306"/>
      </w:tabs>
      <w:ind w:right="22" w:rightChars="9"/>
      <w:jc w:val="right"/>
      <w:rPr>
        <w:rFonts w:hint="eastAsia"/>
      </w:rPr>
    </w:pPr>
    <w:r>
      <w:rPr>
        <w:rFonts w:hint="eastAsia" w:eastAsia="宋体"/>
        <w:color w:val="FF0000"/>
        <w:lang w:eastAsia="zh-CN"/>
      </w:rPr>
      <w:drawing>
        <wp:inline distT="0" distB="0" distL="114300" distR="114300">
          <wp:extent cx="253365" cy="258445"/>
          <wp:effectExtent l="0" t="0" r="13335" b="8255"/>
          <wp:docPr id="4" name="图片 3"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ashDotStroked" w:color="auto" w:sz="24" w:space="1"/>
      </w:pBdr>
      <w:tabs>
        <w:tab w:val="right" w:pos="9180"/>
        <w:tab w:val="clear" w:pos="8306"/>
      </w:tabs>
      <w:ind w:right="22" w:rightChars="9"/>
      <w:jc w:val="right"/>
      <w:rPr>
        <w:rFonts w:hint="eastAsia"/>
      </w:rPr>
    </w:pPr>
    <w:r>
      <w:rPr>
        <w:rFonts w:hint="eastAsia" w:eastAsia="宋体"/>
        <w:color w:val="FF0000"/>
        <w:lang w:eastAsia="zh-CN"/>
      </w:rPr>
      <w:drawing>
        <wp:inline distT="0" distB="0" distL="114300" distR="114300">
          <wp:extent cx="253365" cy="258445"/>
          <wp:effectExtent l="0" t="0" r="13335" b="8255"/>
          <wp:docPr id="2" name="图片 3"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10EC2"/>
    <w:multiLevelType w:val="singleLevel"/>
    <w:tmpl w:val="9D410EC2"/>
    <w:lvl w:ilvl="0" w:tentative="0">
      <w:start w:val="18"/>
      <w:numFmt w:val="decimal"/>
      <w:suff w:val="nothing"/>
      <w:lvlText w:val="%1、"/>
      <w:lvlJc w:val="left"/>
    </w:lvl>
  </w:abstractNum>
  <w:abstractNum w:abstractNumId="1">
    <w:nsid w:val="C4478A03"/>
    <w:multiLevelType w:val="singleLevel"/>
    <w:tmpl w:val="C4478A03"/>
    <w:lvl w:ilvl="0" w:tentative="0">
      <w:start w:val="1"/>
      <w:numFmt w:val="decimal"/>
      <w:suff w:val="nothing"/>
      <w:lvlText w:val="%1、"/>
      <w:lvlJc w:val="left"/>
    </w:lvl>
  </w:abstractNum>
  <w:abstractNum w:abstractNumId="2">
    <w:nsid w:val="E690DF05"/>
    <w:multiLevelType w:val="singleLevel"/>
    <w:tmpl w:val="E690DF05"/>
    <w:lvl w:ilvl="0" w:tentative="0">
      <w:start w:val="1"/>
      <w:numFmt w:val="decimal"/>
      <w:suff w:val="nothing"/>
      <w:lvlText w:val="%1、"/>
      <w:lvlJc w:val="left"/>
    </w:lvl>
  </w:abstractNum>
  <w:abstractNum w:abstractNumId="3">
    <w:nsid w:val="470E0718"/>
    <w:multiLevelType w:val="singleLevel"/>
    <w:tmpl w:val="470E0718"/>
    <w:lvl w:ilvl="0" w:tentative="0">
      <w:start w:val="1"/>
      <w:numFmt w:val="decimal"/>
      <w:suff w:val="nothing"/>
      <w:lvlText w:val="（%1）"/>
      <w:lvlJc w:val="left"/>
    </w:lvl>
  </w:abstractNum>
  <w:abstractNum w:abstractNumId="4">
    <w:nsid w:val="578D6EE8"/>
    <w:multiLevelType w:val="singleLevel"/>
    <w:tmpl w:val="578D6EE8"/>
    <w:lvl w:ilvl="0" w:tentative="0">
      <w:start w:val="2"/>
      <w:numFmt w:val="decimal"/>
      <w:suff w:val="nothing"/>
      <w:lvlText w:val="%1、"/>
      <w:lvlJc w:val="left"/>
    </w:lvl>
  </w:abstractNum>
  <w:abstractNum w:abstractNumId="5">
    <w:nsid w:val="6009CB76"/>
    <w:multiLevelType w:val="singleLevel"/>
    <w:tmpl w:val="6009CB76"/>
    <w:lvl w:ilvl="0" w:tentative="0">
      <w:start w:val="3"/>
      <w:numFmt w:val="chineseCounting"/>
      <w:suff w:val="nothing"/>
      <w:lvlText w:val="%1、"/>
      <w:lvlJc w:val="left"/>
      <w:rPr>
        <w:rFonts w:hint="eastAsia"/>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560"/>
  <w:drawingGridHorizontalSpacing w:val="24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NhYzc5ZjkwYjZjM2MzN2E2ODFkZjZjYTg2MzgifQ=="/>
  </w:docVars>
  <w:rsids>
    <w:rsidRoot w:val="00000000"/>
    <w:rsid w:val="001B223C"/>
    <w:rsid w:val="0061538E"/>
    <w:rsid w:val="00806729"/>
    <w:rsid w:val="00C95909"/>
    <w:rsid w:val="01694A04"/>
    <w:rsid w:val="031A1C67"/>
    <w:rsid w:val="03292677"/>
    <w:rsid w:val="03B31109"/>
    <w:rsid w:val="04A74AF4"/>
    <w:rsid w:val="0596483F"/>
    <w:rsid w:val="06F821C9"/>
    <w:rsid w:val="0733430F"/>
    <w:rsid w:val="07C44EBE"/>
    <w:rsid w:val="0A975F97"/>
    <w:rsid w:val="0BEF6824"/>
    <w:rsid w:val="0E341099"/>
    <w:rsid w:val="0F001BD9"/>
    <w:rsid w:val="0F531592"/>
    <w:rsid w:val="127168E2"/>
    <w:rsid w:val="129C65F0"/>
    <w:rsid w:val="132A7240"/>
    <w:rsid w:val="13675A6C"/>
    <w:rsid w:val="15AE1224"/>
    <w:rsid w:val="15BD2D07"/>
    <w:rsid w:val="163833A9"/>
    <w:rsid w:val="180504AC"/>
    <w:rsid w:val="19704F75"/>
    <w:rsid w:val="1DC53ABB"/>
    <w:rsid w:val="1F5943A9"/>
    <w:rsid w:val="1F5B027F"/>
    <w:rsid w:val="201D2831"/>
    <w:rsid w:val="238E494F"/>
    <w:rsid w:val="23B27B4C"/>
    <w:rsid w:val="24871EC4"/>
    <w:rsid w:val="254D17B2"/>
    <w:rsid w:val="295C5BD1"/>
    <w:rsid w:val="29DB77E3"/>
    <w:rsid w:val="29F3375E"/>
    <w:rsid w:val="2A3508E7"/>
    <w:rsid w:val="2A497822"/>
    <w:rsid w:val="2B5C1979"/>
    <w:rsid w:val="2D5C4A6F"/>
    <w:rsid w:val="2DD65C7E"/>
    <w:rsid w:val="2E39781E"/>
    <w:rsid w:val="31482ECF"/>
    <w:rsid w:val="346D7ABA"/>
    <w:rsid w:val="363761CA"/>
    <w:rsid w:val="388D20E7"/>
    <w:rsid w:val="38CF3B43"/>
    <w:rsid w:val="38EE3502"/>
    <w:rsid w:val="3A6B72DF"/>
    <w:rsid w:val="3B9C2EA9"/>
    <w:rsid w:val="3C903FA5"/>
    <w:rsid w:val="3C9F4C73"/>
    <w:rsid w:val="3D9C03C2"/>
    <w:rsid w:val="3F39339C"/>
    <w:rsid w:val="3F3E7A1A"/>
    <w:rsid w:val="3F485EA2"/>
    <w:rsid w:val="41FD4D22"/>
    <w:rsid w:val="42297143"/>
    <w:rsid w:val="471A45C8"/>
    <w:rsid w:val="471D19C3"/>
    <w:rsid w:val="4BAA173E"/>
    <w:rsid w:val="4E045131"/>
    <w:rsid w:val="4E364368"/>
    <w:rsid w:val="509E6FB6"/>
    <w:rsid w:val="50E4077D"/>
    <w:rsid w:val="51646B6C"/>
    <w:rsid w:val="51C24C69"/>
    <w:rsid w:val="53EC4BF7"/>
    <w:rsid w:val="558144FC"/>
    <w:rsid w:val="558A6309"/>
    <w:rsid w:val="55E3008D"/>
    <w:rsid w:val="563F5EAA"/>
    <w:rsid w:val="592E5F20"/>
    <w:rsid w:val="5B8D787E"/>
    <w:rsid w:val="5DE16789"/>
    <w:rsid w:val="5F4B0A7E"/>
    <w:rsid w:val="6415734D"/>
    <w:rsid w:val="64357EF4"/>
    <w:rsid w:val="64462101"/>
    <w:rsid w:val="664769C2"/>
    <w:rsid w:val="664E3480"/>
    <w:rsid w:val="67C220BC"/>
    <w:rsid w:val="67C36D5C"/>
    <w:rsid w:val="6A2249E3"/>
    <w:rsid w:val="6C5C0714"/>
    <w:rsid w:val="6F5E47A3"/>
    <w:rsid w:val="733777E5"/>
    <w:rsid w:val="754B4BD8"/>
    <w:rsid w:val="79C802E4"/>
    <w:rsid w:val="7B98552F"/>
    <w:rsid w:val="7C223C89"/>
    <w:rsid w:val="7DB24FBB"/>
    <w:rsid w:val="7DEF11E8"/>
    <w:rsid w:val="7E003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3">
    <w:name w:val="heading 1"/>
    <w:basedOn w:val="1"/>
    <w:next w:val="1"/>
    <w:qFormat/>
    <w:uiPriority w:val="0"/>
    <w:pPr>
      <w:keepNext/>
      <w:keepLines/>
      <w:spacing w:before="340" w:after="330" w:line="578" w:lineRule="atLeast"/>
      <w:jc w:val="center"/>
      <w:outlineLvl w:val="0"/>
    </w:pPr>
    <w:rPr>
      <w:b/>
      <w:bCs/>
      <w:kern w:val="44"/>
      <w:sz w:val="36"/>
      <w:szCs w:val="36"/>
    </w:rPr>
  </w:style>
  <w:style w:type="paragraph" w:styleId="4">
    <w:name w:val="heading 2"/>
    <w:basedOn w:val="5"/>
    <w:next w:val="1"/>
    <w:qFormat/>
    <w:uiPriority w:val="0"/>
    <w:pPr>
      <w:keepNext/>
      <w:keepLines/>
      <w:spacing w:before="260" w:after="260" w:line="416" w:lineRule="atLeast"/>
      <w:ind w:firstLine="0" w:firstLineChars="0"/>
      <w:jc w:val="center"/>
      <w:outlineLvl w:val="1"/>
    </w:pPr>
    <w:rPr>
      <w:rFonts w:ascii="宋体" w:hAnsi="宋体"/>
      <w:bCs/>
      <w:sz w:val="28"/>
      <w:szCs w:val="28"/>
    </w:rPr>
  </w:style>
  <w:style w:type="paragraph" w:styleId="6">
    <w:name w:val="heading 3"/>
    <w:basedOn w:val="1"/>
    <w:next w:val="7"/>
    <w:link w:val="27"/>
    <w:qFormat/>
    <w:uiPriority w:val="0"/>
    <w:pPr>
      <w:spacing w:line="600" w:lineRule="exact"/>
      <w:outlineLvl w:val="2"/>
    </w:pPr>
    <w:rPr>
      <w:rFonts w:ascii="宋体" w:hAnsi="宋体"/>
      <w:sz w:val="28"/>
      <w:szCs w:val="28"/>
    </w:rPr>
  </w:style>
  <w:style w:type="paragraph" w:styleId="8">
    <w:name w:val="heading 4"/>
    <w:basedOn w:val="1"/>
    <w:next w:val="7"/>
    <w:qFormat/>
    <w:uiPriority w:val="0"/>
    <w:pPr>
      <w:keepNext/>
      <w:keepLines/>
      <w:ind w:firstLine="420" w:firstLineChars="150"/>
      <w:outlineLvl w:val="3"/>
    </w:pPr>
    <w:rPr>
      <w:rFonts w:ascii="Arial" w:hAnsi="Arial" w:cs="Arial"/>
      <w:b/>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customStyle="1" w:styleId="5">
    <w:name w:val="列出段落1"/>
    <w:basedOn w:val="1"/>
    <w:qFormat/>
    <w:uiPriority w:val="34"/>
    <w:pPr>
      <w:ind w:firstLine="420" w:firstLineChars="200"/>
    </w:pPr>
    <w:rPr>
      <w:szCs w:val="24"/>
    </w:rPr>
  </w:style>
  <w:style w:type="paragraph" w:styleId="7">
    <w:name w:val="Normal Indent"/>
    <w:basedOn w:val="1"/>
    <w:qFormat/>
    <w:uiPriority w:val="0"/>
    <w:pPr>
      <w:ind w:firstLine="420" w:firstLineChars="200"/>
    </w:pPr>
  </w:style>
  <w:style w:type="paragraph" w:styleId="9">
    <w:name w:val="toc 3"/>
    <w:basedOn w:val="1"/>
    <w:next w:val="1"/>
    <w:qFormat/>
    <w:uiPriority w:val="39"/>
    <w:pPr>
      <w:spacing w:line="312" w:lineRule="atLeast"/>
      <w:ind w:left="840"/>
      <w:jc w:val="both"/>
    </w:pPr>
    <w:rPr>
      <w:rFonts w:eastAsia="仿宋"/>
      <w:sz w:val="32"/>
    </w:rPr>
  </w:style>
  <w:style w:type="paragraph" w:styleId="10">
    <w:name w:val="Plain Text"/>
    <w:basedOn w:val="1"/>
    <w:next w:val="1"/>
    <w:qFormat/>
    <w:uiPriority w:val="0"/>
    <w:rPr>
      <w:rFonts w:ascii="宋体" w:hAnsi="Courier New"/>
      <w:sz w:val="11"/>
    </w:rPr>
  </w:style>
  <w:style w:type="paragraph" w:styleId="11">
    <w:name w:val="footer"/>
    <w:basedOn w:val="1"/>
    <w:qFormat/>
    <w:uiPriority w:val="99"/>
    <w:pPr>
      <w:tabs>
        <w:tab w:val="center" w:pos="4153"/>
        <w:tab w:val="right" w:pos="8306"/>
      </w:tabs>
      <w:spacing w:line="240" w:lineRule="atLeast"/>
    </w:pPr>
    <w:rPr>
      <w:sz w:val="18"/>
    </w:rPr>
  </w:style>
  <w:style w:type="paragraph" w:styleId="12">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3">
    <w:name w:val="toc 1"/>
    <w:basedOn w:val="1"/>
    <w:next w:val="1"/>
    <w:qFormat/>
    <w:uiPriority w:val="39"/>
    <w:pPr>
      <w:spacing w:line="420" w:lineRule="exact"/>
      <w:jc w:val="both"/>
    </w:pPr>
    <w:rPr>
      <w:rFonts w:ascii="宋体" w:hAnsi="宋体"/>
    </w:rPr>
  </w:style>
  <w:style w:type="paragraph" w:styleId="14">
    <w:name w:val="footnote text"/>
    <w:basedOn w:val="1"/>
    <w:qFormat/>
    <w:uiPriority w:val="0"/>
    <w:pPr>
      <w:snapToGrid w:val="0"/>
      <w:jc w:val="left"/>
    </w:pPr>
    <w:rPr>
      <w:sz w:val="18"/>
    </w:rPr>
  </w:style>
  <w:style w:type="paragraph" w:styleId="15">
    <w:name w:val="toc 2"/>
    <w:basedOn w:val="1"/>
    <w:next w:val="1"/>
    <w:qFormat/>
    <w:uiPriority w:val="39"/>
    <w:pPr>
      <w:tabs>
        <w:tab w:val="right" w:leader="dot" w:pos="8890"/>
      </w:tabs>
      <w:ind w:left="960" w:leftChars="200" w:hanging="480"/>
    </w:p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paragraph" w:customStyle="1" w:styleId="22">
    <w:name w:val="3）三级标题 与下段同页"/>
    <w:basedOn w:val="1"/>
    <w:qFormat/>
    <w:uiPriority w:val="0"/>
    <w:pPr>
      <w:keepNext/>
      <w:spacing w:before="156" w:beforeLines="50" w:beforeAutospacing="0" w:after="156" w:afterLines="50" w:afterAutospacing="0"/>
      <w:jc w:val="center"/>
      <w:outlineLvl w:val="2"/>
    </w:pPr>
    <w:rPr>
      <w:rFonts w:ascii="仿宋_GB2312" w:eastAsia="仿宋_GB2312"/>
      <w:b/>
      <w:sz w:val="32"/>
    </w:rPr>
  </w:style>
  <w:style w:type="paragraph" w:customStyle="1" w:styleId="23">
    <w:name w:val="Default Text"/>
    <w:basedOn w:val="24"/>
    <w:qFormat/>
    <w:uiPriority w:val="0"/>
    <w:pPr>
      <w:widowControl w:val="0"/>
      <w:autoSpaceDE w:val="0"/>
      <w:autoSpaceDN w:val="0"/>
      <w:adjustRightInd w:val="0"/>
    </w:pPr>
    <w:rPr>
      <w:color w:val="000000"/>
      <w:sz w:val="24"/>
      <w:szCs w:val="24"/>
      <w:lang w:val="en-US" w:eastAsia="zh-CN" w:bidi="ar-SA"/>
    </w:rPr>
  </w:style>
  <w:style w:type="paragraph" w:customStyle="1" w:styleId="24">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Table Paragraph"/>
    <w:basedOn w:val="1"/>
    <w:qFormat/>
    <w:uiPriority w:val="1"/>
    <w:pPr>
      <w:adjustRightInd/>
      <w:spacing w:line="240" w:lineRule="auto"/>
      <w:textAlignment w:val="auto"/>
    </w:pPr>
    <w:rPr>
      <w:rFonts w:ascii="宋体" w:hAnsi="宋体" w:cs="宋体"/>
      <w:sz w:val="22"/>
      <w:szCs w:val="22"/>
      <w:lang w:eastAsia="en-US"/>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character" w:customStyle="1" w:styleId="27">
    <w:name w:val="标题 3 字符"/>
    <w:link w:val="6"/>
    <w:qFormat/>
    <w:uiPriority w:val="0"/>
    <w:rPr>
      <w:rFonts w:ascii="宋体" w:hAnsi="宋体"/>
      <w:sz w:val="28"/>
      <w:szCs w:val="28"/>
    </w:rPr>
  </w:style>
  <w:style w:type="paragraph" w:customStyle="1" w:styleId="28">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29">
    <w:name w:val="È±Ê¡ÎÄ±¾"/>
    <w:basedOn w:val="1"/>
    <w:qFormat/>
    <w:uiPriority w:val="0"/>
    <w:pPr>
      <w:widowControl/>
      <w:overflowPunct w:val="0"/>
      <w:autoSpaceDE w:val="0"/>
      <w:autoSpaceDN w:val="0"/>
      <w:spacing w:line="240" w:lineRule="auto"/>
    </w:pPr>
  </w:style>
  <w:style w:type="paragraph" w:styleId="30">
    <w:name w:val="List Paragraph"/>
    <w:basedOn w:val="1"/>
    <w:qFormat/>
    <w:uiPriority w:val="1"/>
    <w:pPr>
      <w:ind w:left="712" w:firstLine="561"/>
    </w:p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封面署名"/>
    <w:basedOn w:val="1"/>
    <w:qFormat/>
    <w:uiPriority w:val="0"/>
    <w:pPr>
      <w:jc w:val="center"/>
    </w:pPr>
    <w:rPr>
      <w:b/>
      <w:kern w:val="0"/>
      <w:sz w:val="28"/>
    </w:rPr>
  </w:style>
  <w:style w:type="paragraph" w:customStyle="1" w:styleId="3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19896</Words>
  <Characters>20948</Characters>
  <Lines>0</Lines>
  <Paragraphs>0</Paragraphs>
  <TotalTime>135</TotalTime>
  <ScaleCrop>false</ScaleCrop>
  <LinksUpToDate>false</LinksUpToDate>
  <CharactersWithSpaces>22473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2022-05-18T03:59:00Z</dcterms:created>
  <dc:creator>Administrator</dc:creator>
  <cp:lastModifiedBy>卡比</cp:lastModifiedBy>
  <cp:lastPrinted>2022-05-30T10:29:00Z</cp:lastPrinted>
  <dcterms:modified xsi:type="dcterms:W3CDTF">2022-07-05T09:19:18Z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A7ED5973BF424F7BB0862FEDE2382B17</vt:lpwstr>
  </property>
</Properties>
</file>