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hint="eastAsia" w:ascii="宋体" w:hAnsi="宋体" w:eastAsia="宋体" w:cs="宋体"/>
          <w:sz w:val="32"/>
          <w:szCs w:val="32"/>
          <w:lang w:val="en-US" w:eastAsia="zh-CN"/>
        </w:rPr>
      </w:pPr>
    </w:p>
    <w:p>
      <w:pPr>
        <w:pStyle w:val="8"/>
        <w:ind w:right="-533" w:rightChars="-254"/>
        <w:jc w:val="both"/>
        <w:rPr>
          <w:rFonts w:hint="eastAsia" w:ascii="宋体" w:hAnsi="宋体" w:eastAsia="宋体" w:cs="宋体"/>
          <w:sz w:val="40"/>
          <w:szCs w:val="40"/>
        </w:rPr>
      </w:pPr>
      <w:r>
        <w:rPr>
          <w:rFonts w:hint="eastAsia" w:ascii="仿宋" w:hAnsi="仿宋" w:eastAsia="仿宋" w:cs="仿宋"/>
          <w:sz w:val="40"/>
          <w:szCs w:val="40"/>
        </w:rPr>
        <w:t>2022泽普县农村饮水安全工程服务总站水塔拆除项目</w:t>
      </w:r>
    </w:p>
    <w:p>
      <w:pPr>
        <w:pStyle w:val="8"/>
        <w:tabs>
          <w:tab w:val="left" w:pos="301"/>
          <w:tab w:val="center" w:pos="4213"/>
        </w:tabs>
        <w:jc w:val="left"/>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 xml:space="preserve">              </w:t>
      </w:r>
    </w:p>
    <w:p>
      <w:pPr>
        <w:pStyle w:val="8"/>
        <w:tabs>
          <w:tab w:val="left" w:pos="301"/>
          <w:tab w:val="center" w:pos="4213"/>
        </w:tabs>
        <w:jc w:val="center"/>
        <w:rPr>
          <w:rFonts w:hint="eastAsia" w:ascii="仿宋" w:hAnsi="仿宋" w:eastAsia="仿宋" w:cs="仿宋"/>
          <w:sz w:val="40"/>
          <w:szCs w:val="40"/>
          <w:lang w:val="en-US" w:eastAsia="zh-CN"/>
        </w:rPr>
      </w:pPr>
      <w:r>
        <w:rPr>
          <w:rFonts w:hint="eastAsia" w:ascii="仿宋" w:hAnsi="仿宋" w:eastAsia="仿宋" w:cs="仿宋"/>
          <w:sz w:val="52"/>
          <w:szCs w:val="52"/>
          <w:lang w:val="en-US" w:eastAsia="zh-CN"/>
        </w:rPr>
        <w:t xml:space="preserve">  竞争性谈判</w:t>
      </w:r>
      <w:bookmarkStart w:id="1552" w:name="_GoBack"/>
      <w:bookmarkEnd w:id="1552"/>
      <w:r>
        <w:rPr>
          <w:rFonts w:hint="eastAsia" w:ascii="仿宋" w:hAnsi="仿宋" w:eastAsia="仿宋" w:cs="仿宋"/>
          <w:sz w:val="52"/>
          <w:szCs w:val="52"/>
          <w:lang w:val="en-US" w:eastAsia="zh-CN"/>
        </w:rPr>
        <w:t>文件</w:t>
      </w:r>
    </w:p>
    <w:p>
      <w:pPr>
        <w:pStyle w:val="8"/>
        <w:tabs>
          <w:tab w:val="left" w:pos="301"/>
          <w:tab w:val="center" w:pos="4213"/>
        </w:tabs>
        <w:ind w:firstLine="2800" w:firstLineChars="700"/>
        <w:jc w:val="left"/>
        <w:rPr>
          <w:rFonts w:hint="eastAsia" w:ascii="宋体" w:hAnsi="宋体" w:eastAsia="宋体" w:cs="宋体"/>
          <w:sz w:val="40"/>
          <w:szCs w:val="40"/>
          <w:lang w:val="en-US" w:eastAsia="zh-CN"/>
        </w:rPr>
      </w:pPr>
    </w:p>
    <w:p>
      <w:pPr>
        <w:bidi w:val="0"/>
        <w:ind w:firstLine="3360" w:firstLineChars="1200"/>
        <w:rPr>
          <w:rFonts w:hint="eastAsia" w:ascii="宋体" w:hAnsi="宋体" w:eastAsia="宋体" w:cs="宋体"/>
          <w:color w:val="auto"/>
          <w:sz w:val="28"/>
          <w:szCs w:val="28"/>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lang w:val="en-US" w:eastAsia="zh-CN"/>
        </w:rPr>
        <w:t xml:space="preserve">ZPDL(2022)028 </w:t>
      </w:r>
    </w:p>
    <w:p>
      <w:pPr>
        <w:bidi w:val="0"/>
        <w:rPr>
          <w:rFonts w:hint="eastAsia" w:ascii="宋体" w:hAnsi="宋体" w:eastAsia="宋体" w:cs="宋体"/>
          <w:sz w:val="28"/>
          <w:szCs w:val="28"/>
        </w:rPr>
      </w:pPr>
    </w:p>
    <w:p>
      <w:pPr>
        <w:bidi w:val="0"/>
        <w:rPr>
          <w:rFonts w:hint="eastAsia" w:ascii="宋体" w:hAnsi="宋体" w:eastAsia="宋体" w:cs="宋体"/>
          <w:sz w:val="28"/>
          <w:szCs w:val="28"/>
        </w:rPr>
      </w:pPr>
      <w:r>
        <w:rPr>
          <w:rFonts w:hint="eastAsia" w:ascii="宋体" w:hAnsi="宋体" w:eastAsia="宋体" w:cs="宋体"/>
          <w:sz w:val="28"/>
          <w:szCs w:val="28"/>
        </w:rPr>
        <w:t>采 购 单 位：泽普县农村饮水安全工程服务总站</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 位</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地 址：泽普县北新街17号</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人：努尔比亚</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电 话：18609984368</w:t>
      </w:r>
    </w:p>
    <w:p>
      <w:pPr>
        <w:bidi w:val="0"/>
        <w:rPr>
          <w:rFonts w:hint="eastAsia" w:ascii="宋体" w:hAnsi="宋体" w:eastAsia="宋体" w:cs="宋体"/>
          <w:sz w:val="28"/>
          <w:szCs w:val="28"/>
        </w:rPr>
      </w:pP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val="en-US" w:eastAsia="zh-CN"/>
        </w:rPr>
        <w:t>新疆正昊建设工程项目管理有限公司</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 位</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地 址：喀什市托克扎克路103号福源汇居小区1栋3单元301室</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人：陈聪</w:t>
      </w:r>
    </w:p>
    <w:p>
      <w:pPr>
        <w:bidi w:val="0"/>
        <w:rPr>
          <w:rFonts w:hint="default"/>
          <w:lang w:val="en-US" w:eastAsia="zh-CN"/>
        </w:rPr>
      </w:pPr>
      <w:r>
        <w:rPr>
          <w:rFonts w:hint="eastAsia" w:ascii="宋体" w:hAnsi="宋体" w:eastAsia="宋体" w:cs="宋体"/>
          <w:sz w:val="28"/>
          <w:szCs w:val="28"/>
          <w:lang w:val="en-US" w:eastAsia="zh-CN"/>
        </w:rPr>
        <w:t>联系电话：18299026691</w:t>
      </w:r>
    </w:p>
    <w:p>
      <w:pPr>
        <w:bidi w:val="0"/>
        <w:ind w:firstLine="1800" w:firstLineChars="500"/>
        <w:rPr>
          <w:rFonts w:hint="eastAsia"/>
          <w:sz w:val="36"/>
          <w:szCs w:val="44"/>
        </w:rPr>
      </w:pPr>
    </w:p>
    <w:p>
      <w:pPr>
        <w:bidi w:val="0"/>
        <w:ind w:firstLine="3920" w:firstLineChars="1400"/>
        <w:jc w:val="both"/>
        <w:rPr>
          <w:rFonts w:hint="eastAsia" w:ascii="宋体" w:hAnsi="宋体" w:eastAsia="宋体" w:cs="宋体"/>
          <w:sz w:val="28"/>
          <w:szCs w:val="36"/>
        </w:rPr>
      </w:pPr>
      <w:r>
        <w:rPr>
          <w:rFonts w:hint="eastAsia" w:ascii="宋体" w:hAnsi="宋体" w:eastAsia="宋体" w:cs="宋体"/>
          <w:sz w:val="28"/>
          <w:szCs w:val="36"/>
          <w:lang w:eastAsia="zh-CN"/>
        </w:rPr>
        <w:t>2022</w:t>
      </w:r>
      <w:r>
        <w:rPr>
          <w:rFonts w:hint="eastAsia" w:ascii="宋体" w:hAnsi="宋体" w:eastAsia="宋体" w:cs="宋体"/>
          <w:sz w:val="28"/>
          <w:szCs w:val="36"/>
        </w:rPr>
        <w:t>年</w:t>
      </w:r>
      <w:r>
        <w:rPr>
          <w:rFonts w:hint="eastAsia" w:ascii="宋体" w:hAnsi="宋体" w:eastAsia="宋体" w:cs="宋体"/>
          <w:sz w:val="28"/>
          <w:szCs w:val="36"/>
          <w:lang w:val="en-US" w:eastAsia="zh-CN"/>
        </w:rPr>
        <w:t>7</w:t>
      </w:r>
      <w:r>
        <w:rPr>
          <w:rFonts w:hint="eastAsia" w:ascii="宋体" w:hAnsi="宋体" w:eastAsia="宋体" w:cs="宋体"/>
          <w:sz w:val="28"/>
          <w:szCs w:val="36"/>
        </w:rPr>
        <w:t>月</w:t>
      </w:r>
    </w:p>
    <w:p>
      <w:pPr>
        <w:pStyle w:val="18"/>
        <w:rPr>
          <w:rFonts w:hint="eastAsia" w:ascii="宋体" w:hAnsi="宋体" w:eastAsia="宋体" w:cs="宋体"/>
          <w:sz w:val="28"/>
          <w:szCs w:val="36"/>
        </w:rPr>
      </w:pPr>
    </w:p>
    <w:p>
      <w:pPr>
        <w:pStyle w:val="18"/>
        <w:rPr>
          <w:rFonts w:hint="eastAsia" w:ascii="宋体" w:hAnsi="宋体" w:eastAsia="宋体" w:cs="宋体"/>
          <w:sz w:val="28"/>
          <w:szCs w:val="36"/>
        </w:rPr>
      </w:pPr>
    </w:p>
    <w:p/>
    <w:sdt>
      <w:sdtPr>
        <w:rPr>
          <w:rFonts w:ascii="宋体" w:hAnsi="宋体" w:eastAsia="宋体" w:cstheme="minorBidi"/>
          <w:kern w:val="2"/>
          <w:sz w:val="21"/>
          <w:szCs w:val="24"/>
          <w:lang w:val="en-US" w:eastAsia="zh-CN" w:bidi="ar-SA"/>
        </w:rPr>
        <w:id w:val="147472818"/>
        <w15:color w:val="DBDBDB"/>
        <w:docPartObj>
          <w:docPartGallery w:val="Table of Contents"/>
          <w:docPartUnique/>
        </w:docPartObj>
      </w:sdtPr>
      <w:sdtEndPr>
        <w:rPr>
          <w:rFonts w:hint="eastAsia" w:asciiTheme="minorHAnsi" w:hAnsiTheme="minorHAnsi" w:eastAsiaTheme="minorEastAsia" w:cstheme="minorBidi"/>
          <w:b/>
          <w:kern w:val="2"/>
          <w:sz w:val="18"/>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36"/>
              <w:szCs w:val="44"/>
            </w:rPr>
            <w:t>目</w:t>
          </w:r>
          <w:r>
            <w:rPr>
              <w:rFonts w:hint="eastAsia" w:ascii="宋体" w:hAnsi="宋体" w:eastAsia="宋体"/>
              <w:sz w:val="36"/>
              <w:szCs w:val="44"/>
              <w:lang w:val="en-US" w:eastAsia="zh-CN"/>
            </w:rPr>
            <w:t xml:space="preserve">     </w:t>
          </w:r>
          <w:r>
            <w:rPr>
              <w:rFonts w:ascii="宋体" w:hAnsi="宋体" w:eastAsia="宋体"/>
              <w:sz w:val="36"/>
              <w:szCs w:val="44"/>
            </w:rPr>
            <w:t>录</w:t>
          </w:r>
        </w:p>
        <w:p>
          <w:pPr>
            <w:pStyle w:val="17"/>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TOC \o "1-2" \h \u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_Toc16001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40"/>
              <w:lang w:eastAsia="zh-CN"/>
            </w:rPr>
            <w:t>第一章</w:t>
          </w:r>
          <w:r>
            <w:rPr>
              <w:rFonts w:hint="eastAsia" w:ascii="宋体" w:hAnsi="宋体" w:eastAsia="宋体" w:cs="宋体"/>
              <w:sz w:val="24"/>
              <w:szCs w:val="40"/>
            </w:rPr>
            <w:t xml:space="preserve">  </w:t>
          </w:r>
          <w:r>
            <w:rPr>
              <w:rFonts w:hint="eastAsia" w:ascii="宋体" w:hAnsi="宋体" w:eastAsia="宋体" w:cs="宋体"/>
              <w:sz w:val="24"/>
              <w:szCs w:val="40"/>
              <w:lang w:eastAsia="zh-CN"/>
            </w:rPr>
            <w:t>供应商须知</w:t>
          </w:r>
          <w:r>
            <w:rPr>
              <w:sz w:val="24"/>
              <w:szCs w:val="32"/>
            </w:rPr>
            <w:tab/>
          </w:r>
          <w:r>
            <w:rPr>
              <w:rFonts w:hint="eastAsia"/>
              <w:sz w:val="24"/>
              <w:szCs w:val="32"/>
              <w:lang w:val="en-US" w:eastAsia="zh-CN"/>
            </w:rPr>
            <w:t>1</w:t>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_Toc11564 </w:instrText>
          </w:r>
          <w:r>
            <w:rPr>
              <w:rFonts w:hint="eastAsia" w:ascii="宋体" w:hAnsi="宋体" w:eastAsia="宋体" w:cs="宋体"/>
              <w:sz w:val="24"/>
              <w:szCs w:val="32"/>
              <w:lang w:eastAsia="zh-CN"/>
            </w:rPr>
            <w:fldChar w:fldCharType="separate"/>
          </w:r>
          <w:r>
            <w:rPr>
              <w:rFonts w:hint="eastAsia"/>
              <w:sz w:val="24"/>
              <w:szCs w:val="32"/>
            </w:rPr>
            <w:t>一</w:t>
          </w:r>
          <w:r>
            <w:rPr>
              <w:rFonts w:hint="eastAsia"/>
              <w:sz w:val="24"/>
              <w:szCs w:val="32"/>
              <w:lang w:eastAsia="zh-CN"/>
            </w:rPr>
            <w:t>、</w:t>
          </w:r>
          <w:r>
            <w:rPr>
              <w:rFonts w:hint="eastAsia"/>
              <w:sz w:val="24"/>
              <w:szCs w:val="32"/>
            </w:rPr>
            <w:t>总则</w:t>
          </w:r>
          <w:r>
            <w:rPr>
              <w:sz w:val="24"/>
              <w:szCs w:val="32"/>
            </w:rPr>
            <w:tab/>
          </w:r>
          <w:r>
            <w:rPr>
              <w:sz w:val="24"/>
              <w:szCs w:val="32"/>
            </w:rPr>
            <w:fldChar w:fldCharType="begin"/>
          </w:r>
          <w:r>
            <w:rPr>
              <w:sz w:val="24"/>
              <w:szCs w:val="32"/>
            </w:rPr>
            <w:instrText xml:space="preserve"> PAGEREF _Toc11564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_Toc2097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rPr>
            <w:t>二</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谈判文件</w:t>
          </w:r>
          <w:r>
            <w:rPr>
              <w:sz w:val="24"/>
              <w:szCs w:val="32"/>
            </w:rPr>
            <w:tab/>
          </w:r>
          <w:r>
            <w:rPr>
              <w:sz w:val="24"/>
              <w:szCs w:val="32"/>
            </w:rPr>
            <w:fldChar w:fldCharType="begin"/>
          </w:r>
          <w:r>
            <w:rPr>
              <w:sz w:val="24"/>
              <w:szCs w:val="32"/>
            </w:rPr>
            <w:instrText xml:space="preserve"> PAGEREF _Toc2097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_Toc16705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rPr>
            <w:t>三</w:t>
          </w:r>
          <w:r>
            <w:rPr>
              <w:rFonts w:hint="eastAsia" w:ascii="宋体" w:hAnsi="宋体" w:eastAsia="宋体" w:cs="宋体"/>
              <w:sz w:val="24"/>
              <w:szCs w:val="32"/>
              <w:highlight w:val="none"/>
              <w:lang w:eastAsia="zh-CN"/>
            </w:rPr>
            <w:t>、响应文件的编制</w:t>
          </w:r>
          <w:r>
            <w:rPr>
              <w:sz w:val="24"/>
              <w:szCs w:val="32"/>
            </w:rPr>
            <w:tab/>
          </w:r>
          <w:r>
            <w:rPr>
              <w:sz w:val="24"/>
              <w:szCs w:val="32"/>
            </w:rPr>
            <w:fldChar w:fldCharType="begin"/>
          </w:r>
          <w:r>
            <w:rPr>
              <w:sz w:val="24"/>
              <w:szCs w:val="32"/>
            </w:rPr>
            <w:instrText xml:space="preserve"> PAGEREF _Toc16705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_Toc14889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rPr>
            <w:t>四</w:t>
          </w:r>
          <w:r>
            <w:rPr>
              <w:rFonts w:hint="eastAsia" w:ascii="宋体" w:hAnsi="宋体" w:eastAsia="宋体" w:cs="宋体"/>
              <w:sz w:val="24"/>
              <w:szCs w:val="32"/>
              <w:highlight w:val="none"/>
              <w:lang w:eastAsia="zh-CN"/>
            </w:rPr>
            <w:t>、响应文件的递交</w:t>
          </w:r>
          <w:r>
            <w:rPr>
              <w:sz w:val="24"/>
              <w:szCs w:val="32"/>
            </w:rPr>
            <w:tab/>
          </w:r>
          <w:r>
            <w:rPr>
              <w:sz w:val="24"/>
              <w:szCs w:val="32"/>
            </w:rPr>
            <w:fldChar w:fldCharType="begin"/>
          </w:r>
          <w:r>
            <w:rPr>
              <w:sz w:val="24"/>
              <w:szCs w:val="32"/>
            </w:rPr>
            <w:instrText xml:space="preserve"> PAGEREF _Toc14889 \h </w:instrText>
          </w:r>
          <w:r>
            <w:rPr>
              <w:sz w:val="24"/>
              <w:szCs w:val="32"/>
            </w:rPr>
            <w:fldChar w:fldCharType="separate"/>
          </w:r>
          <w:r>
            <w:rPr>
              <w:sz w:val="24"/>
              <w:szCs w:val="32"/>
            </w:rPr>
            <w:t>8</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_Toc7133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rPr>
            <w:t>五</w:t>
          </w:r>
          <w:r>
            <w:rPr>
              <w:rFonts w:hint="eastAsia" w:ascii="宋体" w:hAnsi="宋体" w:eastAsia="宋体" w:cs="宋体"/>
              <w:sz w:val="24"/>
              <w:szCs w:val="32"/>
              <w:highlight w:val="none"/>
              <w:lang w:eastAsia="zh-CN"/>
            </w:rPr>
            <w:t>、谈判开启及评审</w:t>
          </w:r>
          <w:r>
            <w:rPr>
              <w:sz w:val="24"/>
              <w:szCs w:val="32"/>
            </w:rPr>
            <w:tab/>
          </w:r>
          <w:r>
            <w:rPr>
              <w:sz w:val="24"/>
              <w:szCs w:val="32"/>
            </w:rPr>
            <w:fldChar w:fldCharType="begin"/>
          </w:r>
          <w:r>
            <w:rPr>
              <w:sz w:val="24"/>
              <w:szCs w:val="32"/>
            </w:rPr>
            <w:instrText xml:space="preserve"> PAGEREF _Toc7133 \h </w:instrText>
          </w:r>
          <w:r>
            <w:rPr>
              <w:sz w:val="24"/>
              <w:szCs w:val="32"/>
            </w:rPr>
            <w:fldChar w:fldCharType="separate"/>
          </w:r>
          <w:r>
            <w:rPr>
              <w:sz w:val="24"/>
              <w:szCs w:val="32"/>
            </w:rPr>
            <w:t>9</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_Toc10091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rPr>
            <w:t xml:space="preserve">六   </w:t>
          </w:r>
          <w:r>
            <w:rPr>
              <w:rFonts w:hint="eastAsia" w:ascii="宋体" w:hAnsi="宋体" w:eastAsia="宋体" w:cs="宋体"/>
              <w:sz w:val="24"/>
              <w:szCs w:val="32"/>
              <w:highlight w:val="none"/>
              <w:lang w:eastAsia="zh-CN"/>
            </w:rPr>
            <w:t>确定成交</w:t>
          </w:r>
          <w:r>
            <w:rPr>
              <w:sz w:val="24"/>
              <w:szCs w:val="32"/>
            </w:rPr>
            <w:tab/>
          </w:r>
          <w:r>
            <w:rPr>
              <w:sz w:val="24"/>
              <w:szCs w:val="32"/>
            </w:rPr>
            <w:fldChar w:fldCharType="begin"/>
          </w:r>
          <w:r>
            <w:rPr>
              <w:sz w:val="24"/>
              <w:szCs w:val="32"/>
            </w:rPr>
            <w:instrText xml:space="preserve"> PAGEREF _Toc10091 \h </w:instrText>
          </w:r>
          <w:r>
            <w:rPr>
              <w:sz w:val="24"/>
              <w:szCs w:val="32"/>
            </w:rPr>
            <w:fldChar w:fldCharType="separate"/>
          </w:r>
          <w:r>
            <w:rPr>
              <w:sz w:val="24"/>
              <w:szCs w:val="32"/>
            </w:rPr>
            <w:t>14</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_Toc28914 </w:instrText>
          </w:r>
          <w:r>
            <w:rPr>
              <w:rFonts w:hint="eastAsia" w:ascii="宋体" w:hAnsi="宋体" w:eastAsia="宋体" w:cs="宋体"/>
              <w:sz w:val="24"/>
              <w:szCs w:val="32"/>
              <w:lang w:eastAsia="zh-CN"/>
            </w:rPr>
            <w:fldChar w:fldCharType="separate"/>
          </w:r>
          <w:r>
            <w:rPr>
              <w:rFonts w:hint="eastAsia"/>
              <w:sz w:val="24"/>
              <w:szCs w:val="32"/>
            </w:rPr>
            <w:t>质疑函范本</w:t>
          </w:r>
          <w:r>
            <w:rPr>
              <w:sz w:val="24"/>
              <w:szCs w:val="32"/>
            </w:rPr>
            <w:tab/>
          </w:r>
          <w:r>
            <w:rPr>
              <w:sz w:val="24"/>
              <w:szCs w:val="32"/>
            </w:rPr>
            <w:fldChar w:fldCharType="begin"/>
          </w:r>
          <w:r>
            <w:rPr>
              <w:sz w:val="24"/>
              <w:szCs w:val="32"/>
            </w:rPr>
            <w:instrText xml:space="preserve"> PAGEREF _Toc28914 \h </w:instrText>
          </w:r>
          <w:r>
            <w:rPr>
              <w:sz w:val="24"/>
              <w:szCs w:val="32"/>
            </w:rPr>
            <w:fldChar w:fldCharType="separate"/>
          </w:r>
          <w:r>
            <w:rPr>
              <w:sz w:val="24"/>
              <w:szCs w:val="32"/>
            </w:rPr>
            <w:t>19</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_Toc30063 </w:instrText>
          </w:r>
          <w:r>
            <w:rPr>
              <w:rFonts w:hint="eastAsia" w:ascii="宋体" w:hAnsi="宋体" w:eastAsia="宋体" w:cs="宋体"/>
              <w:sz w:val="24"/>
              <w:szCs w:val="32"/>
              <w:lang w:eastAsia="zh-CN"/>
            </w:rPr>
            <w:fldChar w:fldCharType="separate"/>
          </w:r>
          <w:r>
            <w:rPr>
              <w:rFonts w:hint="eastAsia"/>
              <w:sz w:val="24"/>
              <w:szCs w:val="32"/>
            </w:rPr>
            <w:t>政府采购谈判担保函</w:t>
          </w:r>
          <w:r>
            <w:rPr>
              <w:rFonts w:hint="eastAsia"/>
              <w:sz w:val="24"/>
              <w:szCs w:val="32"/>
              <w:lang w:eastAsia="zh-CN"/>
            </w:rPr>
            <w:t>（本项目不适用）</w:t>
          </w:r>
          <w:r>
            <w:rPr>
              <w:sz w:val="24"/>
              <w:szCs w:val="32"/>
            </w:rPr>
            <w:tab/>
          </w:r>
          <w:r>
            <w:rPr>
              <w:sz w:val="24"/>
              <w:szCs w:val="32"/>
            </w:rPr>
            <w:fldChar w:fldCharType="begin"/>
          </w:r>
          <w:r>
            <w:rPr>
              <w:sz w:val="24"/>
              <w:szCs w:val="32"/>
            </w:rPr>
            <w:instrText xml:space="preserve"> PAGEREF _Toc30063 \h </w:instrText>
          </w:r>
          <w:r>
            <w:rPr>
              <w:sz w:val="24"/>
              <w:szCs w:val="32"/>
            </w:rPr>
            <w:fldChar w:fldCharType="separate"/>
          </w:r>
          <w:r>
            <w:rPr>
              <w:sz w:val="24"/>
              <w:szCs w:val="32"/>
            </w:rPr>
            <w:t>21</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_Toc6534 </w:instrText>
          </w:r>
          <w:r>
            <w:rPr>
              <w:rFonts w:hint="eastAsia" w:ascii="宋体" w:hAnsi="宋体" w:eastAsia="宋体" w:cs="宋体"/>
              <w:sz w:val="24"/>
              <w:szCs w:val="32"/>
              <w:lang w:eastAsia="zh-CN"/>
            </w:rPr>
            <w:fldChar w:fldCharType="separate"/>
          </w:r>
          <w:r>
            <w:rPr>
              <w:rFonts w:hint="eastAsia"/>
              <w:sz w:val="24"/>
              <w:szCs w:val="32"/>
            </w:rPr>
            <w:t>履约保证金保函（格式）</w:t>
          </w:r>
          <w:r>
            <w:rPr>
              <w:sz w:val="24"/>
              <w:szCs w:val="32"/>
            </w:rPr>
            <w:tab/>
          </w:r>
          <w:r>
            <w:rPr>
              <w:sz w:val="24"/>
              <w:szCs w:val="32"/>
            </w:rPr>
            <w:fldChar w:fldCharType="begin"/>
          </w:r>
          <w:r>
            <w:rPr>
              <w:sz w:val="24"/>
              <w:szCs w:val="32"/>
            </w:rPr>
            <w:instrText xml:space="preserve"> PAGEREF _Toc6534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_Toc12853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rPr>
            <w:t>履约担保函格式</w:t>
          </w:r>
          <w:r>
            <w:rPr>
              <w:sz w:val="24"/>
              <w:szCs w:val="32"/>
            </w:rPr>
            <w:tab/>
          </w:r>
          <w:r>
            <w:rPr>
              <w:sz w:val="24"/>
              <w:szCs w:val="32"/>
            </w:rPr>
            <w:fldChar w:fldCharType="begin"/>
          </w:r>
          <w:r>
            <w:rPr>
              <w:sz w:val="24"/>
              <w:szCs w:val="32"/>
            </w:rPr>
            <w:instrText xml:space="preserve"> PAGEREF _Toc12853 \h </w:instrText>
          </w:r>
          <w:r>
            <w:rPr>
              <w:sz w:val="24"/>
              <w:szCs w:val="32"/>
            </w:rPr>
            <w:fldChar w:fldCharType="separate"/>
          </w:r>
          <w:r>
            <w:rPr>
              <w:sz w:val="24"/>
              <w:szCs w:val="32"/>
            </w:rPr>
            <w:t>24</w:t>
          </w:r>
          <w:r>
            <w:rPr>
              <w:sz w:val="24"/>
              <w:szCs w:val="32"/>
            </w:rPr>
            <w:fldChar w:fldCharType="end"/>
          </w:r>
          <w:r>
            <w:rPr>
              <w:rFonts w:hint="eastAsia" w:ascii="宋体" w:hAnsi="宋体" w:eastAsia="宋体" w:cs="宋体"/>
              <w:sz w:val="24"/>
              <w:szCs w:val="32"/>
              <w:lang w:eastAsia="zh-CN"/>
            </w:rPr>
            <w:fldChar w:fldCharType="end"/>
          </w:r>
        </w:p>
        <w:p>
          <w:pPr>
            <w:pStyle w:val="17"/>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_Toc9084 </w:instrText>
          </w:r>
          <w:r>
            <w:rPr>
              <w:rFonts w:hint="eastAsia" w:ascii="宋体" w:hAnsi="宋体" w:eastAsia="宋体" w:cs="宋体"/>
              <w:sz w:val="24"/>
              <w:szCs w:val="32"/>
              <w:lang w:eastAsia="zh-CN"/>
            </w:rPr>
            <w:fldChar w:fldCharType="separate"/>
          </w:r>
          <w:r>
            <w:rPr>
              <w:rFonts w:hint="eastAsia"/>
              <w:sz w:val="24"/>
              <w:szCs w:val="32"/>
            </w:rPr>
            <w:t>第二章 响应文件格式</w:t>
          </w:r>
          <w:r>
            <w:rPr>
              <w:sz w:val="24"/>
              <w:szCs w:val="32"/>
            </w:rPr>
            <w:tab/>
          </w:r>
          <w:r>
            <w:rPr>
              <w:sz w:val="24"/>
              <w:szCs w:val="32"/>
            </w:rPr>
            <w:fldChar w:fldCharType="begin"/>
          </w:r>
          <w:r>
            <w:rPr>
              <w:sz w:val="24"/>
              <w:szCs w:val="32"/>
            </w:rPr>
            <w:instrText xml:space="preserve"> PAGEREF _Toc9084 \h </w:instrText>
          </w:r>
          <w:r>
            <w:rPr>
              <w:sz w:val="24"/>
              <w:szCs w:val="32"/>
            </w:rPr>
            <w:fldChar w:fldCharType="separate"/>
          </w:r>
          <w:r>
            <w:rPr>
              <w:sz w:val="24"/>
              <w:szCs w:val="32"/>
            </w:rPr>
            <w:t>27</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_Toc11252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lang w:eastAsia="zh-CN"/>
            </w:rPr>
            <w:t>第一部分</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 xml:space="preserve"> </w:t>
          </w:r>
          <w:r>
            <w:rPr>
              <w:rFonts w:hint="eastAsia" w:ascii="宋体" w:hAnsi="宋体" w:eastAsia="宋体" w:cs="宋体"/>
              <w:sz w:val="24"/>
              <w:szCs w:val="32"/>
              <w:highlight w:val="none"/>
              <w:lang w:eastAsia="zh-CN"/>
            </w:rPr>
            <w:t>报价一览表及资格证明文件</w:t>
          </w:r>
          <w:r>
            <w:rPr>
              <w:sz w:val="24"/>
              <w:szCs w:val="32"/>
            </w:rPr>
            <w:tab/>
          </w:r>
          <w:r>
            <w:rPr>
              <w:sz w:val="24"/>
              <w:szCs w:val="32"/>
            </w:rPr>
            <w:fldChar w:fldCharType="begin"/>
          </w:r>
          <w:r>
            <w:rPr>
              <w:sz w:val="24"/>
              <w:szCs w:val="32"/>
            </w:rPr>
            <w:instrText xml:space="preserve"> PAGEREF _Toc11252 \h </w:instrText>
          </w:r>
          <w:r>
            <w:rPr>
              <w:sz w:val="24"/>
              <w:szCs w:val="32"/>
            </w:rPr>
            <w:fldChar w:fldCharType="separate"/>
          </w:r>
          <w:r>
            <w:rPr>
              <w:sz w:val="24"/>
              <w:szCs w:val="32"/>
            </w:rPr>
            <w:t>28</w:t>
          </w:r>
          <w:r>
            <w:rPr>
              <w:sz w:val="24"/>
              <w:szCs w:val="32"/>
            </w:rPr>
            <w:fldChar w:fldCharType="end"/>
          </w:r>
          <w:r>
            <w:rPr>
              <w:rFonts w:hint="eastAsia" w:ascii="宋体" w:hAnsi="宋体" w:eastAsia="宋体" w:cs="宋体"/>
              <w:sz w:val="24"/>
              <w:szCs w:val="32"/>
              <w:lang w:eastAsia="zh-CN"/>
            </w:rPr>
            <w:fldChar w:fldCharType="end"/>
          </w:r>
        </w:p>
        <w:p>
          <w:pPr>
            <w:pStyle w:val="19"/>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_Toc6506 </w:instrText>
          </w:r>
          <w:r>
            <w:rPr>
              <w:rFonts w:hint="eastAsia" w:ascii="宋体" w:hAnsi="宋体" w:eastAsia="宋体" w:cs="宋体"/>
              <w:sz w:val="24"/>
              <w:szCs w:val="32"/>
              <w:lang w:eastAsia="zh-CN"/>
            </w:rPr>
            <w:fldChar w:fldCharType="separate"/>
          </w:r>
          <w:r>
            <w:rPr>
              <w:rFonts w:hint="eastAsia"/>
              <w:sz w:val="24"/>
              <w:szCs w:val="32"/>
              <w:lang w:val="en-US" w:eastAsia="zh-CN"/>
            </w:rPr>
            <w:t xml:space="preserve">第二部分 </w:t>
          </w:r>
          <w:r>
            <w:rPr>
              <w:rFonts w:hint="default"/>
              <w:sz w:val="24"/>
              <w:szCs w:val="32"/>
              <w:lang w:val="en-US" w:eastAsia="zh-CN"/>
            </w:rPr>
            <w:t>商务及技术文件</w:t>
          </w:r>
          <w:r>
            <w:rPr>
              <w:sz w:val="24"/>
              <w:szCs w:val="32"/>
            </w:rPr>
            <w:tab/>
          </w:r>
          <w:r>
            <w:rPr>
              <w:sz w:val="24"/>
              <w:szCs w:val="32"/>
            </w:rPr>
            <w:fldChar w:fldCharType="begin"/>
          </w:r>
          <w:r>
            <w:rPr>
              <w:sz w:val="24"/>
              <w:szCs w:val="32"/>
            </w:rPr>
            <w:instrText xml:space="preserve"> PAGEREF _Toc6506 \h </w:instrText>
          </w:r>
          <w:r>
            <w:rPr>
              <w:sz w:val="24"/>
              <w:szCs w:val="32"/>
            </w:rPr>
            <w:fldChar w:fldCharType="separate"/>
          </w:r>
          <w:r>
            <w:rPr>
              <w:sz w:val="24"/>
              <w:szCs w:val="32"/>
            </w:rPr>
            <w:t>41</w:t>
          </w:r>
          <w:r>
            <w:rPr>
              <w:sz w:val="24"/>
              <w:szCs w:val="32"/>
            </w:rPr>
            <w:fldChar w:fldCharType="end"/>
          </w:r>
          <w:r>
            <w:rPr>
              <w:rFonts w:hint="eastAsia" w:ascii="宋体" w:hAnsi="宋体" w:eastAsia="宋体" w:cs="宋体"/>
              <w:sz w:val="24"/>
              <w:szCs w:val="32"/>
              <w:lang w:eastAsia="zh-CN"/>
            </w:rPr>
            <w:fldChar w:fldCharType="end"/>
          </w:r>
        </w:p>
        <w:p>
          <w:pPr>
            <w:pStyle w:val="17"/>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_Toc24796 </w:instrText>
          </w:r>
          <w:r>
            <w:rPr>
              <w:rFonts w:hint="eastAsia" w:ascii="宋体" w:hAnsi="宋体" w:eastAsia="宋体" w:cs="宋体"/>
              <w:sz w:val="24"/>
              <w:szCs w:val="32"/>
              <w:lang w:eastAsia="zh-CN"/>
            </w:rPr>
            <w:fldChar w:fldCharType="separate"/>
          </w:r>
          <w:r>
            <w:rPr>
              <w:rFonts w:hint="eastAsia"/>
              <w:sz w:val="24"/>
              <w:szCs w:val="24"/>
              <w:lang w:val="en-US" w:eastAsia="zh-CN"/>
            </w:rPr>
            <w:t>第三章  谈判邀请</w:t>
          </w:r>
          <w:r>
            <w:rPr>
              <w:sz w:val="24"/>
              <w:szCs w:val="32"/>
            </w:rPr>
            <w:tab/>
          </w:r>
          <w:r>
            <w:rPr>
              <w:sz w:val="24"/>
              <w:szCs w:val="32"/>
            </w:rPr>
            <w:fldChar w:fldCharType="begin"/>
          </w:r>
          <w:r>
            <w:rPr>
              <w:sz w:val="24"/>
              <w:szCs w:val="32"/>
            </w:rPr>
            <w:instrText xml:space="preserve"> PAGEREF _Toc24796 \h </w:instrText>
          </w:r>
          <w:r>
            <w:rPr>
              <w:sz w:val="24"/>
              <w:szCs w:val="32"/>
            </w:rPr>
            <w:fldChar w:fldCharType="separate"/>
          </w:r>
          <w:r>
            <w:rPr>
              <w:sz w:val="24"/>
              <w:szCs w:val="32"/>
            </w:rPr>
            <w:t>50</w:t>
          </w:r>
          <w:r>
            <w:rPr>
              <w:sz w:val="24"/>
              <w:szCs w:val="32"/>
            </w:rPr>
            <w:fldChar w:fldCharType="end"/>
          </w:r>
          <w:r>
            <w:rPr>
              <w:rFonts w:hint="eastAsia" w:ascii="宋体" w:hAnsi="宋体" w:eastAsia="宋体" w:cs="宋体"/>
              <w:sz w:val="24"/>
              <w:szCs w:val="32"/>
              <w:lang w:eastAsia="zh-CN"/>
            </w:rPr>
            <w:fldChar w:fldCharType="end"/>
          </w:r>
        </w:p>
        <w:p>
          <w:pPr>
            <w:pStyle w:val="17"/>
            <w:keepNext w:val="0"/>
            <w:keepLines w:val="0"/>
            <w:pageBreakBefore w:val="0"/>
            <w:widowControl w:val="0"/>
            <w:tabs>
              <w:tab w:val="right" w:leader="dot" w:pos="9040"/>
            </w:tabs>
            <w:kinsoku/>
            <w:wordWrap/>
            <w:overflowPunct/>
            <w:topLinePunct w:val="0"/>
            <w:autoSpaceDE/>
            <w:autoSpaceDN/>
            <w:bidi w:val="0"/>
            <w:adjustRightInd/>
            <w:spacing w:line="360" w:lineRule="auto"/>
            <w:textAlignment w:val="auto"/>
            <w:rPr>
              <w:sz w:val="24"/>
              <w:szCs w:val="32"/>
            </w:rPr>
          </w:pPr>
          <w:r>
            <w:rPr>
              <w:rFonts w:hint="eastAsia" w:ascii="宋体" w:hAnsi="宋体" w:eastAsia="宋体" w:cs="宋体"/>
              <w:sz w:val="24"/>
              <w:szCs w:val="32"/>
              <w:lang w:eastAsia="zh-CN"/>
            </w:rPr>
            <w:fldChar w:fldCharType="begin"/>
          </w:r>
          <w:r>
            <w:rPr>
              <w:rFonts w:hint="eastAsia" w:ascii="宋体" w:hAnsi="宋体" w:eastAsia="宋体" w:cs="宋体"/>
              <w:sz w:val="24"/>
              <w:szCs w:val="32"/>
              <w:lang w:eastAsia="zh-CN"/>
            </w:rPr>
            <w:instrText xml:space="preserve"> HYPERLINK \l _Toc11703 </w:instrText>
          </w:r>
          <w:r>
            <w:rPr>
              <w:rFonts w:hint="eastAsia" w:ascii="宋体" w:hAnsi="宋体" w:eastAsia="宋体" w:cs="宋体"/>
              <w:sz w:val="24"/>
              <w:szCs w:val="32"/>
              <w:lang w:eastAsia="zh-CN"/>
            </w:rPr>
            <w:fldChar w:fldCharType="separate"/>
          </w:r>
          <w:r>
            <w:rPr>
              <w:rFonts w:hint="eastAsia" w:ascii="宋体" w:hAnsi="宋体" w:eastAsia="宋体" w:cs="宋体"/>
              <w:sz w:val="24"/>
              <w:szCs w:val="32"/>
              <w:highlight w:val="none"/>
              <w:lang w:eastAsia="zh-CN"/>
            </w:rPr>
            <w:t>第四章</w:t>
          </w:r>
          <w:r>
            <w:rPr>
              <w:rFonts w:hint="eastAsia" w:ascii="宋体" w:hAnsi="宋体" w:eastAsia="宋体" w:cs="宋体"/>
              <w:sz w:val="24"/>
              <w:szCs w:val="32"/>
              <w:highlight w:val="none"/>
              <w:lang w:val="en-US" w:eastAsia="zh-CN"/>
            </w:rPr>
            <w:t xml:space="preserve"> </w:t>
          </w:r>
          <w:r>
            <w:rPr>
              <w:rFonts w:hint="eastAsia" w:ascii="宋体" w:hAnsi="宋体" w:eastAsia="宋体" w:cs="宋体"/>
              <w:sz w:val="24"/>
              <w:szCs w:val="32"/>
              <w:highlight w:val="none"/>
            </w:rPr>
            <w:t>供应商须知资料表</w:t>
          </w:r>
          <w:r>
            <w:rPr>
              <w:sz w:val="24"/>
              <w:szCs w:val="32"/>
            </w:rPr>
            <w:tab/>
          </w:r>
          <w:r>
            <w:rPr>
              <w:sz w:val="24"/>
              <w:szCs w:val="32"/>
            </w:rPr>
            <w:fldChar w:fldCharType="begin"/>
          </w:r>
          <w:r>
            <w:rPr>
              <w:sz w:val="24"/>
              <w:szCs w:val="32"/>
            </w:rPr>
            <w:instrText xml:space="preserve"> PAGEREF _Toc11703 \h </w:instrText>
          </w:r>
          <w:r>
            <w:rPr>
              <w:sz w:val="24"/>
              <w:szCs w:val="32"/>
            </w:rPr>
            <w:fldChar w:fldCharType="separate"/>
          </w:r>
          <w:r>
            <w:rPr>
              <w:sz w:val="24"/>
              <w:szCs w:val="32"/>
            </w:rPr>
            <w:t>53</w:t>
          </w:r>
          <w:r>
            <w:rPr>
              <w:sz w:val="24"/>
              <w:szCs w:val="32"/>
            </w:rPr>
            <w:fldChar w:fldCharType="end"/>
          </w:r>
          <w:r>
            <w:rPr>
              <w:rFonts w:hint="eastAsia" w:ascii="宋体" w:hAnsi="宋体" w:eastAsia="宋体" w:cs="宋体"/>
              <w:sz w:val="24"/>
              <w:szCs w:val="32"/>
              <w:lang w:eastAsia="zh-CN"/>
            </w:rPr>
            <w:fldChar w:fldCharType="end"/>
          </w:r>
        </w:p>
        <w:p>
          <w:pPr>
            <w:pStyle w:val="18"/>
            <w:keepNext w:val="0"/>
            <w:keepLines w:val="0"/>
            <w:pageBreakBefore w:val="0"/>
            <w:widowControl w:val="0"/>
            <w:kinsoku/>
            <w:wordWrap/>
            <w:overflowPunct/>
            <w:topLinePunct w:val="0"/>
            <w:autoSpaceDE/>
            <w:autoSpaceDN/>
            <w:bidi w:val="0"/>
            <w:adjustRightInd/>
            <w:spacing w:line="360" w:lineRule="auto"/>
            <w:textAlignment w:val="auto"/>
            <w:rPr>
              <w:rFonts w:hint="eastAsia"/>
              <w:lang w:eastAsia="zh-CN"/>
            </w:rPr>
          </w:pPr>
          <w:r>
            <w:rPr>
              <w:rFonts w:hint="eastAsia" w:ascii="宋体" w:hAnsi="宋体" w:eastAsia="宋体" w:cs="宋体"/>
              <w:sz w:val="21"/>
              <w:szCs w:val="32"/>
              <w:lang w:eastAsia="zh-CN"/>
            </w:rPr>
            <w:fldChar w:fldCharType="end"/>
          </w:r>
        </w:p>
      </w:sdtContent>
    </w:sdt>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bidi w:val="0"/>
        <w:rPr>
          <w:rFonts w:hint="eastAsia"/>
          <w:lang w:eastAsia="zh-CN"/>
        </w:rPr>
      </w:pPr>
      <w:bookmarkStart w:id="0" w:name="_Toc16001"/>
    </w:p>
    <w:p>
      <w:pPr>
        <w:bidi w:val="0"/>
        <w:rPr>
          <w:rFonts w:hint="eastAsia"/>
          <w:lang w:eastAsia="zh-CN"/>
        </w:rPr>
      </w:pPr>
    </w:p>
    <w:p>
      <w:pPr>
        <w:pStyle w:val="4"/>
        <w:bidi w:val="0"/>
        <w:ind w:firstLine="3213" w:firstLineChars="1000"/>
        <w:jc w:val="both"/>
        <w:rPr>
          <w:rFonts w:hint="eastAsia" w:ascii="宋体" w:hAnsi="宋体" w:eastAsia="宋体" w:cs="宋体"/>
          <w:sz w:val="32"/>
          <w:szCs w:val="32"/>
          <w:lang w:eastAsia="zh-CN"/>
        </w:rPr>
        <w:sectPr>
          <w:headerReference r:id="rId4" w:type="first"/>
          <w:footerReference r:id="rId6" w:type="first"/>
          <w:headerReference r:id="rId3" w:type="default"/>
          <w:footerReference r:id="rId5" w:type="default"/>
          <w:pgSz w:w="11906" w:h="16838"/>
          <w:pgMar w:top="1440" w:right="1686" w:bottom="1440" w:left="1180" w:header="851" w:footer="992" w:gutter="0"/>
          <w:cols w:space="0" w:num="1"/>
          <w:titlePg/>
          <w:rtlGutter w:val="0"/>
          <w:docGrid w:type="lines" w:linePitch="312" w:charSpace="0"/>
        </w:sectPr>
      </w:pPr>
    </w:p>
    <w:p>
      <w:pPr>
        <w:pStyle w:val="4"/>
        <w:bidi w:val="0"/>
        <w:ind w:firstLine="3213" w:firstLineChars="1000"/>
        <w:jc w:val="both"/>
        <w:rPr>
          <w:rFonts w:hint="eastAsia" w:ascii="宋体" w:hAnsi="宋体" w:eastAsia="宋体" w:cs="宋体"/>
          <w:sz w:val="32"/>
          <w:szCs w:val="32"/>
          <w:highlight w:val="none"/>
        </w:rPr>
      </w:pPr>
      <w:r>
        <w:rPr>
          <w:rFonts w:hint="eastAsia" w:ascii="宋体" w:hAnsi="宋体" w:eastAsia="宋体" w:cs="宋体"/>
          <w:sz w:val="32"/>
          <w:szCs w:val="32"/>
          <w:lang w:eastAsia="zh-CN"/>
        </w:rPr>
        <w:t>第一章</w:t>
      </w:r>
      <w:r>
        <w:rPr>
          <w:rFonts w:hint="eastAsia" w:ascii="宋体" w:hAnsi="宋体" w:eastAsia="宋体" w:cs="宋体"/>
          <w:sz w:val="32"/>
          <w:szCs w:val="32"/>
        </w:rPr>
        <w:t xml:space="preserve">  </w:t>
      </w:r>
      <w:bookmarkStart w:id="1" w:name="_Toc515647756"/>
      <w:r>
        <w:rPr>
          <w:rFonts w:hint="eastAsia" w:ascii="宋体" w:hAnsi="宋体" w:eastAsia="宋体" w:cs="宋体"/>
          <w:sz w:val="32"/>
          <w:szCs w:val="32"/>
          <w:lang w:eastAsia="zh-CN"/>
        </w:rPr>
        <w:t>供应商须知</w:t>
      </w:r>
      <w:bookmarkEnd w:id="0"/>
      <w:bookmarkEnd w:id="1"/>
    </w:p>
    <w:p>
      <w:pPr>
        <w:pStyle w:val="5"/>
        <w:bidi w:val="0"/>
        <w:rPr>
          <w:rFonts w:hint="eastAsia"/>
        </w:rPr>
      </w:pPr>
      <w:bookmarkStart w:id="2" w:name="_Toc216582805"/>
      <w:bookmarkStart w:id="3" w:name="_Toc520356143"/>
      <w:bookmarkStart w:id="4" w:name="_Toc515647757"/>
      <w:bookmarkStart w:id="5" w:name="_Toc9218"/>
      <w:bookmarkStart w:id="6" w:name="_Toc21215"/>
      <w:bookmarkStart w:id="7" w:name="_Toc21015"/>
      <w:bookmarkStart w:id="8" w:name="_Toc11564"/>
      <w:r>
        <w:rPr>
          <w:rFonts w:hint="eastAsia"/>
        </w:rPr>
        <w:t>一</w:t>
      </w:r>
      <w:bookmarkEnd w:id="2"/>
      <w:bookmarkEnd w:id="3"/>
      <w:bookmarkEnd w:id="4"/>
      <w:r>
        <w:rPr>
          <w:rFonts w:hint="eastAsia"/>
          <w:lang w:eastAsia="zh-CN"/>
        </w:rPr>
        <w:t>、</w:t>
      </w:r>
      <w:r>
        <w:rPr>
          <w:rFonts w:hint="eastAsia"/>
        </w:rPr>
        <w:t>总则</w:t>
      </w:r>
      <w:bookmarkEnd w:id="5"/>
      <w:bookmarkEnd w:id="6"/>
      <w:bookmarkEnd w:id="7"/>
      <w:bookmarkEnd w:id="8"/>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9" w:name="_Toc520356144"/>
      <w:bookmarkStart w:id="10" w:name="_Toc515647758"/>
      <w:bookmarkStart w:id="11" w:name="_Toc18826"/>
      <w:bookmarkStart w:id="12" w:name="_Toc22047"/>
      <w:bookmarkStart w:id="13" w:name="_Toc18330"/>
      <w:bookmarkStart w:id="14" w:name="_Toc21790"/>
      <w:bookmarkStart w:id="15" w:name="_Toc32189"/>
      <w:bookmarkStart w:id="16" w:name="_Toc10809"/>
      <w:bookmarkStart w:id="17" w:name="_Toc32623"/>
      <w:r>
        <w:rPr>
          <w:rFonts w:hint="eastAsia" w:ascii="宋体" w:hAnsi="宋体" w:eastAsia="宋体" w:cs="宋体"/>
          <w:sz w:val="24"/>
          <w:szCs w:val="24"/>
          <w:highlight w:val="none"/>
        </w:rPr>
        <w:t>1.采购人、采购代理机构及</w:t>
      </w:r>
      <w:bookmarkEnd w:id="9"/>
      <w:r>
        <w:rPr>
          <w:rFonts w:hint="eastAsia" w:ascii="宋体" w:hAnsi="宋体" w:eastAsia="宋体" w:cs="宋体"/>
          <w:sz w:val="24"/>
          <w:szCs w:val="24"/>
          <w:highlight w:val="none"/>
        </w:rPr>
        <w:t>供应商</w:t>
      </w:r>
      <w:bookmarkEnd w:id="10"/>
      <w:bookmarkEnd w:id="11"/>
      <w:bookmarkEnd w:id="12"/>
      <w:bookmarkEnd w:id="13"/>
      <w:bookmarkEnd w:id="14"/>
      <w:bookmarkEnd w:id="15"/>
      <w:bookmarkEnd w:id="16"/>
      <w:bookmarkEnd w:id="17"/>
    </w:p>
    <w:p>
      <w:pPr>
        <w:pageBreakBefore w:val="0"/>
        <w:tabs>
          <w:tab w:val="left" w:pos="0"/>
        </w:tabs>
        <w:kinsoku/>
        <w:wordWrap/>
        <w:overflowPunct/>
        <w:topLinePunct w:val="0"/>
        <w:bidi w:val="0"/>
        <w:spacing w:line="360" w:lineRule="exact"/>
        <w:ind w:left="2"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采购人：是指依法开展政府采购活动的国家机关、事业单位、团体组织。本项目的采购人</w:t>
      </w:r>
      <w:r>
        <w:rPr>
          <w:rFonts w:hint="eastAsia" w:ascii="宋体" w:hAnsi="宋体" w:eastAsia="宋体" w:cs="宋体"/>
          <w:sz w:val="24"/>
          <w:szCs w:val="24"/>
          <w:highlight w:val="none"/>
          <w:lang w:val="en-US" w:eastAsia="zh-CN"/>
        </w:rPr>
        <w:t>为泽普县农村饮水安全工程服务总站</w:t>
      </w:r>
      <w:r>
        <w:rPr>
          <w:rFonts w:hint="eastAsia" w:ascii="宋体" w:hAnsi="宋体" w:eastAsia="宋体" w:cs="宋体"/>
          <w:sz w:val="24"/>
          <w:szCs w:val="24"/>
          <w:highlight w:val="none"/>
        </w:rPr>
        <w:t>。</w:t>
      </w:r>
    </w:p>
    <w:p>
      <w:pPr>
        <w:pageBreakBefore w:val="0"/>
        <w:tabs>
          <w:tab w:val="left" w:pos="0"/>
        </w:tabs>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采购代理机构：是指在集中采购机构或从事采购代理业务的社会中介机构。本项目的采购代理机构</w:t>
      </w:r>
      <w:r>
        <w:rPr>
          <w:rFonts w:hint="eastAsia" w:ascii="宋体" w:hAnsi="宋体" w:eastAsia="宋体" w:cs="宋体"/>
          <w:sz w:val="24"/>
          <w:szCs w:val="24"/>
          <w:highlight w:val="none"/>
          <w:lang w:val="en-US" w:eastAsia="zh-CN"/>
        </w:rPr>
        <w:t>为新疆正昊建设工程项目管理有限公司</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供应商：是指向采购人提供货物、工程或者服务的法人、非法人组织或者自然人。本项目的供应商及其所投</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须满足以下条件：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在中华人民共和国境内注册，能够独立承担民事责任，有生产或供应能力的本国供应商。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以采购代理机构认可的方式获得了本项目的谈判文件。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 符合</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中规定的其他要求。</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 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中写明允许采购进口产品，供应商应保证所投产品可履行合法报通关手续进入中国关境内。</w:t>
      </w:r>
    </w:p>
    <w:p>
      <w:pPr>
        <w:pageBreakBefore w:val="0"/>
        <w:kinsoku/>
        <w:wordWrap/>
        <w:overflowPunct/>
        <w:topLinePunct w:val="0"/>
        <w:bidi w:val="0"/>
        <w:spacing w:line="360" w:lineRule="exact"/>
        <w:ind w:left="7"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中未写明允许采购进口产品，如供应商所投产品为进口产品，其谈判资格将被认定为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1.3.6 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中写明专门面向中小企业采购的，如供应商为非中小企业且所投产品为非中小企业产品，其谈判资格将被认定为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中允许联合体参加，对联合体规定如下：</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两个以上供应商可以组成一个谈判联合体，以一个供应商的身份参加谈判。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联合体各方均应符合《中华人民共和国政府采购法》第二十二条规定的条件。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 采购人根据采购项目对供应商的特殊要求，联合体中至少应当有一方符合相关规定。</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 联合体各方应签订共同响应协议，明确约定联合体各方承担的工作和相应的责任，并将共同响应协议连同作为响应文件第一部分的内容提交。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 大中型企业、其他自然人、法人或者非法人组织与小型、微型企业组成联合体共同参加谈判，共同响应协议中应写明小型、微型企业的协议合同金额占到共同响应协议谈判总金额的比例。</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1.4.6 联合体中有同类资质的供应商按照联合体分工承担相同工作的，按照较低的资质等级确定联合体的资质等级。</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1.4.7 以联合体形式参加政府采购活动的，联合体各方不得再单独参加或者与其他供应商另外组成联合体参加本项目谈判，否则相关谈判资格将被认定为</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1.4.8 对联合体参加的其他资格要求见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 单位负责人为同一人或者存在直接控股、管理关系的不同供应商，其相关谈判资格将被认定为</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 为本项目提供过整体设计、规范编制或者项目管理、监理、检测等服务的供应商，不得再参加本项目上述服务以外的其他采购活动。否则其谈判资格将被认定为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供应商在谈判过程中不得向采购人提供、给予任何有价值的物品，影响其正常决策行为。一经发现，其将被认定为</w:t>
      </w:r>
      <w:r>
        <w:rPr>
          <w:rFonts w:hint="eastAsia" w:ascii="宋体" w:hAnsi="宋体" w:eastAsia="宋体" w:cs="宋体"/>
          <w:b/>
          <w:bCs/>
          <w:sz w:val="24"/>
          <w:szCs w:val="24"/>
          <w:highlight w:val="none"/>
        </w:rPr>
        <w:t>无效响应</w:t>
      </w:r>
      <w:r>
        <w:rPr>
          <w:rFonts w:hint="eastAsia" w:ascii="宋体" w:hAnsi="宋体" w:eastAsia="宋体" w:cs="宋体"/>
          <w:sz w:val="24"/>
          <w:szCs w:val="24"/>
          <w:highlight w:val="none"/>
        </w:rPr>
        <w:t>。</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8" w:name="_Toc12139"/>
      <w:bookmarkStart w:id="19" w:name="_Toc5286"/>
      <w:bookmarkStart w:id="20" w:name="_Toc515647759"/>
      <w:bookmarkStart w:id="21" w:name="_Toc31962"/>
      <w:bookmarkStart w:id="22" w:name="_Toc30805"/>
      <w:bookmarkStart w:id="23" w:name="_Toc4160"/>
      <w:bookmarkStart w:id="24" w:name="_Toc5313"/>
      <w:bookmarkStart w:id="25" w:name="_Toc10922"/>
      <w:r>
        <w:rPr>
          <w:rFonts w:hint="eastAsia" w:ascii="宋体" w:hAnsi="宋体" w:eastAsia="宋体" w:cs="宋体"/>
          <w:sz w:val="24"/>
          <w:szCs w:val="24"/>
          <w:highlight w:val="none"/>
        </w:rPr>
        <w:t>2.资金来源</w:t>
      </w:r>
      <w:bookmarkEnd w:id="18"/>
      <w:bookmarkEnd w:id="19"/>
      <w:bookmarkEnd w:id="20"/>
      <w:bookmarkEnd w:id="21"/>
      <w:bookmarkEnd w:id="22"/>
      <w:bookmarkEnd w:id="23"/>
      <w:bookmarkEnd w:id="24"/>
      <w:bookmarkEnd w:id="25"/>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本项目的采购人已获得足以支付本次谈判后所签订的合同项下的资金（包括财政性资金和本项目采购中无法与财政性资金分割的非财政性资金）</w:t>
      </w:r>
      <w:r>
        <w:rPr>
          <w:rFonts w:hint="eastAsia" w:ascii="宋体" w:hAnsi="宋体" w:eastAsia="宋体" w:cs="宋体"/>
          <w:sz w:val="24"/>
          <w:szCs w:val="24"/>
          <w:highlight w:val="none"/>
          <w:lang w:eastAsia="zh-CN"/>
        </w:rPr>
        <w:t>，本项目资金来源为</w:t>
      </w:r>
      <w:r>
        <w:rPr>
          <w:rFonts w:hint="eastAsia" w:ascii="宋体" w:hAnsi="宋体" w:eastAsia="宋体" w:cs="宋体"/>
          <w:b w:val="0"/>
          <w:bCs w:val="0"/>
          <w:sz w:val="24"/>
          <w:szCs w:val="24"/>
          <w:highlight w:val="none"/>
          <w:u w:val="single"/>
          <w:lang w:val="en-US" w:eastAsia="zh-CN"/>
        </w:rPr>
        <w:t>农村自来水水费</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项目预算金额和分项或分包最高限价</w:t>
      </w:r>
      <w:r>
        <w:rPr>
          <w:rFonts w:hint="eastAsia" w:ascii="宋体" w:hAnsi="宋体" w:eastAsia="宋体" w:cs="宋体"/>
          <w:sz w:val="24"/>
          <w:szCs w:val="24"/>
          <w:highlight w:val="none"/>
          <w:u w:val="single"/>
        </w:rPr>
        <w:t>见供应商须知资料表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供应商报价超过谈判文件规定的预算金额或者分项、分包最高限价的，其谈判资格将被认定为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6" w:name="_Toc15936"/>
      <w:bookmarkStart w:id="27" w:name="_Toc24066"/>
      <w:bookmarkStart w:id="28" w:name="_Toc32655"/>
      <w:bookmarkStart w:id="29" w:name="_Toc18018"/>
      <w:bookmarkStart w:id="30" w:name="_Toc32106"/>
      <w:bookmarkStart w:id="31" w:name="_Toc20526"/>
      <w:bookmarkStart w:id="32" w:name="_Toc3036"/>
      <w:bookmarkStart w:id="33" w:name="_Toc520356145"/>
      <w:bookmarkStart w:id="34" w:name="_Toc515647760"/>
      <w:r>
        <w:rPr>
          <w:rFonts w:hint="eastAsia" w:ascii="宋体" w:hAnsi="宋体" w:eastAsia="宋体" w:cs="宋体"/>
          <w:sz w:val="24"/>
          <w:szCs w:val="24"/>
          <w:highlight w:val="none"/>
        </w:rPr>
        <w:t>3.谈判费用</w:t>
      </w:r>
      <w:bookmarkEnd w:id="26"/>
      <w:bookmarkEnd w:id="27"/>
      <w:bookmarkEnd w:id="28"/>
      <w:bookmarkEnd w:id="29"/>
      <w:bookmarkEnd w:id="30"/>
      <w:bookmarkEnd w:id="31"/>
      <w:bookmarkEnd w:id="32"/>
      <w:bookmarkEnd w:id="33"/>
      <w:bookmarkEnd w:id="34"/>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不论参加谈判的结果如何，供应商应承担所有与准备和参加谈判有关的费用。</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 w:name="_Toc6128"/>
      <w:bookmarkStart w:id="36" w:name="_Toc4463"/>
      <w:bookmarkStart w:id="37" w:name="_Toc515647761"/>
      <w:bookmarkStart w:id="38" w:name="_Toc20590"/>
      <w:bookmarkStart w:id="39" w:name="_Toc13468"/>
      <w:bookmarkStart w:id="40" w:name="_Toc6116"/>
      <w:bookmarkStart w:id="41" w:name="_Toc7447"/>
      <w:bookmarkStart w:id="42" w:name="_Toc6429"/>
      <w:r>
        <w:rPr>
          <w:rFonts w:hint="eastAsia" w:ascii="宋体" w:hAnsi="宋体" w:eastAsia="宋体" w:cs="宋体"/>
          <w:sz w:val="24"/>
          <w:szCs w:val="24"/>
          <w:highlight w:val="none"/>
        </w:rPr>
        <w:t>4.适用法律</w:t>
      </w:r>
      <w:bookmarkEnd w:id="35"/>
      <w:bookmarkEnd w:id="36"/>
      <w:bookmarkEnd w:id="37"/>
      <w:bookmarkEnd w:id="38"/>
      <w:bookmarkEnd w:id="39"/>
      <w:bookmarkEnd w:id="40"/>
      <w:bookmarkEnd w:id="41"/>
      <w:bookmarkEnd w:id="4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人、采购代理机构、供应商、谈判小组的相关行为均受《中华人民共和国政府采购法》、《中华人民共和国政府采购法实施条例》、《财政部令第74号》及本项目本级和上级财政部门政府采购有关规定的约束，其权利受到上述法律法规的保护。</w:t>
      </w:r>
    </w:p>
    <w:p>
      <w:pPr>
        <w:pStyle w:val="5"/>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43" w:name="_Toc2097"/>
      <w:bookmarkStart w:id="44" w:name="_Toc520356146"/>
      <w:bookmarkStart w:id="45" w:name="_Toc216582806"/>
      <w:bookmarkStart w:id="46" w:name="_Toc27070"/>
      <w:bookmarkStart w:id="47" w:name="_Toc515647762"/>
      <w:bookmarkStart w:id="48" w:name="_Toc4365"/>
      <w:bookmarkStart w:id="49" w:name="_Toc21566"/>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谈判文件</w:t>
      </w:r>
      <w:bookmarkEnd w:id="43"/>
      <w:bookmarkEnd w:id="44"/>
      <w:bookmarkEnd w:id="45"/>
      <w:bookmarkEnd w:id="46"/>
      <w:bookmarkEnd w:id="47"/>
      <w:bookmarkEnd w:id="48"/>
      <w:bookmarkEnd w:id="49"/>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50" w:name="_Toc20490"/>
      <w:bookmarkStart w:id="51" w:name="_Toc520356147"/>
      <w:bookmarkStart w:id="52" w:name="_Toc16280"/>
      <w:bookmarkStart w:id="53" w:name="_Toc24312"/>
      <w:bookmarkStart w:id="54" w:name="_Toc30173"/>
      <w:bookmarkStart w:id="55" w:name="_Toc14084"/>
      <w:bookmarkStart w:id="56" w:name="_Toc515647763"/>
      <w:bookmarkStart w:id="57" w:name="_Toc25743"/>
      <w:bookmarkStart w:id="58" w:name="_Toc28419"/>
      <w:r>
        <w:rPr>
          <w:rFonts w:hint="eastAsia" w:ascii="宋体" w:hAnsi="宋体" w:eastAsia="宋体" w:cs="宋体"/>
          <w:sz w:val="24"/>
          <w:szCs w:val="24"/>
          <w:highlight w:val="none"/>
        </w:rPr>
        <w:t>5.谈判文件构成</w:t>
      </w:r>
      <w:bookmarkEnd w:id="50"/>
      <w:bookmarkEnd w:id="51"/>
      <w:bookmarkEnd w:id="52"/>
      <w:bookmarkEnd w:id="53"/>
      <w:bookmarkEnd w:id="54"/>
      <w:bookmarkEnd w:id="55"/>
      <w:bookmarkEnd w:id="56"/>
      <w:bookmarkEnd w:id="57"/>
      <w:bookmarkEnd w:id="58"/>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谈判文件共7章，内容如下：</w:t>
      </w:r>
    </w:p>
    <w:p>
      <w:pPr>
        <w:pageBreakBefore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响应文件格式</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第3章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谈判邀请</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第4章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供应商须知资料表</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第5章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服务需求一览表及技术规格</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第6章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评审方法和标准</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第7章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政府采购合同格式</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如本文件的前后内容不一致，以最后描述为准。</w:t>
      </w:r>
    </w:p>
    <w:p>
      <w:pPr>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 供应商应认真阅读谈判文件所有的事项、格式、条款和技术规范等。如供应商没有按照谈判文件要求提交全部资料，或者响应文件没有对谈判文件在各方面都做出实质性响应，可能导致其响应将被认定为响应</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2"/>
        <w:pageBreakBefore w:val="0"/>
        <w:kinsoku/>
        <w:wordWrap/>
        <w:overflowPunct/>
        <w:topLinePunct w:val="0"/>
        <w:bidi w:val="0"/>
        <w:spacing w:before="0" w:after="0" w:line="360" w:lineRule="exact"/>
        <w:ind w:firstLine="482" w:firstLineChars="200"/>
        <w:textAlignment w:val="auto"/>
        <w:rPr>
          <w:rFonts w:hint="eastAsia" w:ascii="宋体" w:hAnsi="宋体" w:eastAsia="宋体" w:cs="宋体"/>
          <w:sz w:val="24"/>
          <w:szCs w:val="24"/>
          <w:highlight w:val="none"/>
        </w:rPr>
      </w:pPr>
      <w:bookmarkStart w:id="59" w:name="_Toc520356148"/>
      <w:bookmarkStart w:id="60" w:name="_Toc515904805"/>
      <w:bookmarkStart w:id="61" w:name="_Toc9232"/>
      <w:bookmarkStart w:id="62" w:name="_Toc26044"/>
      <w:bookmarkStart w:id="63" w:name="_Toc9386"/>
      <w:bookmarkStart w:id="64" w:name="_Toc13402"/>
      <w:bookmarkStart w:id="65" w:name="_Toc4664"/>
      <w:bookmarkStart w:id="66" w:name="_Toc3613"/>
      <w:bookmarkStart w:id="67" w:name="_Toc11704"/>
      <w:r>
        <w:rPr>
          <w:rFonts w:hint="eastAsia" w:ascii="宋体" w:hAnsi="宋体" w:eastAsia="宋体" w:cs="宋体"/>
          <w:sz w:val="24"/>
          <w:szCs w:val="24"/>
          <w:highlight w:val="none"/>
        </w:rPr>
        <w:t>6.谈判文件的澄清</w:t>
      </w:r>
      <w:bookmarkEnd w:id="59"/>
      <w:bookmarkEnd w:id="60"/>
      <w:r>
        <w:rPr>
          <w:rFonts w:hint="eastAsia" w:ascii="宋体" w:hAnsi="宋体" w:eastAsia="宋体" w:cs="宋体"/>
          <w:sz w:val="24"/>
          <w:szCs w:val="24"/>
          <w:highlight w:val="none"/>
        </w:rPr>
        <w:t>与修改</w:t>
      </w:r>
      <w:bookmarkEnd w:id="61"/>
      <w:bookmarkEnd w:id="62"/>
      <w:bookmarkEnd w:id="63"/>
      <w:bookmarkEnd w:id="64"/>
      <w:bookmarkEnd w:id="65"/>
      <w:bookmarkEnd w:id="66"/>
      <w:bookmarkEnd w:id="67"/>
    </w:p>
    <w:p>
      <w:pPr>
        <w:pStyle w:val="3"/>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为了保证对谈判文件的澄清和修改满足法律的时限要求，任何要求对谈判文件进行澄清的供应商，均应在递交响应文件截止期3日前，以书面形式将澄清要求通知采购人或采购代理机构。</w:t>
      </w:r>
    </w:p>
    <w:p>
      <w:pPr>
        <w:pStyle w:val="3"/>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bookmarkStart w:id="68" w:name="_Toc520356149"/>
      <w:bookmarkStart w:id="69" w:name="_Toc515904806"/>
      <w:bookmarkStart w:id="70" w:name="_Ref467378678"/>
      <w:r>
        <w:rPr>
          <w:rFonts w:hint="eastAsia" w:ascii="宋体" w:hAnsi="宋体" w:eastAsia="宋体" w:cs="宋体"/>
          <w:sz w:val="24"/>
          <w:szCs w:val="24"/>
          <w:highlight w:val="none"/>
        </w:rPr>
        <w:t>6.2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采购人可主动地或在解答供应商提出的澄清问题时对谈判文件进行澄清或修改。采购代理机构将以发布澄清（更正）公告的方式，澄清或修改谈判文件，澄清或修改内容作为谈判文件的组成部分。</w:t>
      </w:r>
    </w:p>
    <w:p>
      <w:pPr>
        <w:pStyle w:val="3"/>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澄清或者修改的内容可能影响响应文件编制的，采购代理机构将以书面形式通知所有购买谈判文件的潜在供应商，并对其具有约束力。供应商在收到上述通知后，应及时向采购代理机构回函确认。</w:t>
      </w:r>
    </w:p>
    <w:p>
      <w:pPr>
        <w:pStyle w:val="2"/>
        <w:pageBreakBefore w:val="0"/>
        <w:tabs>
          <w:tab w:val="left" w:pos="900"/>
        </w:tabs>
        <w:kinsoku/>
        <w:wordWrap/>
        <w:overflowPunct/>
        <w:topLinePunct w:val="0"/>
        <w:bidi w:val="0"/>
        <w:spacing w:before="0" w:after="0" w:line="360" w:lineRule="exact"/>
        <w:ind w:firstLine="482" w:firstLineChars="200"/>
        <w:textAlignment w:val="auto"/>
        <w:rPr>
          <w:rFonts w:hint="eastAsia" w:ascii="宋体" w:hAnsi="宋体" w:eastAsia="宋体" w:cs="宋体"/>
          <w:sz w:val="24"/>
          <w:szCs w:val="24"/>
          <w:highlight w:val="none"/>
        </w:rPr>
      </w:pPr>
      <w:bookmarkStart w:id="71" w:name="_Toc5588"/>
      <w:bookmarkStart w:id="72" w:name="_Toc4597"/>
      <w:bookmarkStart w:id="73" w:name="_Toc21808"/>
      <w:bookmarkStart w:id="74" w:name="_Toc25635"/>
      <w:bookmarkStart w:id="75" w:name="_Toc21193"/>
      <w:bookmarkStart w:id="76" w:name="_Toc7927"/>
      <w:bookmarkStart w:id="77" w:name="_Toc14569"/>
      <w:r>
        <w:rPr>
          <w:rFonts w:hint="eastAsia" w:ascii="宋体" w:hAnsi="宋体" w:eastAsia="宋体" w:cs="宋体"/>
          <w:sz w:val="24"/>
          <w:szCs w:val="24"/>
          <w:highlight w:val="none"/>
        </w:rPr>
        <w:t>7</w:t>
      </w:r>
      <w:bookmarkEnd w:id="68"/>
      <w:bookmarkEnd w:id="69"/>
      <w:bookmarkEnd w:id="70"/>
      <w:r>
        <w:rPr>
          <w:rFonts w:hint="eastAsia" w:ascii="宋体" w:hAnsi="宋体" w:eastAsia="宋体" w:cs="宋体"/>
          <w:sz w:val="24"/>
          <w:szCs w:val="24"/>
          <w:highlight w:val="none"/>
        </w:rPr>
        <w:t>.递交响应文件截止时间的顺延</w:t>
      </w:r>
      <w:bookmarkEnd w:id="71"/>
      <w:bookmarkEnd w:id="72"/>
      <w:bookmarkEnd w:id="73"/>
      <w:bookmarkEnd w:id="74"/>
      <w:bookmarkEnd w:id="75"/>
      <w:bookmarkEnd w:id="76"/>
      <w:bookmarkEnd w:id="77"/>
    </w:p>
    <w:p>
      <w:pPr>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为使供应商准备谈判时有足够的时间对谈判文件的澄清或者修改部分进行研究，采购人将依法决定是否顺延递交响应文件截止时间。</w:t>
      </w:r>
    </w:p>
    <w:p>
      <w:pPr>
        <w:pStyle w:val="5"/>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78" w:name="_Toc516367020"/>
      <w:bookmarkStart w:id="79" w:name="_Toc216582807"/>
      <w:bookmarkStart w:id="80" w:name="_Toc520356150"/>
      <w:bookmarkStart w:id="81" w:name="_Toc7636"/>
      <w:bookmarkStart w:id="82" w:name="_Toc16705"/>
      <w:bookmarkStart w:id="83" w:name="_Toc22873"/>
      <w:bookmarkStart w:id="84" w:name="_Toc515647766"/>
      <w:bookmarkStart w:id="85" w:name="_Toc30808"/>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、响应文件</w:t>
      </w:r>
      <w:bookmarkEnd w:id="78"/>
      <w:r>
        <w:rPr>
          <w:rFonts w:hint="eastAsia" w:ascii="宋体" w:hAnsi="宋体" w:eastAsia="宋体" w:cs="宋体"/>
          <w:sz w:val="24"/>
          <w:szCs w:val="24"/>
          <w:highlight w:val="none"/>
          <w:lang w:eastAsia="zh-CN"/>
        </w:rPr>
        <w:t>的编制</w:t>
      </w:r>
      <w:bookmarkEnd w:id="79"/>
      <w:bookmarkEnd w:id="80"/>
      <w:bookmarkEnd w:id="81"/>
      <w:bookmarkEnd w:id="82"/>
      <w:bookmarkEnd w:id="83"/>
      <w:bookmarkEnd w:id="84"/>
      <w:bookmarkEnd w:id="85"/>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86" w:name="_Toc520356151"/>
      <w:bookmarkStart w:id="87" w:name="_Toc3553"/>
      <w:bookmarkStart w:id="88" w:name="_Toc516367021"/>
      <w:bookmarkStart w:id="89" w:name="_Toc7786"/>
      <w:bookmarkStart w:id="90" w:name="_Toc8277"/>
      <w:bookmarkStart w:id="91" w:name="_Toc31109"/>
      <w:bookmarkStart w:id="92" w:name="_Toc28476"/>
      <w:bookmarkStart w:id="93" w:name="_Toc21550"/>
      <w:bookmarkStart w:id="94" w:name="_Toc30264"/>
      <w:bookmarkStart w:id="95" w:name="_Toc515647767"/>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谈判范围及响应文件中标准和计量单位的使用</w:t>
      </w:r>
      <w:bookmarkEnd w:id="86"/>
      <w:bookmarkEnd w:id="87"/>
      <w:bookmarkEnd w:id="88"/>
      <w:bookmarkEnd w:id="89"/>
      <w:bookmarkEnd w:id="90"/>
      <w:bookmarkEnd w:id="91"/>
      <w:bookmarkEnd w:id="92"/>
      <w:bookmarkEnd w:id="93"/>
      <w:bookmarkEnd w:id="94"/>
      <w:bookmarkEnd w:id="95"/>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项目有分包的，供应商可对谈判文件其中某一个或几个分包进行响应，除非在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中另有规定。</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供应商应当对所投分包谈判文件中“服务需求”所列的所有内容进行响应，如仅响应某一包中的部分内容，其该包响应将被认定为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无论谈判文件第5章</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需求一览表及技术规格中是否要求，供应商所投均应符合国家强制性标准。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 除谈判文件中有特殊要求外，响应文件中所使用的计量单位，应采用中华人民共和国法定计量单位。</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96" w:name="_Ref467306676"/>
      <w:bookmarkStart w:id="97" w:name="_Toc516367022"/>
      <w:bookmarkStart w:id="98" w:name="_Ref467306195"/>
      <w:bookmarkStart w:id="99" w:name="_Toc29205"/>
      <w:bookmarkStart w:id="100" w:name="_Toc10364"/>
      <w:bookmarkStart w:id="101" w:name="_Toc520356152"/>
      <w:bookmarkStart w:id="102" w:name="_Toc7557"/>
      <w:bookmarkStart w:id="103" w:name="_Toc28307"/>
      <w:bookmarkStart w:id="104" w:name="_Toc2748"/>
      <w:bookmarkStart w:id="105" w:name="_Toc17764"/>
      <w:bookmarkStart w:id="106" w:name="_Toc9230"/>
      <w:bookmarkStart w:id="107" w:name="_Toc515647768"/>
      <w:r>
        <w:rPr>
          <w:rFonts w:hint="eastAsia" w:ascii="宋体" w:hAnsi="宋体" w:eastAsia="宋体" w:cs="宋体"/>
          <w:sz w:val="24"/>
          <w:szCs w:val="24"/>
          <w:highlight w:val="none"/>
        </w:rPr>
        <w:t>9.响应文件</w:t>
      </w:r>
      <w:bookmarkEnd w:id="96"/>
      <w:bookmarkEnd w:id="97"/>
      <w:bookmarkEnd w:id="98"/>
      <w:r>
        <w:rPr>
          <w:rFonts w:hint="eastAsia" w:ascii="宋体" w:hAnsi="宋体" w:eastAsia="宋体" w:cs="宋体"/>
          <w:sz w:val="24"/>
          <w:szCs w:val="24"/>
          <w:highlight w:val="none"/>
        </w:rPr>
        <w:t>构成</w:t>
      </w:r>
      <w:bookmarkEnd w:id="99"/>
      <w:bookmarkEnd w:id="100"/>
      <w:bookmarkEnd w:id="101"/>
      <w:bookmarkEnd w:id="102"/>
      <w:bookmarkEnd w:id="103"/>
      <w:bookmarkEnd w:id="104"/>
      <w:bookmarkEnd w:id="105"/>
      <w:bookmarkEnd w:id="106"/>
      <w:bookmarkEnd w:id="107"/>
    </w:p>
    <w:p>
      <w:pPr>
        <w:pageBreakBefore w:val="0"/>
        <w:tabs>
          <w:tab w:val="left" w:pos="0"/>
          <w:tab w:val="left" w:pos="5580"/>
        </w:tabs>
        <w:kinsoku/>
        <w:wordWrap/>
        <w:overflowPunct/>
        <w:topLinePunct w:val="0"/>
        <w:bidi w:val="0"/>
        <w:spacing w:line="360" w:lineRule="exact"/>
        <w:ind w:left="0" w:leftChars="0" w:firstLine="480" w:firstLineChars="200"/>
        <w:jc w:val="left"/>
        <w:textAlignment w:val="auto"/>
        <w:rPr>
          <w:rFonts w:hint="eastAsia" w:ascii="宋体" w:hAnsi="宋体" w:eastAsia="宋体" w:cs="宋体"/>
          <w:sz w:val="24"/>
          <w:szCs w:val="24"/>
          <w:highlight w:val="none"/>
          <w:u w:val="single"/>
        </w:rPr>
      </w:pPr>
      <w:bookmarkStart w:id="108" w:name="_Ref467052588"/>
      <w:r>
        <w:rPr>
          <w:rFonts w:hint="eastAsia" w:ascii="宋体" w:hAnsi="宋体" w:eastAsia="宋体" w:cs="宋体"/>
          <w:sz w:val="24"/>
          <w:szCs w:val="24"/>
          <w:highlight w:val="none"/>
        </w:rPr>
        <w:t>9.1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供应商应完整地按谈判文件提供的响应文件格式及要求编写响应文件，响应文件应包括“报价一览表及资格证明文件”和“商务及技术文件”两部分。</w:t>
      </w:r>
      <w:r>
        <w:rPr>
          <w:rFonts w:hint="eastAsia" w:ascii="宋体" w:hAnsi="宋体" w:eastAsia="宋体" w:cs="宋体"/>
          <w:b/>
          <w:bCs/>
          <w:sz w:val="24"/>
          <w:szCs w:val="24"/>
          <w:highlight w:val="none"/>
          <w:u w:val="single"/>
        </w:rPr>
        <w:t>两部分合并</w:t>
      </w:r>
      <w:r>
        <w:rPr>
          <w:rFonts w:hint="eastAsia" w:ascii="宋体" w:hAnsi="宋体" w:eastAsia="宋体" w:cs="宋体"/>
          <w:b/>
          <w:bCs/>
          <w:sz w:val="24"/>
          <w:szCs w:val="24"/>
          <w:highlight w:val="none"/>
          <w:u w:val="single"/>
          <w:lang w:eastAsia="zh-CN"/>
        </w:rPr>
        <w:t>成一册</w:t>
      </w:r>
      <w:r>
        <w:rPr>
          <w:rFonts w:hint="eastAsia" w:ascii="宋体" w:hAnsi="宋体" w:eastAsia="宋体" w:cs="宋体"/>
          <w:b/>
          <w:bCs/>
          <w:sz w:val="24"/>
          <w:szCs w:val="24"/>
          <w:highlight w:val="none"/>
          <w:u w:val="single"/>
        </w:rPr>
        <w:t>胶装，密封递交</w:t>
      </w:r>
      <w:r>
        <w:rPr>
          <w:rFonts w:hint="eastAsia" w:ascii="宋体" w:hAnsi="宋体" w:eastAsia="宋体" w:cs="宋体"/>
          <w:sz w:val="24"/>
          <w:szCs w:val="24"/>
          <w:highlight w:val="none"/>
          <w:u w:val="single"/>
        </w:rPr>
        <w:t>。供应商应承担封装失误产生的任何后果。</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上述文件应按照谈判文件规定的格式填写、签署和盖章。</w:t>
      </w:r>
    </w:p>
    <w:bookmarkEnd w:id="108"/>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09" w:name="_Toc4601"/>
      <w:bookmarkStart w:id="110" w:name="_Toc4478"/>
      <w:bookmarkStart w:id="111" w:name="_Toc515647769"/>
      <w:bookmarkStart w:id="112" w:name="_Toc516367023"/>
      <w:bookmarkStart w:id="113" w:name="_Toc14879"/>
      <w:bookmarkStart w:id="114" w:name="_Toc5"/>
      <w:bookmarkStart w:id="115" w:name="_Toc10379"/>
      <w:bookmarkStart w:id="116" w:name="_Toc520356153"/>
      <w:bookmarkStart w:id="117" w:name="_Toc22244"/>
      <w:bookmarkStart w:id="118" w:name="_Toc20013"/>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证明所谈判的的合格性和符合谈判文件规定的技术文件</w:t>
      </w:r>
      <w:bookmarkEnd w:id="109"/>
      <w:bookmarkEnd w:id="110"/>
      <w:bookmarkEnd w:id="111"/>
      <w:bookmarkEnd w:id="112"/>
      <w:bookmarkEnd w:id="113"/>
      <w:bookmarkEnd w:id="114"/>
      <w:bookmarkEnd w:id="115"/>
      <w:bookmarkEnd w:id="116"/>
      <w:bookmarkEnd w:id="117"/>
      <w:bookmarkEnd w:id="11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供应商应提交证明文件，证明其响应内容符合谈判文件规定。该证明文件是响应文件的一部分。</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bookmarkStart w:id="119" w:name="_Ref467306244"/>
      <w:r>
        <w:rPr>
          <w:rFonts w:hint="eastAsia" w:ascii="宋体" w:hAnsi="宋体" w:eastAsia="宋体" w:cs="宋体"/>
          <w:sz w:val="24"/>
          <w:szCs w:val="24"/>
          <w:highlight w:val="none"/>
        </w:rPr>
        <w:t>10.2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上款所述的证明文件，可以是文字资料、图纸和数据，</w:t>
      </w:r>
      <w:bookmarkEnd w:id="119"/>
      <w:r>
        <w:rPr>
          <w:rFonts w:hint="eastAsia" w:ascii="宋体" w:hAnsi="宋体" w:eastAsia="宋体" w:cs="宋体"/>
          <w:sz w:val="24"/>
          <w:szCs w:val="24"/>
          <w:highlight w:val="none"/>
        </w:rPr>
        <w:t>它包括：</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主要技术指标和性能的详细说明；</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10.2.2</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从买方开始使用至谈判文件规定的保质期内正常、连续地使用所必须的备件和专用工具清单，包括备件和专用工具的货源及现行价格；</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对照谈判文件技术规格，逐条说明所提供</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及伴随的工程和服务已对谈判文件的技术规格做出了实质性的响应，或申明与技术规格条文的偏差和例外。</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供应商应注意采购</w:t>
      </w:r>
      <w:r>
        <w:rPr>
          <w:rFonts w:hint="eastAsia" w:ascii="宋体" w:hAnsi="宋体" w:eastAsia="宋体" w:cs="宋体"/>
          <w:b w:val="0"/>
          <w:bCs w:val="0"/>
          <w:sz w:val="24"/>
          <w:szCs w:val="24"/>
          <w:highlight w:val="none"/>
        </w:rPr>
        <w:t>人在技术规格中指出的工艺、材料和设备的参照品牌型号或分类号仅起说明作用，并没有任何限制性。供应商在谈判中可以选用替代牌号或分类号，但这些替代要实质上相当于技术规格的要求。采购人、采购</w:t>
      </w:r>
      <w:r>
        <w:rPr>
          <w:rFonts w:hint="eastAsia" w:ascii="宋体" w:hAnsi="宋体" w:eastAsia="宋体" w:cs="宋体"/>
          <w:sz w:val="24"/>
          <w:szCs w:val="24"/>
          <w:highlight w:val="none"/>
        </w:rPr>
        <w:t>代理机构承诺不以上述参照品牌型号或分类号作为评审时判定其响应是否有效的标准。</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20" w:name="_Toc4413"/>
      <w:bookmarkStart w:id="121" w:name="_Toc22653"/>
      <w:bookmarkStart w:id="122" w:name="_Toc13710"/>
      <w:bookmarkStart w:id="123" w:name="_Toc515647770"/>
      <w:bookmarkStart w:id="124" w:name="_Toc16423"/>
      <w:bookmarkStart w:id="125" w:name="_Toc23231"/>
      <w:bookmarkStart w:id="126" w:name="_Toc13757"/>
      <w:bookmarkStart w:id="127" w:name="_Toc520356155"/>
      <w:bookmarkStart w:id="128" w:name="_Toc2248"/>
      <w:r>
        <w:rPr>
          <w:rFonts w:hint="eastAsia" w:ascii="宋体" w:hAnsi="宋体" w:eastAsia="宋体" w:cs="宋体"/>
          <w:sz w:val="24"/>
          <w:szCs w:val="24"/>
          <w:highlight w:val="none"/>
        </w:rPr>
        <w:t>11.报价</w:t>
      </w:r>
      <w:bookmarkEnd w:id="120"/>
      <w:bookmarkEnd w:id="121"/>
      <w:bookmarkEnd w:id="122"/>
      <w:bookmarkEnd w:id="123"/>
      <w:bookmarkEnd w:id="124"/>
      <w:bookmarkEnd w:id="125"/>
      <w:bookmarkEnd w:id="126"/>
      <w:bookmarkEnd w:id="127"/>
      <w:bookmarkEnd w:id="12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所有报价均以人民币报价。供应商的标的报价应遵守《中华人民共和国价格法》。同时，根据《中华人民共和国政府采购法》第二条的规定，为保证公平竞争，如有主体部分的赠与行为，其谈判资格将被认定为无效。</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供应商应在标的分项报价表上标明所投及相关服务的单价（如适用）和总价，并由法定代表人或其授权代表签署。</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标的分项报价表上的价格应按下列方式填写：</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供应商所报的各分项标的单价在合同履行过程中是固定不变的，不得以任何理由予以变更。任何包含价格调整要求的响应，其响应将被认定为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供应商提交的响应性文件中的报价，在谈判现场公开宣读。该报价只允许有一个报价，任何有选择性的报价将不予接受。</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11.5.1 谈判结束后，供应商可根据谈判情况，在规定的时间内进行第二次报价，该报价为谈判的最终报价。供应商认为没有进行第二次报价的必要时，也可以维持原报价。</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最后报价应按谈判文件规定的格式进行报价，在谈判小组规定的截止时间前提交谈判小组。</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29" w:name="_Toc18111"/>
      <w:bookmarkStart w:id="130" w:name="_Toc16170"/>
      <w:bookmarkStart w:id="131" w:name="_Toc11675"/>
      <w:bookmarkStart w:id="132" w:name="_Ref467306513"/>
      <w:bookmarkStart w:id="133" w:name="_Toc17788"/>
      <w:bookmarkStart w:id="134" w:name="_Toc515647771"/>
      <w:bookmarkStart w:id="135" w:name="_Toc18199"/>
      <w:bookmarkStart w:id="136" w:name="_Toc32100"/>
      <w:bookmarkStart w:id="137" w:name="_Toc11514"/>
      <w:bookmarkStart w:id="138" w:name="_Toc520356156"/>
      <w:r>
        <w:rPr>
          <w:rFonts w:hint="eastAsia" w:ascii="宋体" w:hAnsi="宋体" w:eastAsia="宋体" w:cs="宋体"/>
          <w:sz w:val="24"/>
          <w:szCs w:val="24"/>
          <w:highlight w:val="none"/>
        </w:rPr>
        <w:t>12.谈判保证金</w:t>
      </w:r>
      <w:bookmarkEnd w:id="129"/>
      <w:bookmarkEnd w:id="130"/>
      <w:bookmarkEnd w:id="131"/>
      <w:bookmarkEnd w:id="132"/>
      <w:bookmarkEnd w:id="133"/>
      <w:bookmarkEnd w:id="134"/>
      <w:bookmarkEnd w:id="135"/>
      <w:bookmarkEnd w:id="136"/>
      <w:bookmarkEnd w:id="137"/>
      <w:bookmarkEnd w:id="13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139" w:name="_Ref467306302"/>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供应商应提交</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中规定的谈判保证金</w:t>
      </w:r>
      <w:bookmarkEnd w:id="139"/>
      <w:r>
        <w:rPr>
          <w:rFonts w:hint="eastAsia" w:ascii="宋体" w:hAnsi="宋体" w:eastAsia="宋体" w:cs="宋体"/>
          <w:sz w:val="24"/>
          <w:szCs w:val="24"/>
          <w:highlight w:val="none"/>
        </w:rPr>
        <w:t>，并作为其谈判的一部分。</w:t>
      </w:r>
    </w:p>
    <w:p>
      <w:pPr>
        <w:pageBreakBefore w:val="0"/>
        <w:kinsoku/>
        <w:wordWrap/>
        <w:overflowPunct/>
        <w:topLinePunct w:val="0"/>
        <w:bidi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供应商存在下列情形的，谈判保证金不予退还：</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（1）在谈判有效期内，撤销</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（2）成交后不按本须知第30条的规定与采购人签订合同的；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（3）成交后不按本须知第31条的规定提交履约保证金的；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（4）成交后不按本须知第32条的规定缴纳成交服务费的；</w:t>
      </w:r>
    </w:p>
    <w:p>
      <w:pPr>
        <w:pStyle w:val="12"/>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（5）存在其他违法违规行为的。</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140" w:name="_Ref467306336"/>
      <w:r>
        <w:rPr>
          <w:rFonts w:hint="eastAsia" w:ascii="宋体" w:hAnsi="宋体" w:eastAsia="宋体" w:cs="宋体"/>
          <w:sz w:val="24"/>
          <w:szCs w:val="24"/>
          <w:highlight w:val="none"/>
        </w:rPr>
        <w:t>12.3</w:t>
      </w:r>
      <w:bookmarkEnd w:id="140"/>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政府采购信用担保试点范围内的项目，接受符合财政部门规定的政府采购谈判担保函原件（格式参照【附件1】）。</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供应商未按本须知第12.1和12.3条规定提交谈判保证金的，其谈判资格将被认定为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采用电汇形式的，一般可以实时入账。</w:t>
      </w:r>
    </w:p>
    <w:p>
      <w:pPr>
        <w:pageBreakBefore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联合体参加的，可以由联合体中的一方或者共同提交谈判保证金。以一方名义提交谈判保证金的，对联合体各方均具有约束力。</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谈判保证金的退还</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12.6.1 成交人应在与采购人签订合同之日起5个工作日内，及时联系保证金收受机构办理谈判保证金无息退还手续。</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12.6.2 未成交供应商的谈判保证金将在成交通知书发出之日暨成交结果公告公布之日起5个工作日内无息退还。供应商应及时联系保证金收受机构办理退还谈判保证金手续。</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12.6.3 政府采购谈判担保函不予退回。</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12.7 因供应商自身原因导致无法及时退还的，采购人或采购代理机构将不承担相应责任。</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41" w:name="_Toc520356157"/>
      <w:bookmarkStart w:id="142" w:name="_Toc4439"/>
      <w:bookmarkStart w:id="143" w:name="_Toc29464"/>
      <w:bookmarkStart w:id="144" w:name="_Toc32569"/>
      <w:bookmarkStart w:id="145" w:name="_Toc14815"/>
      <w:bookmarkStart w:id="146" w:name="_Toc515647772"/>
      <w:bookmarkStart w:id="147" w:name="_Toc23590"/>
      <w:bookmarkStart w:id="148" w:name="_Toc4491"/>
      <w:bookmarkStart w:id="149" w:name="_Toc6437"/>
      <w:r>
        <w:rPr>
          <w:rFonts w:hint="eastAsia" w:ascii="宋体" w:hAnsi="宋体" w:eastAsia="宋体" w:cs="宋体"/>
          <w:sz w:val="24"/>
          <w:szCs w:val="24"/>
          <w:highlight w:val="none"/>
        </w:rPr>
        <w:t>13.谈判有效期</w:t>
      </w:r>
      <w:bookmarkEnd w:id="141"/>
      <w:bookmarkEnd w:id="142"/>
      <w:bookmarkEnd w:id="143"/>
      <w:bookmarkEnd w:id="144"/>
      <w:bookmarkEnd w:id="145"/>
      <w:bookmarkEnd w:id="146"/>
      <w:bookmarkEnd w:id="147"/>
      <w:bookmarkEnd w:id="148"/>
      <w:bookmarkEnd w:id="149"/>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响应文件应在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中规定时间内保持有效。谈判有效期不满足要求的响应，其响应文件将被认定为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保证有充分时间签订合同，采购人或采购代理机构可根据实际情况，在原谈判有效期截止之前，要求供应商延长响应文件的有效期。接受该要求的供应商将不会被要求和允许修正其响应文件等，且本须知中有关谈判保证金的要求须在延长的有效期内继续有效。供应商可以拒绝延长谈判有效期的要求，其谈判保证金将及时无息退还。上述要求和答复都应以书面形式提交。</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50" w:name="_Toc520356158"/>
      <w:bookmarkStart w:id="151" w:name="_Toc24084"/>
      <w:bookmarkStart w:id="152" w:name="_Toc25734"/>
      <w:bookmarkStart w:id="153" w:name="_Toc20258"/>
      <w:bookmarkStart w:id="154" w:name="_Toc15527"/>
      <w:bookmarkStart w:id="155" w:name="_Toc493"/>
      <w:bookmarkStart w:id="156" w:name="_Toc17074"/>
      <w:bookmarkStart w:id="157" w:name="_Toc515647773"/>
      <w:bookmarkStart w:id="158" w:name="_Toc7329"/>
      <w:r>
        <w:rPr>
          <w:rFonts w:hint="eastAsia" w:ascii="宋体" w:hAnsi="宋体" w:eastAsia="宋体" w:cs="宋体"/>
          <w:sz w:val="24"/>
          <w:szCs w:val="24"/>
          <w:highlight w:val="none"/>
        </w:rPr>
        <w:t>14.响应文件的签署</w:t>
      </w:r>
      <w:bookmarkEnd w:id="150"/>
      <w:r>
        <w:rPr>
          <w:rFonts w:hint="eastAsia" w:ascii="宋体" w:hAnsi="宋体" w:eastAsia="宋体" w:cs="宋体"/>
          <w:sz w:val="24"/>
          <w:szCs w:val="24"/>
          <w:highlight w:val="none"/>
        </w:rPr>
        <w:t>及规定</w:t>
      </w:r>
      <w:bookmarkEnd w:id="151"/>
      <w:bookmarkEnd w:id="152"/>
      <w:bookmarkEnd w:id="153"/>
      <w:bookmarkEnd w:id="154"/>
      <w:bookmarkEnd w:id="155"/>
      <w:bookmarkEnd w:id="156"/>
      <w:bookmarkEnd w:id="157"/>
      <w:bookmarkEnd w:id="15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供应商应按</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中的规定，准备和递交响应文件</w:t>
      </w:r>
      <w:r>
        <w:rPr>
          <w:rFonts w:hint="eastAsia" w:ascii="宋体" w:hAnsi="宋体" w:eastAsia="宋体" w:cs="宋体"/>
          <w:sz w:val="24"/>
          <w:szCs w:val="24"/>
          <w:highlight w:val="none"/>
          <w:lang w:val="en-US" w:eastAsia="zh-CN"/>
        </w:rPr>
        <w:t>和报价一览表</w:t>
      </w:r>
      <w:r>
        <w:rPr>
          <w:rFonts w:hint="eastAsia" w:ascii="宋体" w:hAnsi="宋体" w:eastAsia="宋体" w:cs="宋体"/>
          <w:sz w:val="24"/>
          <w:szCs w:val="24"/>
          <w:highlight w:val="none"/>
        </w:rPr>
        <w:t>电子文档，每份</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rPr>
        <w:t>封皮须清楚地标明“正本”或“副本”。若正本和副本不符，以正本为准。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rPr>
        <w:t>响应文件的正本需打印或用不褪色墨水书写，并由供应商的法定代表人或经其正式委托代理人按谈判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 所有响应文件采用不可拆装的胶订方式装订，否则其谈判资格将被认定为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响应文件因字迹潦草、表达不清或装订不当所引起的后果由供应商负责。</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59" w:name="_Toc14889"/>
      <w:bookmarkStart w:id="160" w:name="_Toc16865"/>
      <w:bookmarkStart w:id="161" w:name="_Toc515647774"/>
      <w:bookmarkStart w:id="162" w:name="_Toc32034"/>
      <w:bookmarkStart w:id="163" w:name="_Toc216582808"/>
      <w:bookmarkStart w:id="164" w:name="_Toc520356159"/>
      <w:bookmarkStart w:id="165" w:name="_Toc11179"/>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、响应文件的递交</w:t>
      </w:r>
      <w:bookmarkEnd w:id="159"/>
      <w:bookmarkEnd w:id="160"/>
      <w:bookmarkEnd w:id="161"/>
      <w:bookmarkEnd w:id="162"/>
      <w:bookmarkEnd w:id="163"/>
      <w:bookmarkEnd w:id="164"/>
      <w:bookmarkEnd w:id="165"/>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66" w:name="_Toc30574"/>
      <w:bookmarkStart w:id="167" w:name="_Toc32516"/>
      <w:bookmarkStart w:id="168" w:name="_Toc11854"/>
      <w:bookmarkStart w:id="169" w:name="_Toc515647775"/>
      <w:bookmarkStart w:id="170" w:name="_Toc32337"/>
      <w:bookmarkStart w:id="171" w:name="_Toc21645"/>
      <w:bookmarkStart w:id="172" w:name="_Toc520356160"/>
      <w:bookmarkStart w:id="173" w:name="_Toc11797"/>
      <w:bookmarkStart w:id="174" w:name="_Toc513"/>
      <w:r>
        <w:rPr>
          <w:rFonts w:hint="eastAsia" w:ascii="宋体" w:hAnsi="宋体" w:eastAsia="宋体" w:cs="宋体"/>
          <w:sz w:val="24"/>
          <w:szCs w:val="24"/>
          <w:highlight w:val="none"/>
        </w:rPr>
        <w:t>15.响应文件的密封和标记</w:t>
      </w:r>
      <w:bookmarkEnd w:id="166"/>
      <w:bookmarkEnd w:id="167"/>
      <w:bookmarkEnd w:id="168"/>
      <w:bookmarkEnd w:id="169"/>
      <w:bookmarkEnd w:id="170"/>
      <w:bookmarkEnd w:id="171"/>
      <w:bookmarkEnd w:id="172"/>
      <w:bookmarkEnd w:id="173"/>
      <w:bookmarkEnd w:id="17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为方便谈判开启及进行资格审查，供应商应将响应文件第一部分和第二部分的内容</w:t>
      </w:r>
      <w:r>
        <w:rPr>
          <w:rFonts w:hint="eastAsia" w:ascii="宋体" w:hAnsi="宋体" w:eastAsia="宋体" w:cs="宋体"/>
          <w:b/>
          <w:bCs/>
          <w:sz w:val="24"/>
          <w:szCs w:val="24"/>
          <w:highlight w:val="none"/>
        </w:rPr>
        <w:t>合并胶装并密封提交</w:t>
      </w:r>
      <w:r>
        <w:rPr>
          <w:rFonts w:hint="eastAsia" w:ascii="宋体" w:hAnsi="宋体" w:eastAsia="宋体" w:cs="宋体"/>
          <w:sz w:val="24"/>
          <w:szCs w:val="24"/>
          <w:highlight w:val="none"/>
        </w:rPr>
        <w:t>，并在封皮正面标明“响应文件”字样。。</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所有包装封皮和信封上均应：</w:t>
      </w:r>
    </w:p>
    <w:p>
      <w:pPr>
        <w:pageBreakBefore w:val="0"/>
        <w:kinsoku/>
        <w:wordWrap/>
        <w:overflowPunct/>
        <w:topLinePunct w:val="0"/>
        <w:bidi w:val="0"/>
        <w:spacing w:line="360" w:lineRule="exact"/>
        <w:ind w:left="-53" w:leftChars="-25"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注明采购公告或谈判邀请书中指明的项目名称、采购编号、供应商名称和“在（谈判开启时间）之前不得启封”的字样。</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（2）在封口处加盖供应商单位公章，并由法定代表人（或其委托代理人）签字(或加盖</w:t>
      </w:r>
      <w:r>
        <w:rPr>
          <w:rFonts w:hint="eastAsia" w:ascii="宋体" w:hAnsi="宋体" w:eastAsia="宋体" w:cs="宋体"/>
          <w:sz w:val="24"/>
          <w:szCs w:val="24"/>
          <w:highlight w:val="none"/>
          <w:lang w:val="en-US" w:eastAsia="zh-CN"/>
        </w:rPr>
        <w:t>私章</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 如果供应商未按上述要求密封的，将被拒绝接收。</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75" w:name="_Toc515647776"/>
      <w:bookmarkStart w:id="176" w:name="_Toc16790"/>
      <w:bookmarkStart w:id="177" w:name="_Toc12751"/>
      <w:bookmarkStart w:id="178" w:name="_Toc8815"/>
      <w:bookmarkStart w:id="179" w:name="_Toc17152"/>
      <w:bookmarkStart w:id="180" w:name="_Toc9840"/>
      <w:bookmarkStart w:id="181" w:name="_Toc25962"/>
      <w:bookmarkStart w:id="182" w:name="_Toc520356161"/>
      <w:bookmarkStart w:id="183" w:name="_Toc749"/>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响应文件递交</w:t>
      </w:r>
      <w:r>
        <w:rPr>
          <w:rFonts w:hint="eastAsia" w:ascii="宋体" w:hAnsi="宋体" w:eastAsia="宋体" w:cs="宋体"/>
          <w:sz w:val="24"/>
          <w:szCs w:val="24"/>
          <w:highlight w:val="none"/>
        </w:rPr>
        <w:t>截止</w:t>
      </w:r>
      <w:bookmarkEnd w:id="175"/>
      <w:bookmarkEnd w:id="176"/>
      <w:bookmarkEnd w:id="177"/>
      <w:bookmarkEnd w:id="178"/>
      <w:bookmarkEnd w:id="179"/>
      <w:bookmarkEnd w:id="180"/>
      <w:bookmarkEnd w:id="181"/>
      <w:bookmarkEnd w:id="182"/>
      <w:bookmarkEnd w:id="183"/>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供应商应在</w:t>
      </w:r>
      <w:r>
        <w:rPr>
          <w:rFonts w:hint="eastAsia" w:ascii="宋体" w:hAnsi="宋体" w:eastAsia="宋体" w:cs="宋体"/>
          <w:sz w:val="24"/>
          <w:szCs w:val="24"/>
          <w:highlight w:val="none"/>
          <w:u w:val="single"/>
        </w:rPr>
        <w:t>供应商须知资料表中</w:t>
      </w:r>
      <w:r>
        <w:rPr>
          <w:rFonts w:hint="eastAsia" w:ascii="宋体" w:hAnsi="宋体" w:eastAsia="宋体" w:cs="宋体"/>
          <w:sz w:val="24"/>
          <w:szCs w:val="24"/>
          <w:highlight w:val="none"/>
        </w:rPr>
        <w:t>规定的截止时间前，将响应文件递交到采购公告中规定的地点。</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采购人和采购代理机构有权按本须知的规定，延迟递交响应文件截止时间。在此情况下，采购人、采购代理机构和供应商受递交响应文件截止时间制约的所有权利和义务均应延长至新的截止时间。</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采购人和采购代理机构将拒绝接收在递交响应文件截止时间后送达的响应文件。</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84" w:name="_Toc22636"/>
      <w:bookmarkStart w:id="185" w:name="_Toc18537"/>
      <w:bookmarkStart w:id="186" w:name="_Toc23823"/>
      <w:bookmarkStart w:id="187" w:name="_Toc21160"/>
      <w:bookmarkStart w:id="188" w:name="_Toc24275"/>
      <w:bookmarkStart w:id="189" w:name="_Toc520356162"/>
      <w:bookmarkStart w:id="190" w:name="_Toc13110"/>
      <w:bookmarkStart w:id="191" w:name="_Toc23599"/>
      <w:bookmarkStart w:id="192" w:name="_Toc515647777"/>
      <w:r>
        <w:rPr>
          <w:rFonts w:hint="eastAsia" w:ascii="宋体" w:hAnsi="宋体" w:eastAsia="宋体" w:cs="宋体"/>
          <w:sz w:val="24"/>
          <w:szCs w:val="24"/>
          <w:highlight w:val="none"/>
        </w:rPr>
        <w:t>17.响应文件的接收、修改与撤回</w:t>
      </w:r>
      <w:bookmarkEnd w:id="184"/>
      <w:bookmarkEnd w:id="185"/>
      <w:bookmarkEnd w:id="186"/>
      <w:bookmarkEnd w:id="187"/>
      <w:bookmarkEnd w:id="188"/>
      <w:bookmarkEnd w:id="189"/>
      <w:bookmarkEnd w:id="190"/>
      <w:bookmarkEnd w:id="191"/>
      <w:bookmarkEnd w:id="19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在递交响应文件截止时间后送达的响应文件的，采购人和采购代理机构将拒绝接收。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采购人或者采购代理机构收到响应文件后，应当如实记载响应文件的送达时间和密封情况，并向供应商出具以下签收回执。</w:t>
      </w:r>
    </w:p>
    <w:p>
      <w:pPr>
        <w:pStyle w:val="3"/>
        <w:rPr>
          <w:rFonts w:hint="eastAsia"/>
        </w:rPr>
      </w:pPr>
    </w:p>
    <w:tbl>
      <w:tblPr>
        <w:tblStyle w:val="22"/>
        <w:tblW w:w="0" w:type="auto"/>
        <w:tblInd w:w="1101" w:type="dxa"/>
        <w:tblLayout w:type="fixed"/>
        <w:tblCellMar>
          <w:top w:w="0" w:type="dxa"/>
          <w:left w:w="108" w:type="dxa"/>
          <w:bottom w:w="0" w:type="dxa"/>
          <w:right w:w="108" w:type="dxa"/>
        </w:tblCellMar>
      </w:tblPr>
      <w:tblGrid>
        <w:gridCol w:w="1728"/>
        <w:gridCol w:w="1674"/>
        <w:gridCol w:w="2250"/>
        <w:gridCol w:w="1860"/>
      </w:tblGrid>
      <w:tr>
        <w:tblPrEx>
          <w:tblCellMar>
            <w:top w:w="0" w:type="dxa"/>
            <w:left w:w="108" w:type="dxa"/>
            <w:bottom w:w="0" w:type="dxa"/>
            <w:right w:w="108" w:type="dxa"/>
          </w:tblCellMar>
        </w:tblPrEx>
        <w:trPr>
          <w:trHeight w:val="750" w:hRule="atLeast"/>
        </w:trPr>
        <w:tc>
          <w:tcPr>
            <w:tcW w:w="7512" w:type="dxa"/>
            <w:gridSpan w:val="4"/>
            <w:tcBorders>
              <w:top w:val="nil"/>
              <w:left w:val="nil"/>
              <w:bottom w:val="single" w:color="auto" w:sz="4" w:space="0"/>
              <w:right w:val="nil"/>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接收响应文件回执单        </w:t>
            </w:r>
          </w:p>
        </w:tc>
      </w:tr>
      <w:tr>
        <w:tblPrEx>
          <w:tblCellMar>
            <w:top w:w="0" w:type="dxa"/>
            <w:left w:w="108" w:type="dxa"/>
            <w:bottom w:w="0" w:type="dxa"/>
            <w:right w:w="108" w:type="dxa"/>
          </w:tblCellMar>
        </w:tblPrEx>
        <w:trPr>
          <w:trHeight w:val="315"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277"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13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29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递交时间</w:t>
            </w:r>
          </w:p>
        </w:tc>
        <w:tc>
          <w:tcPr>
            <w:tcW w:w="1674"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225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响应文件密封情况</w:t>
            </w:r>
          </w:p>
        </w:tc>
        <w:tc>
          <w:tcPr>
            <w:tcW w:w="186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blPrEx>
          <w:tblCellMar>
            <w:top w:w="0" w:type="dxa"/>
            <w:left w:w="108" w:type="dxa"/>
            <w:bottom w:w="0" w:type="dxa"/>
            <w:right w:w="108" w:type="dxa"/>
          </w:tblCellMar>
        </w:tblPrEx>
        <w:trPr>
          <w:trHeight w:val="27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接收单位</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trHeight w:val="269" w:hRule="atLeast"/>
        </w:trPr>
        <w:tc>
          <w:tcPr>
            <w:tcW w:w="172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接收人签字：</w:t>
            </w:r>
          </w:p>
        </w:tc>
        <w:tc>
          <w:tcPr>
            <w:tcW w:w="5784"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360" w:lineRule="exact"/>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bl>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递交响应文件以后，如果供应商要进行修改或撤回，须提出书面申请并在递交响应文件截止时间前送达谈判开启地点，供应商对响应文件的修改或撤回通知应按本须知规定编制、密封、标记。采购人和采购代理机构将予以接收，并视为响应文件的组成部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在响应文件递交截止期之后，采购人和采购代理机构不接受供应商主动对其响应文件做任何修改。</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w:t>
      </w:r>
      <w:r>
        <w:rPr>
          <w:rFonts w:hint="eastAsia" w:ascii="宋体" w:hAnsi="宋体" w:eastAsia="宋体" w:cs="宋体"/>
          <w:sz w:val="24"/>
          <w:szCs w:val="24"/>
          <w:highlight w:val="none"/>
        </w:rPr>
        <w:tab/>
      </w:r>
      <w:r>
        <w:rPr>
          <w:rFonts w:hint="eastAsia" w:ascii="宋体" w:hAnsi="宋体" w:eastAsia="宋体" w:cs="宋体"/>
          <w:sz w:val="24"/>
          <w:szCs w:val="24"/>
          <w:highlight w:val="none"/>
        </w:rPr>
        <w:t>采购人和采购代理机构对所接收响应文件概不退回。</w:t>
      </w:r>
    </w:p>
    <w:p>
      <w:pPr>
        <w:pStyle w:val="5"/>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193" w:name="_Toc28398"/>
      <w:bookmarkStart w:id="194" w:name="_Toc520356163"/>
      <w:bookmarkStart w:id="195" w:name="_Toc515647778"/>
      <w:bookmarkStart w:id="196" w:name="_Toc216582809"/>
      <w:bookmarkStart w:id="197" w:name="_Toc17256"/>
      <w:bookmarkStart w:id="198" w:name="_Toc12436"/>
      <w:bookmarkStart w:id="199" w:name="_Toc7133"/>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、谈判开启及评审</w:t>
      </w:r>
      <w:bookmarkEnd w:id="193"/>
      <w:bookmarkEnd w:id="194"/>
      <w:bookmarkEnd w:id="195"/>
      <w:bookmarkEnd w:id="196"/>
      <w:bookmarkEnd w:id="197"/>
      <w:bookmarkEnd w:id="198"/>
      <w:bookmarkEnd w:id="199"/>
    </w:p>
    <w:p>
      <w:pPr>
        <w:pStyle w:val="2"/>
        <w:pageBreakBefore w:val="0"/>
        <w:numPr>
          <w:ilvl w:val="0"/>
          <w:numId w:val="2"/>
        </w:numPr>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00" w:name="_Toc3826"/>
      <w:bookmarkStart w:id="201" w:name="_Toc3528"/>
      <w:bookmarkStart w:id="202" w:name="_Toc20206"/>
      <w:bookmarkStart w:id="203" w:name="_Toc31009"/>
      <w:bookmarkStart w:id="204" w:name="_Toc21136"/>
      <w:r>
        <w:rPr>
          <w:rFonts w:hint="eastAsia" w:ascii="宋体" w:hAnsi="宋体" w:eastAsia="宋体" w:cs="宋体"/>
          <w:sz w:val="24"/>
          <w:szCs w:val="24"/>
          <w:highlight w:val="none"/>
        </w:rPr>
        <w:t>谈判开启</w:t>
      </w:r>
      <w:bookmarkEnd w:id="200"/>
      <w:bookmarkEnd w:id="201"/>
      <w:bookmarkEnd w:id="202"/>
      <w:bookmarkEnd w:id="203"/>
      <w:bookmarkEnd w:id="20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18.1</w:t>
      </w:r>
      <w:r>
        <w:rPr>
          <w:rFonts w:hint="eastAsia" w:ascii="宋体" w:hAnsi="宋体" w:eastAsia="宋体" w:cs="宋体"/>
          <w:sz w:val="24"/>
          <w:szCs w:val="24"/>
          <w:highlight w:val="none"/>
        </w:rPr>
        <w:t>采购人和采购代理机构将按供应商须知资料表中规定的谈判开启时间和地点组织竞争性谈判并邀请所有供应商代表参加。供应商不足3家的，不得开启谈判。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18.2 采购人或采购代理机构宣读供应商名称等内容</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18.3 谈判开启时，由采购人及采购代理机构检查供应商的资格要求。</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18.4 谈判开启时，由供应商或其推选的代表检查响应文件的密封情况。</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18.5 采购人或采购代理机构将对谈判进行记录，由参加谈判的各供应商代表和相关工作人员签字确认，并存档备查。</w:t>
      </w:r>
    </w:p>
    <w:p>
      <w:pPr>
        <w:pageBreakBefore w:val="0"/>
        <w:kinsoku/>
        <w:wordWrap/>
        <w:overflowPunct/>
        <w:topLinePunct w:val="0"/>
        <w:bidi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 供应商代表对谈判过程和谈判记录有疑义，以及认为采购人、采购代理机构相关工作人员有需要回避的情形的，应当场提出询问或者回避申请</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05" w:name="_Toc520356165"/>
      <w:bookmarkStart w:id="206" w:name="_Toc19296"/>
      <w:bookmarkStart w:id="207" w:name="_Toc8829"/>
      <w:bookmarkStart w:id="208" w:name="_Toc11985"/>
      <w:bookmarkStart w:id="209" w:name="_Toc21372"/>
      <w:bookmarkStart w:id="210" w:name="_Toc10162"/>
      <w:bookmarkStart w:id="211" w:name="_Toc16112"/>
      <w:bookmarkStart w:id="212" w:name="_Toc4081"/>
      <w:bookmarkStart w:id="213" w:name="_Toc515647780"/>
      <w:r>
        <w:rPr>
          <w:rFonts w:hint="eastAsia" w:ascii="宋体" w:hAnsi="宋体" w:eastAsia="宋体" w:cs="宋体"/>
          <w:sz w:val="24"/>
          <w:szCs w:val="24"/>
          <w:highlight w:val="none"/>
        </w:rPr>
        <w:t>19.</w:t>
      </w:r>
      <w:bookmarkEnd w:id="205"/>
      <w:r>
        <w:rPr>
          <w:rFonts w:hint="eastAsia" w:ascii="宋体" w:hAnsi="宋体" w:eastAsia="宋体" w:cs="宋体"/>
          <w:sz w:val="24"/>
          <w:szCs w:val="24"/>
          <w:highlight w:val="none"/>
        </w:rPr>
        <w:t>资格审查及组建谈判小组</w:t>
      </w:r>
      <w:bookmarkEnd w:id="206"/>
      <w:bookmarkEnd w:id="207"/>
      <w:bookmarkEnd w:id="208"/>
      <w:bookmarkEnd w:id="209"/>
      <w:bookmarkEnd w:id="210"/>
      <w:bookmarkEnd w:id="211"/>
      <w:bookmarkEnd w:id="212"/>
      <w:bookmarkEnd w:id="213"/>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19.1 采购人或采购代理机构依据法律法规和谈判文件中规定的内容，对供应商及其</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的资格进行审查，未通过资格审查的供应商不进入评审</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i w:val="0"/>
          <w:iCs w:val="0"/>
          <w:color w:val="FF0000"/>
          <w:sz w:val="24"/>
          <w:szCs w:val="24"/>
          <w:highlight w:val="none"/>
        </w:rPr>
        <w:t>现场谈判开启前必须提供以下证件核验：</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lang w:eastAsia="zh-CN"/>
        </w:rPr>
      </w:pPr>
      <w:r>
        <w:rPr>
          <w:rFonts w:hint="eastAsia" w:ascii="宋体" w:hAnsi="宋体" w:eastAsia="宋体" w:cs="宋体"/>
          <w:b w:val="0"/>
          <w:bCs w:val="0"/>
          <w:i w:val="0"/>
          <w:iCs w:val="0"/>
          <w:color w:val="FF0000"/>
          <w:sz w:val="24"/>
          <w:szCs w:val="24"/>
          <w:highlight w:val="none"/>
        </w:rPr>
        <w:t>供应商必须符合《中华人民共和国政府采购法》第二十二条的相关规定</w:t>
      </w:r>
      <w:r>
        <w:rPr>
          <w:rFonts w:hint="eastAsia" w:ascii="宋体" w:hAnsi="宋体" w:eastAsia="宋体" w:cs="宋体"/>
          <w:b w:val="0"/>
          <w:bCs w:val="0"/>
          <w:i w:val="0"/>
          <w:iCs w:val="0"/>
          <w:color w:val="FF0000"/>
          <w:sz w:val="24"/>
          <w:szCs w:val="24"/>
          <w:highlight w:val="none"/>
          <w:lang w:eastAsia="zh-CN"/>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kern w:val="2"/>
          <w:sz w:val="24"/>
          <w:szCs w:val="24"/>
          <w:highlight w:val="none"/>
          <w:u w:val="none"/>
          <w:lang w:val="en-US" w:eastAsia="zh-CN" w:bidi="ar-SA"/>
        </w:rPr>
      </w:pPr>
      <w:r>
        <w:rPr>
          <w:rFonts w:hint="eastAsia" w:ascii="宋体" w:hAnsi="宋体" w:eastAsia="宋体" w:cs="宋体"/>
          <w:b w:val="0"/>
          <w:bCs w:val="0"/>
          <w:color w:val="FF0000"/>
          <w:sz w:val="24"/>
          <w:szCs w:val="24"/>
          <w:highlight w:val="none"/>
          <w:lang w:val="en-US" w:eastAsia="zh-CN"/>
        </w:rPr>
        <w:t>具有有效的独立法人营业执照</w:t>
      </w:r>
      <w:r>
        <w:rPr>
          <w:rFonts w:hint="eastAsia" w:ascii="宋体" w:hAnsi="宋体" w:eastAsia="宋体" w:cs="宋体"/>
          <w:b w:val="0"/>
          <w:bCs w:val="0"/>
          <w:i w:val="0"/>
          <w:iCs w:val="0"/>
          <w:color w:val="FF0000"/>
          <w:kern w:val="2"/>
          <w:sz w:val="24"/>
          <w:szCs w:val="24"/>
          <w:highlight w:val="none"/>
          <w:u w:val="none"/>
          <w:lang w:val="en-US" w:eastAsia="zh-CN" w:bidi="ar-SA"/>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kern w:val="0"/>
          <w:sz w:val="24"/>
          <w:szCs w:val="24"/>
          <w:highlight w:val="none"/>
          <w:lang w:eastAsia="zh-CN"/>
        </w:rPr>
      </w:pPr>
      <w:r>
        <w:rPr>
          <w:rFonts w:hint="eastAsia" w:ascii="宋体" w:hAnsi="宋体" w:eastAsia="宋体" w:cs="宋体"/>
          <w:b w:val="0"/>
          <w:bCs w:val="0"/>
          <w:color w:val="FF0000"/>
          <w:kern w:val="0"/>
          <w:sz w:val="24"/>
          <w:szCs w:val="24"/>
          <w:highlight w:val="none"/>
          <w:lang w:val="en-US" w:eastAsia="zh-CN"/>
        </w:rPr>
        <w:t>投标人须具备有效的资质证书（【施工总承包建筑工程三级】（含）以上）及具备有效的安全生产许可证,疆外企业须提供有效的外省进疆备案报送手续</w:t>
      </w:r>
      <w:r>
        <w:rPr>
          <w:rFonts w:hint="eastAsia" w:ascii="宋体" w:hAnsi="宋体" w:eastAsia="宋体" w:cs="宋体"/>
          <w:b w:val="0"/>
          <w:bCs w:val="0"/>
          <w:color w:val="FF0000"/>
          <w:kern w:val="0"/>
          <w:sz w:val="24"/>
          <w:szCs w:val="24"/>
          <w:highlight w:val="none"/>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kern w:val="0"/>
          <w:sz w:val="24"/>
          <w:szCs w:val="24"/>
          <w:highlight w:val="none"/>
          <w:lang w:val="en-US" w:eastAsia="zh-CN"/>
        </w:rPr>
        <w:t>项目负责人要求：具备【建筑工程二级】（含）以上注册建造师执业资格，具备有效的安全生产考核合格证书（B类），且未担任其他任何在建工程的项目负责人</w:t>
      </w:r>
      <w:r>
        <w:rPr>
          <w:rFonts w:hint="eastAsia" w:ascii="宋体" w:hAnsi="宋体" w:eastAsia="宋体" w:cs="宋体"/>
          <w:b w:val="0"/>
          <w:bCs w:val="0"/>
          <w:color w:val="FF0000"/>
          <w:kern w:val="0"/>
          <w:sz w:val="24"/>
          <w:szCs w:val="24"/>
          <w:highlight w:val="none"/>
          <w:lang w:eastAsia="zh-CN"/>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i w:val="0"/>
          <w:iCs w:val="0"/>
          <w:color w:val="FF0000"/>
          <w:sz w:val="24"/>
          <w:szCs w:val="24"/>
          <w:highlight w:val="none"/>
        </w:rPr>
        <w:t>法人本人投标的提供法人身份证明及身份证，被授权委托人需提供法人授权委托书及身份证</w:t>
      </w: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rPr>
        <w:t xml:space="preserve"> </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color w:val="FF0000"/>
          <w:sz w:val="24"/>
          <w:szCs w:val="24"/>
          <w:highlight w:val="none"/>
          <w:lang w:eastAsia="zh-CN"/>
        </w:rPr>
        <w:t>近两年任意一年（2020年度或2021年度）的经审计的财务报告（新成立公司需提供银行资信证明）</w:t>
      </w:r>
      <w:r>
        <w:rPr>
          <w:rFonts w:hint="eastAsia" w:ascii="宋体" w:hAnsi="宋体" w:eastAsia="宋体" w:cs="宋体"/>
          <w:b w:val="0"/>
          <w:bCs w:val="0"/>
          <w:color w:val="FF0000"/>
          <w:sz w:val="24"/>
          <w:szCs w:val="24"/>
          <w:highlight w:val="none"/>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i w:val="0"/>
          <w:iCs w:val="0"/>
          <w:color w:val="FF0000"/>
          <w:sz w:val="24"/>
          <w:szCs w:val="24"/>
          <w:highlight w:val="none"/>
          <w:lang w:val="en-US" w:eastAsia="zh-CN"/>
        </w:rPr>
        <w:t>通过</w:t>
      </w:r>
      <w:r>
        <w:rPr>
          <w:rFonts w:hint="eastAsia" w:ascii="宋体" w:hAnsi="宋体" w:eastAsia="宋体" w:cs="宋体"/>
          <w:b w:val="0"/>
          <w:bCs w:val="0"/>
          <w:i w:val="0"/>
          <w:iCs w:val="0"/>
          <w:color w:val="FF0000"/>
          <w:sz w:val="24"/>
          <w:szCs w:val="24"/>
          <w:highlight w:val="none"/>
        </w:rPr>
        <w:t>“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以招标人及招标代理查询为准。）</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投标单位近3个月的社保缴纳证明（单位社保缴费汇总和个人明细表）含委托代理人和项目负责人。</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近3个月完税证明（新成立公司除外）</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default"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注：①若为零申报企业，需提供无欠税证明或国家税务总局电子税务局“申报结果查询截图”。②“税种”非社会保险；</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lang w:val="en-US" w:eastAsia="zh-CN"/>
        </w:rPr>
      </w:pPr>
      <w:r>
        <w:rPr>
          <w:rFonts w:hint="eastAsia" w:ascii="宋体" w:hAnsi="宋体" w:eastAsia="宋体" w:cs="宋体"/>
          <w:b w:val="0"/>
          <w:bCs w:val="0"/>
          <w:color w:val="FF0000"/>
          <w:kern w:val="0"/>
          <w:sz w:val="24"/>
          <w:szCs w:val="24"/>
          <w:highlight w:val="none"/>
          <w:lang w:val="en-US" w:eastAsia="zh-CN"/>
        </w:rPr>
        <w:t>9.  参加政府采购活动前三年内，在经营活动中没有重大违法记录声明；</w:t>
      </w:r>
    </w:p>
    <w:p>
      <w:pPr>
        <w:pStyle w:val="3"/>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color w:val="FF0000"/>
          <w:lang w:val="en-US" w:eastAsia="zh-CN"/>
        </w:rPr>
      </w:pPr>
      <w:r>
        <w:rPr>
          <w:rFonts w:hint="eastAsia"/>
          <w:color w:val="FF0000"/>
          <w:lang w:val="en-US" w:eastAsia="zh-CN"/>
        </w:rPr>
        <w:t>10. 提供针对本次项目《反商业贿赂承诺书》</w:t>
      </w:r>
    </w:p>
    <w:p>
      <w:pPr>
        <w:pStyle w:val="3"/>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b w:val="0"/>
          <w:bCs w:val="0"/>
          <w:i w:val="0"/>
          <w:iCs w:val="0"/>
          <w:color w:val="FF0000"/>
          <w:sz w:val="24"/>
          <w:szCs w:val="24"/>
          <w:highlight w:val="none"/>
          <w:lang w:eastAsia="zh-CN"/>
        </w:rPr>
      </w:pPr>
      <w:r>
        <w:rPr>
          <w:rFonts w:hint="eastAsia"/>
          <w:color w:val="FF0000"/>
          <w:lang w:val="en-US" w:eastAsia="zh-CN"/>
        </w:rPr>
        <w:t xml:space="preserve">11. </w:t>
      </w:r>
      <w:r>
        <w:rPr>
          <w:rFonts w:hint="eastAsia" w:ascii="宋体" w:hAnsi="宋体" w:eastAsia="宋体" w:cs="宋体"/>
          <w:b w:val="0"/>
          <w:bCs w:val="0"/>
          <w:i w:val="0"/>
          <w:iCs w:val="0"/>
          <w:color w:val="FF0000"/>
          <w:sz w:val="24"/>
          <w:szCs w:val="24"/>
          <w:highlight w:val="none"/>
          <w:lang w:eastAsia="zh-CN"/>
        </w:rPr>
        <w:t>谈判保证金的有效凭证</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eastAsia="zh-CN"/>
        </w:rPr>
        <w:t>以上证件</w:t>
      </w:r>
      <w:r>
        <w:rPr>
          <w:rFonts w:hint="eastAsia" w:ascii="宋体" w:hAnsi="宋体" w:eastAsia="宋体" w:cs="宋体"/>
          <w:b w:val="0"/>
          <w:bCs w:val="0"/>
          <w:i w:val="0"/>
          <w:iCs w:val="0"/>
          <w:color w:val="FF0000"/>
          <w:sz w:val="24"/>
          <w:szCs w:val="24"/>
          <w:highlight w:val="none"/>
          <w:lang w:val="en-US" w:eastAsia="zh-CN"/>
        </w:rPr>
        <w:t>1~11均为原件或可扫描二维码的复印件并加盖供应商鲜章。</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lang w:val="en-US" w:eastAsia="zh-CN"/>
        </w:rPr>
      </w:pPr>
      <w:r>
        <w:rPr>
          <w:rFonts w:hint="eastAsia" w:ascii="宋体" w:hAnsi="宋体" w:eastAsia="宋体" w:cs="宋体"/>
          <w:b w:val="0"/>
          <w:bCs w:val="0"/>
          <w:color w:val="FF0000"/>
          <w:kern w:val="0"/>
          <w:sz w:val="24"/>
          <w:szCs w:val="24"/>
          <w:highlight w:val="none"/>
          <w:lang w:val="en-US" w:eastAsia="zh-CN"/>
        </w:rPr>
        <w:t>本项目不接受联合体投标。</w:t>
      </w:r>
    </w:p>
    <w:p>
      <w:pPr>
        <w:keepNext w:val="0"/>
        <w:keepLines w:val="0"/>
        <w:pageBreakBefore w:val="0"/>
        <w:widowControl/>
        <w:kinsoku/>
        <w:wordWrap/>
        <w:overflowPunct/>
        <w:topLinePunct w:val="0"/>
        <w:bidi w:val="0"/>
        <w:snapToGrid/>
        <w:spacing w:line="360" w:lineRule="exact"/>
        <w:ind w:firstLine="482" w:firstLineChars="200"/>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通过资格审查的供应商不足三家的，不得评审</w:t>
      </w:r>
      <w:r>
        <w:rPr>
          <w:rFonts w:hint="eastAsia" w:ascii="宋体" w:hAnsi="宋体" w:eastAsia="宋体" w:cs="宋体"/>
          <w:b/>
          <w:bCs/>
          <w:sz w:val="24"/>
          <w:szCs w:val="24"/>
          <w:highlight w:val="none"/>
          <w:lang w:eastAsia="zh-CN"/>
        </w:rPr>
        <w:t>。</w:t>
      </w:r>
    </w:p>
    <w:p>
      <w:pPr>
        <w:keepNext w:val="0"/>
        <w:keepLines w:val="0"/>
        <w:pageBreakBefore w:val="0"/>
        <w:widowControl/>
        <w:kinsoku/>
        <w:wordWrap/>
        <w:overflowPunct/>
        <w:topLinePunct w:val="0"/>
        <w:bidi w:val="0"/>
        <w:snapToGrid/>
        <w:spacing w:line="3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提示：上述资质开标现场能够通过官方网络查证的，均视为合格供应商。在资格审查过程中，潜在投标企业提供的资质材料不全的，可打开投标书“正本”进行进一步核实，符合条件的均为合格供应商。</w:t>
      </w:r>
    </w:p>
    <w:p>
      <w:pPr>
        <w:pageBreakBefore w:val="0"/>
        <w:kinsoku/>
        <w:wordWrap/>
        <w:overflowPunct/>
        <w:topLinePunct w:val="0"/>
        <w:bidi w:val="0"/>
        <w:spacing w:line="360" w:lineRule="exact"/>
        <w:ind w:left="5"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采购人或采购代理机构将在谈判开启前1个工作日至递交响应文件截止</w:t>
      </w:r>
      <w:r>
        <w:rPr>
          <w:rFonts w:hint="eastAsia" w:ascii="宋体" w:hAnsi="宋体" w:eastAsia="宋体" w:cs="宋体"/>
          <w:sz w:val="24"/>
          <w:szCs w:val="24"/>
          <w:highlight w:val="none"/>
          <w:lang w:eastAsia="zh-CN"/>
        </w:rPr>
        <w:t>前</w:t>
      </w:r>
      <w:r>
        <w:rPr>
          <w:rFonts w:hint="eastAsia" w:ascii="宋体" w:hAnsi="宋体" w:eastAsia="宋体" w:cs="宋体"/>
          <w:color w:val="auto"/>
          <w:sz w:val="24"/>
          <w:szCs w:val="24"/>
          <w:highlight w:val="none"/>
        </w:rPr>
        <w:t>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w:t>
      </w:r>
      <w:r>
        <w:rPr>
          <w:rFonts w:hint="eastAsia" w:ascii="宋体" w:hAnsi="宋体" w:eastAsia="宋体" w:cs="宋体"/>
          <w:sz w:val="24"/>
          <w:szCs w:val="24"/>
          <w:highlight w:val="none"/>
        </w:rPr>
        <w:t>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199" w:rightChars="-95"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不良信用记录指：</w:t>
      </w:r>
      <w:r>
        <w:rPr>
          <w:rFonts w:hint="eastAsia" w:ascii="宋体" w:hAnsi="宋体" w:eastAsia="宋体" w:cs="宋体"/>
          <w:b w:val="0"/>
          <w:bCs w:val="0"/>
          <w:i w:val="0"/>
          <w:iCs w:val="0"/>
          <w:color w:val="auto"/>
          <w:sz w:val="24"/>
          <w:szCs w:val="24"/>
          <w:highlight w:val="none"/>
          <w:lang w:eastAsia="zh-CN"/>
        </w:rPr>
        <w:t>供应</w:t>
      </w:r>
      <w:r>
        <w:rPr>
          <w:rFonts w:hint="eastAsia" w:ascii="宋体" w:hAnsi="宋体" w:eastAsia="宋体" w:cs="宋体"/>
          <w:b w:val="0"/>
          <w:bCs w:val="0"/>
          <w:color w:val="auto"/>
          <w:sz w:val="24"/>
          <w:szCs w:val="24"/>
          <w:highlight w:val="none"/>
        </w:rPr>
        <w:t>商在</w:t>
      </w:r>
      <w:r>
        <w:rPr>
          <w:rFonts w:hint="eastAsia" w:ascii="宋体" w:hAnsi="宋体" w:eastAsia="宋体" w:cs="宋体"/>
          <w:b w:val="0"/>
          <w:i w:val="0"/>
          <w:caps w:val="0"/>
          <w:spacing w:val="0"/>
          <w:w w:val="100"/>
          <w:sz w:val="24"/>
          <w:szCs w:val="24"/>
          <w:lang w:val="en-US" w:eastAsia="zh-CN"/>
        </w:rPr>
        <w:t>“信用中国”网(https://www.creditchina.gov.cn/)查询未被列入“失信被执行人”、“税收违法黑名单”；国家企业信用信息公示系统（www.gsxt.gov.cn/index.html)查询相关主体未被列入“经营异常名录”及“严重违法失信企业黑名单”；中国政府采购网（www.ccgp.gov.cn）查询未被列入“政府采购严重违法失信行为记录名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以及</w:t>
      </w:r>
      <w:r>
        <w:rPr>
          <w:rFonts w:hint="eastAsia" w:ascii="宋体" w:hAnsi="宋体" w:eastAsia="宋体" w:cs="宋体"/>
          <w:b w:val="0"/>
          <w:bCs w:val="0"/>
          <w:color w:val="auto"/>
          <w:sz w:val="24"/>
          <w:szCs w:val="24"/>
          <w:highlight w:val="none"/>
          <w:lang w:eastAsia="zh-CN"/>
        </w:rPr>
        <w:t>未在</w:t>
      </w:r>
      <w:r>
        <w:rPr>
          <w:rFonts w:hint="eastAsia" w:ascii="宋体" w:hAnsi="宋体" w:eastAsia="宋体" w:cs="宋体"/>
          <w:b w:val="0"/>
          <w:bCs w:val="0"/>
          <w:color w:val="auto"/>
          <w:sz w:val="24"/>
          <w:szCs w:val="24"/>
          <w:highlight w:val="none"/>
        </w:rPr>
        <w:t>《中华人民共和国政府采购法实施条例》第十九条规定的行政处罚记录</w:t>
      </w:r>
      <w:r>
        <w:rPr>
          <w:rFonts w:hint="eastAsia" w:ascii="宋体" w:hAnsi="宋体" w:eastAsia="宋体" w:cs="宋体"/>
          <w:b w:val="0"/>
          <w:bCs w:val="0"/>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以联合体形式参加谈判的，联合体任何成员存在以上不良信用记录的，联合体参加将被认定为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3"/>
        <w:pageBreakBefore w:val="0"/>
        <w:kinsoku/>
        <w:wordWrap/>
        <w:overflowPunct/>
        <w:topLinePunct w:val="0"/>
        <w:bidi w:val="0"/>
        <w:spacing w:line="3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19.2.2 查询及记录方式：采购人或采购代理机构经办人将查询网页打印并存档备查。供应商不良信用记录以采购人或采购代理机构查询结果为准。在本谈判文件规定的查询时间之后，网站信息发生的任何变更均不再作为评审依据。供应商自行提供的与网站信息不一致的其他证明材料亦不作为资格审查依据。</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按照《中华人民共和国政府采购法》、《中华人民共和国政府采购法实施条例》及本项目本级和上级财政部门的有关规定依法组建的谈判小组，负责评审工作</w:t>
      </w:r>
      <w:r>
        <w:rPr>
          <w:rFonts w:hint="eastAsia" w:ascii="宋体" w:hAnsi="宋体" w:eastAsia="宋体" w:cs="宋体"/>
          <w:sz w:val="24"/>
          <w:szCs w:val="24"/>
          <w:highlight w:val="none"/>
          <w:lang w:eastAsia="zh-CN"/>
        </w:rPr>
        <w:t>；</w:t>
      </w:r>
      <w:r>
        <w:rPr>
          <w:rFonts w:hint="eastAsia" w:ascii="宋体" w:hAnsi="宋体" w:eastAsia="宋体" w:cs="宋体"/>
          <w:b/>
          <w:bCs/>
          <w:color w:val="auto"/>
          <w:sz w:val="24"/>
          <w:szCs w:val="24"/>
          <w:highlight w:val="none"/>
          <w:u w:val="single"/>
        </w:rPr>
        <w:t>本项目</w:t>
      </w:r>
      <w:r>
        <w:rPr>
          <w:rFonts w:hint="eastAsia" w:ascii="宋体" w:hAnsi="宋体" w:eastAsia="宋体" w:cs="宋体"/>
          <w:b/>
          <w:bCs/>
          <w:color w:val="auto"/>
          <w:sz w:val="24"/>
          <w:szCs w:val="24"/>
          <w:highlight w:val="none"/>
          <w:u w:val="single"/>
          <w:lang w:eastAsia="zh-CN"/>
        </w:rPr>
        <w:t>谈判</w:t>
      </w:r>
      <w:r>
        <w:rPr>
          <w:rFonts w:hint="eastAsia" w:ascii="宋体" w:hAnsi="宋体" w:eastAsia="宋体" w:cs="宋体"/>
          <w:b/>
          <w:bCs/>
          <w:color w:val="auto"/>
          <w:sz w:val="24"/>
          <w:szCs w:val="24"/>
          <w:highlight w:val="none"/>
          <w:u w:val="single"/>
        </w:rPr>
        <w:t>委员会由</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人组成（随机抽取专家</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名）</w:t>
      </w:r>
      <w:r>
        <w:rPr>
          <w:rFonts w:hint="eastAsia" w:ascii="宋体" w:hAnsi="宋体" w:eastAsia="宋体" w:cs="宋体"/>
          <w:sz w:val="24"/>
          <w:szCs w:val="24"/>
          <w:highlight w:val="none"/>
        </w:rPr>
        <w:t>。</w:t>
      </w:r>
      <w:bookmarkStart w:id="214" w:name="_Toc520356166"/>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15" w:name="_Toc21722"/>
      <w:bookmarkStart w:id="216" w:name="_Toc515647781"/>
      <w:bookmarkStart w:id="217" w:name="_Toc23597"/>
      <w:bookmarkStart w:id="218" w:name="_Toc31711"/>
      <w:bookmarkStart w:id="219" w:name="_Toc28479"/>
      <w:bookmarkStart w:id="220" w:name="_Toc8697"/>
      <w:bookmarkStart w:id="221" w:name="_Toc19949"/>
      <w:bookmarkStart w:id="222" w:name="_Toc17842"/>
      <w:r>
        <w:rPr>
          <w:rFonts w:hint="eastAsia" w:ascii="宋体" w:hAnsi="宋体" w:eastAsia="宋体" w:cs="宋体"/>
          <w:sz w:val="24"/>
          <w:szCs w:val="24"/>
          <w:highlight w:val="none"/>
        </w:rPr>
        <w:t>20.响应文件</w:t>
      </w:r>
      <w:bookmarkEnd w:id="214"/>
      <w:r>
        <w:rPr>
          <w:rFonts w:hint="eastAsia" w:ascii="宋体" w:hAnsi="宋体" w:eastAsia="宋体" w:cs="宋体"/>
          <w:sz w:val="24"/>
          <w:szCs w:val="24"/>
          <w:highlight w:val="none"/>
        </w:rPr>
        <w:t>符合性审查与澄清</w:t>
      </w:r>
      <w:bookmarkEnd w:id="215"/>
      <w:bookmarkEnd w:id="216"/>
      <w:bookmarkEnd w:id="217"/>
      <w:bookmarkEnd w:id="218"/>
      <w:bookmarkEnd w:id="219"/>
      <w:bookmarkEnd w:id="220"/>
      <w:bookmarkEnd w:id="221"/>
      <w:bookmarkEnd w:id="22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 符合性审查是指依据谈判文件的规定，从响应文件的有效性和完整性对响应文件的响应程度进行审查，以确定是否对谈判文件的实质性要求做出响应。</w:t>
      </w:r>
      <w:bookmarkStart w:id="223" w:name="_Hlt522424701"/>
      <w:bookmarkEnd w:id="223"/>
      <w:bookmarkStart w:id="224" w:name="_Toc52035616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响应文件的澄清</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 在评审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20.2.2 供应商的的澄清、说明或补正将作为响应文件的一部分。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 响应文件报价出现前后不一致的，按照下列规定修正：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（一）响应文件中报价一览表（报价表）内容与响应文件中相应内容不一致的，以报价一览表（报价表）为准；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（三）单价金额小数点或者百分比有明显错位的，以报价一览表的总价为准，并修改单价；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按照第20.2条的规定经供应商确认后产生约束力，供应商不确认的，其谈判资格将被认定为无效。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如一个分包内只有一种产品，不同供应商所投产品为同一品牌的，按如下方式处理：</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使用最低评审价法，提供相同品牌产品的不同供应商以其中通过资格审查、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20.5 如一个分包内包含多种产品的，采购人或采购代理机构将在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中载明核心产品，多家供应商提供的核心产品品牌相同的，按第20.4条规定处理。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20.6 供应商所投产品如被列入财政部与国家主管部门颁发的节能产品目录或环境标志产品目录或无线局域网产品目录，应提供相关证明，在评审时予以优先采购，具体优先采购办法见第六章评审方法和标准。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如采购人所采购产品为政府强制采购的节能产品，供应商所投产品的品牌及型号必须为清单中有效期内产品并提供证明文件，否则其谈判资格将被认定为无效。</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25" w:name="_Toc13828"/>
      <w:bookmarkStart w:id="226" w:name="_Toc9591"/>
      <w:bookmarkStart w:id="227" w:name="_Toc20584"/>
      <w:bookmarkStart w:id="228" w:name="_Toc9469"/>
      <w:bookmarkStart w:id="229" w:name="_Toc3951"/>
      <w:bookmarkStart w:id="230" w:name="_Toc8616"/>
      <w:bookmarkStart w:id="231" w:name="_Toc515647782"/>
      <w:bookmarkStart w:id="232" w:name="_Toc6364"/>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偏离</w:t>
      </w:r>
      <w:bookmarkEnd w:id="225"/>
      <w:bookmarkEnd w:id="226"/>
      <w:bookmarkEnd w:id="227"/>
      <w:bookmarkEnd w:id="228"/>
      <w:bookmarkEnd w:id="229"/>
      <w:bookmarkEnd w:id="230"/>
      <w:bookmarkEnd w:id="231"/>
      <w:bookmarkEnd w:id="232"/>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谈判小组可以接受响应文件中不构成实质性偏离的不正规或不一致。</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33" w:name="_Toc515647783"/>
      <w:bookmarkStart w:id="234" w:name="_Toc4905"/>
      <w:bookmarkStart w:id="235" w:name="_Toc4950"/>
      <w:bookmarkStart w:id="236" w:name="_Toc19797"/>
      <w:bookmarkStart w:id="237" w:name="_Toc15288"/>
      <w:bookmarkStart w:id="238" w:name="_Toc17277"/>
      <w:bookmarkStart w:id="239" w:name="_Toc11414"/>
      <w:bookmarkStart w:id="240" w:name="_Toc6092"/>
      <w:r>
        <w:rPr>
          <w:rFonts w:hint="eastAsia" w:ascii="宋体" w:hAnsi="宋体" w:eastAsia="宋体" w:cs="宋体"/>
          <w:sz w:val="24"/>
          <w:szCs w:val="24"/>
          <w:highlight w:val="none"/>
        </w:rPr>
        <w:t>22.</w:t>
      </w:r>
      <w:bookmarkEnd w:id="233"/>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无效</w:t>
      </w:r>
      <w:bookmarkEnd w:id="234"/>
      <w:bookmarkEnd w:id="235"/>
      <w:bookmarkEnd w:id="236"/>
      <w:bookmarkEnd w:id="237"/>
      <w:bookmarkEnd w:id="238"/>
      <w:bookmarkEnd w:id="239"/>
      <w:bookmarkEnd w:id="240"/>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比较与评价之前，根据本须知的规定，谈判小组要审查每份响应文件是否实质上响应了谈判文件的要求。实质上响应的谈判应该是与谈判文件要求的全部条款、条件和规格相符，没有重大偏离的响应文件。对关键条款的偏离，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。供应商不得通过修正或撤销不符合要求的偏离，从而使其谈判成为实质上响应的谈判。</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谈判小组决定谈判的响应性只根据谈判文件要求、响应文件内容及财政主管部门指定相关信息发布媒体。</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如发现下列情况之一的，其谈判资格将被认定为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以下情形应当在谈判文件中规定，并以醒目的方式标明</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（1）未按谈判文件规定的形式和金额提交谈判保证金的；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（2）未按照谈判文件规定要求签署、盖章的；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（3）未满足谈判文件中技术条款的实质性要求；</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（4）与其他供应商串通参加谈判，或者与采购人串通参加谈判；</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（5）属于谈判文件规定的其他无效情形；</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（6）谈判小组认为供应商的报价明显低于其他通过符合性检查供应商的报价，有可能影响履约的，且供应商未按照规定证明其报价合理性的；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（7）响应文件含有采购人不能接受的附加条件的；</w:t>
      </w:r>
    </w:p>
    <w:p>
      <w:pPr>
        <w:pageBreakBefore w:val="0"/>
        <w:tabs>
          <w:tab w:val="left" w:pos="0"/>
        </w:tabs>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（8）不符合法规和谈判文件中规定的其他实质性要求的。</w:t>
      </w:r>
    </w:p>
    <w:p>
      <w:pPr>
        <w:pStyle w:val="2"/>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lang w:eastAsia="zh-CN"/>
        </w:rPr>
      </w:pPr>
      <w:bookmarkStart w:id="241" w:name="_Toc13652"/>
      <w:bookmarkStart w:id="242" w:name="_Toc7697"/>
      <w:bookmarkStart w:id="243" w:name="_Toc22941"/>
      <w:bookmarkStart w:id="244" w:name="_Toc27041"/>
      <w:bookmarkStart w:id="245" w:name="_Toc515647784"/>
      <w:bookmarkStart w:id="246" w:name="_Toc26483"/>
      <w:bookmarkStart w:id="247" w:name="_Toc26804"/>
      <w:bookmarkStart w:id="248" w:name="_Toc16218"/>
      <w:r>
        <w:rPr>
          <w:rFonts w:hint="eastAsia" w:ascii="宋体" w:hAnsi="宋体" w:eastAsia="宋体" w:cs="宋体"/>
          <w:sz w:val="24"/>
          <w:szCs w:val="24"/>
          <w:highlight w:val="none"/>
        </w:rPr>
        <w:t>23.</w:t>
      </w:r>
      <w:bookmarkEnd w:id="224"/>
      <w:r>
        <w:rPr>
          <w:rFonts w:hint="eastAsia" w:ascii="宋体" w:hAnsi="宋体" w:eastAsia="宋体" w:cs="宋体"/>
          <w:sz w:val="24"/>
          <w:szCs w:val="24"/>
          <w:highlight w:val="none"/>
        </w:rPr>
        <w:t>评</w:t>
      </w:r>
      <w:bookmarkEnd w:id="241"/>
      <w:bookmarkEnd w:id="242"/>
      <w:bookmarkEnd w:id="243"/>
      <w:bookmarkEnd w:id="244"/>
      <w:bookmarkEnd w:id="245"/>
      <w:bookmarkEnd w:id="246"/>
      <w:bookmarkEnd w:id="247"/>
      <w:r>
        <w:rPr>
          <w:rFonts w:hint="eastAsia" w:ascii="宋体" w:hAnsi="宋体" w:eastAsia="宋体" w:cs="宋体"/>
          <w:sz w:val="24"/>
          <w:szCs w:val="24"/>
          <w:highlight w:val="none"/>
          <w:lang w:eastAsia="zh-CN"/>
        </w:rPr>
        <w:t>标</w:t>
      </w:r>
      <w:bookmarkEnd w:id="24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23.1</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经符合性审查合格的响应文件，谈判小组将根据谈判文件</w:t>
      </w:r>
      <w:r>
        <w:rPr>
          <w:rFonts w:hint="eastAsia" w:ascii="宋体" w:hAnsi="宋体" w:eastAsia="宋体" w:cs="宋体"/>
          <w:b w:val="0"/>
          <w:bCs w:val="0"/>
          <w:sz w:val="24"/>
          <w:szCs w:val="24"/>
          <w:highlight w:val="none"/>
          <w:lang w:eastAsia="zh-CN"/>
        </w:rPr>
        <w:t>第六章</w:t>
      </w:r>
      <w:r>
        <w:rPr>
          <w:rFonts w:hint="eastAsia" w:ascii="宋体" w:hAnsi="宋体" w:eastAsia="宋体" w:cs="宋体"/>
          <w:b w:val="0"/>
          <w:bCs w:val="0"/>
          <w:sz w:val="24"/>
          <w:szCs w:val="24"/>
          <w:highlight w:val="none"/>
        </w:rPr>
        <w:t>确定的评审方法和标准，对其技术部分和商务部分作进一步的比较和评价。</w:t>
      </w:r>
    </w:p>
    <w:p>
      <w:pPr>
        <w:pStyle w:val="12"/>
        <w:snapToGrid w:val="0"/>
        <w:spacing w:line="360" w:lineRule="exact"/>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23.2 评审严格按照谈判文件的要求和条件进行。</w:t>
      </w:r>
      <w:r>
        <w:rPr>
          <w:rFonts w:hint="eastAsia" w:ascii="宋体" w:hAnsi="宋体" w:eastAsia="宋体" w:cs="宋体"/>
          <w:b w:val="0"/>
          <w:bCs w:val="0"/>
          <w:sz w:val="24"/>
          <w:szCs w:val="24"/>
          <w:highlight w:val="none"/>
          <w:lang w:eastAsia="zh-CN"/>
        </w:rPr>
        <w:t>采用最低评审价法：响应文件满足谈判文件全部实质性要求，且谈判报价最低的供应商为成交候选人的评审方法。</w:t>
      </w:r>
      <w:r>
        <w:rPr>
          <w:rFonts w:hint="eastAsia" w:ascii="宋体" w:hAnsi="宋体" w:eastAsia="宋体" w:cs="宋体"/>
          <w:b w:val="0"/>
          <w:bCs w:val="0"/>
          <w:color w:val="auto"/>
          <w:sz w:val="24"/>
          <w:szCs w:val="24"/>
          <w:highlight w:val="none"/>
        </w:rPr>
        <w:t>当谈判小组在评审过程中，谈判小组各方意见不一致时，应采用记名表决的方式决定，遵循少数服从多数的原则。</w:t>
      </w:r>
    </w:p>
    <w:p>
      <w:pPr>
        <w:pStyle w:val="12"/>
        <w:snapToGrid w:val="0"/>
        <w:spacing w:line="360" w:lineRule="exact"/>
        <w:ind w:firstLine="480" w:firstLineChars="200"/>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z w:val="24"/>
          <w:szCs w:val="24"/>
          <w:highlight w:val="none"/>
          <w:lang w:eastAsia="zh-CN"/>
        </w:rPr>
        <w:t>谈判过程</w:t>
      </w:r>
      <w:r>
        <w:rPr>
          <w:rFonts w:hint="eastAsia" w:ascii="宋体" w:hAnsi="宋体" w:eastAsia="宋体" w:cs="宋体"/>
          <w:b w:val="0"/>
          <w:bCs w:val="0"/>
          <w:color w:val="auto"/>
          <w:sz w:val="24"/>
          <w:szCs w:val="24"/>
          <w:highlight w:val="none"/>
        </w:rPr>
        <w:t>将采取</w:t>
      </w:r>
      <w:r>
        <w:rPr>
          <w:rFonts w:hint="eastAsia" w:ascii="宋体" w:hAnsi="宋体" w:eastAsia="宋体" w:cs="宋体"/>
          <w:b w:val="0"/>
          <w:bCs w:val="0"/>
          <w:color w:val="auto"/>
          <w:sz w:val="24"/>
          <w:szCs w:val="24"/>
          <w:highlight w:val="none"/>
          <w:u w:val="single"/>
        </w:rPr>
        <w:t>封闭方式</w:t>
      </w:r>
      <w:r>
        <w:rPr>
          <w:rFonts w:hint="eastAsia" w:ascii="宋体" w:hAnsi="宋体" w:eastAsia="宋体" w:cs="宋体"/>
          <w:b w:val="0"/>
          <w:bCs w:val="0"/>
          <w:color w:val="auto"/>
          <w:sz w:val="24"/>
          <w:szCs w:val="24"/>
          <w:highlight w:val="none"/>
        </w:rPr>
        <w:t>进行，“谈判小组”成员和有关工作人员不得透露对</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文件的评审、比较和中标候选供应商的推荐情况以及与评标有关的其他情况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sz w:val="24"/>
          <w:szCs w:val="24"/>
          <w:highlight w:val="none"/>
          <w:lang w:eastAsia="zh-CN"/>
        </w:rPr>
        <w:t>谈判小组所有成员集中与单一供应商分别进行谈判。</w:t>
      </w:r>
      <w:r>
        <w:rPr>
          <w:rFonts w:hint="eastAsia" w:ascii="宋体" w:hAnsi="宋体" w:eastAsia="宋体" w:cs="宋体"/>
          <w:b w:val="0"/>
          <w:bCs w:val="0"/>
          <w:color w:val="auto"/>
          <w:spacing w:val="-4"/>
          <w:sz w:val="24"/>
          <w:szCs w:val="24"/>
          <w:highlight w:val="none"/>
        </w:rPr>
        <w:t>“</w:t>
      </w:r>
      <w:r>
        <w:rPr>
          <w:rFonts w:hint="eastAsia" w:ascii="宋体" w:hAnsi="宋体" w:eastAsia="宋体" w:cs="宋体"/>
          <w:b w:val="0"/>
          <w:bCs w:val="0"/>
          <w:color w:val="auto"/>
          <w:sz w:val="24"/>
          <w:szCs w:val="24"/>
          <w:highlight w:val="none"/>
        </w:rPr>
        <w:t>谈判小组”对各</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递交的</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文件统一开启，并进行评审后，认为有必要再次进行谈判的，可再次与</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进行谈判，谈判程序和要求按本须知</w:t>
      </w:r>
      <w:r>
        <w:rPr>
          <w:rFonts w:hint="eastAsia" w:ascii="宋体" w:hAnsi="宋体" w:eastAsia="宋体" w:cs="宋体"/>
          <w:b w:val="0"/>
          <w:bCs w:val="0"/>
          <w:color w:val="auto"/>
          <w:sz w:val="24"/>
          <w:szCs w:val="24"/>
          <w:highlight w:val="none"/>
          <w:lang w:val="en-US" w:eastAsia="zh-CN"/>
        </w:rPr>
        <w:t>18.1.5</w:t>
      </w:r>
      <w:r>
        <w:rPr>
          <w:rFonts w:hint="eastAsia" w:ascii="宋体" w:hAnsi="宋体" w:eastAsia="宋体" w:cs="宋体"/>
          <w:b w:val="0"/>
          <w:bCs w:val="0"/>
          <w:color w:val="auto"/>
          <w:sz w:val="24"/>
          <w:szCs w:val="24"/>
          <w:highlight w:val="none"/>
        </w:rPr>
        <w:t>款至</w:t>
      </w:r>
      <w:r>
        <w:rPr>
          <w:rFonts w:hint="eastAsia" w:ascii="宋体" w:hAnsi="宋体" w:eastAsia="宋体" w:cs="宋体"/>
          <w:b w:val="0"/>
          <w:bCs w:val="0"/>
          <w:color w:val="auto"/>
          <w:sz w:val="24"/>
          <w:szCs w:val="24"/>
          <w:highlight w:val="none"/>
          <w:lang w:val="en-US" w:eastAsia="zh-CN"/>
        </w:rPr>
        <w:t>18.1.7</w:t>
      </w:r>
      <w:r>
        <w:rPr>
          <w:rFonts w:hint="eastAsia" w:ascii="宋体" w:hAnsi="宋体" w:eastAsia="宋体" w:cs="宋体"/>
          <w:b w:val="0"/>
          <w:bCs w:val="0"/>
          <w:color w:val="auto"/>
          <w:sz w:val="24"/>
          <w:szCs w:val="24"/>
          <w:highlight w:val="none"/>
        </w:rPr>
        <w:t>款规定执行，直至“谈判小组”认为没有必要再进行谈判，谈判方可结束。对最后一轮谈判，“谈判小组”应明确告知</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，并要求所有</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pacing w:val="-4"/>
          <w:sz w:val="24"/>
          <w:szCs w:val="24"/>
          <w:highlight w:val="none"/>
        </w:rPr>
        <w:t>在规定的时间、地点以书面密封形式递交最终的应答文件。</w:t>
      </w:r>
    </w:p>
    <w:p>
      <w:pPr>
        <w:pStyle w:val="12"/>
        <w:snapToGrid w:val="0"/>
        <w:spacing w:line="360" w:lineRule="exact"/>
        <w:ind w:firstLine="464" w:firstLineChars="200"/>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谈判结束后，“谈判小组”应要求</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pacing w:val="-4"/>
          <w:sz w:val="24"/>
          <w:szCs w:val="24"/>
          <w:highlight w:val="none"/>
        </w:rPr>
        <w:t>在</w:t>
      </w:r>
      <w:r>
        <w:rPr>
          <w:rFonts w:hint="eastAsia" w:ascii="宋体" w:hAnsi="宋体" w:eastAsia="宋体" w:cs="宋体"/>
          <w:b w:val="0"/>
          <w:bCs w:val="0"/>
          <w:color w:val="auto"/>
          <w:spacing w:val="-4"/>
          <w:sz w:val="24"/>
          <w:szCs w:val="24"/>
          <w:highlight w:val="none"/>
          <w:u w:val="single"/>
          <w:lang w:eastAsia="zh-CN"/>
        </w:rPr>
        <w:t>供应商须知中</w:t>
      </w:r>
      <w:r>
        <w:rPr>
          <w:rFonts w:hint="eastAsia" w:ascii="宋体" w:hAnsi="宋体" w:eastAsia="宋体" w:cs="宋体"/>
          <w:b w:val="0"/>
          <w:bCs w:val="0"/>
          <w:color w:val="auto"/>
          <w:spacing w:val="-4"/>
          <w:sz w:val="24"/>
          <w:szCs w:val="24"/>
          <w:highlight w:val="none"/>
          <w:u w:val="single"/>
        </w:rPr>
        <w:t>规定的时间、地点以书面密封形式</w:t>
      </w:r>
      <w:r>
        <w:rPr>
          <w:rFonts w:hint="eastAsia" w:ascii="宋体" w:hAnsi="宋体" w:eastAsia="宋体" w:cs="宋体"/>
          <w:b w:val="0"/>
          <w:bCs w:val="0"/>
          <w:color w:val="auto"/>
          <w:spacing w:val="-4"/>
          <w:sz w:val="24"/>
          <w:szCs w:val="24"/>
          <w:highlight w:val="none"/>
        </w:rPr>
        <w:t>递交</w:t>
      </w:r>
      <w:r>
        <w:rPr>
          <w:rFonts w:hint="eastAsia" w:ascii="宋体" w:hAnsi="宋体" w:eastAsia="宋体" w:cs="宋体"/>
          <w:b w:val="0"/>
          <w:bCs w:val="0"/>
          <w:color w:val="auto"/>
          <w:spacing w:val="-4"/>
          <w:sz w:val="24"/>
          <w:szCs w:val="24"/>
          <w:highlight w:val="none"/>
          <w:lang w:eastAsia="zh-CN"/>
        </w:rPr>
        <w:t>响应文件</w:t>
      </w:r>
      <w:r>
        <w:rPr>
          <w:rFonts w:hint="eastAsia" w:ascii="宋体" w:hAnsi="宋体" w:eastAsia="宋体" w:cs="宋体"/>
          <w:b w:val="0"/>
          <w:bCs w:val="0"/>
          <w:color w:val="auto"/>
          <w:spacing w:val="-4"/>
          <w:sz w:val="24"/>
          <w:szCs w:val="24"/>
          <w:highlight w:val="none"/>
        </w:rPr>
        <w:t>时要求其就商务和技术条件做出的包含补充、修改、承诺、重新报价等内容的</w:t>
      </w:r>
      <w:r>
        <w:rPr>
          <w:rFonts w:hint="eastAsia" w:ascii="宋体" w:hAnsi="宋体" w:eastAsia="宋体" w:cs="宋体"/>
          <w:b w:val="0"/>
          <w:bCs w:val="0"/>
          <w:color w:val="auto"/>
          <w:spacing w:val="-4"/>
          <w:sz w:val="24"/>
          <w:szCs w:val="24"/>
          <w:highlight w:val="none"/>
          <w:lang w:eastAsia="zh-CN"/>
        </w:rPr>
        <w:t>响应文件</w:t>
      </w:r>
      <w:r>
        <w:rPr>
          <w:rFonts w:hint="eastAsia" w:ascii="宋体" w:hAnsi="宋体" w:eastAsia="宋体" w:cs="宋体"/>
          <w:b w:val="0"/>
          <w:bCs w:val="0"/>
          <w:color w:val="auto"/>
          <w:spacing w:val="-4"/>
          <w:sz w:val="24"/>
          <w:szCs w:val="24"/>
          <w:highlight w:val="none"/>
        </w:rPr>
        <w:t>，</w:t>
      </w:r>
      <w:r>
        <w:rPr>
          <w:rFonts w:hint="eastAsia" w:ascii="宋体" w:hAnsi="宋体" w:eastAsia="宋体" w:cs="宋体"/>
          <w:b w:val="0"/>
          <w:bCs w:val="0"/>
          <w:color w:val="auto"/>
          <w:spacing w:val="-4"/>
          <w:sz w:val="24"/>
          <w:szCs w:val="24"/>
          <w:highlight w:val="none"/>
          <w:lang w:eastAsia="zh-CN"/>
        </w:rPr>
        <w:t>响应</w:t>
      </w:r>
      <w:r>
        <w:rPr>
          <w:rFonts w:hint="eastAsia" w:ascii="宋体" w:hAnsi="宋体" w:eastAsia="宋体" w:cs="宋体"/>
          <w:b w:val="0"/>
          <w:bCs w:val="0"/>
          <w:color w:val="auto"/>
          <w:spacing w:val="-4"/>
          <w:sz w:val="24"/>
          <w:szCs w:val="24"/>
          <w:highlight w:val="none"/>
        </w:rPr>
        <w:t>文件必须由</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pacing w:val="-4"/>
          <w:sz w:val="24"/>
          <w:szCs w:val="24"/>
          <w:highlight w:val="none"/>
        </w:rPr>
        <w:t>的法定代表人或授权委托代理人签名或盖公章，应答文件构成</w:t>
      </w:r>
      <w:r>
        <w:rPr>
          <w:rFonts w:hint="eastAsia" w:ascii="宋体" w:hAnsi="宋体" w:eastAsia="宋体" w:cs="宋体"/>
          <w:b w:val="0"/>
          <w:bCs w:val="0"/>
          <w:color w:val="auto"/>
          <w:spacing w:val="-4"/>
          <w:sz w:val="24"/>
          <w:szCs w:val="24"/>
          <w:highlight w:val="none"/>
          <w:lang w:eastAsia="zh-CN"/>
        </w:rPr>
        <w:t>响应</w:t>
      </w:r>
      <w:r>
        <w:rPr>
          <w:rFonts w:hint="eastAsia" w:ascii="宋体" w:hAnsi="宋体" w:eastAsia="宋体" w:cs="宋体"/>
          <w:b w:val="0"/>
          <w:bCs w:val="0"/>
          <w:color w:val="auto"/>
          <w:spacing w:val="-4"/>
          <w:sz w:val="24"/>
          <w:szCs w:val="24"/>
          <w:highlight w:val="none"/>
        </w:rPr>
        <w:t>文件的一部分。</w:t>
      </w:r>
    </w:p>
    <w:p>
      <w:pPr>
        <w:pStyle w:val="12"/>
        <w:snapToGrid w:val="0"/>
        <w:spacing w:line="360" w:lineRule="exact"/>
        <w:ind w:firstLine="464" w:firstLineChars="200"/>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最终谈判结束后，“</w:t>
      </w:r>
      <w:r>
        <w:rPr>
          <w:rFonts w:hint="eastAsia" w:ascii="宋体" w:hAnsi="宋体" w:eastAsia="宋体" w:cs="宋体"/>
          <w:b w:val="0"/>
          <w:bCs w:val="0"/>
          <w:color w:val="auto"/>
          <w:sz w:val="24"/>
          <w:szCs w:val="24"/>
          <w:highlight w:val="none"/>
        </w:rPr>
        <w:t>谈判小组”不得再与</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进行任何形式的商谈。</w:t>
      </w:r>
    </w:p>
    <w:p>
      <w:pPr>
        <w:pStyle w:val="12"/>
        <w:snapToGrid w:val="0"/>
        <w:spacing w:line="360" w:lineRule="exact"/>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rPr>
        <w:t>谈判的任何一方不得透露与谈判有关的其他投标人的技术资料和其他信息。</w:t>
      </w:r>
    </w:p>
    <w:p>
      <w:pPr>
        <w:pStyle w:val="12"/>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 根据《财政部司法部关于政府采购支持监狱企业发展有关问题的通知》（财库〔2014〕68号）和《三部门联合发布关于促进残疾人就业政府采购政策的通知》（财库〔2017〕141号）</w:t>
      </w:r>
      <w:r>
        <w:rPr>
          <w:rFonts w:hint="eastAsia" w:ascii="宋体" w:hAnsi="宋体" w:eastAsia="宋体" w:cs="宋体"/>
          <w:sz w:val="24"/>
          <w:szCs w:val="24"/>
          <w:highlight w:val="none"/>
          <w:lang w:eastAsia="zh-CN"/>
        </w:rPr>
        <w:t>、《政府采购促进中小企业发展管理办法》（财库</w:t>
      </w:r>
      <w:r>
        <w:rPr>
          <w:rFonts w:hint="eastAsia" w:ascii="宋体" w:hAnsi="宋体" w:eastAsia="宋体" w:cs="宋体"/>
          <w:sz w:val="24"/>
          <w:szCs w:val="24"/>
          <w:highlight w:val="none"/>
        </w:rPr>
        <w:t>〔20</w:t>
      </w:r>
      <w:r>
        <w:rPr>
          <w:rFonts w:hint="eastAsia"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46号</w:t>
      </w:r>
      <w:r>
        <w:rPr>
          <w:rFonts w:hint="eastAsia" w:ascii="宋体" w:hAnsi="宋体" w:eastAsia="宋体" w:cs="宋体"/>
          <w:sz w:val="24"/>
          <w:szCs w:val="24"/>
          <w:highlight w:val="none"/>
          <w:lang w:eastAsia="zh-CN"/>
        </w:rPr>
        <w:t>）文、《关于进一步加大政府采购支持中小企业力度的通知》（财库〔2022〕19号)、《</w:t>
      </w:r>
      <w:r>
        <w:rPr>
          <w:rFonts w:hint="eastAsia" w:ascii="宋体" w:hAnsi="宋体" w:eastAsia="宋体" w:cs="宋体"/>
          <w:sz w:val="24"/>
          <w:szCs w:val="24"/>
          <w:highlight w:val="none"/>
          <w:lang w:val="en-US" w:eastAsia="zh-CN"/>
        </w:rPr>
        <w:t>自治区贯彻落实国发【2022】12号为文件精神推进经济稳增长一揽子政策措施》（新政发</w:t>
      </w:r>
      <w:r>
        <w:rPr>
          <w:rFonts w:hint="eastAsia" w:ascii="宋体" w:hAnsi="宋体" w:eastAsia="宋体" w:cs="宋体"/>
          <w:sz w:val="24"/>
          <w:szCs w:val="24"/>
          <w:highlight w:val="none"/>
        </w:rPr>
        <w:t>〔20</w:t>
      </w:r>
      <w:r>
        <w:rPr>
          <w:rFonts w:hint="eastAsia"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hAnsi="宋体" w:eastAsia="宋体" w:cs="宋体"/>
          <w:sz w:val="24"/>
          <w:szCs w:val="24"/>
          <w:highlight w:val="none"/>
          <w:lang w:val="en-US" w:eastAsia="zh-CN"/>
        </w:rPr>
        <w:t>61号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规定，对满足价格扣除条件且在响应文件中提交了《中小企业声明函》、《残疾人福利性单位声明函》或省级以上监狱管理局、戒毒管理局（含新疆生产建设兵团）出具的属于监狱企业的证明文件的供应商，其谈判报价扣除</w:t>
      </w:r>
      <w:r>
        <w:rPr>
          <w:rFonts w:hint="eastAsia" w:ascii="宋体" w:hAnsi="宋体" w:eastAsia="宋体" w:cs="宋体"/>
          <w:sz w:val="24"/>
          <w:szCs w:val="24"/>
          <w:highlight w:val="none"/>
          <w:u w:val="single"/>
          <w:lang w:val="en-US" w:eastAsia="zh-CN"/>
        </w:rPr>
        <w:t xml:space="preserve"> 6 </w:t>
      </w:r>
      <w:r>
        <w:rPr>
          <w:rFonts w:hint="eastAsia" w:ascii="宋体" w:hAnsi="宋体" w:eastAsia="宋体" w:cs="宋体"/>
          <w:sz w:val="24"/>
          <w:szCs w:val="24"/>
          <w:highlight w:val="none"/>
        </w:rPr>
        <w:t>%后参与评审。具体办法详见谈判文件第6章。</w:t>
      </w:r>
    </w:p>
    <w:p>
      <w:pPr>
        <w:pStyle w:val="12"/>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23.4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所投产品如被列入财政部与国家主管部门颁发的节能产品目录或环境标志产品目录或无线局域网产品目录，应提供相关证明，在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时予以优先采购，具体优惠措施为：供应商所投产品应优先选择《关于印发节能产品政府采购品目清单的通知》（财库〔2019〕19号）、《关于印发环境标志产品政府采购品目清单的通知》（财库〔2019〕18号）目录内的产品。</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49" w:name="_Toc520356168"/>
      <w:bookmarkStart w:id="250" w:name="_Toc15662"/>
      <w:bookmarkStart w:id="251" w:name="_Toc20227"/>
      <w:bookmarkStart w:id="252" w:name="_Toc17519"/>
      <w:bookmarkStart w:id="253" w:name="_Toc515647785"/>
      <w:bookmarkStart w:id="254" w:name="_Toc29897"/>
      <w:bookmarkStart w:id="255" w:name="_Toc17951"/>
      <w:bookmarkStart w:id="256" w:name="_Toc4245"/>
      <w:bookmarkStart w:id="257" w:name="_Toc9378"/>
      <w:r>
        <w:rPr>
          <w:rFonts w:hint="eastAsia" w:ascii="宋体" w:hAnsi="宋体" w:eastAsia="宋体" w:cs="宋体"/>
          <w:sz w:val="24"/>
          <w:szCs w:val="24"/>
          <w:highlight w:val="none"/>
        </w:rPr>
        <w:t>24</w:t>
      </w:r>
      <w:bookmarkEnd w:id="249"/>
      <w:r>
        <w:rPr>
          <w:rFonts w:hint="eastAsia" w:ascii="宋体" w:hAnsi="宋体" w:eastAsia="宋体" w:cs="宋体"/>
          <w:sz w:val="24"/>
          <w:szCs w:val="24"/>
          <w:highlight w:val="none"/>
        </w:rPr>
        <w:t>.废标</w:t>
      </w:r>
      <w:bookmarkEnd w:id="250"/>
      <w:bookmarkEnd w:id="251"/>
      <w:bookmarkEnd w:id="252"/>
      <w:bookmarkEnd w:id="253"/>
      <w:bookmarkEnd w:id="254"/>
      <w:bookmarkEnd w:id="255"/>
      <w:bookmarkEnd w:id="256"/>
      <w:bookmarkEnd w:id="25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出现下列情形之一，将导致项目废标： </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（1）符合专业条件的供应商或者对谈判文件做实质性响应的供应商不足三家；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（3）供应商的报价均超过了采购预算，采购人不能支付的；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（4）因重大变故，采购任务取消的。   </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58" w:name="_Toc2272"/>
      <w:bookmarkStart w:id="259" w:name="_Toc515647786"/>
      <w:bookmarkStart w:id="260" w:name="_Toc30602"/>
      <w:bookmarkStart w:id="261" w:name="_Toc28861"/>
      <w:bookmarkStart w:id="262" w:name="_Toc15226"/>
      <w:bookmarkStart w:id="263" w:name="_Toc24972"/>
      <w:bookmarkStart w:id="264" w:name="_Toc31289"/>
      <w:bookmarkStart w:id="265" w:name="_Toc21042"/>
      <w:bookmarkStart w:id="266" w:name="_Toc520356169"/>
      <w:r>
        <w:rPr>
          <w:rFonts w:hint="eastAsia" w:ascii="宋体" w:hAnsi="宋体" w:eastAsia="宋体" w:cs="宋体"/>
          <w:sz w:val="24"/>
          <w:szCs w:val="24"/>
          <w:highlight w:val="none"/>
        </w:rPr>
        <w:t>25.保密原则</w:t>
      </w:r>
      <w:bookmarkEnd w:id="258"/>
      <w:bookmarkEnd w:id="259"/>
      <w:bookmarkEnd w:id="260"/>
      <w:bookmarkEnd w:id="261"/>
      <w:bookmarkEnd w:id="262"/>
      <w:bookmarkEnd w:id="263"/>
      <w:bookmarkEnd w:id="264"/>
      <w:bookmarkEnd w:id="265"/>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评审将在严格保密的情况下进行。</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政府采购评审专家应当遵守评审工作纪律，不得泄露评审文件、评审情况和评审中获悉的商业秘密。</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67" w:name="_Toc23904"/>
      <w:bookmarkStart w:id="268" w:name="_Toc216582810"/>
      <w:bookmarkStart w:id="269" w:name="_Toc12143"/>
      <w:bookmarkStart w:id="270" w:name="_Toc31577"/>
      <w:bookmarkStart w:id="271" w:name="_Toc515647787"/>
      <w:bookmarkStart w:id="272" w:name="_Toc10091"/>
      <w:r>
        <w:rPr>
          <w:rFonts w:hint="eastAsia" w:ascii="宋体" w:hAnsi="宋体" w:eastAsia="宋体" w:cs="宋体"/>
          <w:sz w:val="24"/>
          <w:szCs w:val="24"/>
          <w:highlight w:val="none"/>
        </w:rPr>
        <w:t xml:space="preserve">六   </w:t>
      </w:r>
      <w:bookmarkEnd w:id="266"/>
      <w:r>
        <w:rPr>
          <w:rFonts w:hint="eastAsia" w:ascii="宋体" w:hAnsi="宋体" w:eastAsia="宋体" w:cs="宋体"/>
          <w:sz w:val="24"/>
          <w:szCs w:val="24"/>
          <w:highlight w:val="none"/>
          <w:lang w:eastAsia="zh-CN"/>
        </w:rPr>
        <w:t>确定成交</w:t>
      </w:r>
      <w:bookmarkEnd w:id="267"/>
      <w:bookmarkEnd w:id="268"/>
      <w:bookmarkEnd w:id="269"/>
      <w:bookmarkEnd w:id="270"/>
      <w:bookmarkEnd w:id="271"/>
      <w:bookmarkEnd w:id="272"/>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73" w:name="_Toc22597"/>
      <w:bookmarkStart w:id="274" w:name="_Toc30890"/>
      <w:bookmarkStart w:id="275" w:name="_Toc23617"/>
      <w:bookmarkStart w:id="276" w:name="_Toc17695"/>
      <w:bookmarkStart w:id="277" w:name="_Toc25883"/>
      <w:bookmarkStart w:id="278" w:name="_Toc515647788"/>
      <w:bookmarkStart w:id="279" w:name="_Toc520356170"/>
      <w:bookmarkStart w:id="280" w:name="_Toc23797"/>
      <w:bookmarkStart w:id="281" w:name="_Ref467307010"/>
      <w:bookmarkStart w:id="282" w:name="_Toc23762"/>
      <w:r>
        <w:rPr>
          <w:rFonts w:hint="eastAsia" w:ascii="宋体" w:hAnsi="宋体" w:eastAsia="宋体" w:cs="宋体"/>
          <w:sz w:val="24"/>
          <w:szCs w:val="24"/>
          <w:highlight w:val="none"/>
        </w:rPr>
        <w:t>26.成交候选人的确定原则及标准</w:t>
      </w:r>
      <w:bookmarkEnd w:id="273"/>
      <w:bookmarkEnd w:id="274"/>
      <w:bookmarkEnd w:id="275"/>
      <w:bookmarkEnd w:id="276"/>
      <w:bookmarkEnd w:id="277"/>
      <w:bookmarkEnd w:id="278"/>
      <w:bookmarkEnd w:id="279"/>
      <w:bookmarkEnd w:id="280"/>
      <w:bookmarkEnd w:id="281"/>
      <w:bookmarkEnd w:id="28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除第28条规定外，对实质上响应谈判文件的供应商按下列方法进行排序，确定成交候选人：</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bookmarkStart w:id="283" w:name="_Toc520356171"/>
      <w:bookmarkStart w:id="284" w:name="_Toc515647789"/>
      <w:r>
        <w:rPr>
          <w:rFonts w:hint="eastAsia" w:ascii="宋体" w:hAnsi="宋体" w:eastAsia="宋体" w:cs="宋体"/>
          <w:b w:val="0"/>
          <w:bCs w:val="0"/>
          <w:sz w:val="24"/>
          <w:szCs w:val="24"/>
          <w:highlight w:val="none"/>
          <w:u w:val="none"/>
        </w:rPr>
        <w:t>采用最低评审价法</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是指响应文件满足谈判文件全部实质性要求，且响应文件报价最低的供应商为中标候选人的评标办法。</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采用最低评标价法评标时，</w:t>
      </w:r>
      <w:r>
        <w:rPr>
          <w:rFonts w:hint="eastAsia" w:ascii="宋体" w:hAnsi="宋体" w:eastAsia="宋体" w:cs="宋体"/>
          <w:b w:val="0"/>
          <w:bCs w:val="0"/>
          <w:sz w:val="24"/>
          <w:szCs w:val="24"/>
          <w:highlight w:val="none"/>
        </w:rPr>
        <w:t>除了算术修正和落实政府采购政策需进行的价格扣除外，不对供应商的谈判价格进行任何调整。评审结果按修正和扣除后的报价由低到高顺序排列。</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报价相同的处理方式</w:t>
      </w:r>
      <w:r>
        <w:rPr>
          <w:rFonts w:hint="eastAsia" w:ascii="宋体" w:hAnsi="宋体" w:eastAsia="宋体" w:cs="宋体"/>
          <w:b w:val="0"/>
          <w:bCs w:val="0"/>
          <w:sz w:val="24"/>
          <w:szCs w:val="24"/>
          <w:highlight w:val="none"/>
          <w:lang w:eastAsia="zh-CN"/>
        </w:rPr>
        <w:t>：谈判小组</w:t>
      </w:r>
      <w:r>
        <w:rPr>
          <w:rFonts w:hint="eastAsia" w:ascii="宋体" w:hAnsi="宋体" w:eastAsia="宋体" w:cs="宋体"/>
          <w:b w:val="0"/>
          <w:bCs w:val="0"/>
          <w:sz w:val="24"/>
          <w:szCs w:val="24"/>
          <w:highlight w:val="none"/>
          <w:lang w:val="en-US" w:eastAsia="zh-CN"/>
        </w:rPr>
        <w:t>按评审因素的量化指标评审得分最高的供应商为优先成交人，由谈判小组确定</w:t>
      </w:r>
      <w:r>
        <w:rPr>
          <w:rFonts w:hint="eastAsia" w:ascii="宋体" w:hAnsi="宋体" w:eastAsia="宋体" w:cs="宋体"/>
          <w:b w:val="0"/>
          <w:bCs w:val="0"/>
          <w:sz w:val="24"/>
          <w:szCs w:val="24"/>
          <w:highlight w:val="none"/>
        </w:rPr>
        <w:t>。</w:t>
      </w:r>
    </w:p>
    <w:p>
      <w:pPr>
        <w:pStyle w:val="8"/>
        <w:spacing w:before="0" w:line="40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成交候选人并列式时的处理方式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采用最低评审办法</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自收到评审报告之日起5个工作日内，在评审报告确定的成交候选人名单中按顺序确定成交人</w:t>
      </w:r>
      <w:r>
        <w:rPr>
          <w:rFonts w:hint="eastAsia" w:ascii="宋体" w:hAnsi="宋体" w:eastAsia="宋体" w:cs="宋体"/>
          <w:b w:val="0"/>
          <w:bCs w:val="0"/>
          <w:sz w:val="24"/>
          <w:szCs w:val="24"/>
          <w:highlight w:val="none"/>
          <w:lang w:eastAsia="zh-CN"/>
        </w:rPr>
        <w:t>。</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85" w:name="_Toc17155"/>
      <w:bookmarkStart w:id="286" w:name="_Toc19487"/>
      <w:bookmarkStart w:id="287" w:name="_Toc23951"/>
      <w:bookmarkStart w:id="288" w:name="_Toc3204"/>
      <w:bookmarkStart w:id="289" w:name="_Toc27257"/>
      <w:bookmarkStart w:id="290" w:name="_Toc9653"/>
      <w:bookmarkStart w:id="291" w:name="_Toc20521"/>
      <w:r>
        <w:rPr>
          <w:rFonts w:hint="eastAsia" w:ascii="宋体" w:hAnsi="宋体" w:eastAsia="宋体" w:cs="宋体"/>
          <w:sz w:val="24"/>
          <w:szCs w:val="24"/>
          <w:highlight w:val="none"/>
        </w:rPr>
        <w:t>27</w:t>
      </w:r>
      <w:bookmarkEnd w:id="283"/>
      <w:r>
        <w:rPr>
          <w:rFonts w:hint="eastAsia" w:ascii="宋体" w:hAnsi="宋体" w:eastAsia="宋体" w:cs="宋体"/>
          <w:sz w:val="24"/>
          <w:szCs w:val="24"/>
          <w:highlight w:val="none"/>
        </w:rPr>
        <w:t>.确定成交候选人和成交人</w:t>
      </w:r>
      <w:bookmarkEnd w:id="284"/>
      <w:bookmarkEnd w:id="285"/>
      <w:bookmarkEnd w:id="286"/>
      <w:bookmarkEnd w:id="287"/>
      <w:bookmarkEnd w:id="288"/>
      <w:bookmarkEnd w:id="289"/>
      <w:bookmarkEnd w:id="290"/>
      <w:bookmarkEnd w:id="291"/>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谈判小组将根据评审标准，按</w:t>
      </w:r>
      <w:r>
        <w:rPr>
          <w:rFonts w:hint="eastAsia" w:ascii="宋体" w:hAnsi="宋体" w:eastAsia="宋体" w:cs="宋体"/>
          <w:sz w:val="24"/>
          <w:szCs w:val="24"/>
          <w:highlight w:val="none"/>
          <w:u w:val="single"/>
        </w:rPr>
        <w:t>供应商须知资料表中</w:t>
      </w:r>
      <w:r>
        <w:rPr>
          <w:rFonts w:hint="eastAsia" w:ascii="宋体" w:hAnsi="宋体" w:eastAsia="宋体" w:cs="宋体"/>
          <w:sz w:val="24"/>
          <w:szCs w:val="24"/>
          <w:highlight w:val="none"/>
        </w:rPr>
        <w:t>规定数量推荐成交候选人；或根据采购人的委托，直接确定成交人。</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92" w:name="_Toc520356173"/>
      <w:bookmarkStart w:id="293" w:name="_Ref467306874"/>
      <w:bookmarkStart w:id="294" w:name="_Toc17042"/>
      <w:bookmarkStart w:id="295" w:name="_Toc28562"/>
      <w:bookmarkStart w:id="296" w:name="_Toc4078"/>
      <w:bookmarkStart w:id="297" w:name="_Toc26800"/>
      <w:bookmarkStart w:id="298" w:name="_Toc15196"/>
      <w:bookmarkStart w:id="299" w:name="_Toc8389"/>
      <w:bookmarkStart w:id="300" w:name="_Toc17773"/>
      <w:bookmarkStart w:id="301" w:name="_Toc515647790"/>
      <w:r>
        <w:rPr>
          <w:rFonts w:hint="eastAsia" w:ascii="宋体" w:hAnsi="宋体" w:eastAsia="宋体" w:cs="宋体"/>
          <w:sz w:val="24"/>
          <w:szCs w:val="24"/>
          <w:highlight w:val="none"/>
        </w:rPr>
        <w:t>28.</w:t>
      </w:r>
      <w:bookmarkEnd w:id="292"/>
      <w:bookmarkEnd w:id="293"/>
      <w:r>
        <w:rPr>
          <w:rFonts w:hint="eastAsia" w:ascii="宋体" w:hAnsi="宋体" w:eastAsia="宋体" w:cs="宋体"/>
          <w:sz w:val="24"/>
          <w:szCs w:val="24"/>
          <w:highlight w:val="none"/>
        </w:rPr>
        <w:t>采购任务取消</w:t>
      </w:r>
      <w:bookmarkEnd w:id="294"/>
      <w:bookmarkEnd w:id="295"/>
      <w:bookmarkEnd w:id="296"/>
      <w:bookmarkEnd w:id="297"/>
      <w:bookmarkEnd w:id="298"/>
      <w:bookmarkEnd w:id="299"/>
      <w:bookmarkEnd w:id="300"/>
      <w:bookmarkEnd w:id="301"/>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因重大变故采购任务取消时，采购人有权拒绝任何供应商成交，且对受影响的供应商不承担任何责任。</w:t>
      </w:r>
      <w:bookmarkStart w:id="302" w:name="_Toc520356174"/>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03" w:name="_Toc515647791"/>
      <w:bookmarkStart w:id="304" w:name="_Toc19220"/>
      <w:bookmarkStart w:id="305" w:name="_Toc31099"/>
      <w:bookmarkStart w:id="306" w:name="_Toc30170"/>
      <w:bookmarkStart w:id="307" w:name="_Toc11774"/>
      <w:bookmarkStart w:id="308" w:name="_Toc19386"/>
      <w:bookmarkStart w:id="309" w:name="_Toc23030"/>
      <w:bookmarkStart w:id="310" w:name="_Toc8268"/>
      <w:r>
        <w:rPr>
          <w:rFonts w:hint="eastAsia" w:ascii="宋体" w:hAnsi="宋体" w:eastAsia="宋体" w:cs="宋体"/>
          <w:sz w:val="24"/>
          <w:szCs w:val="24"/>
          <w:highlight w:val="none"/>
        </w:rPr>
        <w:t>29.成交通知书</w:t>
      </w:r>
      <w:bookmarkEnd w:id="302"/>
      <w:r>
        <w:rPr>
          <w:rFonts w:hint="eastAsia" w:ascii="宋体" w:hAnsi="宋体" w:eastAsia="宋体" w:cs="宋体"/>
          <w:sz w:val="24"/>
          <w:szCs w:val="24"/>
          <w:highlight w:val="none"/>
        </w:rPr>
        <w:t>和成交结果通知书</w:t>
      </w:r>
      <w:bookmarkEnd w:id="303"/>
      <w:bookmarkEnd w:id="304"/>
      <w:bookmarkEnd w:id="305"/>
      <w:bookmarkEnd w:id="306"/>
      <w:bookmarkEnd w:id="307"/>
      <w:bookmarkEnd w:id="308"/>
      <w:bookmarkEnd w:id="309"/>
      <w:bookmarkEnd w:id="310"/>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29.1在谈判有效期内，成交人确定后，采购人或者采购代理机构发布成交公告，同时以书面形式向成交人发出成交通知书。</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29.2成交通知书是合同的组成部分。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29.3 成交结果通知书和成交通知书同时发出。成交结果通知书中将告知未通过资格审查的供应商未通过的原因；采用综合评分法评审的，还将告知未成交人本人的评审得分和排序。</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11" w:name="_Toc10693"/>
      <w:bookmarkStart w:id="312" w:name="_Toc7779"/>
      <w:bookmarkStart w:id="313" w:name="_Ref467307062"/>
      <w:bookmarkStart w:id="314" w:name="_Toc1335"/>
      <w:bookmarkStart w:id="315" w:name="_Toc520356175"/>
      <w:bookmarkStart w:id="316" w:name="_Ref467307204"/>
      <w:bookmarkStart w:id="317" w:name="_Toc28968"/>
      <w:bookmarkStart w:id="318" w:name="_Ref467306377"/>
      <w:bookmarkStart w:id="319" w:name="_Ref467306978"/>
      <w:bookmarkStart w:id="320" w:name="_Toc515647792"/>
      <w:bookmarkStart w:id="321" w:name="_Toc15808"/>
      <w:bookmarkStart w:id="322" w:name="_Toc790"/>
      <w:bookmarkStart w:id="323" w:name="_Toc32099"/>
      <w:r>
        <w:rPr>
          <w:rFonts w:hint="eastAsia" w:ascii="宋体" w:hAnsi="宋体" w:eastAsia="宋体" w:cs="宋体"/>
          <w:sz w:val="24"/>
          <w:szCs w:val="24"/>
          <w:highlight w:val="none"/>
        </w:rPr>
        <w:t>30.签订合同</w:t>
      </w:r>
      <w:bookmarkEnd w:id="311"/>
      <w:bookmarkEnd w:id="312"/>
      <w:bookmarkEnd w:id="313"/>
      <w:bookmarkEnd w:id="314"/>
      <w:bookmarkEnd w:id="315"/>
      <w:bookmarkEnd w:id="316"/>
      <w:bookmarkEnd w:id="317"/>
      <w:bookmarkEnd w:id="318"/>
      <w:bookmarkEnd w:id="319"/>
      <w:bookmarkEnd w:id="320"/>
      <w:bookmarkEnd w:id="321"/>
      <w:bookmarkEnd w:id="322"/>
      <w:bookmarkEnd w:id="323"/>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成交人应当自发出成交通知书之日起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日内，与采购人签订合同。</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w:t>
      </w:r>
      <w:bookmarkStart w:id="324" w:name="_Ref467307090"/>
      <w:bookmarkStart w:id="325" w:name="_Ref467306425"/>
      <w:bookmarkStart w:id="326" w:name="_Toc520356176"/>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谈判文件、成交人的响应文件及其澄清文件等，均为签订合同的依据。</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  成交人拒绝与采购人签订合同的，采购人可以按照评审报告推荐的成交候选人名单排序，确定下一成交候选人为成交人，也可以重新开展政府采购活动。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   当出现法规规定的</w:t>
      </w:r>
      <w:r>
        <w:rPr>
          <w:rFonts w:hint="eastAsia" w:ascii="宋体" w:hAnsi="宋体" w:eastAsia="宋体" w:cs="宋体"/>
          <w:b/>
          <w:sz w:val="24"/>
          <w:szCs w:val="24"/>
          <w:highlight w:val="none"/>
        </w:rPr>
        <w:t>成交无效或成交结果无效</w:t>
      </w:r>
      <w:r>
        <w:rPr>
          <w:rFonts w:hint="eastAsia" w:ascii="宋体" w:hAnsi="宋体" w:eastAsia="宋体" w:cs="宋体"/>
          <w:sz w:val="24"/>
          <w:szCs w:val="24"/>
          <w:highlight w:val="none"/>
        </w:rPr>
        <w:t>情形时，采购人可与排名下一位的成交候选人另行签订合同，或依法重新开展采购活动。</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27" w:name="_Toc4909"/>
      <w:bookmarkStart w:id="328" w:name="_Toc13258"/>
      <w:bookmarkStart w:id="329" w:name="_Toc515647793"/>
      <w:bookmarkStart w:id="330" w:name="_Toc22555"/>
      <w:bookmarkStart w:id="331" w:name="_Toc2457"/>
      <w:bookmarkStart w:id="332" w:name="_Toc19660"/>
      <w:bookmarkStart w:id="333" w:name="_Toc29440"/>
      <w:bookmarkStart w:id="334" w:name="_Toc14080"/>
      <w:r>
        <w:rPr>
          <w:rFonts w:hint="eastAsia" w:ascii="宋体" w:hAnsi="宋体" w:eastAsia="宋体" w:cs="宋体"/>
          <w:sz w:val="24"/>
          <w:szCs w:val="24"/>
          <w:highlight w:val="none"/>
        </w:rPr>
        <w:t>31.履约保证金</w:t>
      </w:r>
      <w:bookmarkEnd w:id="324"/>
      <w:bookmarkEnd w:id="325"/>
      <w:bookmarkEnd w:id="326"/>
      <w:bookmarkEnd w:id="327"/>
      <w:bookmarkEnd w:id="328"/>
      <w:bookmarkEnd w:id="329"/>
      <w:bookmarkEnd w:id="330"/>
      <w:bookmarkEnd w:id="331"/>
      <w:bookmarkEnd w:id="332"/>
      <w:bookmarkEnd w:id="333"/>
      <w:bookmarkEnd w:id="33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31.1成交人应按照</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规定向采购人缴纳履约保证金（如采用保函形式，格式参照【附件2-1】）。</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31.2政府采购利用担保试点范围内的项目，除31.1规定的情形外，成交人也可以按照财政部门的规定，向采购人提供合格的履约担保函（格式参照【附件2-2】）。</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   如果成交人没有按照上述履约保证金的规定执行，将视为放弃成交资格，成交人的谈判保证金将不予退还。在此情况下，采购人可确定下一候选人为成交人，也可以重新开展采购活动。</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35" w:name="_Toc23317"/>
      <w:bookmarkStart w:id="336" w:name="_Toc22527"/>
      <w:bookmarkStart w:id="337" w:name="_Toc1117"/>
      <w:bookmarkStart w:id="338" w:name="_Toc515647794"/>
      <w:bookmarkStart w:id="339" w:name="_Toc27172"/>
      <w:bookmarkStart w:id="340" w:name="_Toc29408"/>
      <w:bookmarkStart w:id="341" w:name="_Toc938"/>
      <w:bookmarkStart w:id="342" w:name="_Toc3090"/>
      <w:r>
        <w:rPr>
          <w:rFonts w:hint="eastAsia" w:ascii="宋体" w:hAnsi="宋体" w:eastAsia="宋体" w:cs="宋体"/>
          <w:sz w:val="24"/>
          <w:szCs w:val="24"/>
          <w:highlight w:val="none"/>
        </w:rPr>
        <w:t>32.成交服务费</w:t>
      </w:r>
      <w:bookmarkEnd w:id="335"/>
      <w:bookmarkEnd w:id="336"/>
      <w:bookmarkEnd w:id="337"/>
      <w:bookmarkEnd w:id="338"/>
      <w:bookmarkEnd w:id="339"/>
      <w:bookmarkEnd w:id="340"/>
      <w:bookmarkEnd w:id="341"/>
      <w:bookmarkEnd w:id="34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成交人须按照</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规定，向采购代理机构支付成交服务费。</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43" w:name="_Toc7049"/>
      <w:bookmarkStart w:id="344" w:name="_Toc20041"/>
      <w:bookmarkStart w:id="345" w:name="_Toc515647795"/>
      <w:bookmarkStart w:id="346" w:name="_Toc25154"/>
      <w:bookmarkStart w:id="347" w:name="_Toc24818"/>
      <w:bookmarkStart w:id="348" w:name="_Toc17936"/>
      <w:bookmarkStart w:id="349" w:name="_Toc15964"/>
      <w:bookmarkStart w:id="350" w:name="_Toc6923"/>
      <w:r>
        <w:rPr>
          <w:rFonts w:hint="eastAsia" w:ascii="宋体" w:hAnsi="宋体" w:eastAsia="宋体" w:cs="宋体"/>
          <w:sz w:val="24"/>
          <w:szCs w:val="24"/>
          <w:highlight w:val="none"/>
        </w:rPr>
        <w:t>33.政府采购信用担保</w:t>
      </w:r>
      <w:bookmarkEnd w:id="343"/>
      <w:bookmarkEnd w:id="344"/>
      <w:bookmarkEnd w:id="345"/>
      <w:bookmarkEnd w:id="346"/>
      <w:bookmarkEnd w:id="347"/>
      <w:bookmarkEnd w:id="348"/>
      <w:bookmarkEnd w:id="349"/>
      <w:bookmarkEnd w:id="350"/>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本项目是否属于信用担保试点范围见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如属于政府采购信用担保试点范围内，中小型企业供应商可以自由按照财政部门的规定，采用谈判担保、履约担保和融资担保。</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33.2.1 供应商递交的谈判担保函（格式参照【附件1】）和履约担保函（格式参照【附件2-2】）应符合本谈判文件的规定。</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33.2.2 成交人可以采取融资担保的形式为政府采购项目履约进行融资。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33.2.3 合格的政府采购专业信用担保机构名单见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1" w:name="_Toc20920"/>
      <w:bookmarkStart w:id="352" w:name="_Toc10761"/>
      <w:bookmarkStart w:id="353" w:name="_Toc1783"/>
      <w:bookmarkStart w:id="354" w:name="_Toc515647796"/>
      <w:bookmarkStart w:id="355" w:name="_Toc27009"/>
      <w:bookmarkStart w:id="356" w:name="_Toc2133"/>
      <w:bookmarkStart w:id="357" w:name="_Toc9895"/>
      <w:bookmarkStart w:id="358" w:name="_Toc23999"/>
      <w:r>
        <w:rPr>
          <w:rFonts w:hint="eastAsia" w:ascii="宋体" w:hAnsi="宋体" w:eastAsia="宋体" w:cs="宋体"/>
          <w:sz w:val="24"/>
          <w:szCs w:val="24"/>
          <w:highlight w:val="none"/>
        </w:rPr>
        <w:t>34.廉洁自律规定</w:t>
      </w:r>
      <w:bookmarkEnd w:id="351"/>
      <w:bookmarkEnd w:id="352"/>
      <w:bookmarkEnd w:id="353"/>
      <w:bookmarkEnd w:id="354"/>
      <w:bookmarkEnd w:id="355"/>
      <w:bookmarkEnd w:id="356"/>
      <w:bookmarkEnd w:id="357"/>
      <w:bookmarkEnd w:id="35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  采购代理机构工作人员不得以不正当手段获取政府采购代理业务，不得与采购人、供应商恶意串通操纵政府采购活动。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   为强化采购代理机构内部监督机制，供应商可按</w:t>
      </w:r>
      <w:r>
        <w:rPr>
          <w:rFonts w:hint="eastAsia" w:ascii="宋体" w:hAnsi="宋体" w:eastAsia="宋体" w:cs="宋体"/>
          <w:sz w:val="24"/>
          <w:szCs w:val="24"/>
          <w:highlight w:val="none"/>
          <w:u w:val="single"/>
        </w:rPr>
        <w:t>供应商须知资料表中的</w:t>
      </w:r>
      <w:r>
        <w:rPr>
          <w:rFonts w:hint="eastAsia" w:ascii="宋体" w:hAnsi="宋体" w:eastAsia="宋体" w:cs="宋体"/>
          <w:sz w:val="24"/>
          <w:szCs w:val="24"/>
          <w:highlight w:val="none"/>
        </w:rPr>
        <w:t>监督电话和邮箱，反映采购代理机构的廉洁自律等问题。</w:t>
      </w:r>
    </w:p>
    <w:p>
      <w:pPr>
        <w:pStyle w:val="2"/>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9" w:name="_Toc15047"/>
      <w:bookmarkStart w:id="360" w:name="_Toc11586"/>
      <w:bookmarkStart w:id="361" w:name="_Toc4137"/>
      <w:bookmarkStart w:id="362" w:name="_Toc5070"/>
      <w:bookmarkStart w:id="363" w:name="_Toc25480"/>
      <w:bookmarkStart w:id="364" w:name="_Toc515647797"/>
      <w:bookmarkStart w:id="365" w:name="_Toc8425"/>
      <w:bookmarkStart w:id="366" w:name="_Toc15274"/>
      <w:r>
        <w:rPr>
          <w:rFonts w:hint="eastAsia" w:ascii="宋体" w:hAnsi="宋体" w:eastAsia="宋体" w:cs="宋体"/>
          <w:sz w:val="24"/>
          <w:szCs w:val="24"/>
          <w:highlight w:val="none"/>
        </w:rPr>
        <w:t>35.人员回避</w:t>
      </w:r>
      <w:bookmarkEnd w:id="359"/>
      <w:bookmarkEnd w:id="360"/>
      <w:bookmarkEnd w:id="361"/>
      <w:bookmarkEnd w:id="362"/>
      <w:bookmarkEnd w:id="363"/>
      <w:bookmarkEnd w:id="364"/>
      <w:bookmarkEnd w:id="365"/>
      <w:bookmarkEnd w:id="366"/>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供应商认为采购人员及其相关人员有法律法规所列与其他供应商有利害关系的，可以向采购人或采购代理机构书面提出回避申请，并说明理由。</w:t>
      </w:r>
    </w:p>
    <w:p>
      <w:pPr>
        <w:pStyle w:val="2"/>
        <w:pageBreakBefore w:val="0"/>
        <w:widowControl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67" w:name="_Toc1148"/>
      <w:bookmarkStart w:id="368" w:name="_Toc11149"/>
      <w:bookmarkStart w:id="369" w:name="_Toc31811"/>
      <w:bookmarkStart w:id="370" w:name="_Toc7761"/>
      <w:bookmarkStart w:id="371" w:name="_Toc20921"/>
      <w:bookmarkStart w:id="372" w:name="_Toc11115"/>
      <w:bookmarkStart w:id="373" w:name="_Toc23741"/>
      <w:bookmarkStart w:id="374" w:name="_Toc515647798"/>
      <w:r>
        <w:rPr>
          <w:rFonts w:hint="eastAsia" w:ascii="宋体" w:hAnsi="宋体" w:eastAsia="宋体" w:cs="宋体"/>
          <w:sz w:val="24"/>
          <w:szCs w:val="24"/>
          <w:highlight w:val="none"/>
        </w:rPr>
        <w:t>36.质疑与接收</w:t>
      </w:r>
      <w:bookmarkEnd w:id="367"/>
      <w:bookmarkEnd w:id="368"/>
      <w:bookmarkEnd w:id="369"/>
      <w:bookmarkEnd w:id="370"/>
      <w:bookmarkEnd w:id="371"/>
      <w:bookmarkEnd w:id="372"/>
      <w:bookmarkEnd w:id="373"/>
      <w:bookmarkEnd w:id="374"/>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  供应商认为谈判文件、谈判过程和成交结果使自己的权益受到损害的，可以根据《中华人民共和国政府采购法》、《中华人民共和国政府采购法实施条例》、财政部令第74号《政府采购非招标采购方式管理办法》和财政部令第94号《政府采购质疑和投诉办法》的有关规定，依法向采购人或其委托的采购代理机构提出质疑。</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质疑供应商应自行选择适当格式，如财政部制定的《政府采购质疑函范本》格式（可从财政部官方网站下载）、下文</w:t>
      </w:r>
      <w:r>
        <w:rPr>
          <w:rFonts w:hint="eastAsia" w:ascii="宋体" w:hAnsi="宋体" w:eastAsia="宋体" w:cs="宋体"/>
          <w:b/>
          <w:bCs/>
          <w:sz w:val="24"/>
          <w:szCs w:val="24"/>
          <w:highlight w:val="none"/>
        </w:rPr>
        <w:t>质疑函范本</w:t>
      </w:r>
      <w:r>
        <w:rPr>
          <w:rFonts w:hint="eastAsia" w:ascii="宋体" w:hAnsi="宋体" w:eastAsia="宋体" w:cs="宋体"/>
          <w:sz w:val="24"/>
          <w:szCs w:val="24"/>
          <w:highlight w:val="none"/>
        </w:rPr>
        <w:t>或其它自拟适当格式，并按照《政府采购质疑和投诉办法》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36.3  采购代理机构质疑函接收部门、联系电话和通讯地址, 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36.4  质疑的提出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36.5  本采购文件中所称</w:t>
      </w:r>
      <w:r>
        <w:rPr>
          <w:rFonts w:hint="eastAsia" w:ascii="宋体" w:hAnsi="宋体" w:eastAsia="宋体" w:cs="宋体"/>
          <w:b/>
          <w:bCs/>
          <w:sz w:val="24"/>
          <w:szCs w:val="24"/>
          <w:highlight w:val="none"/>
        </w:rPr>
        <w:t>质疑及答复</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是指</w:t>
      </w:r>
      <w:r>
        <w:rPr>
          <w:rFonts w:hint="eastAsia" w:ascii="宋体" w:hAnsi="宋体" w:eastAsia="宋体" w:cs="宋体"/>
          <w:sz w:val="24"/>
          <w:szCs w:val="24"/>
          <w:highlight w:val="none"/>
        </w:rPr>
        <w:t>参加本次采购活动的供应商对政府</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采购活动中的采购文件、采购过程和成交结果向采购方提出质疑，采购方答复质疑的行为。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36.6  供应商认为采购文件、采购过程和成交结果使自己的权益受到损害的，可以在知道或者应知其权益受到损害之日起 7 个工作日内，以书面形式向采购方提出质疑。供应商应知其权益受到损害之日，是指：</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（三）对成交结果提出质疑的，为成交结果公告期限届满之日。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36.8  对采购过程和成交结果提出质疑的，质疑人为直接参与本项目的报价</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方。采购过程,即从采购项目信息公告发布起到成交结果公告止，包括采购文件的发出、提交响应文件、响应文件开启、评审等各个采购程序环节。</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36.9  提出质疑应当符合下列条件：</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（一）质疑主体应当符合有关规定；</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（二）在质疑法定期限内提出；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（四）政府采购法律、法规、规章规定的其他条件。</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36.10  提出质疑应当具有明确的请求和提供必要的证明材料。明确的请求,即</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36.11  质疑人所提供的证明材料应当具有真实性、合法性以及与质疑事项的关联性和证明力，否则不能作为认定该质疑事项成立的依据。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36.12  质疑人提出质疑时应当提交质疑函。质疑函包括下列内容：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（一）提出质疑的质疑人的名称、地址、邮编、联系人及联系电话等；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（四）事实依据和证明材料；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（五）法律依据；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36.13  质疑人可以委托代理人进行质疑。代理人应当提交授权委托书。授权委托书应当载明委托代理的具体权限、期限和相关事项。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36.14  质疑的审查和受理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采购方在收到质疑函后应当及时审查是否符合质疑受理条件，对符合质疑受理条件的，及时予以受理。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36.15  对不符合质疑受理条件的，分别按照下列不同情形予以处理：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（二）质疑主体不符合有关规定的，告知质疑人不予受理；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（三）超过质疑法定期限提出质疑的，告知质疑人不予受理；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（四）对不属于可以提出质疑的政府采购事项提出质疑的，告知质疑人不予受理；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（五）质疑不属于本项目采购方管辖的，告知质疑人向有管辖权的采购人提出质疑；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（六）质疑不符合其他条件的，告知质疑人不予受理。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36.16  质疑的处理和答复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36.17  采购方受理质疑后，将及时把质疑函发送给被质疑人，并要求其在一定限期内提交书面答复，同时提供有关证据、依据和相关材料。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36.18  对于质疑事项中涉及的问题较多、情况比较复杂的，为了全面查清事实、取得充分的证据，采购方认为有必要时，可以进行调查取证或者组织质证。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36.19  对评审过程、成交结果提出质疑的，采购方可以组织原评审委员会协助答复质疑。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36.20  质疑处理过程中，质疑人书面申请撤回质疑的，将终止质疑处理程序。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36.21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36.23  采购方将在正式受理质疑后 7 个工作日内作出答复。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36.24  质疑答复应当包括下列内容：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（一）质疑人的姓名或者名称；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（四）告知质疑供应商依法投诉的权利；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（五）质疑答复人名称；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（六）答复质疑的日期。</w:t>
      </w:r>
    </w:p>
    <w:p>
      <w:pPr>
        <w:pageBreakBefore w:val="0"/>
        <w:widowControl w:val="0"/>
        <w:kinsoku/>
        <w:wordWrap/>
        <w:overflowPunct/>
        <w:topLinePunct w:val="0"/>
        <w:bidi w:val="0"/>
        <w:snapToGrid/>
        <w:spacing w:line="400" w:lineRule="exact"/>
        <w:ind w:firstLine="422" w:firstLineChars="200"/>
        <w:jc w:val="center"/>
        <w:textAlignment w:val="auto"/>
        <w:rPr>
          <w:rFonts w:hint="eastAsia" w:ascii="宋体" w:hAnsi="宋体" w:eastAsia="宋体" w:cs="宋体"/>
          <w:b/>
          <w:bCs/>
          <w:highlight w:val="none"/>
        </w:rPr>
      </w:pPr>
    </w:p>
    <w:p>
      <w:pPr>
        <w:pageBreakBefore w:val="0"/>
        <w:widowControl w:val="0"/>
        <w:kinsoku/>
        <w:wordWrap/>
        <w:overflowPunct/>
        <w:topLinePunct w:val="0"/>
        <w:bidi w:val="0"/>
        <w:snapToGrid/>
        <w:spacing w:line="400" w:lineRule="exact"/>
        <w:ind w:firstLine="422" w:firstLineChars="200"/>
        <w:jc w:val="center"/>
        <w:textAlignment w:val="auto"/>
        <w:rPr>
          <w:rFonts w:hint="eastAsia" w:ascii="宋体" w:hAnsi="宋体" w:eastAsia="宋体" w:cs="宋体"/>
          <w:b/>
          <w:bCs/>
          <w:highlight w:val="none"/>
        </w:rPr>
      </w:pPr>
    </w:p>
    <w:p>
      <w:pPr>
        <w:pStyle w:val="26"/>
        <w:rPr>
          <w:rFonts w:hint="eastAsia" w:ascii="宋体" w:hAnsi="宋体" w:eastAsia="宋体" w:cs="宋体"/>
          <w:b/>
          <w:bCs/>
          <w:highlight w:val="none"/>
        </w:rPr>
      </w:pPr>
    </w:p>
    <w:p>
      <w:pPr>
        <w:pStyle w:val="26"/>
        <w:rPr>
          <w:rFonts w:hint="eastAsia" w:ascii="宋体" w:hAnsi="宋体" w:eastAsia="宋体" w:cs="宋体"/>
          <w:b/>
          <w:bCs/>
          <w:highlight w:val="none"/>
        </w:rPr>
      </w:pPr>
    </w:p>
    <w:p>
      <w:pPr>
        <w:bidi w:val="0"/>
        <w:rPr>
          <w:rFonts w:hint="eastAsia"/>
        </w:rPr>
      </w:pPr>
    </w:p>
    <w:p>
      <w:pPr>
        <w:pStyle w:val="18"/>
        <w:rPr>
          <w:rFonts w:hint="eastAsia"/>
        </w:rPr>
      </w:pPr>
    </w:p>
    <w:p>
      <w:pPr>
        <w:pStyle w:val="18"/>
        <w:rPr>
          <w:rFonts w:hint="eastAsia"/>
        </w:rPr>
      </w:pPr>
    </w:p>
    <w:p>
      <w:pPr>
        <w:pStyle w:val="18"/>
        <w:rPr>
          <w:rFonts w:hint="eastAsia"/>
        </w:rPr>
      </w:pPr>
    </w:p>
    <w:p>
      <w:pPr>
        <w:bidi w:val="0"/>
        <w:rPr>
          <w:rFonts w:hint="eastAsia"/>
        </w:rPr>
      </w:pPr>
      <w:bookmarkStart w:id="375" w:name="_Toc28914"/>
    </w:p>
    <w:p>
      <w:pPr>
        <w:bidi w:val="0"/>
        <w:rPr>
          <w:rFonts w:hint="eastAsia"/>
        </w:rPr>
      </w:pPr>
    </w:p>
    <w:p>
      <w:pPr>
        <w:bidi w:val="0"/>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bidi w:val="0"/>
        <w:rPr>
          <w:rFonts w:hint="eastAsia"/>
        </w:rPr>
      </w:pPr>
    </w:p>
    <w:p>
      <w:pPr>
        <w:pStyle w:val="5"/>
        <w:bidi w:val="0"/>
        <w:ind w:firstLine="3935" w:firstLineChars="1400"/>
        <w:jc w:val="both"/>
        <w:rPr>
          <w:rFonts w:hint="eastAsia"/>
        </w:rPr>
      </w:pPr>
      <w:r>
        <w:rPr>
          <w:rFonts w:hint="eastAsia"/>
        </w:rPr>
        <w:t>质疑函范本</w:t>
      </w:r>
      <w:bookmarkEnd w:id="375"/>
    </w:p>
    <w:p>
      <w:pPr>
        <w:pStyle w:val="26"/>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sz w:val="24"/>
          <w:szCs w:val="24"/>
          <w:highlight w:val="none"/>
        </w:rPr>
      </w:pPr>
      <w:bookmarkStart w:id="376" w:name="_Toc16961"/>
      <w:bookmarkStart w:id="377" w:name="_Toc5431"/>
      <w:bookmarkStart w:id="378" w:name="_Toc31535"/>
      <w:r>
        <w:rPr>
          <w:rFonts w:hint="eastAsia" w:ascii="宋体" w:hAnsi="宋体" w:eastAsia="宋体" w:cs="宋体"/>
          <w:sz w:val="24"/>
          <w:szCs w:val="24"/>
          <w:highlight w:val="none"/>
        </w:rPr>
        <w:t>一、质疑供应商基本信息</w:t>
      </w:r>
      <w:bookmarkEnd w:id="376"/>
      <w:bookmarkEnd w:id="377"/>
      <w:bookmarkEnd w:id="37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79" w:name="_Toc16959"/>
      <w:bookmarkStart w:id="380" w:name="_Toc5517"/>
      <w:bookmarkStart w:id="381" w:name="_Toc15985"/>
      <w:r>
        <w:rPr>
          <w:rFonts w:hint="eastAsia" w:ascii="宋体" w:hAnsi="宋体" w:eastAsia="宋体" w:cs="宋体"/>
          <w:highlight w:val="none"/>
        </w:rPr>
        <w:t>二、质疑项目基本情况</w:t>
      </w:r>
      <w:bookmarkEnd w:id="379"/>
      <w:bookmarkEnd w:id="380"/>
      <w:bookmarkEnd w:id="381"/>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质疑项目的名称：</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质疑项目的编号：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包号：</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采购人名称：</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采购文件获取日期：</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82" w:name="_Toc15877"/>
      <w:bookmarkStart w:id="383" w:name="_Toc2484"/>
      <w:bookmarkStart w:id="384" w:name="_Toc25122"/>
      <w:r>
        <w:rPr>
          <w:rFonts w:hint="eastAsia" w:ascii="宋体" w:hAnsi="宋体" w:eastAsia="宋体" w:cs="宋体"/>
          <w:highlight w:val="none"/>
        </w:rPr>
        <w:t>三、质疑事项具体内容</w:t>
      </w:r>
      <w:bookmarkEnd w:id="382"/>
      <w:bookmarkEnd w:id="383"/>
      <w:bookmarkEnd w:id="384"/>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质疑事项 1：</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事实依据：</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法律依据：</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质疑事项 2：</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26"/>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85" w:name="_Toc13666"/>
      <w:bookmarkStart w:id="386" w:name="_Toc31784"/>
      <w:bookmarkStart w:id="387" w:name="_Toc30831"/>
      <w:r>
        <w:rPr>
          <w:rFonts w:hint="eastAsia" w:ascii="宋体" w:hAnsi="宋体" w:eastAsia="宋体" w:cs="宋体"/>
          <w:highlight w:val="none"/>
        </w:rPr>
        <w:t>四、与质疑事项相关的质疑请求</w:t>
      </w:r>
      <w:bookmarkEnd w:id="385"/>
      <w:bookmarkEnd w:id="386"/>
      <w:bookmarkEnd w:id="387"/>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请求：</w:t>
      </w:r>
      <w:r>
        <w:rPr>
          <w:rFonts w:hint="eastAsia" w:ascii="宋体" w:hAnsi="宋体" w:eastAsia="宋体" w:cs="宋体"/>
          <w:highlight w:val="none"/>
          <w:u w:val="single"/>
        </w:rPr>
        <w:t xml:space="preserve">                                                               </w:t>
      </w:r>
    </w:p>
    <w:p>
      <w:pPr>
        <w:pStyle w:val="26"/>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 xml:space="preserve">签字(签章)：                                          </w:t>
      </w:r>
    </w:p>
    <w:p>
      <w:pPr>
        <w:pStyle w:val="26"/>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公</w:t>
      </w:r>
      <w:r>
        <w:rPr>
          <w:rFonts w:hint="eastAsia" w:hAnsi="宋体" w:cs="宋体"/>
          <w:highlight w:val="none"/>
          <w:lang w:val="en-US" w:eastAsia="zh-CN"/>
        </w:rPr>
        <w:t xml:space="preserve">    </w:t>
      </w:r>
      <w:r>
        <w:rPr>
          <w:rFonts w:hint="eastAsia" w:ascii="宋体" w:hAnsi="宋体" w:eastAsia="宋体" w:cs="宋体"/>
          <w:highlight w:val="none"/>
        </w:rPr>
        <w:t>章：</w:t>
      </w:r>
    </w:p>
    <w:p>
      <w:pPr>
        <w:pStyle w:val="26"/>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日</w:t>
      </w:r>
      <w:r>
        <w:rPr>
          <w:rFonts w:hint="eastAsia" w:hAnsi="宋体" w:cs="宋体"/>
          <w:highlight w:val="none"/>
          <w:lang w:val="en-US" w:eastAsia="zh-CN"/>
        </w:rPr>
        <w:t xml:space="preserve">    </w:t>
      </w:r>
      <w:r>
        <w:rPr>
          <w:rFonts w:hint="eastAsia" w:ascii="宋体" w:hAnsi="宋体" w:eastAsia="宋体" w:cs="宋体"/>
          <w:highlight w:val="none"/>
        </w:rPr>
        <w:t>期：</w:t>
      </w:r>
    </w:p>
    <w:p>
      <w:pPr>
        <w:pStyle w:val="26"/>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质疑函制作说明：</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1.供应商提出质疑时，应提交质疑函和必要的证明材料。</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2.质疑供应商若委托代理人进行质疑的，质疑函应按要求列明“授权代表”</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的有关内容，并在附件中提交由质疑供应商签署的授权委托书。授权委托书应</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载明代理人的姓名或者名称、代理事项、具体权限、期限和相关事项。</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3.质疑供应商若对项目的某一分包进行质疑，质疑函中应列明具体分包号。</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4.质疑函的质疑事项应具体、明确，并有必要的事实依据和法律依据。</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5.质疑函的质疑请求应与质疑事项相关。</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6.质疑供应商为自然人的，质疑函应由本人签字；质疑供应商为法人或者</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其他组织的，质疑函应由法定代表人、主要负责人，或者其授权代表签字或者盖章，并加盖公章。</w:t>
      </w:r>
      <w:bookmarkStart w:id="388" w:name="_Toc3952"/>
      <w:bookmarkStart w:id="389" w:name="_Toc1317"/>
      <w:bookmarkStart w:id="390" w:name="_Toc24788"/>
      <w:bookmarkStart w:id="391" w:name="_Toc12203"/>
      <w:bookmarkStart w:id="392" w:name="_Toc23126"/>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ascii="宋体" w:hAnsi="宋体" w:eastAsia="宋体" w:cs="宋体"/>
          <w:szCs w:val="28"/>
          <w:highlight w:val="none"/>
          <w:lang w:eastAsia="zh-CN"/>
        </w:rPr>
      </w:pPr>
    </w:p>
    <w:p>
      <w:pPr>
        <w:pStyle w:val="26"/>
        <w:pageBreakBefore w:val="0"/>
        <w:widowControl w:val="0"/>
        <w:kinsoku/>
        <w:wordWrap/>
        <w:overflowPunct/>
        <w:topLinePunct w:val="0"/>
        <w:bidi w:val="0"/>
        <w:snapToGrid/>
        <w:spacing w:line="400" w:lineRule="exact"/>
        <w:jc w:val="both"/>
        <w:textAlignment w:val="auto"/>
        <w:rPr>
          <w:rFonts w:hint="eastAsia" w:hAnsi="宋体" w:cs="宋体"/>
          <w:szCs w:val="28"/>
          <w:highlight w:val="none"/>
          <w:lang w:val="en-US" w:eastAsia="zh-CN"/>
        </w:rPr>
      </w:pPr>
      <w:r>
        <w:rPr>
          <w:rFonts w:hint="eastAsia" w:ascii="宋体" w:hAnsi="宋体" w:eastAsia="宋体" w:cs="宋体"/>
          <w:szCs w:val="28"/>
          <w:highlight w:val="none"/>
          <w:lang w:eastAsia="zh-CN"/>
        </w:rPr>
        <w:t>【附件</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lang w:eastAsia="zh-CN"/>
        </w:rPr>
        <w:t>】</w:t>
      </w:r>
      <w:r>
        <w:rPr>
          <w:rFonts w:hint="eastAsia" w:hAnsi="宋体" w:cs="宋体"/>
          <w:szCs w:val="28"/>
          <w:highlight w:val="none"/>
          <w:lang w:val="en-US" w:eastAsia="zh-CN"/>
        </w:rPr>
        <w:t xml:space="preserve">    </w:t>
      </w:r>
    </w:p>
    <w:p>
      <w:pPr>
        <w:pStyle w:val="5"/>
        <w:bidi w:val="0"/>
        <w:jc w:val="center"/>
        <w:rPr>
          <w:rFonts w:hint="eastAsia"/>
          <w:lang w:eastAsia="zh-CN"/>
        </w:rPr>
      </w:pPr>
      <w:bookmarkStart w:id="393" w:name="_Toc30063"/>
      <w:r>
        <w:rPr>
          <w:rFonts w:hint="eastAsia"/>
        </w:rPr>
        <w:t>政府采购谈判担保函</w:t>
      </w:r>
      <w:r>
        <w:rPr>
          <w:rFonts w:hint="eastAsia"/>
          <w:lang w:eastAsia="zh-CN"/>
        </w:rPr>
        <w:t>（本项目不适用）</w:t>
      </w:r>
      <w:bookmarkEnd w:id="388"/>
      <w:bookmarkEnd w:id="389"/>
      <w:bookmarkEnd w:id="390"/>
      <w:bookmarkEnd w:id="391"/>
      <w:bookmarkEnd w:id="392"/>
      <w:bookmarkEnd w:id="393"/>
    </w:p>
    <w:p>
      <w:pPr>
        <w:bidi w:val="0"/>
        <w:rPr>
          <w:rFonts w:hint="eastAsia"/>
          <w:lang w:eastAsia="zh-CN"/>
        </w:rPr>
      </w:pP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（采购人或采购代理机构）：</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鉴于</w:t>
      </w:r>
      <w:r>
        <w:rPr>
          <w:rFonts w:hint="eastAsia" w:ascii="宋体" w:hAnsi="宋体" w:eastAsia="宋体" w:cs="宋体"/>
          <w:highlight w:val="none"/>
          <w:u w:val="single"/>
        </w:rPr>
        <w:t xml:space="preserve">            </w:t>
      </w:r>
      <w:r>
        <w:rPr>
          <w:rFonts w:hint="eastAsia" w:ascii="宋体" w:hAnsi="宋体" w:eastAsia="宋体" w:cs="宋体"/>
          <w:highlight w:val="none"/>
        </w:rPr>
        <w:t>（以下简称“供应商”）拟参加编号为</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hAnsi="宋体" w:cs="宋体"/>
          <w:highlight w:val="none"/>
          <w:u w:val="single"/>
          <w:lang w:val="en-US" w:eastAsia="zh-CN"/>
        </w:rPr>
        <w:t xml:space="preserve">      </w:t>
      </w:r>
      <w:r>
        <w:rPr>
          <w:rFonts w:hint="eastAsia" w:ascii="宋体" w:hAnsi="宋体" w:eastAsia="宋体" w:cs="宋体"/>
          <w:highlight w:val="none"/>
        </w:rPr>
        <w:t>项目（以下简称“本项目”）谈判，根据本项目谈判文件，供应商参加谈判时应向你方交纳谈判保证金，且可以谈判担保函的形式交纳谈判保证金。应供应商的申请，我方以保证的方式向你方提供如下谈判保证金担保：</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一、保证责任的情形及保证金额</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（一）在供应商出现下列情形之一时，我方承担保证责任：</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1．成交后供应商无正当理由不与采购人或者采购代理机构签订《政府采购合同》；</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2．谈判文件规定的供应商应当缴纳保证金的其他情形。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（二）我方承担保证责任的最高金额为人民币</w:t>
      </w:r>
      <w:r>
        <w:rPr>
          <w:rFonts w:hint="eastAsia" w:hAnsi="宋体" w:cs="宋体"/>
          <w:highlight w:val="none"/>
          <w:u w:val="single"/>
          <w:lang w:val="en-US" w:eastAsia="zh-CN"/>
        </w:rPr>
        <w:t xml:space="preserve">         </w:t>
      </w:r>
      <w:r>
        <w:rPr>
          <w:rFonts w:hint="eastAsia" w:ascii="宋体" w:hAnsi="宋体" w:eastAsia="宋体" w:cs="宋体"/>
          <w:highlight w:val="none"/>
        </w:rPr>
        <w:t>元（大写</w:t>
      </w:r>
      <w:r>
        <w:rPr>
          <w:rFonts w:hint="eastAsia" w:ascii="宋体" w:hAnsi="宋体" w:eastAsia="宋体" w:cs="宋体"/>
          <w:highlight w:val="none"/>
          <w:u w:val="single"/>
        </w:rPr>
        <w:t xml:space="preserve">            </w:t>
      </w:r>
      <w:r>
        <w:rPr>
          <w:rFonts w:hint="eastAsia" w:ascii="宋体" w:hAnsi="宋体" w:eastAsia="宋体" w:cs="宋体"/>
          <w:highlight w:val="none"/>
        </w:rPr>
        <w:t>），即本项目的谈判保证金金额。</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二、保证的方式及保证期间</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我方保证的方式为：连带责任保证。</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我方的保证期间为：自本保函生效之日起</w:t>
      </w:r>
      <w:r>
        <w:rPr>
          <w:rFonts w:hint="eastAsia" w:ascii="宋体" w:hAnsi="宋体" w:eastAsia="宋体" w:cs="宋体"/>
          <w:highlight w:val="none"/>
          <w:u w:val="single"/>
        </w:rPr>
        <w:t xml:space="preserve">    </w:t>
      </w:r>
      <w:r>
        <w:rPr>
          <w:rFonts w:hint="eastAsia" w:ascii="宋体" w:hAnsi="宋体" w:eastAsia="宋体" w:cs="宋体"/>
          <w:highlight w:val="none"/>
        </w:rPr>
        <w:t>个月止。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三、承担保证责任的程序</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2．我方在收到索赔通知及相关证明材料后，在</w:t>
      </w:r>
      <w:r>
        <w:rPr>
          <w:rFonts w:hint="eastAsia" w:hAnsi="宋体" w:cs="宋体"/>
          <w:highlight w:val="none"/>
          <w:u w:val="single"/>
          <w:lang w:val="en-US" w:eastAsia="zh-CN"/>
        </w:rPr>
        <w:t xml:space="preserve">    </w:t>
      </w:r>
      <w:r>
        <w:rPr>
          <w:rFonts w:hint="eastAsia" w:ascii="宋体" w:hAnsi="宋体" w:eastAsia="宋体" w:cs="宋体"/>
          <w:highlight w:val="none"/>
        </w:rPr>
        <w:t>个工作日内进行审查，符合应承担保证责任情形的，我方应按照你方的要求代供应商向你方支付谈判保证金。</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四、保证责任的终止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1．保证期间届满你方未向我方书面主张保证责任的，自保证期间届满次日起，我方保证责任自动终止。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2．我方按照本保函向你贵方履行了保证责任后，自我方向你贵方支付款项（支付款项从我方账户划出）之日起，保证责任终止。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3．按照法律法规的规定或出现我方保证责任终止的其它情形的，我方在本保函项下的保证责任亦终止。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五、免责条款</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1．依照法律规定或你方与供应商的另行约定，全部或者部分免除供应商谈判保证金义务时，我方亦免除相应的保证责任。</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2．因你方原因致使供应商发生本保函第一条第（一）款约定情形的，我方不承担保证责任。</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3．因不可抗力造成供应商发生本保函第一条约定情形的，我方不承担保证责任。</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4．你方或其他有权机关对谈判文件进行任何澄清或修改，加重我方保证责任的，我方对加重部分不承担保证责任，但该澄清或修改经我方事先书面同意的除外。</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六、争议的解决</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因本保函发生的纠纷，由你我双方协商解决，协商不成的，通过诉讼程序解决，诉讼管辖地法院为</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法院。</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七、保函的生效</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本保函自我方加盖公章之日起生效。</w:t>
      </w:r>
    </w:p>
    <w:p>
      <w:pPr>
        <w:pStyle w:val="26"/>
        <w:pageBreakBefore w:val="0"/>
        <w:widowControl w:val="0"/>
        <w:kinsoku/>
        <w:wordWrap/>
        <w:overflowPunct/>
        <w:topLinePunct w:val="0"/>
        <w:bidi w:val="0"/>
        <w:snapToGrid/>
        <w:spacing w:line="400" w:lineRule="exact"/>
        <w:ind w:firstLine="480" w:firstLineChars="200"/>
        <w:jc w:val="right"/>
        <w:textAlignment w:val="auto"/>
        <w:rPr>
          <w:rFonts w:hint="eastAsia" w:ascii="宋体" w:hAnsi="宋体" w:eastAsia="宋体" w:cs="宋体"/>
          <w:highlight w:val="none"/>
        </w:rPr>
      </w:pPr>
      <w:r>
        <w:rPr>
          <w:rFonts w:hint="eastAsia" w:ascii="宋体" w:hAnsi="宋体" w:eastAsia="宋体" w:cs="宋体"/>
          <w:highlight w:val="none"/>
        </w:rPr>
        <w:t>保证人：（公章）</w:t>
      </w:r>
    </w:p>
    <w:p>
      <w:pPr>
        <w:pStyle w:val="26"/>
        <w:pageBreakBefore w:val="0"/>
        <w:widowControl w:val="0"/>
        <w:kinsoku/>
        <w:wordWrap/>
        <w:overflowPunct/>
        <w:topLinePunct w:val="0"/>
        <w:bidi w:val="0"/>
        <w:snapToGrid/>
        <w:spacing w:line="400" w:lineRule="exact"/>
        <w:ind w:firstLine="480" w:firstLineChars="200"/>
        <w:jc w:val="right"/>
        <w:textAlignment w:val="auto"/>
        <w:rPr>
          <w:rFonts w:hint="eastAsia" w:ascii="宋体" w:hAnsi="宋体" w:eastAsia="宋体" w:cs="宋体"/>
          <w:highlight w:val="none"/>
        </w:rPr>
      </w:pPr>
      <w:r>
        <w:rPr>
          <w:rFonts w:hint="eastAsia" w:ascii="宋体" w:hAnsi="宋体" w:eastAsia="宋体" w:cs="宋体"/>
          <w:highlight w:val="none"/>
        </w:rPr>
        <w:t xml:space="preserve">                               </w:t>
      </w:r>
    </w:p>
    <w:p>
      <w:pPr>
        <w:pStyle w:val="26"/>
        <w:pageBreakBefore w:val="0"/>
        <w:widowControl w:val="0"/>
        <w:kinsoku/>
        <w:wordWrap/>
        <w:overflowPunct/>
        <w:topLinePunct w:val="0"/>
        <w:bidi w:val="0"/>
        <w:snapToGrid/>
        <w:spacing w:line="400" w:lineRule="exact"/>
        <w:ind w:firstLine="480" w:firstLineChars="200"/>
        <w:jc w:val="right"/>
        <w:textAlignment w:val="auto"/>
        <w:rPr>
          <w:rFonts w:hint="eastAsia" w:ascii="宋体" w:hAnsi="宋体" w:eastAsia="宋体" w:cs="宋体"/>
          <w:highlight w:val="none"/>
        </w:rPr>
      </w:pPr>
      <w:r>
        <w:rPr>
          <w:rFonts w:hint="eastAsia" w:ascii="宋体" w:hAnsi="宋体" w:eastAsia="宋体" w:cs="宋体"/>
          <w:highlight w:val="none"/>
        </w:rPr>
        <w:t>年   月  日</w:t>
      </w:r>
    </w:p>
    <w:p>
      <w:pPr>
        <w:bidi w:val="0"/>
        <w:rPr>
          <w:rFonts w:hint="eastAsia"/>
          <w:lang w:eastAsia="zh-CN"/>
        </w:rPr>
      </w:pPr>
      <w:bookmarkStart w:id="394" w:name="_Toc9748"/>
      <w:bookmarkStart w:id="395" w:name="_Toc21748"/>
      <w:bookmarkStart w:id="396" w:name="_Toc515647799"/>
      <w:bookmarkStart w:id="397" w:name="_Toc19295"/>
      <w:bookmarkStart w:id="398" w:name="_Toc27934"/>
      <w:bookmarkStart w:id="399" w:name="_Toc16186"/>
      <w:bookmarkStart w:id="400" w:name="_Toc9528"/>
      <w:bookmarkStart w:id="401" w:name="_Toc27453"/>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26"/>
        <w:pageBreakBefore w:val="0"/>
        <w:widowControl w:val="0"/>
        <w:kinsoku/>
        <w:wordWrap/>
        <w:overflowPunct/>
        <w:topLinePunct w:val="0"/>
        <w:bidi w:val="0"/>
        <w:snapToGrid/>
        <w:spacing w:line="400" w:lineRule="exac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【附件</w:t>
      </w:r>
      <w:r>
        <w:rPr>
          <w:rFonts w:hint="eastAsia" w:ascii="宋体" w:hAnsi="宋体" w:eastAsia="宋体" w:cs="宋体"/>
          <w:highlight w:val="none"/>
          <w:lang w:val="en-US" w:eastAsia="zh-CN"/>
        </w:rPr>
        <w:t>2</w:t>
      </w:r>
      <w:r>
        <w:rPr>
          <w:rFonts w:hint="eastAsia" w:hAnsi="宋体" w:cs="宋体"/>
          <w:highlight w:val="none"/>
          <w:lang w:val="en-US" w:eastAsia="zh-CN"/>
        </w:rPr>
        <w:t>-1</w:t>
      </w:r>
      <w:r>
        <w:rPr>
          <w:rFonts w:hint="eastAsia" w:ascii="宋体" w:hAnsi="宋体" w:eastAsia="宋体" w:cs="宋体"/>
          <w:highlight w:val="none"/>
          <w:lang w:eastAsia="zh-CN"/>
        </w:rPr>
        <w:t>】</w:t>
      </w:r>
    </w:p>
    <w:p>
      <w:pPr>
        <w:pStyle w:val="5"/>
        <w:bidi w:val="0"/>
        <w:ind w:firstLine="3092" w:firstLineChars="1100"/>
        <w:rPr>
          <w:rFonts w:hint="eastAsia"/>
        </w:rPr>
      </w:pPr>
      <w:bookmarkStart w:id="402" w:name="_Toc6534"/>
      <w:r>
        <w:rPr>
          <w:rFonts w:hint="eastAsia"/>
        </w:rPr>
        <w:t>履约保证金保函（格式）</w:t>
      </w:r>
      <w:bookmarkEnd w:id="394"/>
      <w:bookmarkEnd w:id="395"/>
      <w:bookmarkEnd w:id="396"/>
      <w:bookmarkEnd w:id="397"/>
      <w:bookmarkEnd w:id="398"/>
      <w:bookmarkEnd w:id="399"/>
      <w:bookmarkEnd w:id="400"/>
      <w:bookmarkEnd w:id="401"/>
      <w:bookmarkEnd w:id="402"/>
    </w:p>
    <w:p>
      <w:pPr>
        <w:bidi w:val="0"/>
        <w:ind w:firstLine="3640" w:firstLineChars="1300"/>
        <w:rPr>
          <w:rFonts w:hint="eastAsia"/>
        </w:rPr>
      </w:pPr>
      <w:r>
        <w:rPr>
          <w:rFonts w:hint="eastAsia"/>
          <w:sz w:val="28"/>
          <w:szCs w:val="36"/>
        </w:rPr>
        <w:t>（</w:t>
      </w:r>
      <w:r>
        <w:rPr>
          <w:rFonts w:hint="eastAsia"/>
          <w:sz w:val="28"/>
          <w:szCs w:val="36"/>
          <w:lang w:eastAsia="zh-CN"/>
        </w:rPr>
        <w:t>成交后开具</w:t>
      </w:r>
      <w:r>
        <w:rPr>
          <w:rFonts w:hint="eastAsia"/>
          <w:sz w:val="28"/>
          <w:szCs w:val="36"/>
        </w:rPr>
        <w:t>）</w:t>
      </w:r>
    </w:p>
    <w:p>
      <w:pPr>
        <w:pStyle w:val="26"/>
        <w:pageBreakBefore w:val="0"/>
        <w:widowControl w:val="0"/>
        <w:kinsoku/>
        <w:wordWrap/>
        <w:overflowPunct/>
        <w:topLinePunct w:val="0"/>
        <w:bidi w:val="0"/>
        <w:snapToGrid/>
        <w:spacing w:line="400" w:lineRule="exact"/>
        <w:textAlignment w:val="auto"/>
        <w:rPr>
          <w:rFonts w:hint="eastAsia" w:ascii="宋体" w:hAnsi="宋体" w:eastAsia="宋体" w:cs="宋体"/>
          <w:highlight w:val="none"/>
        </w:rPr>
      </w:pPr>
    </w:p>
    <w:p>
      <w:pPr>
        <w:pStyle w:val="26"/>
        <w:pageBreakBefore w:val="0"/>
        <w:widowControl w:val="0"/>
        <w:kinsoku/>
        <w:wordWrap/>
        <w:overflowPunct/>
        <w:topLinePunct w:val="0"/>
        <w:bidi w:val="0"/>
        <w:snapToGrid/>
        <w:spacing w:line="400" w:lineRule="exact"/>
        <w:textAlignment w:val="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hAnsi="宋体" w:cs="宋体"/>
          <w:highlight w:val="none"/>
          <w:u w:val="single"/>
          <w:lang w:val="en-US" w:eastAsia="zh-CN"/>
        </w:rPr>
        <w:t xml:space="preserve">    </w:t>
      </w:r>
      <w:r>
        <w:rPr>
          <w:rFonts w:hint="eastAsia" w:ascii="宋体" w:hAnsi="宋体" w:eastAsia="宋体" w:cs="宋体"/>
          <w:highlight w:val="none"/>
          <w:u w:val="single"/>
        </w:rPr>
        <w:t>(</w:t>
      </w:r>
      <w:r>
        <w:rPr>
          <w:rFonts w:hint="eastAsia" w:ascii="宋体" w:hAnsi="宋体" w:eastAsia="宋体" w:cs="宋体"/>
          <w:highlight w:val="none"/>
          <w:u w:val="single"/>
          <w:lang w:eastAsia="zh-CN"/>
        </w:rPr>
        <w:t>买方名称</w:t>
      </w:r>
      <w:r>
        <w:rPr>
          <w:rFonts w:hint="eastAsia" w:ascii="宋体" w:hAnsi="宋体" w:eastAsia="宋体" w:cs="宋体"/>
          <w:highlight w:val="none"/>
          <w:u w:val="single"/>
        </w:rPr>
        <w:t>)</w:t>
      </w:r>
      <w:r>
        <w:rPr>
          <w:rFonts w:hint="eastAsia" w:hAnsi="宋体" w:cs="宋体"/>
          <w:highlight w:val="none"/>
          <w:u w:val="single"/>
          <w:lang w:val="en-US" w:eastAsia="zh-CN"/>
        </w:rPr>
        <w:t xml:space="preserve">     </w:t>
      </w:r>
      <w:r>
        <w:rPr>
          <w:rFonts w:hint="eastAsia" w:hAnsi="宋体" w:cs="宋体"/>
          <w:highlight w:val="none"/>
          <w:lang w:eastAsia="zh-CN"/>
        </w:rPr>
        <w:t>：</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hAnsi="宋体" w:cs="宋体"/>
          <w:highlight w:val="none"/>
          <w:lang w:val="en-US" w:eastAsia="zh-CN"/>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lang w:eastAsia="zh-CN"/>
        </w:rPr>
        <w:t>号合同履约保函</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本保函作为贵方与</w:t>
      </w:r>
      <w:r>
        <w:rPr>
          <w:rFonts w:hint="eastAsia" w:hAnsi="宋体" w:cs="宋体"/>
          <w:highlight w:val="none"/>
          <w:lang w:val="en-US" w:eastAsia="zh-CN"/>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(卖方名称)</w:t>
      </w:r>
      <w:r>
        <w:rPr>
          <w:rFonts w:hint="eastAsia" w:hAnsi="宋体" w:cs="宋体"/>
          <w:highlight w:val="none"/>
          <w:u w:val="single"/>
          <w:lang w:val="en-US" w:eastAsia="zh-CN"/>
        </w:rPr>
        <w:t xml:space="preserve">    </w:t>
      </w:r>
      <w:r>
        <w:rPr>
          <w:rFonts w:hint="eastAsia" w:ascii="宋体" w:hAnsi="宋体" w:eastAsia="宋体" w:cs="宋体"/>
          <w:highlight w:val="none"/>
          <w:u w:val="none"/>
        </w:rPr>
        <w:t>(</w:t>
      </w:r>
      <w:r>
        <w:rPr>
          <w:rFonts w:hint="eastAsia" w:ascii="宋体" w:hAnsi="宋体" w:eastAsia="宋体" w:cs="宋体"/>
          <w:highlight w:val="none"/>
        </w:rPr>
        <w:t>以下简称卖方)于</w:t>
      </w:r>
      <w:r>
        <w:rPr>
          <w:rFonts w:hint="eastAsia" w:hAnsi="宋体" w:cs="宋体"/>
          <w:highlight w:val="none"/>
          <w:u w:val="single"/>
          <w:lang w:val="en-US" w:eastAsia="zh-CN"/>
        </w:rPr>
        <w:t xml:space="preserve">    </w:t>
      </w:r>
      <w:r>
        <w:rPr>
          <w:rFonts w:hint="eastAsia" w:ascii="宋体" w:hAnsi="宋体" w:eastAsia="宋体" w:cs="宋体"/>
          <w:highlight w:val="none"/>
        </w:rPr>
        <w:t>年</w:t>
      </w:r>
      <w:r>
        <w:rPr>
          <w:rFonts w:hint="eastAsia" w:hAnsi="宋体" w:cs="宋体"/>
          <w:highlight w:val="none"/>
          <w:u w:val="single"/>
          <w:lang w:val="en-US" w:eastAsia="zh-CN"/>
        </w:rPr>
        <w:t xml:space="preserve">   </w:t>
      </w:r>
      <w:r>
        <w:rPr>
          <w:rFonts w:hint="eastAsia" w:ascii="宋体" w:hAnsi="宋体" w:eastAsia="宋体" w:cs="宋体"/>
          <w:highlight w:val="none"/>
        </w:rPr>
        <w:t>月</w:t>
      </w:r>
      <w:r>
        <w:rPr>
          <w:rFonts w:hint="eastAsia" w:hAnsi="宋体" w:cs="宋体"/>
          <w:highlight w:val="none"/>
          <w:u w:val="single"/>
          <w:lang w:val="en-US" w:eastAsia="zh-CN"/>
        </w:rPr>
        <w:t xml:space="preserve">   </w:t>
      </w:r>
      <w:r>
        <w:rPr>
          <w:rFonts w:hint="eastAsia" w:ascii="宋体" w:hAnsi="宋体" w:eastAsia="宋体" w:cs="宋体"/>
          <w:highlight w:val="none"/>
        </w:rPr>
        <w:t>日就</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项目(以下简称项目)项下提供</w:t>
      </w:r>
      <w:r>
        <w:rPr>
          <w:rFonts w:hint="eastAsia" w:hAnsi="宋体" w:cs="宋体"/>
          <w:highlight w:val="none"/>
          <w:u w:val="single"/>
          <w:lang w:val="en-US" w:eastAsia="zh-CN"/>
        </w:rPr>
        <w:t xml:space="preserve">    </w:t>
      </w:r>
      <w:r>
        <w:rPr>
          <w:rFonts w:hint="eastAsia" w:ascii="宋体" w:hAnsi="宋体" w:eastAsia="宋体" w:cs="宋体"/>
          <w:highlight w:val="none"/>
          <w:u w:val="single"/>
        </w:rPr>
        <w:t>(名称)</w:t>
      </w:r>
      <w:r>
        <w:rPr>
          <w:rFonts w:hint="eastAsia" w:hAnsi="宋体" w:cs="宋体"/>
          <w:highlight w:val="none"/>
          <w:u w:val="single"/>
          <w:lang w:val="en-US" w:eastAsia="zh-CN"/>
        </w:rPr>
        <w:t xml:space="preserve">     </w:t>
      </w:r>
      <w:r>
        <w:rPr>
          <w:rFonts w:hint="eastAsia" w:ascii="宋体" w:hAnsi="宋体" w:eastAsia="宋体" w:cs="宋体"/>
          <w:highlight w:val="none"/>
        </w:rPr>
        <w:t>(以下简称)签订的</w:t>
      </w:r>
      <w:r>
        <w:rPr>
          <w:rFonts w:hint="eastAsia" w:hAnsi="宋体" w:cs="宋体"/>
          <w:highlight w:val="none"/>
          <w:u w:val="single"/>
          <w:lang w:val="en-US" w:eastAsia="zh-CN"/>
        </w:rPr>
        <w:t xml:space="preserve">     </w:t>
      </w:r>
      <w:r>
        <w:rPr>
          <w:rFonts w:hint="eastAsia" w:ascii="宋体" w:hAnsi="宋体" w:eastAsia="宋体" w:cs="宋体"/>
          <w:highlight w:val="none"/>
          <w:u w:val="single"/>
        </w:rPr>
        <w:t>(合同号)</w:t>
      </w:r>
      <w:r>
        <w:rPr>
          <w:rFonts w:hint="eastAsia" w:hAnsi="宋体" w:cs="宋体"/>
          <w:highlight w:val="none"/>
          <w:u w:val="single"/>
          <w:lang w:val="en-US" w:eastAsia="zh-CN"/>
        </w:rPr>
        <w:t xml:space="preserve">   </w:t>
      </w:r>
      <w:r>
        <w:rPr>
          <w:rFonts w:hint="eastAsia" w:ascii="宋体" w:hAnsi="宋体" w:eastAsia="宋体" w:cs="宋体"/>
          <w:highlight w:val="none"/>
          <w:lang w:eastAsia="zh-CN"/>
        </w:rPr>
        <w:t>号合同的履约保函</w:t>
      </w:r>
      <w:r>
        <w:rPr>
          <w:rFonts w:hint="eastAsia" w:ascii="宋体" w:hAnsi="宋体" w:eastAsia="宋体" w:cs="宋体"/>
          <w:highlight w:val="none"/>
        </w:rPr>
        <w:t>。</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(出具保函的银行名称)</w:t>
      </w:r>
      <w:r>
        <w:rPr>
          <w:rFonts w:hint="eastAsia" w:ascii="宋体" w:hAnsi="宋体" w:eastAsia="宋体" w:cs="宋体"/>
          <w:highlight w:val="none"/>
        </w:rPr>
        <w:t>(以下简称银行)无条件地、不可撤销地具结保证本行、其继承人和受让人无追索地向贵方以</w:t>
      </w:r>
      <w:r>
        <w:rPr>
          <w:rFonts w:hint="eastAsia" w:hAnsi="宋体" w:cs="宋体"/>
          <w:highlight w:val="none"/>
          <w:u w:val="single"/>
          <w:lang w:val="en-US" w:eastAsia="zh-CN"/>
        </w:rPr>
        <w:t xml:space="preserve">  </w:t>
      </w:r>
      <w:r>
        <w:rPr>
          <w:rFonts w:hint="eastAsia" w:ascii="宋体" w:hAnsi="宋体" w:eastAsia="宋体" w:cs="宋体"/>
          <w:highlight w:val="none"/>
          <w:u w:val="single"/>
        </w:rPr>
        <w:t>(货币名称)</w:t>
      </w:r>
      <w:r>
        <w:rPr>
          <w:rFonts w:hint="eastAsia" w:hAnsi="宋体" w:cs="宋体"/>
          <w:highlight w:val="none"/>
          <w:u w:val="single"/>
          <w:lang w:val="en-US" w:eastAsia="zh-CN"/>
        </w:rPr>
        <w:t xml:space="preserve">  </w:t>
      </w:r>
      <w:r>
        <w:rPr>
          <w:rFonts w:hint="eastAsia" w:ascii="宋体" w:hAnsi="宋体" w:eastAsia="宋体" w:cs="宋体"/>
          <w:highlight w:val="none"/>
        </w:rPr>
        <w:t>支付总额不超过</w:t>
      </w:r>
      <w:r>
        <w:rPr>
          <w:rFonts w:hint="eastAsia" w:hAnsi="宋体" w:cs="宋体"/>
          <w:highlight w:val="none"/>
          <w:u w:val="single"/>
          <w:lang w:val="en-US" w:eastAsia="zh-CN"/>
        </w:rPr>
        <w:t xml:space="preserve">   </w:t>
      </w:r>
      <w:r>
        <w:rPr>
          <w:rFonts w:hint="eastAsia" w:ascii="宋体" w:hAnsi="宋体" w:eastAsia="宋体" w:cs="宋体"/>
          <w:strike w:val="0"/>
          <w:dstrike w:val="0"/>
          <w:highlight w:val="none"/>
          <w:u w:val="single"/>
        </w:rPr>
        <w:t>(货币数量)</w:t>
      </w:r>
      <w:r>
        <w:rPr>
          <w:rFonts w:hint="eastAsia" w:hAnsi="宋体" w:cs="宋体"/>
          <w:strike w:val="0"/>
          <w:dstrike w:val="0"/>
          <w:highlight w:val="none"/>
          <w:u w:val="single"/>
          <w:lang w:val="en-US" w:eastAsia="zh-CN"/>
        </w:rPr>
        <w:t xml:space="preserve">  </w:t>
      </w:r>
      <w:r>
        <w:rPr>
          <w:rFonts w:hint="eastAsia" w:ascii="宋体" w:hAnsi="宋体" w:eastAsia="宋体" w:cs="宋体"/>
          <w:highlight w:val="none"/>
        </w:rPr>
        <w:t>,即相当于合同价格的</w:t>
      </w:r>
      <w:r>
        <w:rPr>
          <w:rFonts w:hint="eastAsia" w:hAnsi="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并以此约定如下</w:t>
      </w:r>
      <w:r>
        <w:rPr>
          <w:rFonts w:hint="eastAsia" w:ascii="宋体" w:hAnsi="宋体" w:eastAsia="宋体" w:cs="宋体"/>
          <w:highlight w:val="none"/>
        </w:rPr>
        <w:t>:</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只要贵方确定卖方未能忠实地履行所有合同文件的规定和双方此后一致同意的修改、补充和变动,包括更改和/或修补贵方认为有缺陷的(以下简称违约),无论卖方有任何反对,本行将凭贵方关于卖方违约说明的书面通知,立即按贵方提出的累计总额不超过上述金额的款项和按贵方通知规定的方式付给贵方。</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2.本保函项下的任何支付应为免税和净值。对于现有或将来的税收、关税、收费、费用扣减或预提税款，不论这些款项是何种性质和由谁征收，都不应从本保函项下的支付中扣除。</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4.本保函在本合同规定的保证期期满前完全有效。</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谨启</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出具保函银行名称</w:t>
      </w:r>
      <w:r>
        <w:rPr>
          <w:rFonts w:hint="eastAsia" w:ascii="宋体" w:hAnsi="宋体" w:eastAsia="宋体" w:cs="宋体"/>
          <w:highlight w:val="none"/>
        </w:rPr>
        <w:t>：</w:t>
      </w:r>
      <w:r>
        <w:rPr>
          <w:rFonts w:hint="eastAsia" w:hAnsi="宋体" w:cs="宋体"/>
          <w:highlight w:val="none"/>
          <w:u w:val="single"/>
          <w:lang w:val="en-US" w:eastAsia="zh-CN"/>
        </w:rPr>
        <w:t xml:space="preserve">                          </w:t>
      </w:r>
      <w:r>
        <w:rPr>
          <w:rFonts w:hint="eastAsia" w:ascii="宋体" w:hAnsi="宋体" w:eastAsia="宋体" w:cs="宋体"/>
          <w:highlight w:val="non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签字人姓名和职务</w:t>
      </w:r>
      <w:r>
        <w:rPr>
          <w:rFonts w:hint="eastAsia" w:ascii="宋体" w:hAnsi="宋体" w:eastAsia="宋体" w:cs="宋体"/>
          <w:highlight w:val="none"/>
        </w:rPr>
        <w:t>：</w:t>
      </w:r>
      <w:r>
        <w:rPr>
          <w:rFonts w:hint="eastAsia" w:hAnsi="宋体" w:cs="宋体"/>
          <w:i/>
          <w:iCs/>
          <w:highlight w:val="none"/>
          <w:u w:val="single"/>
          <w:lang w:val="en-US" w:eastAsia="zh-CN"/>
        </w:rPr>
        <w:t xml:space="preserve">                          </w:t>
      </w:r>
      <w:r>
        <w:rPr>
          <w:rFonts w:hint="eastAsia" w:ascii="宋体" w:hAnsi="宋体" w:eastAsia="宋体" w:cs="宋体"/>
          <w:highlight w:val="non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签字人签名</w:t>
      </w:r>
      <w:r>
        <w:rPr>
          <w:rFonts w:hint="eastAsia" w:ascii="宋体" w:hAnsi="宋体" w:eastAsia="宋体" w:cs="宋体"/>
          <w:highlight w:val="none"/>
        </w:rPr>
        <w:t>：</w:t>
      </w:r>
      <w:r>
        <w:rPr>
          <w:rFonts w:hint="eastAsia" w:hAnsi="宋体" w:cs="宋体"/>
          <w:highlight w:val="none"/>
          <w:u w:val="single"/>
          <w:lang w:val="en-US" w:eastAsia="zh-CN"/>
        </w:rPr>
        <w:t xml:space="preserve">                                </w:t>
      </w:r>
      <w:r>
        <w:rPr>
          <w:rFonts w:hint="eastAsia" w:hAnsi="宋体" w:cs="宋体"/>
          <w:highlight w:val="none"/>
          <w:lang w:val="en-US" w:eastAsia="zh-CN"/>
        </w:rPr>
        <w:t xml:space="preserve">     </w:t>
      </w:r>
      <w:r>
        <w:rPr>
          <w:rFonts w:hint="eastAsia" w:ascii="宋体" w:hAnsi="宋体" w:eastAsia="宋体" w:cs="宋体"/>
          <w:highlight w:val="none"/>
        </w:rPr>
        <w:t xml:space="preserve">                                   </w:t>
      </w:r>
    </w:p>
    <w:p>
      <w:pPr>
        <w:pStyle w:val="26"/>
        <w:pageBreakBefore w:val="0"/>
        <w:widowControl w:val="0"/>
        <w:kinsoku/>
        <w:wordWrap/>
        <w:overflowPunct/>
        <w:topLinePunct w:val="0"/>
        <w:bidi w:val="0"/>
        <w:snapToGrid/>
        <w:spacing w:line="400" w:lineRule="exact"/>
        <w:ind w:firstLine="480" w:firstLineChars="200"/>
        <w:textAlignment w:val="auto"/>
        <w:rPr>
          <w:rFonts w:hint="eastAsia"/>
        </w:rPr>
      </w:pPr>
      <w:r>
        <w:rPr>
          <w:rFonts w:hint="eastAsia" w:ascii="宋体" w:hAnsi="宋体" w:eastAsia="宋体" w:cs="宋体"/>
          <w:highlight w:val="none"/>
          <w:lang w:eastAsia="zh-CN"/>
        </w:rPr>
        <w:t>公章</w:t>
      </w:r>
      <w:r>
        <w:rPr>
          <w:rFonts w:hint="eastAsia" w:ascii="宋体" w:hAnsi="宋体" w:eastAsia="宋体" w:cs="宋体"/>
          <w:highlight w:val="none"/>
        </w:rPr>
        <w:t xml:space="preserve">：                                </w:t>
      </w:r>
      <w:r>
        <w:rPr>
          <w:rFonts w:hint="eastAsia"/>
        </w:rPr>
        <w:t xml:space="preserve">   </w:t>
      </w:r>
    </w:p>
    <w:p>
      <w:pPr>
        <w:bidi w:val="0"/>
        <w:rPr>
          <w:rFonts w:hint="eastAsia"/>
        </w:rPr>
      </w:pPr>
      <w:bookmarkStart w:id="403" w:name="_Toc6548"/>
      <w:bookmarkStart w:id="404" w:name="_Toc515647800"/>
      <w:bookmarkStart w:id="405" w:name="_Toc10951"/>
    </w:p>
    <w:p>
      <w:pPr>
        <w:spacing w:line="240" w:lineRule="atLeast"/>
        <w:ind w:left="1080" w:leftChars="257" w:hanging="540"/>
        <w:rPr>
          <w:rFonts w:hint="eastAsia" w:ascii="宋体" w:hAnsi="宋体" w:eastAsia="宋体" w:cs="宋体"/>
          <w:highlight w:val="none"/>
        </w:rPr>
      </w:pPr>
    </w:p>
    <w:p>
      <w:pPr>
        <w:pStyle w:val="3"/>
        <w:rPr>
          <w:rFonts w:hint="eastAsia" w:ascii="宋体" w:hAnsi="宋体" w:eastAsia="宋体" w:cs="宋体"/>
          <w:highlight w:val="none"/>
          <w:lang w:eastAsia="zh-CN"/>
        </w:rPr>
      </w:pPr>
    </w:p>
    <w:p>
      <w:pPr>
        <w:rPr>
          <w:rFonts w:hint="eastAsia" w:ascii="宋体" w:hAnsi="宋体" w:eastAsia="宋体" w:cs="宋体"/>
          <w:highlight w:val="none"/>
          <w:lang w:eastAsia="zh-CN"/>
        </w:rPr>
      </w:pPr>
    </w:p>
    <w:p>
      <w:pPr>
        <w:pStyle w:val="5"/>
        <w:keepNext/>
        <w:keepLines/>
        <w:pageBreakBefore w:val="0"/>
        <w:widowControl w:val="0"/>
        <w:kinsoku/>
        <w:wordWrap/>
        <w:overflowPunct/>
        <w:topLinePunct w:val="0"/>
        <w:autoSpaceDE w:val="0"/>
        <w:autoSpaceDN w:val="0"/>
        <w:bidi w:val="0"/>
        <w:adjustRightInd w:val="0"/>
        <w:snapToGrid/>
        <w:spacing w:line="240" w:lineRule="auto"/>
        <w:ind w:firstLine="480" w:firstLineChars="200"/>
        <w:jc w:val="both"/>
        <w:textAlignment w:val="auto"/>
        <w:rPr>
          <w:rFonts w:hint="eastAsia" w:ascii="宋体" w:hAnsi="宋体" w:eastAsia="宋体" w:cs="宋体"/>
          <w:highlight w:val="none"/>
          <w:lang w:val="en-US" w:eastAsia="zh-CN"/>
        </w:rPr>
      </w:pPr>
      <w:bookmarkStart w:id="406" w:name="_Toc3843"/>
      <w:bookmarkStart w:id="407" w:name="_Toc1051"/>
      <w:bookmarkStart w:id="408" w:name="_Toc15479"/>
      <w:bookmarkStart w:id="409" w:name="_Toc4157"/>
      <w:bookmarkStart w:id="410" w:name="_Toc13173"/>
      <w:bookmarkStart w:id="411" w:name="_Toc12620"/>
      <w:bookmarkStart w:id="412" w:name="_Toc16149"/>
      <w:bookmarkStart w:id="413" w:name="_Toc1162"/>
      <w:r>
        <w:rPr>
          <w:rFonts w:hint="eastAsia" w:ascii="宋体" w:hAnsi="宋体" w:eastAsia="宋体" w:cs="宋体"/>
          <w:b w:val="0"/>
          <w:bCs/>
          <w:sz w:val="24"/>
          <w:szCs w:val="18"/>
          <w:lang w:eastAsia="zh-CN"/>
        </w:rPr>
        <w:t>【附件</w:t>
      </w:r>
      <w:r>
        <w:rPr>
          <w:rFonts w:hint="eastAsia" w:ascii="宋体" w:hAnsi="宋体" w:eastAsia="宋体" w:cs="宋体"/>
          <w:b w:val="0"/>
          <w:bCs/>
          <w:sz w:val="24"/>
          <w:szCs w:val="18"/>
          <w:lang w:val="en-US" w:eastAsia="zh-CN"/>
        </w:rPr>
        <w:t>2-2</w:t>
      </w:r>
      <w:r>
        <w:rPr>
          <w:rFonts w:hint="eastAsia" w:ascii="宋体" w:hAnsi="宋体" w:eastAsia="宋体" w:cs="宋体"/>
          <w:b w:val="0"/>
          <w:bCs/>
          <w:sz w:val="24"/>
          <w:szCs w:val="18"/>
          <w:lang w:eastAsia="zh-CN"/>
        </w:rPr>
        <w:t>】</w:t>
      </w:r>
      <w:bookmarkEnd w:id="406"/>
      <w:bookmarkEnd w:id="407"/>
      <w:bookmarkEnd w:id="408"/>
      <w:r>
        <w:rPr>
          <w:rFonts w:hint="eastAsia" w:ascii="宋体" w:hAnsi="宋体" w:eastAsia="宋体" w:cs="宋体"/>
          <w:highlight w:val="none"/>
          <w:lang w:val="en-US" w:eastAsia="zh-CN"/>
        </w:rPr>
        <w:t xml:space="preserve">              </w:t>
      </w:r>
    </w:p>
    <w:p>
      <w:pPr>
        <w:pStyle w:val="5"/>
        <w:keepNext/>
        <w:keepLines/>
        <w:pageBreakBefore w:val="0"/>
        <w:widowControl w:val="0"/>
        <w:kinsoku/>
        <w:wordWrap/>
        <w:overflowPunct/>
        <w:topLinePunct w:val="0"/>
        <w:autoSpaceDE w:val="0"/>
        <w:autoSpaceDN w:val="0"/>
        <w:bidi w:val="0"/>
        <w:adjustRightInd w:val="0"/>
        <w:snapToGrid/>
        <w:spacing w:line="240" w:lineRule="auto"/>
        <w:ind w:firstLine="3373" w:firstLineChars="1200"/>
        <w:jc w:val="both"/>
        <w:textAlignment w:val="auto"/>
        <w:rPr>
          <w:rFonts w:hint="eastAsia" w:ascii="宋体" w:hAnsi="宋体" w:eastAsia="宋体" w:cs="宋体"/>
          <w:highlight w:val="none"/>
        </w:rPr>
      </w:pPr>
      <w:bookmarkStart w:id="414" w:name="_Toc12853"/>
      <w:r>
        <w:rPr>
          <w:rFonts w:hint="eastAsia" w:ascii="宋体" w:hAnsi="宋体" w:eastAsia="宋体" w:cs="宋体"/>
          <w:highlight w:val="none"/>
        </w:rPr>
        <w:t>履约担保函格式</w:t>
      </w:r>
      <w:bookmarkEnd w:id="403"/>
      <w:bookmarkEnd w:id="404"/>
      <w:bookmarkEnd w:id="405"/>
      <w:bookmarkEnd w:id="409"/>
      <w:bookmarkEnd w:id="410"/>
      <w:bookmarkEnd w:id="411"/>
      <w:bookmarkEnd w:id="412"/>
      <w:bookmarkEnd w:id="413"/>
      <w:bookmarkEnd w:id="414"/>
      <w:bookmarkStart w:id="415" w:name="_Toc515647801"/>
      <w:bookmarkStart w:id="416" w:name="_Toc162"/>
      <w:bookmarkStart w:id="417" w:name="_Toc13962"/>
    </w:p>
    <w:p>
      <w:pPr>
        <w:pStyle w:val="5"/>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4"/>
          <w:szCs w:val="24"/>
          <w:highlight w:val="none"/>
          <w:lang w:val="en-US" w:eastAsia="zh-CN" w:bidi="ar-SA"/>
        </w:rPr>
      </w:pPr>
      <w:bookmarkStart w:id="418" w:name="_Toc12080"/>
      <w:bookmarkStart w:id="419" w:name="_Toc32325"/>
      <w:bookmarkStart w:id="420" w:name="_Toc13157"/>
      <w:bookmarkStart w:id="421" w:name="_Toc20667"/>
      <w:bookmarkStart w:id="422" w:name="_Toc17144"/>
      <w:bookmarkStart w:id="423" w:name="_Toc8600"/>
      <w:r>
        <w:rPr>
          <w:rFonts w:hint="eastAsia" w:ascii="宋体" w:hAnsi="宋体" w:eastAsia="宋体" w:cs="宋体"/>
          <w:b w:val="0"/>
          <w:kern w:val="2"/>
          <w:sz w:val="24"/>
          <w:szCs w:val="24"/>
          <w:highlight w:val="none"/>
          <w:lang w:val="en-US" w:eastAsia="zh-CN" w:bidi="ar-SA"/>
        </w:rPr>
        <w:t>（采用政府采购信用担保形式时使用）</w:t>
      </w:r>
      <w:bookmarkEnd w:id="415"/>
      <w:bookmarkEnd w:id="416"/>
      <w:bookmarkEnd w:id="417"/>
      <w:bookmarkEnd w:id="418"/>
      <w:bookmarkEnd w:id="419"/>
      <w:bookmarkEnd w:id="420"/>
      <w:bookmarkEnd w:id="421"/>
      <w:bookmarkEnd w:id="422"/>
      <w:bookmarkEnd w:id="423"/>
    </w:p>
    <w:p>
      <w:pPr>
        <w:pageBreakBefore w:val="0"/>
        <w:widowControl w:val="0"/>
        <w:kinsoku/>
        <w:wordWrap/>
        <w:overflowPunct/>
        <w:topLinePunct w:val="0"/>
        <w:bidi w:val="0"/>
        <w:snapToGrid/>
        <w:textAlignment w:val="auto"/>
        <w:rPr>
          <w:rFonts w:hint="eastAsia" w:ascii="宋体" w:hAnsi="宋体" w:eastAsia="宋体" w:cs="宋体"/>
          <w:sz w:val="24"/>
          <w:szCs w:val="24"/>
          <w:highlight w:val="none"/>
        </w:rPr>
      </w:pPr>
      <w:r>
        <w:rPr>
          <w:rFonts w:hint="eastAsia"/>
          <w:lang w:val="en-US" w:eastAsia="zh-CN"/>
        </w:rPr>
        <w:t xml:space="preserve"> </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ind w:firstLine="5760" w:firstLineChars="2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编号：</w:t>
      </w:r>
    </w:p>
    <w:p>
      <w:pPr>
        <w:pageBreakBefore w:val="0"/>
        <w:widowControl w:val="0"/>
        <w:kinsoku/>
        <w:wordWrap/>
        <w:overflowPunct/>
        <w:topLinePunct w:val="0"/>
        <w:bidi w:val="0"/>
        <w:snapToGrid/>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鉴于你方与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（以下简称供应商）于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日签定编号为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政府采购合同》（以下简称主合同），且依据该合同的约定，供应商应在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日前向你方交纳履约保证金，且可以履约担保函的形式交纳履约保证金。应供应商的申请，我方以保证的方式向你方提供如下履约保证金担保：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4" w:name="_Toc30957"/>
      <w:bookmarkStart w:id="425" w:name="_Toc9642"/>
      <w:bookmarkStart w:id="426" w:name="_Toc25497"/>
      <w:r>
        <w:rPr>
          <w:rFonts w:hint="eastAsia" w:ascii="宋体" w:hAnsi="宋体" w:eastAsia="宋体" w:cs="宋体"/>
          <w:sz w:val="24"/>
          <w:szCs w:val="24"/>
          <w:highlight w:val="none"/>
        </w:rPr>
        <w:t>一、保证责任的情形及保证金额</w:t>
      </w:r>
      <w:bookmarkEnd w:id="424"/>
      <w:bookmarkEnd w:id="425"/>
      <w:bookmarkEnd w:id="4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（一）在供应商出现下列情形之一时，我方承担保证责任：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1．将成交项目转让给他人，或者在响应文件中未说明，且未经采购招标机构人同意，将成交项目分包给他人的；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2．主合同约定的应当缴纳履约保证金的情形: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（1）未按主合同约定的质量、数量和期限供应/提供服务/完成工程的；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（二）我方的保证范围是主合同约定的合同价款总额的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%数额为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），币种为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。（即主合同履约保证金金额）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7" w:name="_Toc22661"/>
      <w:bookmarkStart w:id="428" w:name="_Toc9422"/>
      <w:bookmarkStart w:id="429" w:name="_Toc22174"/>
      <w:r>
        <w:rPr>
          <w:rFonts w:hint="eastAsia" w:ascii="宋体" w:hAnsi="宋体" w:eastAsia="宋体" w:cs="宋体"/>
          <w:sz w:val="24"/>
          <w:szCs w:val="24"/>
          <w:highlight w:val="none"/>
        </w:rPr>
        <w:t>二、保证的方式及保证期间</w:t>
      </w:r>
      <w:bookmarkEnd w:id="427"/>
      <w:bookmarkEnd w:id="428"/>
      <w:bookmarkEnd w:id="4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我方保证的方式为：连带责任保证。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我方保证的期间为：自本合同生效之日起至供应商按照主合同约定的供货/完工期限届满后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如果供应商未按主合同约定向贵方供应/提供服务/完成工程的，由我方在保证金额内向你方支付上述款项。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0" w:name="_Toc30855"/>
      <w:bookmarkStart w:id="431" w:name="_Toc21991"/>
      <w:bookmarkStart w:id="432" w:name="_Toc5898"/>
      <w:r>
        <w:rPr>
          <w:rFonts w:hint="eastAsia" w:ascii="宋体" w:hAnsi="宋体" w:eastAsia="宋体" w:cs="宋体"/>
          <w:sz w:val="24"/>
          <w:szCs w:val="24"/>
          <w:highlight w:val="none"/>
        </w:rPr>
        <w:t>三、承担保证责任的程序</w:t>
      </w:r>
      <w:bookmarkEnd w:id="430"/>
      <w:bookmarkEnd w:id="431"/>
      <w:bookmarkEnd w:id="4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如果你方与供应商因</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质量问题产生争议，你方还需同时提供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部门出具的质量检测报告，或经诉讼（仲裁）程序裁决后的裁决书、调解书，本保证人即按照检测结果或裁决书、调解书决定是否承担保证责任。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我方收到你方的书面索赔通知及相应证明材料，在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3" w:name="_Toc31828"/>
      <w:bookmarkStart w:id="434" w:name="_Toc32112"/>
      <w:bookmarkStart w:id="435" w:name="_Toc21135"/>
      <w:r>
        <w:rPr>
          <w:rFonts w:hint="eastAsia" w:ascii="宋体" w:hAnsi="宋体" w:eastAsia="宋体" w:cs="宋体"/>
          <w:sz w:val="24"/>
          <w:szCs w:val="24"/>
          <w:highlight w:val="none"/>
        </w:rPr>
        <w:t>四、保证责任的终止</w:t>
      </w:r>
      <w:bookmarkEnd w:id="433"/>
      <w:bookmarkEnd w:id="434"/>
      <w:bookmarkEnd w:id="4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2．我方按照本保函向你方履行了保证责任后，自我方向你方支付款项（支付款项从我方账户划出）之日起，保证责任即终止。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3．按照法律法规的规定或出现应终止我方保证责任的其它情形的，我方在本保函项下的保证责任亦终止。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6" w:name="_Toc14251"/>
      <w:bookmarkStart w:id="437" w:name="_Toc19284"/>
      <w:bookmarkStart w:id="438" w:name="_Toc29433"/>
      <w:r>
        <w:rPr>
          <w:rFonts w:hint="eastAsia" w:ascii="宋体" w:hAnsi="宋体" w:eastAsia="宋体" w:cs="宋体"/>
          <w:sz w:val="24"/>
          <w:szCs w:val="24"/>
          <w:highlight w:val="none"/>
        </w:rPr>
        <w:t>五、免责条款</w:t>
      </w:r>
      <w:bookmarkEnd w:id="436"/>
      <w:bookmarkEnd w:id="437"/>
      <w:bookmarkEnd w:id="43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1．因你方违反主合同约定致使供应商不能履行义务的，我方不承担保证责任。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2．依照法律法规的规定或你方与供应商的另行约定，全部或者部分免除供应商应缴纳的保证金义务的，我方亦免除相应的保证责任。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3．因不可抗力造成供应商不能履行供货义务的，我方不承担保证责任。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9" w:name="_Toc9844"/>
      <w:bookmarkStart w:id="440" w:name="_Toc13849"/>
      <w:bookmarkStart w:id="441" w:name="_Toc12326"/>
      <w:r>
        <w:rPr>
          <w:rFonts w:hint="eastAsia" w:ascii="宋体" w:hAnsi="宋体" w:eastAsia="宋体" w:cs="宋体"/>
          <w:sz w:val="24"/>
          <w:szCs w:val="24"/>
          <w:highlight w:val="none"/>
        </w:rPr>
        <w:t>六、争议的解决</w:t>
      </w:r>
      <w:bookmarkEnd w:id="439"/>
      <w:bookmarkEnd w:id="440"/>
      <w:bookmarkEnd w:id="4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因本保函发生的纠纷，由你我双方协商解决，协商不成的，通过诉讼程序解决，诉讼管辖地法院为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42" w:name="_Toc24464"/>
      <w:bookmarkStart w:id="443" w:name="_Toc6099"/>
      <w:bookmarkStart w:id="444" w:name="_Toc4190"/>
      <w:r>
        <w:rPr>
          <w:rFonts w:hint="eastAsia" w:ascii="宋体" w:hAnsi="宋体" w:eastAsia="宋体" w:cs="宋体"/>
          <w:sz w:val="24"/>
          <w:szCs w:val="24"/>
          <w:highlight w:val="none"/>
        </w:rPr>
        <w:t>七、保函的生效</w:t>
      </w:r>
      <w:bookmarkEnd w:id="442"/>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本保函自我方加盖公章之日起生效。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400" w:firstLineChars="2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保证人：（公章）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rPr>
          <w:rFonts w:hint="eastAsia"/>
          <w:sz w:val="36"/>
          <w:szCs w:val="44"/>
        </w:rPr>
      </w:pPr>
    </w:p>
    <w:p>
      <w:pPr>
        <w:rPr>
          <w:rFonts w:hint="default"/>
          <w:lang w:val="en-US" w:eastAsia="zh-CN"/>
        </w:rPr>
      </w:pPr>
    </w:p>
    <w:p>
      <w:pPr>
        <w:pStyle w:val="16"/>
        <w:rPr>
          <w:rFonts w:hint="default"/>
          <w:lang w:val="en-US" w:eastAsia="zh-CN"/>
        </w:rPr>
      </w:pPr>
    </w:p>
    <w:p>
      <w:pPr>
        <w:pStyle w:val="8"/>
        <w:jc w:val="center"/>
        <w:rPr>
          <w:rFonts w:hint="eastAsia" w:ascii="宋体" w:hAnsi="宋体" w:eastAsia="宋体" w:cs="宋体"/>
          <w:sz w:val="32"/>
          <w:szCs w:val="32"/>
        </w:rPr>
      </w:pPr>
    </w:p>
    <w:p>
      <w:pPr>
        <w:pStyle w:val="8"/>
        <w:jc w:val="center"/>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20"/>
        <w:rPr>
          <w:rFonts w:hint="eastAsia" w:ascii="宋体" w:hAnsi="宋体" w:eastAsia="宋体" w:cs="宋体"/>
          <w:sz w:val="32"/>
          <w:szCs w:val="32"/>
        </w:rPr>
      </w:pPr>
    </w:p>
    <w:p>
      <w:pPr>
        <w:pStyle w:val="4"/>
        <w:numPr>
          <w:ilvl w:val="0"/>
          <w:numId w:val="4"/>
        </w:numPr>
        <w:bidi w:val="0"/>
        <w:rPr>
          <w:rFonts w:hint="eastAsia"/>
        </w:rPr>
      </w:pPr>
      <w:r>
        <w:rPr>
          <w:rFonts w:hint="eastAsia"/>
        </w:rPr>
        <w:t xml:space="preserve"> </w:t>
      </w:r>
      <w:bookmarkStart w:id="445" w:name="_Toc9084"/>
      <w:r>
        <w:rPr>
          <w:rFonts w:hint="eastAsia"/>
        </w:rPr>
        <w:t>响应文件格式</w:t>
      </w:r>
      <w:bookmarkEnd w:id="445"/>
    </w:p>
    <w:tbl>
      <w:tblPr>
        <w:tblStyle w:val="22"/>
        <w:tblpPr w:leftFromText="180" w:rightFromText="180" w:vertAnchor="text" w:horzAnchor="page" w:tblpX="1860" w:tblpY="74"/>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401"/>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8401" w:type="dxa"/>
            <w:shd w:val="clear" w:color="auto" w:fill="FCFEEA"/>
            <w:noWrap w:val="0"/>
            <w:vAlign w:val="top"/>
          </w:tcPr>
          <w:p>
            <w:pPr>
              <w:pStyle w:val="8"/>
              <w:tabs>
                <w:tab w:val="left" w:pos="567"/>
              </w:tabs>
              <w:jc w:val="center"/>
              <w:rPr>
                <w:rFonts w:hint="eastAsia" w:cs="宋体"/>
                <w:b/>
                <w:bCs/>
                <w:sz w:val="28"/>
                <w:szCs w:val="28"/>
              </w:rPr>
            </w:pPr>
            <w:r>
              <w:rPr>
                <w:rFonts w:hint="eastAsia" w:cs="宋体"/>
                <w:b/>
                <w:bCs/>
                <w:sz w:val="28"/>
                <w:szCs w:val="28"/>
              </w:rPr>
              <w:t xml:space="preserve">                                            [正本/副本]</w:t>
            </w:r>
          </w:p>
          <w:p>
            <w:pPr>
              <w:pStyle w:val="8"/>
              <w:tabs>
                <w:tab w:val="left" w:pos="567"/>
              </w:tabs>
              <w:ind w:firstLine="4216" w:firstLineChars="1500"/>
              <w:rPr>
                <w:rFonts w:hint="eastAsia" w:cs="宋体"/>
                <w:b/>
                <w:bCs/>
                <w:sz w:val="28"/>
                <w:szCs w:val="28"/>
              </w:rPr>
            </w:pPr>
          </w:p>
          <w:p>
            <w:pPr>
              <w:spacing w:line="500" w:lineRule="exact"/>
              <w:ind w:firstLine="2008" w:firstLineChars="500"/>
              <w:jc w:val="both"/>
              <w:rPr>
                <w:rFonts w:hint="eastAsia" w:ascii="宋体" w:hAnsi="宋体" w:cs="宋体"/>
                <w:b/>
                <w:sz w:val="40"/>
                <w:szCs w:val="40"/>
                <w:u w:val="single"/>
                <w:lang w:val="en-US" w:eastAsia="zh-CN"/>
              </w:rPr>
            </w:pPr>
          </w:p>
          <w:p>
            <w:pPr>
              <w:spacing w:line="500" w:lineRule="exact"/>
              <w:ind w:firstLine="2008" w:firstLineChars="500"/>
              <w:jc w:val="both"/>
              <w:rPr>
                <w:rFonts w:hint="eastAsia" w:ascii="宋体" w:hAnsi="宋体" w:cs="宋体" w:eastAsiaTheme="minorEastAsia"/>
                <w:b/>
                <w:sz w:val="40"/>
                <w:szCs w:val="40"/>
                <w:lang w:val="en-US" w:eastAsia="zh-CN"/>
              </w:rPr>
            </w:pPr>
            <w:r>
              <w:rPr>
                <w:rFonts w:hint="eastAsia" w:ascii="宋体" w:hAnsi="宋体" w:cs="宋体"/>
                <w:b/>
                <w:sz w:val="40"/>
                <w:szCs w:val="40"/>
                <w:u w:val="single"/>
                <w:lang w:val="en-US" w:eastAsia="zh-CN"/>
              </w:rPr>
              <w:t xml:space="preserve">              （</w:t>
            </w:r>
            <w:r>
              <w:rPr>
                <w:rFonts w:hint="eastAsia" w:ascii="宋体" w:hAnsi="宋体" w:cs="宋体"/>
                <w:b/>
                <w:sz w:val="40"/>
                <w:szCs w:val="40"/>
              </w:rPr>
              <w:t>项目</w:t>
            </w:r>
            <w:r>
              <w:rPr>
                <w:rFonts w:hint="eastAsia" w:ascii="宋体" w:hAnsi="宋体" w:cs="宋体"/>
                <w:b/>
                <w:sz w:val="40"/>
                <w:szCs w:val="40"/>
                <w:lang w:val="en-US" w:eastAsia="zh-CN"/>
              </w:rPr>
              <w:t>名称）</w:t>
            </w:r>
          </w:p>
          <w:p>
            <w:pPr>
              <w:pStyle w:val="11"/>
              <w:spacing w:beforeAutospacing="0" w:afterAutospacing="0"/>
              <w:ind w:firstLine="3080" w:firstLineChars="1100"/>
              <w:jc w:val="both"/>
              <w:rPr>
                <w:rFonts w:hint="default" w:eastAsiaTheme="minorEastAsia"/>
                <w:bCs/>
                <w:sz w:val="28"/>
                <w:szCs w:val="28"/>
                <w:lang w:val="en-US" w:eastAsia="zh-CN"/>
              </w:rPr>
            </w:pPr>
            <w:r>
              <w:rPr>
                <w:rFonts w:hint="eastAsia"/>
                <w:bCs/>
                <w:sz w:val="28"/>
                <w:szCs w:val="28"/>
              </w:rPr>
              <w:t>项目编号：</w:t>
            </w:r>
            <w:r>
              <w:rPr>
                <w:rFonts w:hint="eastAsia"/>
                <w:bCs/>
                <w:sz w:val="28"/>
                <w:szCs w:val="28"/>
                <w:lang w:val="en-US" w:eastAsia="zh-CN"/>
              </w:rPr>
              <w:t xml:space="preserve">  </w:t>
            </w:r>
          </w:p>
          <w:p>
            <w:pPr>
              <w:pStyle w:val="32"/>
              <w:rPr>
                <w:rFonts w:hint="eastAsia"/>
              </w:rPr>
            </w:pPr>
          </w:p>
          <w:p>
            <w:pPr>
              <w:pStyle w:val="8"/>
              <w:tabs>
                <w:tab w:val="left" w:pos="567"/>
              </w:tabs>
              <w:jc w:val="center"/>
              <w:rPr>
                <w:rFonts w:hint="eastAsia" w:cs="宋体"/>
                <w:b/>
                <w:bCs/>
                <w:sz w:val="48"/>
                <w:lang w:val="en-US" w:eastAsia="zh-CN"/>
              </w:rPr>
            </w:pPr>
          </w:p>
          <w:p>
            <w:pPr>
              <w:pStyle w:val="8"/>
              <w:tabs>
                <w:tab w:val="left" w:pos="567"/>
              </w:tabs>
              <w:jc w:val="center"/>
              <w:rPr>
                <w:rFonts w:cs="宋体"/>
                <w:b/>
                <w:bCs/>
                <w:sz w:val="48"/>
              </w:rPr>
            </w:pPr>
            <w:r>
              <w:rPr>
                <w:rFonts w:hint="eastAsia" w:cs="宋体"/>
                <w:b/>
                <w:bCs/>
                <w:sz w:val="48"/>
                <w:lang w:val="en-US" w:eastAsia="zh-CN"/>
              </w:rPr>
              <w:t>响</w:t>
            </w:r>
            <w:r>
              <w:rPr>
                <w:rFonts w:hint="eastAsia" w:cs="宋体"/>
                <w:b/>
                <w:bCs/>
                <w:sz w:val="48"/>
              </w:rPr>
              <w:t xml:space="preserve"> </w:t>
            </w:r>
            <w:r>
              <w:rPr>
                <w:rFonts w:hint="eastAsia" w:cs="宋体"/>
                <w:b/>
                <w:bCs/>
                <w:sz w:val="48"/>
                <w:lang w:val="en-US" w:eastAsia="zh-CN"/>
              </w:rPr>
              <w:t>应</w:t>
            </w:r>
            <w:r>
              <w:rPr>
                <w:rFonts w:hint="eastAsia" w:cs="宋体"/>
                <w:b/>
                <w:bCs/>
                <w:sz w:val="48"/>
              </w:rPr>
              <w:t xml:space="preserve"> 文 件</w:t>
            </w:r>
          </w:p>
          <w:p>
            <w:r>
              <w:rPr>
                <w:rFonts w:hint="eastAsia"/>
              </w:rPr>
              <w:t xml:space="preserve"> </w:t>
            </w:r>
            <w:r>
              <w:t xml:space="preserve">                                 </w:t>
            </w:r>
          </w:p>
          <w:p>
            <w:pPr>
              <w:pStyle w:val="18"/>
              <w:ind w:firstLine="1080" w:firstLineChars="600"/>
              <w:rPr>
                <w:rFonts w:hint="eastAsia"/>
                <w:sz w:val="28"/>
                <w:szCs w:val="44"/>
              </w:rPr>
            </w:pPr>
            <w:r>
              <w:rPr>
                <w:rFonts w:hint="eastAsia"/>
              </w:rPr>
              <w:t xml:space="preserve"> </w:t>
            </w:r>
            <w:r>
              <w:t xml:space="preserve">                                     </w:t>
            </w:r>
          </w:p>
          <w:p>
            <w:pPr>
              <w:jc w:val="center"/>
              <w:rPr>
                <w:rFonts w:hint="eastAsia" w:ascii="宋体" w:hAnsi="宋体" w:cs="宋体"/>
                <w:b/>
                <w:bCs/>
              </w:rPr>
            </w:pPr>
          </w:p>
          <w:p>
            <w:pPr>
              <w:jc w:val="center"/>
              <w:rPr>
                <w:rFonts w:hint="eastAsia" w:ascii="宋体" w:hAnsi="宋体" w:cs="宋体"/>
                <w:b/>
                <w:bCs/>
              </w:rPr>
            </w:pPr>
            <w:r>
              <w:rPr>
                <w:rFonts w:hint="eastAsia" w:ascii="宋体" w:hAnsi="宋体" w:cs="宋体"/>
                <w:b/>
                <w:bCs/>
              </w:rPr>
              <w:t xml:space="preserve">注：在    年   月  </w:t>
            </w:r>
            <w:r>
              <w:rPr>
                <w:rFonts w:hint="eastAsia" w:ascii="宋体" w:hAnsi="宋体" w:cs="宋体"/>
                <w:b/>
                <w:bCs/>
                <w:lang w:val="en-US" w:eastAsia="zh-CN"/>
              </w:rPr>
              <w:t xml:space="preserve"> </w:t>
            </w:r>
            <w:r>
              <w:rPr>
                <w:rFonts w:hint="eastAsia" w:ascii="宋体" w:hAnsi="宋体" w:cs="宋体"/>
                <w:b/>
                <w:bCs/>
              </w:rPr>
              <w:t>日   午   （北京时间）之前不得启封</w:t>
            </w:r>
          </w:p>
          <w:p>
            <w:pPr>
              <w:pStyle w:val="3"/>
              <w:rPr>
                <w:rFonts w:hint="eastAsia" w:hAnsi="宋体" w:cs="宋体"/>
                <w:b/>
                <w:sz w:val="32"/>
              </w:rPr>
            </w:pPr>
          </w:p>
          <w:p>
            <w:pPr>
              <w:pStyle w:val="3"/>
              <w:rPr>
                <w:rFonts w:hint="eastAsia" w:hAnsi="宋体" w:cs="宋体"/>
                <w:b/>
                <w:sz w:val="32"/>
              </w:rPr>
            </w:pPr>
          </w:p>
          <w:p>
            <w:pPr>
              <w:pStyle w:val="3"/>
              <w:rPr>
                <w:rFonts w:hint="eastAsia" w:hAnsi="宋体" w:cs="宋体"/>
                <w:b/>
                <w:sz w:val="32"/>
              </w:rPr>
            </w:pPr>
          </w:p>
          <w:p>
            <w:pPr>
              <w:spacing w:line="360" w:lineRule="auto"/>
              <w:ind w:left="176" w:leftChars="84" w:firstLine="840" w:firstLineChars="400"/>
              <w:rPr>
                <w:rFonts w:hint="eastAsia" w:ascii="宋体" w:hAnsi="宋体" w:cs="宋体"/>
                <w:szCs w:val="21"/>
              </w:rPr>
            </w:pPr>
            <w:r>
              <w:rPr>
                <w:rFonts w:hint="eastAsia" w:ascii="宋体" w:hAnsi="宋体" w:cs="宋体"/>
                <w:szCs w:val="21"/>
              </w:rPr>
              <w:t>投标单位：</w:t>
            </w:r>
            <w:r>
              <w:rPr>
                <w:rFonts w:hint="eastAsia" w:ascii="宋体" w:hAnsi="宋体" w:cs="宋体"/>
                <w:szCs w:val="21"/>
                <w:u w:val="single"/>
              </w:rPr>
              <w:t xml:space="preserve">                                       </w:t>
            </w:r>
            <w:r>
              <w:rPr>
                <w:rFonts w:hint="eastAsia" w:ascii="宋体" w:hAnsi="宋体" w:cs="宋体"/>
                <w:szCs w:val="21"/>
              </w:rPr>
              <w:t>（公章）</w:t>
            </w:r>
          </w:p>
          <w:p>
            <w:pPr>
              <w:spacing w:line="360" w:lineRule="auto"/>
              <w:ind w:firstLine="1050" w:firstLineChars="500"/>
              <w:rPr>
                <w:rFonts w:hint="eastAsia" w:ascii="宋体" w:hAnsi="宋体" w:cs="宋体"/>
                <w:szCs w:val="21"/>
                <w:u w:val="single"/>
              </w:rPr>
            </w:pPr>
            <w:r>
              <w:rPr>
                <w:rFonts w:hint="eastAsia" w:ascii="宋体" w:hAnsi="宋体" w:cs="宋体"/>
                <w:szCs w:val="21"/>
              </w:rPr>
              <w:t>法定代表人或授权委托人：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left="176" w:leftChars="84" w:firstLine="840" w:firstLineChars="400"/>
              <w:rPr>
                <w:rFonts w:hint="eastAsia" w:ascii="宋体" w:hAnsi="宋体" w:cs="宋体"/>
                <w:szCs w:val="21"/>
                <w:u w:val="single"/>
              </w:rPr>
            </w:pPr>
            <w:r>
              <w:rPr>
                <w:rFonts w:hint="eastAsia" w:ascii="宋体" w:hAnsi="宋体" w:cs="宋体"/>
                <w:szCs w:val="21"/>
              </w:rPr>
              <w:t>联 系 人：</w:t>
            </w:r>
            <w:r>
              <w:rPr>
                <w:rFonts w:hint="eastAsia" w:ascii="宋体" w:hAnsi="宋体" w:cs="宋体"/>
                <w:szCs w:val="21"/>
                <w:u w:val="single"/>
              </w:rPr>
              <w:t xml:space="preserve">                                        </w:t>
            </w:r>
          </w:p>
          <w:p>
            <w:pPr>
              <w:spacing w:line="360" w:lineRule="auto"/>
              <w:ind w:left="176" w:leftChars="84" w:firstLine="840" w:firstLineChars="4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spacing w:line="360" w:lineRule="auto"/>
              <w:ind w:left="176" w:leftChars="84" w:firstLine="840" w:firstLineChars="400"/>
              <w:rPr>
                <w:rFonts w:hint="eastAsia" w:ascii="宋体" w:hAnsi="宋体" w:cs="宋体"/>
              </w:rPr>
            </w:pPr>
            <w:r>
              <w:rPr>
                <w:rFonts w:hint="eastAsia" w:ascii="宋体" w:hAnsi="宋体" w:cs="宋体"/>
              </w:rPr>
              <w:t>日    期：</w:t>
            </w:r>
            <w:r>
              <w:rPr>
                <w:rFonts w:hint="eastAsia" w:ascii="宋体" w:hAnsi="宋体" w:cs="宋体"/>
                <w:szCs w:val="21"/>
                <w:u w:val="single"/>
              </w:rPr>
              <w:t xml:space="preserve">                                        </w:t>
            </w:r>
          </w:p>
        </w:tc>
      </w:tr>
    </w:tbl>
    <w:p>
      <w:pPr>
        <w:widowControl w:val="0"/>
        <w:numPr>
          <w:ilvl w:val="0"/>
          <w:numId w:val="0"/>
        </w:numPr>
        <w:jc w:val="both"/>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5"/>
        <w:ind w:firstLine="2249" w:firstLineChars="800"/>
        <w:jc w:val="both"/>
        <w:rPr>
          <w:rFonts w:hint="eastAsia" w:ascii="宋体" w:hAnsi="宋体" w:eastAsia="宋体" w:cs="宋体"/>
          <w:highlight w:val="none"/>
        </w:rPr>
      </w:pPr>
      <w:bookmarkStart w:id="446" w:name="_Toc27195"/>
      <w:bookmarkStart w:id="447" w:name="_Toc11252"/>
      <w:r>
        <w:rPr>
          <w:rFonts w:hint="eastAsia" w:ascii="宋体" w:hAnsi="宋体" w:eastAsia="宋体" w:cs="宋体"/>
          <w:highlight w:val="none"/>
          <w:lang w:eastAsia="zh-CN"/>
        </w:rPr>
        <w:t>第一部分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r>
        <w:rPr>
          <w:rFonts w:hint="eastAsia" w:ascii="宋体" w:hAnsi="宋体" w:eastAsia="宋体" w:cs="宋体"/>
          <w:highlight w:val="none"/>
          <w:lang w:eastAsia="zh-CN"/>
        </w:rPr>
        <w:t>报价一览表及资格证明文件</w:t>
      </w:r>
      <w:bookmarkEnd w:id="446"/>
      <w:bookmarkEnd w:id="447"/>
    </w:p>
    <w:p>
      <w:pPr>
        <w:spacing w:line="240" w:lineRule="atLeast"/>
        <w:ind w:left="708" w:hanging="619" w:hangingChars="295"/>
        <w:jc w:val="center"/>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2、法人身份证明及授权委托书；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3、谈判保证金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4、供应商的供应商基本情况表；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000000"/>
          <w:kern w:val="0"/>
          <w:sz w:val="24"/>
          <w:szCs w:val="24"/>
          <w:highlight w:val="none"/>
          <w:lang w:val="en-US" w:eastAsia="zh-CN"/>
        </w:rPr>
        <w:t>5、项目负责人简历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6、通过“信用中国”网站（www.creditchina.gov.cn）或中国政府采购网（www.ccgp.gov.cn）网站上未被列入失信被执行人、重大税收违法案件当事人名单以及政府采购严重违法失信行为记录名单的网页截图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7、参加政府采购活动前三年内在经营活动中没有重大违法记录的书面声明；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8、提供针对本次项目《反商业贿赂承诺书》</w:t>
      </w: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bidi w:val="0"/>
        <w:rPr>
          <w:rFonts w:hint="eastAsia"/>
          <w:lang w:val="en-US" w:eastAsia="zh-CN"/>
        </w:rPr>
      </w:pPr>
      <w:bookmarkStart w:id="448" w:name="_Toc19832"/>
      <w:bookmarkStart w:id="449" w:name="_Toc1601"/>
      <w:bookmarkStart w:id="450" w:name="_Toc30524"/>
      <w:bookmarkStart w:id="451" w:name="_Toc515647804"/>
      <w:bookmarkStart w:id="452" w:name="_Toc485"/>
      <w:bookmarkStart w:id="453" w:name="_Toc11399"/>
      <w:bookmarkStart w:id="454" w:name="_Toc16568"/>
      <w:bookmarkStart w:id="455" w:name="_Toc5405"/>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33"/>
        <w:pageBreakBefore w:val="0"/>
        <w:widowControl w:val="0"/>
        <w:numPr>
          <w:ilvl w:val="0"/>
          <w:numId w:val="0"/>
        </w:numPr>
        <w:kinsoku/>
        <w:wordWrap/>
        <w:overflowPunct/>
        <w:topLinePunct w:val="0"/>
        <w:bidi w:val="0"/>
        <w:spacing w:line="360" w:lineRule="auto"/>
        <w:jc w:val="both"/>
        <w:textAlignment w:val="auto"/>
        <w:rPr>
          <w:rFonts w:hint="eastAsia" w:eastAsia="宋体" w:cs="宋体"/>
          <w:b w:val="0"/>
          <w:bCs/>
          <w:sz w:val="32"/>
          <w:szCs w:val="32"/>
          <w:highlight w:val="none"/>
          <w:lang w:val="en-US" w:eastAsia="zh-CN"/>
        </w:rPr>
      </w:pPr>
    </w:p>
    <w:p>
      <w:pPr>
        <w:pStyle w:val="33"/>
        <w:pageBreakBefore w:val="0"/>
        <w:widowControl w:val="0"/>
        <w:numPr>
          <w:ilvl w:val="0"/>
          <w:numId w:val="0"/>
        </w:numPr>
        <w:kinsoku/>
        <w:wordWrap/>
        <w:overflowPunct/>
        <w:topLinePunct w:val="0"/>
        <w:bidi w:val="0"/>
        <w:spacing w:line="360" w:lineRule="auto"/>
        <w:ind w:firstLine="3520" w:firstLineChars="1100"/>
        <w:jc w:val="both"/>
        <w:textAlignment w:val="auto"/>
        <w:rPr>
          <w:rFonts w:hint="eastAsia"/>
          <w:b w:val="0"/>
          <w:bCs/>
          <w:sz w:val="32"/>
          <w:szCs w:val="32"/>
        </w:rPr>
      </w:pPr>
      <w:r>
        <w:rPr>
          <w:rFonts w:hint="eastAsia" w:eastAsia="宋体" w:cs="宋体"/>
          <w:b w:val="0"/>
          <w:bCs/>
          <w:sz w:val="32"/>
          <w:szCs w:val="32"/>
          <w:highlight w:val="none"/>
          <w:lang w:val="en-US" w:eastAsia="zh-CN"/>
        </w:rPr>
        <w:t>1.</w:t>
      </w:r>
      <w:r>
        <w:rPr>
          <w:rFonts w:hint="eastAsia" w:ascii="宋体" w:hAnsi="宋体" w:eastAsia="宋体" w:cs="宋体"/>
          <w:b w:val="0"/>
          <w:bCs/>
          <w:sz w:val="32"/>
          <w:szCs w:val="32"/>
          <w:highlight w:val="none"/>
          <w:lang w:eastAsia="zh-CN"/>
        </w:rPr>
        <w:t>报价一览表</w:t>
      </w:r>
      <w:bookmarkEnd w:id="448"/>
      <w:bookmarkEnd w:id="449"/>
      <w:bookmarkEnd w:id="450"/>
      <w:bookmarkEnd w:id="451"/>
      <w:bookmarkEnd w:id="452"/>
      <w:bookmarkEnd w:id="453"/>
      <w:bookmarkEnd w:id="454"/>
      <w:bookmarkEnd w:id="455"/>
    </w:p>
    <w:p>
      <w:pPr>
        <w:rPr>
          <w:rFonts w:hint="eastAsia"/>
        </w:rPr>
      </w:pPr>
    </w:p>
    <w:p>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sz w:val="24"/>
          <w:szCs w:val="24"/>
          <w:highlight w:val="none"/>
        </w:rPr>
      </w:pPr>
      <w:bookmarkStart w:id="456" w:name="_Hlt520356241"/>
      <w:bookmarkEnd w:id="456"/>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p>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报价单位：</w:t>
      </w:r>
      <w:r>
        <w:rPr>
          <w:rFonts w:hint="eastAsia" w:ascii="宋体" w:hAnsi="宋体" w:eastAsia="宋体" w:cs="宋体"/>
          <w:sz w:val="24"/>
          <w:szCs w:val="24"/>
          <w:highlight w:val="none"/>
          <w:lang w:val="en-US" w:eastAsia="zh-CN"/>
        </w:rPr>
        <w:t xml:space="preserve">人民币 </w:t>
      </w:r>
      <w:r>
        <w:rPr>
          <w:rFonts w:hint="eastAsia" w:ascii="宋体" w:hAnsi="宋体" w:eastAsia="宋体" w:cs="宋体"/>
          <w:b/>
          <w:sz w:val="24"/>
          <w:szCs w:val="24"/>
          <w:highlight w:val="none"/>
        </w:rPr>
        <w:t>元</w:t>
      </w:r>
    </w:p>
    <w:tbl>
      <w:tblPr>
        <w:tblStyle w:val="22"/>
        <w:tblW w:w="10009" w:type="dxa"/>
        <w:tblInd w:w="-61" w:type="dxa"/>
        <w:tblLayout w:type="fixed"/>
        <w:tblCellMar>
          <w:top w:w="0" w:type="dxa"/>
          <w:left w:w="0" w:type="dxa"/>
          <w:bottom w:w="0" w:type="dxa"/>
          <w:right w:w="0" w:type="dxa"/>
        </w:tblCellMar>
      </w:tblPr>
      <w:tblGrid>
        <w:gridCol w:w="1715"/>
        <w:gridCol w:w="2747"/>
        <w:gridCol w:w="2693"/>
        <w:gridCol w:w="1494"/>
        <w:gridCol w:w="1360"/>
      </w:tblGrid>
      <w:tr>
        <w:tblPrEx>
          <w:tblCellMar>
            <w:top w:w="0" w:type="dxa"/>
            <w:left w:w="0" w:type="dxa"/>
            <w:bottom w:w="0" w:type="dxa"/>
            <w:right w:w="0" w:type="dxa"/>
          </w:tblCellMar>
        </w:tblPrEx>
        <w:trPr>
          <w:trHeight w:val="773" w:hRule="atLeast"/>
        </w:trPr>
        <w:tc>
          <w:tcPr>
            <w:tcW w:w="1715" w:type="dxa"/>
            <w:tcBorders>
              <w:top w:val="single" w:color="auto" w:sz="4" w:space="0"/>
              <w:left w:val="single" w:color="auto" w:sz="4" w:space="0"/>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right="-199"/>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名称</w:t>
            </w:r>
          </w:p>
        </w:tc>
        <w:tc>
          <w:tcPr>
            <w:tcW w:w="2747" w:type="dxa"/>
            <w:tcBorders>
              <w:top w:val="single" w:color="auto" w:sz="4" w:space="0"/>
              <w:left w:val="single" w:color="auto" w:sz="8" w:space="0"/>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标的</w:t>
            </w:r>
            <w:r>
              <w:rPr>
                <w:rFonts w:hint="eastAsia" w:ascii="宋体" w:hAnsi="宋体" w:eastAsia="宋体" w:cs="宋体"/>
                <w:sz w:val="24"/>
                <w:szCs w:val="24"/>
                <w:highlight w:val="none"/>
                <w:lang w:eastAsia="zh-CN"/>
              </w:rPr>
              <w:t>报</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（元）</w:t>
            </w:r>
          </w:p>
        </w:tc>
        <w:tc>
          <w:tcPr>
            <w:tcW w:w="2693" w:type="dxa"/>
            <w:tcBorders>
              <w:top w:val="single" w:color="auto" w:sz="8" w:space="0"/>
              <w:left w:val="nil"/>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缴纳</w:t>
            </w:r>
            <w:r>
              <w:rPr>
                <w:rFonts w:hint="eastAsia" w:ascii="宋体" w:hAnsi="宋体" w:eastAsia="宋体" w:cs="宋体"/>
                <w:sz w:val="24"/>
                <w:szCs w:val="24"/>
                <w:highlight w:val="none"/>
              </w:rPr>
              <w:t>谈判保证金</w:t>
            </w:r>
            <w:r>
              <w:rPr>
                <w:rFonts w:hint="eastAsia" w:ascii="宋体" w:hAnsi="宋体" w:eastAsia="宋体" w:cs="宋体"/>
                <w:sz w:val="24"/>
                <w:szCs w:val="24"/>
                <w:highlight w:val="none"/>
                <w:lang w:eastAsia="zh-CN"/>
              </w:rPr>
              <w:t>（元）</w:t>
            </w:r>
          </w:p>
        </w:tc>
        <w:tc>
          <w:tcPr>
            <w:tcW w:w="1494"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工期</w:t>
            </w:r>
          </w:p>
        </w:tc>
        <w:tc>
          <w:tcPr>
            <w:tcW w:w="1360"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CellMar>
            <w:top w:w="0" w:type="dxa"/>
            <w:left w:w="0" w:type="dxa"/>
            <w:bottom w:w="0" w:type="dxa"/>
            <w:right w:w="0" w:type="dxa"/>
          </w:tblCellMar>
        </w:tblPrEx>
        <w:trPr>
          <w:cantSplit/>
          <w:trHeight w:val="1893" w:hRule="atLeast"/>
        </w:trPr>
        <w:tc>
          <w:tcPr>
            <w:tcW w:w="1715" w:type="dxa"/>
            <w:tcBorders>
              <w:top w:val="single" w:color="auto" w:sz="8" w:space="0"/>
              <w:left w:val="single" w:color="auto" w:sz="4" w:space="0"/>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2747" w:type="dxa"/>
            <w:tcBorders>
              <w:top w:val="single" w:color="auto" w:sz="8" w:space="0"/>
              <w:left w:val="single" w:color="auto" w:sz="8" w:space="0"/>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pStyle w:val="18"/>
              <w:rPr>
                <w:rFonts w:hint="eastAsia"/>
              </w:rPr>
            </w:pPr>
          </w:p>
          <w:p>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c>
          <w:tcPr>
            <w:tcW w:w="2693" w:type="dxa"/>
            <w:tcBorders>
              <w:top w:val="single" w:color="auto" w:sz="8" w:space="0"/>
              <w:left w:val="nil"/>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494"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360"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r>
    </w:tbl>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供应商名称（单位盖章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法定代表人或委托代理(</w:t>
      </w:r>
      <w:r>
        <w:rPr>
          <w:rFonts w:hint="eastAsia" w:ascii="宋体" w:hAnsi="宋体" w:eastAsia="宋体" w:cs="宋体"/>
          <w:sz w:val="24"/>
          <w:szCs w:val="24"/>
          <w:highlight w:val="none"/>
          <w:lang w:eastAsia="zh-CN"/>
        </w:rPr>
        <w:t>签字</w:t>
      </w:r>
      <w:r>
        <w:rPr>
          <w:rFonts w:hint="eastAsia"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1、此表应按供应商须知的规定装订密封。</w:t>
      </w: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报价包含</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lang w:val="en-US" w:eastAsia="zh-CN"/>
        </w:rPr>
        <w:t>本项目全部</w:t>
      </w:r>
      <w:r>
        <w:rPr>
          <w:rFonts w:hint="eastAsia" w:ascii="宋体" w:hAnsi="宋体" w:eastAsia="宋体" w:cs="宋体"/>
          <w:sz w:val="24"/>
          <w:szCs w:val="24"/>
          <w:highlight w:val="none"/>
          <w:lang w:eastAsia="zh-CN"/>
        </w:rPr>
        <w:t>费用。</w:t>
      </w: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pStyle w:val="21"/>
        <w:ind w:left="0" w:leftChars="0" w:firstLine="0" w:firstLine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32"/>
          <w:szCs w:val="32"/>
          <w:highlight w:val="none"/>
          <w:lang w:val="en-US" w:eastAsia="zh-CN"/>
        </w:rPr>
        <w:t>2.法人身份证明及授权委托书</w:t>
      </w:r>
    </w:p>
    <w:p>
      <w:pPr>
        <w:pStyle w:val="18"/>
        <w:numPr>
          <w:ilvl w:val="0"/>
          <w:numId w:val="0"/>
        </w:numPr>
        <w:rPr>
          <w:rFonts w:hint="eastAsia" w:ascii="宋体" w:hAnsi="宋体" w:eastAsia="宋体" w:cs="宋体"/>
          <w:b w:val="0"/>
          <w:bCs w:val="0"/>
          <w:color w:val="000000"/>
          <w:kern w:val="0"/>
          <w:sz w:val="28"/>
          <w:szCs w:val="28"/>
          <w:highlight w:val="none"/>
          <w:lang w:val="en-US" w:eastAsia="zh-CN" w:bidi="ar-SA"/>
        </w:rPr>
      </w:pPr>
      <w:r>
        <w:rPr>
          <w:rFonts w:hint="eastAsia"/>
          <w:sz w:val="28"/>
          <w:szCs w:val="28"/>
          <w:lang w:val="en-US" w:eastAsia="zh-CN"/>
        </w:rPr>
        <w:t xml:space="preserve">                              </w:t>
      </w:r>
      <w:r>
        <w:rPr>
          <w:rFonts w:hint="eastAsia" w:ascii="宋体" w:hAnsi="宋体" w:eastAsia="宋体" w:cs="宋体"/>
          <w:b w:val="0"/>
          <w:bCs w:val="0"/>
          <w:color w:val="000000"/>
          <w:kern w:val="0"/>
          <w:sz w:val="28"/>
          <w:szCs w:val="28"/>
          <w:highlight w:val="none"/>
          <w:lang w:val="en-US" w:eastAsia="zh-CN" w:bidi="ar-SA"/>
        </w:rPr>
        <w:t xml:space="preserve">   </w:t>
      </w:r>
    </w:p>
    <w:p>
      <w:pPr>
        <w:pStyle w:val="18"/>
        <w:numPr>
          <w:ilvl w:val="0"/>
          <w:numId w:val="0"/>
        </w:numPr>
        <w:ind w:firstLine="1680" w:firstLineChars="600"/>
        <w:rPr>
          <w:rFonts w:hint="eastAsia" w:ascii="宋体" w:hAnsi="宋体" w:eastAsia="宋体" w:cs="宋体"/>
          <w:b w:val="0"/>
          <w:bCs w:val="0"/>
          <w:color w:val="000000"/>
          <w:kern w:val="0"/>
          <w:sz w:val="32"/>
          <w:szCs w:val="32"/>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2-1 法定代表人身份证明（适用于法人参加谈判）</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同志，现任我单位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签发日期：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单位：</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附：代表人性别：</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年龄：</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身份证号码：</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营业执照号码：</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经济性质：</w:t>
      </w:r>
      <w:r>
        <w:rPr>
          <w:rFonts w:hint="eastAsia" w:ascii="宋体" w:hAnsi="宋体" w:eastAsia="宋体" w:cs="宋体"/>
          <w:b w:val="0"/>
          <w:bCs w:val="0"/>
          <w:sz w:val="24"/>
          <w:szCs w:val="24"/>
          <w:u w:val="single"/>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附法定代表人身份证复印件</w:t>
      </w:r>
    </w:p>
    <w:p>
      <w:pPr>
        <w:spacing w:line="360" w:lineRule="auto"/>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28" name="流程图: 可选过程 2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1JBh8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G&#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HUkGH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sz w:val="24"/>
          <w:szCs w:val="20"/>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p>
                            <w:pPr>
                              <w:pStyle w:val="3"/>
                            </w:pPr>
                          </w:p>
                          <w:p>
                            <w:pPr>
                              <w:pStyle w:val="3"/>
                            </w:pPr>
                          </w:p>
                          <w:p>
                            <w:pPr>
                              <w:pStyle w:val="3"/>
                            </w:pPr>
                          </w:p>
                          <w:p>
                            <w:pPr>
                              <w:pStyle w:val="3"/>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AGJS8d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p>
                      <w:pPr>
                        <w:pStyle w:val="3"/>
                      </w:pPr>
                    </w:p>
                    <w:p>
                      <w:pPr>
                        <w:pStyle w:val="3"/>
                      </w:pPr>
                    </w:p>
                    <w:p>
                      <w:pPr>
                        <w:pStyle w:val="3"/>
                      </w:pPr>
                    </w:p>
                    <w:p>
                      <w:pPr>
                        <w:pStyle w:val="3"/>
                      </w:pPr>
                    </w:p>
                  </w:txbxContent>
                </v:textbox>
              </v:roundrect>
            </w:pict>
          </mc:Fallback>
        </mc:AlternateContent>
      </w:r>
    </w:p>
    <w:p>
      <w:pPr>
        <w:spacing w:line="360" w:lineRule="auto"/>
        <w:rPr>
          <w:rFonts w:hint="eastAsia" w:ascii="宋体" w:hAnsi="宋体" w:cs="宋体"/>
          <w:sz w:val="24"/>
          <w:szCs w:val="20"/>
        </w:rPr>
      </w:pPr>
    </w:p>
    <w:p>
      <w:pPr>
        <w:spacing w:line="360" w:lineRule="auto"/>
        <w:rPr>
          <w:rFonts w:hint="eastAsia" w:ascii="宋体" w:hAnsi="宋体" w:cs="宋体"/>
          <w:sz w:val="24"/>
          <w:szCs w:val="20"/>
        </w:rPr>
      </w:pPr>
    </w:p>
    <w:p>
      <w:pPr>
        <w:autoSpaceDE w:val="0"/>
        <w:autoSpaceDN w:val="0"/>
        <w:adjustRightInd w:val="0"/>
        <w:spacing w:line="360" w:lineRule="auto"/>
        <w:ind w:right="246"/>
        <w:rPr>
          <w:rFonts w:hint="eastAsia" w:ascii="宋体" w:hAnsi="宋体" w:cs="宋体"/>
          <w:sz w:val="24"/>
          <w:szCs w:val="20"/>
        </w:rPr>
      </w:pPr>
    </w:p>
    <w:p>
      <w:pPr>
        <w:autoSpaceDE w:val="0"/>
        <w:autoSpaceDN w:val="0"/>
        <w:adjustRightInd w:val="0"/>
        <w:spacing w:line="360" w:lineRule="auto"/>
        <w:ind w:right="246" w:firstLine="784" w:firstLineChars="327"/>
        <w:rPr>
          <w:rFonts w:hint="eastAsia" w:ascii="宋体" w:hAnsi="宋体" w:cs="宋体"/>
          <w:sz w:val="24"/>
          <w:szCs w:val="20"/>
        </w:rPr>
      </w:pPr>
      <w:r>
        <w:rPr>
          <w:rFonts w:hint="eastAsia" w:ascii="宋体" w:hAnsi="宋体" w:cs="宋体"/>
          <w:sz w:val="24"/>
          <w:szCs w:val="20"/>
        </w:rPr>
        <w:t xml:space="preserve">供应商（盖章）：                              </w:t>
      </w:r>
    </w:p>
    <w:p>
      <w:pPr>
        <w:adjustRightInd w:val="0"/>
        <w:snapToGrid w:val="0"/>
        <w:spacing w:line="360" w:lineRule="auto"/>
        <w:ind w:firstLine="784" w:firstLineChars="327"/>
        <w:rPr>
          <w:rFonts w:hint="eastAsia" w:ascii="宋体" w:hAnsi="宋体" w:cs="宋体"/>
          <w:sz w:val="24"/>
          <w:szCs w:val="20"/>
        </w:rPr>
      </w:pPr>
    </w:p>
    <w:p>
      <w:pPr>
        <w:pStyle w:val="3"/>
        <w:rPr>
          <w:rFonts w:hint="eastAsia" w:hAnsi="宋体" w:cs="宋体"/>
        </w:rPr>
      </w:pPr>
    </w:p>
    <w:p>
      <w:pPr>
        <w:adjustRightInd w:val="0"/>
        <w:snapToGrid w:val="0"/>
        <w:spacing w:line="360" w:lineRule="auto"/>
        <w:ind w:firstLine="5582" w:firstLineChars="2326"/>
        <w:rPr>
          <w:rFonts w:hint="eastAsia" w:ascii="宋体" w:hAnsi="宋体" w:cs="宋体"/>
          <w:sz w:val="24"/>
          <w:szCs w:val="20"/>
        </w:rPr>
      </w:pPr>
      <w:r>
        <w:rPr>
          <w:rFonts w:hint="eastAsia" w:ascii="宋体" w:hAnsi="宋体" w:cs="宋体"/>
          <w:sz w:val="24"/>
          <w:szCs w:val="20"/>
        </w:rPr>
        <w:t xml:space="preserve">供应商（盖章）：                              </w:t>
      </w:r>
    </w:p>
    <w:p>
      <w:pPr>
        <w:adjustRightInd w:val="0"/>
        <w:snapToGrid w:val="0"/>
        <w:spacing w:line="360" w:lineRule="auto"/>
        <w:ind w:firstLine="784" w:firstLineChars="327"/>
        <w:rPr>
          <w:rFonts w:hint="eastAsia" w:ascii="宋体" w:hAnsi="宋体" w:cs="宋体"/>
          <w:sz w:val="24"/>
          <w:szCs w:val="20"/>
        </w:rPr>
      </w:pPr>
    </w:p>
    <w:p>
      <w:pPr>
        <w:adjustRightInd w:val="0"/>
        <w:snapToGrid w:val="0"/>
        <w:spacing w:line="360" w:lineRule="auto"/>
        <w:ind w:firstLine="4862" w:firstLineChars="2026"/>
        <w:rPr>
          <w:rFonts w:hint="eastAsia" w:ascii="宋体" w:hAnsi="宋体" w:cs="宋体"/>
          <w:sz w:val="24"/>
          <w:szCs w:val="20"/>
        </w:rPr>
      </w:pPr>
      <w:r>
        <w:rPr>
          <w:rFonts w:hint="eastAsia" w:ascii="宋体" w:hAnsi="宋体" w:cs="宋体"/>
          <w:sz w:val="24"/>
          <w:szCs w:val="20"/>
        </w:rPr>
        <w:t>法定代表人</w:t>
      </w:r>
      <w:r>
        <w:rPr>
          <w:rFonts w:hint="eastAsia" w:ascii="宋体" w:hAnsi="宋体" w:cs="宋体"/>
          <w:sz w:val="24"/>
          <w:szCs w:val="20"/>
          <w:lang w:eastAsia="zh-CN"/>
        </w:rPr>
        <w:t>（</w:t>
      </w:r>
      <w:r>
        <w:rPr>
          <w:rFonts w:hint="eastAsia" w:ascii="宋体" w:hAnsi="宋体" w:cs="宋体"/>
          <w:sz w:val="24"/>
          <w:szCs w:val="20"/>
        </w:rPr>
        <w:t>签字或盖章</w:t>
      </w:r>
      <w:r>
        <w:rPr>
          <w:rFonts w:hint="eastAsia" w:ascii="宋体" w:hAnsi="宋体" w:cs="宋体"/>
          <w:sz w:val="24"/>
          <w:szCs w:val="20"/>
          <w:lang w:eastAsia="zh-CN"/>
        </w:rPr>
        <w:t>）</w:t>
      </w:r>
      <w:r>
        <w:rPr>
          <w:rFonts w:hint="eastAsia" w:ascii="宋体" w:hAnsi="宋体" w:cs="宋体"/>
          <w:sz w:val="24"/>
          <w:szCs w:val="20"/>
        </w:rPr>
        <w:t xml:space="preserve">：                    </w:t>
      </w:r>
    </w:p>
    <w:p>
      <w:pPr>
        <w:adjustRightInd w:val="0"/>
        <w:snapToGrid w:val="0"/>
        <w:spacing w:line="360" w:lineRule="auto"/>
        <w:ind w:firstLine="784" w:firstLineChars="327"/>
        <w:rPr>
          <w:rFonts w:hint="eastAsia" w:ascii="宋体" w:hAnsi="宋体" w:cs="宋体"/>
          <w:sz w:val="24"/>
          <w:szCs w:val="20"/>
        </w:rPr>
      </w:pPr>
      <w:r>
        <w:rPr>
          <w:rFonts w:hint="eastAsia" w:ascii="宋体" w:hAnsi="宋体" w:cs="宋体"/>
          <w:sz w:val="24"/>
          <w:szCs w:val="20"/>
        </w:rPr>
        <w:t xml:space="preserve">                                                   </w:t>
      </w:r>
    </w:p>
    <w:p>
      <w:pPr>
        <w:pStyle w:val="18"/>
        <w:numPr>
          <w:ilvl w:val="0"/>
          <w:numId w:val="0"/>
        </w:numPr>
        <w:ind w:firstLine="6000" w:firstLineChars="2500"/>
        <w:rPr>
          <w:rFonts w:hint="default" w:ascii="宋体" w:hAnsi="宋体" w:eastAsia="宋体" w:cs="宋体"/>
          <w:b w:val="0"/>
          <w:bCs w:val="0"/>
          <w:color w:val="000000"/>
          <w:kern w:val="0"/>
          <w:sz w:val="24"/>
          <w:szCs w:val="24"/>
          <w:highlight w:val="none"/>
          <w:lang w:val="en-US" w:eastAsia="zh-CN" w:bidi="ar-SA"/>
        </w:rPr>
      </w:pPr>
      <w:r>
        <w:rPr>
          <w:rFonts w:hint="eastAsia" w:ascii="宋体" w:hAnsi="宋体" w:cs="宋体"/>
          <w:sz w:val="24"/>
          <w:szCs w:val="20"/>
        </w:rPr>
        <w:t xml:space="preserve">日期：  年   月   日  </w:t>
      </w: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8"/>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8"/>
        <w:numPr>
          <w:ilvl w:val="0"/>
          <w:numId w:val="0"/>
        </w:numPr>
        <w:rPr>
          <w:rFonts w:hint="eastAsia" w:ascii="宋体" w:hAnsi="宋体" w:eastAsia="宋体" w:cs="宋体"/>
          <w:b w:val="0"/>
          <w:bCs w:val="0"/>
          <w:color w:val="000000"/>
          <w:kern w:val="0"/>
          <w:sz w:val="28"/>
          <w:szCs w:val="28"/>
          <w:highlight w:val="none"/>
          <w:lang w:val="en-US" w:eastAsia="zh-CN" w:bidi="ar-SA"/>
        </w:rPr>
      </w:pPr>
    </w:p>
    <w:p>
      <w:pPr>
        <w:pStyle w:val="18"/>
        <w:numPr>
          <w:ilvl w:val="0"/>
          <w:numId w:val="0"/>
        </w:numPr>
        <w:ind w:firstLine="1400" w:firstLineChars="500"/>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2-2   法人授权委托书（适合授权委托人参加谈判）</w:t>
      </w:r>
    </w:p>
    <w:p>
      <w:pPr>
        <w:pStyle w:val="18"/>
        <w:numPr>
          <w:ilvl w:val="0"/>
          <w:numId w:val="0"/>
        </w:numPr>
        <w:ind w:firstLine="2800" w:firstLineChars="1000"/>
        <w:rPr>
          <w:rFonts w:hint="eastAsia" w:ascii="宋体" w:hAnsi="宋体" w:eastAsia="宋体" w:cs="宋体"/>
          <w:b w:val="0"/>
          <w:bCs w:val="0"/>
          <w:color w:val="000000"/>
          <w:kern w:val="0"/>
          <w:sz w:val="28"/>
          <w:szCs w:val="28"/>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本授权书声明：注册于</w:t>
      </w:r>
      <w:r>
        <w:rPr>
          <w:rFonts w:hint="eastAsia" w:ascii="宋体" w:hAnsi="宋体" w:eastAsia="宋体" w:cs="宋体"/>
          <w:b w:val="0"/>
          <w:bCs w:val="0"/>
          <w:color w:val="000000"/>
          <w:kern w:val="0"/>
          <w:sz w:val="24"/>
          <w:szCs w:val="24"/>
          <w:highlight w:val="none"/>
          <w:u w:val="single"/>
          <w:lang w:val="en-US" w:eastAsia="zh-CN" w:bidi="ar-SA"/>
        </w:rPr>
        <w:t xml:space="preserve">（国家或地区的名称） </w:t>
      </w:r>
      <w:r>
        <w:rPr>
          <w:rFonts w:hint="eastAsia" w:ascii="宋体" w:hAnsi="宋体" w:eastAsia="宋体" w:cs="宋体"/>
          <w:b w:val="0"/>
          <w:bCs w:val="0"/>
          <w:color w:val="000000"/>
          <w:kern w:val="0"/>
          <w:sz w:val="24"/>
          <w:szCs w:val="24"/>
          <w:highlight w:val="none"/>
          <w:lang w:val="en-US" w:eastAsia="zh-CN" w:bidi="ar-SA"/>
        </w:rPr>
        <w:t>的</w:t>
      </w:r>
      <w:r>
        <w:rPr>
          <w:rFonts w:hint="eastAsia" w:ascii="宋体" w:hAnsi="宋体" w:eastAsia="宋体" w:cs="宋体"/>
          <w:b w:val="0"/>
          <w:bCs w:val="0"/>
          <w:color w:val="000000"/>
          <w:kern w:val="0"/>
          <w:sz w:val="24"/>
          <w:szCs w:val="24"/>
          <w:highlight w:val="none"/>
          <w:u w:val="single"/>
          <w:lang w:val="en-US" w:eastAsia="zh-CN" w:bidi="ar-SA"/>
        </w:rPr>
        <w:t xml:space="preserve">  （供应商）  </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（法人代表姓名、职务）</w:t>
      </w:r>
      <w:r>
        <w:rPr>
          <w:rFonts w:hint="eastAsia" w:ascii="宋体" w:hAnsi="宋体" w:eastAsia="宋体" w:cs="宋体"/>
          <w:b w:val="0"/>
          <w:bCs w:val="0"/>
          <w:color w:val="000000"/>
          <w:kern w:val="0"/>
          <w:sz w:val="24"/>
          <w:szCs w:val="24"/>
          <w:highlight w:val="none"/>
          <w:lang w:val="en-US" w:eastAsia="zh-CN" w:bidi="ar-SA"/>
        </w:rPr>
        <w:t>代表我单位授权</w:t>
      </w:r>
      <w:r>
        <w:rPr>
          <w:rFonts w:hint="eastAsia" w:ascii="宋体" w:hAnsi="宋体" w:eastAsia="宋体" w:cs="宋体"/>
          <w:b w:val="0"/>
          <w:bCs w:val="0"/>
          <w:color w:val="000000"/>
          <w:kern w:val="0"/>
          <w:sz w:val="24"/>
          <w:szCs w:val="24"/>
          <w:highlight w:val="none"/>
          <w:u w:val="single"/>
          <w:lang w:val="en-US" w:eastAsia="zh-CN" w:bidi="ar-SA"/>
        </w:rPr>
        <w:t>（单位名称）</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（被授权人的姓名、职务）</w:t>
      </w:r>
      <w:r>
        <w:rPr>
          <w:rFonts w:hint="eastAsia" w:ascii="宋体" w:hAnsi="宋体" w:eastAsia="宋体" w:cs="宋体"/>
          <w:b w:val="0"/>
          <w:bCs w:val="0"/>
          <w:color w:val="000000"/>
          <w:kern w:val="0"/>
          <w:sz w:val="24"/>
          <w:szCs w:val="24"/>
          <w:highlight w:val="none"/>
          <w:lang w:val="en-US" w:eastAsia="zh-CN" w:bidi="ar-SA"/>
        </w:rPr>
        <w:t>为我单位的合法代理人，就</w:t>
      </w:r>
      <w:r>
        <w:rPr>
          <w:rFonts w:hint="eastAsia" w:ascii="宋体" w:hAnsi="宋体" w:eastAsia="宋体" w:cs="宋体"/>
          <w:b w:val="0"/>
          <w:bCs w:val="0"/>
          <w:color w:val="000000"/>
          <w:kern w:val="0"/>
          <w:sz w:val="24"/>
          <w:szCs w:val="24"/>
          <w:highlight w:val="none"/>
          <w:u w:val="single"/>
          <w:lang w:val="en-US" w:eastAsia="zh-CN" w:bidi="ar-SA"/>
        </w:rPr>
        <w:t>（项目名称及项目编号）</w:t>
      </w:r>
      <w:r>
        <w:rPr>
          <w:rFonts w:hint="eastAsia" w:ascii="宋体" w:hAnsi="宋体" w:eastAsia="宋体" w:cs="宋体"/>
          <w:b w:val="0"/>
          <w:bCs w:val="0"/>
          <w:color w:val="000000"/>
          <w:kern w:val="0"/>
          <w:sz w:val="24"/>
          <w:szCs w:val="24"/>
          <w:highlight w:val="none"/>
          <w:lang w:val="en-US" w:eastAsia="zh-CN" w:bidi="ar-SA"/>
        </w:rPr>
        <w:t>谈判，以我单位名义处理一切与之有关的事务。</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本授权书于</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年</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月</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日签字生效,特此声明。</w:t>
      </w: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r>
        <w:rPr>
          <w:rFonts w:hint="default" w:ascii="宋体" w:hAnsi="宋体" w:eastAsia="宋体" w:cs="宋体"/>
          <w:sz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09.1pt;margin-top:4.5pt;height:100.15pt;width:210.15pt;z-index:251663360;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txbxContent>
                </v:textbox>
              </v:roundrect>
            </w:pict>
          </mc:Fallback>
        </mc:AlternateContent>
      </w:r>
      <w:r>
        <w:rPr>
          <w:rFonts w:hint="default" w:ascii="宋体" w:hAnsi="宋体" w:eastAsia="宋体" w:cs="宋体"/>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2336;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sz w:val="24"/>
          <w:highlight w:val="none"/>
          <w:lang w:val="en-US" w:eastAsia="zh-CN"/>
        </w:rPr>
        <w:t xml:space="preserve">  </w:t>
      </w: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20" w:firstLineChars="200"/>
        <w:rPr>
          <w:rFonts w:hint="eastAsia" w:ascii="宋体" w:hAnsi="宋体" w:eastAsia="宋体" w:cs="宋体"/>
          <w:sz w:val="24"/>
          <w:highlight w:val="none"/>
          <w:lang w:val="en-US" w:eastAsia="zh-CN"/>
        </w:rPr>
      </w:pPr>
      <w:r>
        <w:rPr>
          <w:rFonts w:hint="eastAsia" w:ascii="宋体" w:hAnsi="宋体" w:eastAsia="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14.25pt;margin-top:3.7pt;height:101.05pt;width:210.6pt;z-index:251665408;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txbxContent>
                </v:textbox>
              </v:roundrect>
            </w:pict>
          </mc:Fallback>
        </mc:AlternateContent>
      </w: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txbxContent>
                      </wps:txbx>
                      <wps:bodyPr upright="1"/>
                    </wps:wsp>
                  </a:graphicData>
                </a:graphic>
              </wp:anchor>
            </w:drawing>
          </mc:Choice>
          <mc:Fallback>
            <w:pict>
              <v:roundrect id="_x0000_s1026" o:spid="_x0000_s1026" o:spt="2" style="position:absolute;left:0pt;margin-left:-10.25pt;margin-top:4.25pt;height:99.8pt;width:204.25pt;z-index:251664384;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txbxContent>
                </v:textbox>
              </v:roundrect>
            </w:pict>
          </mc:Fallback>
        </mc:AlternateContent>
      </w: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2"/>
        <w:tabs>
          <w:tab w:val="left" w:pos="5580"/>
        </w:tabs>
        <w:spacing w:line="240" w:lineRule="atLeast"/>
        <w:rPr>
          <w:rFonts w:hint="eastAsia" w:ascii="宋体" w:hAnsi="宋体" w:eastAsia="宋体" w:cs="宋体"/>
          <w:sz w:val="24"/>
          <w:highlight w:val="none"/>
          <w:lang w:val="en-US" w:eastAsia="zh-CN"/>
        </w:rPr>
      </w:pP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（盖单位章）;</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法定代表人（签字或签章）：</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u w:val="single" w:color="EEECE1"/>
        </w:rPr>
        <w:t>身份证号码</w:t>
      </w:r>
      <w:r>
        <w:rPr>
          <w:rFonts w:hint="eastAsia" w:ascii="宋体" w:hAnsi="宋体" w:eastAsia="宋体" w:cs="宋体"/>
          <w:sz w:val="24"/>
          <w:highlight w:val="none"/>
        </w:rPr>
        <w:t>：_________________________________</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委托代理人（签字或签章）：</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详细通讯地址：</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邮 政 编 码 ：</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520" w:firstLineChars="1100"/>
        <w:jc w:val="both"/>
        <w:textAlignment w:val="auto"/>
        <w:rPr>
          <w:rFonts w:hint="eastAsia" w:ascii="宋体" w:hAnsi="宋体" w:eastAsia="宋体" w:cs="宋体"/>
          <w:b w:val="0"/>
          <w:bCs w:val="0"/>
          <w:color w:val="000000"/>
          <w:kern w:val="0"/>
          <w:sz w:val="32"/>
          <w:szCs w:val="32"/>
          <w:highlight w:val="none"/>
          <w:lang w:val="en-US" w:eastAsia="zh-CN"/>
        </w:rPr>
      </w:pPr>
      <w:r>
        <w:rPr>
          <w:rFonts w:hint="eastAsia" w:ascii="宋体" w:hAnsi="宋体" w:eastAsia="宋体" w:cs="宋体"/>
          <w:b w:val="0"/>
          <w:bCs w:val="0"/>
          <w:color w:val="000000"/>
          <w:kern w:val="0"/>
          <w:sz w:val="32"/>
          <w:szCs w:val="32"/>
          <w:highlight w:val="none"/>
          <w:lang w:val="en-US" w:eastAsia="zh-CN"/>
        </w:rPr>
        <w:t>3.谈判保证金</w:t>
      </w:r>
    </w:p>
    <w:p>
      <w:pPr>
        <w:keepNext w:val="0"/>
        <w:keepLines w:val="0"/>
        <w:widowControl/>
        <w:suppressLineNumbers w:val="0"/>
        <w:ind w:firstLine="1200" w:firstLineChars="5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说明：提供付款凭证或金融机构、担保机构出具的保函复印件</w:t>
      </w: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1"/>
        <w:rPr>
          <w:rFonts w:hint="eastAsia" w:ascii="宋体" w:hAnsi="宋体" w:eastAsia="宋体" w:cs="宋体"/>
          <w:color w:val="000000"/>
          <w:kern w:val="0"/>
          <w:sz w:val="24"/>
          <w:szCs w:val="24"/>
          <w:lang w:val="en-US" w:eastAsia="zh-CN" w:bidi="ar"/>
        </w:rPr>
      </w:pPr>
    </w:p>
    <w:p>
      <w:pPr>
        <w:pStyle w:val="3"/>
        <w:rPr>
          <w:rFonts w:hint="eastAsia" w:ascii="宋体" w:hAnsi="宋体" w:eastAsia="宋体" w:cs="宋体"/>
          <w:color w:val="000000"/>
          <w:kern w:val="0"/>
          <w:sz w:val="24"/>
          <w:szCs w:val="24"/>
          <w:lang w:val="en-US" w:eastAsia="zh-CN" w:bidi="ar"/>
        </w:rPr>
      </w:pPr>
    </w:p>
    <w:p/>
    <w:p>
      <w:pPr>
        <w:pStyle w:val="21"/>
        <w:numPr>
          <w:ilvl w:val="0"/>
          <w:numId w:val="0"/>
        </w:numPr>
        <w:ind w:leftChars="40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940" w:leftChars="0"/>
        <w:jc w:val="both"/>
        <w:textAlignment w:val="auto"/>
        <w:rPr>
          <w:rFonts w:hint="eastAsia" w:ascii="宋体" w:hAnsi="宋体" w:eastAsia="宋体" w:cs="宋体"/>
          <w:b w:val="0"/>
          <w:bCs w:val="0"/>
          <w:color w:val="000000"/>
          <w:kern w:val="0"/>
          <w:sz w:val="32"/>
          <w:szCs w:val="32"/>
          <w:highlight w:val="none"/>
          <w:lang w:val="en-US" w:eastAsia="zh-CN"/>
        </w:rPr>
      </w:pPr>
      <w:r>
        <w:rPr>
          <w:rFonts w:hint="eastAsia" w:ascii="宋体" w:hAnsi="宋体" w:eastAsia="宋体" w:cs="宋体"/>
          <w:b w:val="0"/>
          <w:bCs w:val="0"/>
          <w:color w:val="000000"/>
          <w:kern w:val="0"/>
          <w:sz w:val="32"/>
          <w:szCs w:val="32"/>
          <w:highlight w:val="none"/>
          <w:lang w:val="en-US" w:eastAsia="zh-CN"/>
        </w:rPr>
        <w:t>4.供应商基本情况表</w:t>
      </w:r>
    </w:p>
    <w:p>
      <w:pPr>
        <w:pStyle w:val="18"/>
        <w:numPr>
          <w:ilvl w:val="0"/>
          <w:numId w:val="0"/>
        </w:numPr>
        <w:rPr>
          <w:rFonts w:hint="default"/>
          <w:lang w:val="en-US" w:eastAsia="zh-CN"/>
        </w:rPr>
      </w:pPr>
    </w:p>
    <w:tbl>
      <w:tblPr>
        <w:tblStyle w:val="22"/>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398"/>
        <w:gridCol w:w="923"/>
        <w:gridCol w:w="1020"/>
        <w:gridCol w:w="291"/>
        <w:gridCol w:w="200"/>
        <w:gridCol w:w="1281"/>
        <w:gridCol w:w="267"/>
        <w:gridCol w:w="729"/>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lang w:val="en-US" w:eastAsia="zh-CN"/>
              </w:rPr>
              <w:t>供应商</w:t>
            </w:r>
            <w:r>
              <w:rPr>
                <w:rFonts w:hint="eastAsia" w:ascii="宋体" w:hAnsi="宋体" w:cs="宋体"/>
                <w:color w:val="000000"/>
                <w:sz w:val="24"/>
              </w:rPr>
              <w:t>名称</w:t>
            </w:r>
          </w:p>
        </w:tc>
        <w:tc>
          <w:tcPr>
            <w:tcW w:w="7564" w:type="dxa"/>
            <w:gridSpan w:val="9"/>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注册地址</w:t>
            </w:r>
          </w:p>
        </w:tc>
        <w:tc>
          <w:tcPr>
            <w:tcW w:w="3832" w:type="dxa"/>
            <w:gridSpan w:val="5"/>
            <w:noWrap w:val="0"/>
            <w:vAlign w:val="center"/>
          </w:tcPr>
          <w:p>
            <w:pPr>
              <w:jc w:val="center"/>
              <w:rPr>
                <w:rFonts w:hint="eastAsia" w:ascii="宋体" w:hAnsi="宋体" w:cs="宋体"/>
                <w:color w:val="000000"/>
                <w:sz w:val="24"/>
              </w:rPr>
            </w:pPr>
          </w:p>
        </w:tc>
        <w:tc>
          <w:tcPr>
            <w:tcW w:w="1281" w:type="dxa"/>
            <w:noWrap w:val="0"/>
            <w:vAlign w:val="center"/>
          </w:tcPr>
          <w:p>
            <w:pPr>
              <w:jc w:val="center"/>
              <w:rPr>
                <w:rFonts w:hint="eastAsia" w:ascii="宋体" w:hAnsi="宋体" w:cs="宋体"/>
                <w:color w:val="000000"/>
                <w:sz w:val="24"/>
              </w:rPr>
            </w:pPr>
            <w:r>
              <w:rPr>
                <w:rFonts w:hint="eastAsia" w:ascii="宋体" w:hAnsi="宋体" w:cs="宋体"/>
                <w:color w:val="000000"/>
                <w:sz w:val="24"/>
              </w:rPr>
              <w:t>邮政编码</w:t>
            </w:r>
          </w:p>
        </w:tc>
        <w:tc>
          <w:tcPr>
            <w:tcW w:w="2451"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vMerge w:val="restart"/>
            <w:noWrap w:val="0"/>
            <w:vAlign w:val="center"/>
          </w:tcPr>
          <w:p>
            <w:pPr>
              <w:jc w:val="center"/>
              <w:rPr>
                <w:rFonts w:hint="eastAsia" w:ascii="宋体" w:hAnsi="宋体" w:cs="宋体"/>
                <w:color w:val="000000"/>
                <w:sz w:val="24"/>
              </w:rPr>
            </w:pPr>
            <w:r>
              <w:rPr>
                <w:rFonts w:hint="eastAsia" w:ascii="宋体" w:hAnsi="宋体" w:cs="宋体"/>
                <w:color w:val="000000"/>
                <w:sz w:val="24"/>
              </w:rPr>
              <w:t>联系方式</w:t>
            </w: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联系人</w:t>
            </w:r>
          </w:p>
        </w:tc>
        <w:tc>
          <w:tcPr>
            <w:tcW w:w="2434" w:type="dxa"/>
            <w:gridSpan w:val="4"/>
            <w:noWrap w:val="0"/>
            <w:vAlign w:val="center"/>
          </w:tcPr>
          <w:p>
            <w:pPr>
              <w:jc w:val="center"/>
              <w:rPr>
                <w:rFonts w:hint="eastAsia" w:ascii="宋体" w:hAnsi="宋体" w:cs="宋体"/>
                <w:color w:val="000000"/>
                <w:sz w:val="24"/>
              </w:rPr>
            </w:pPr>
          </w:p>
        </w:tc>
        <w:tc>
          <w:tcPr>
            <w:tcW w:w="1281" w:type="dxa"/>
            <w:noWrap w:val="0"/>
            <w:vAlign w:val="center"/>
          </w:tcPr>
          <w:p>
            <w:pPr>
              <w:jc w:val="center"/>
              <w:rPr>
                <w:rFonts w:hint="eastAsia" w:ascii="宋体" w:hAnsi="宋体" w:cs="宋体"/>
                <w:color w:val="000000"/>
                <w:sz w:val="24"/>
              </w:rPr>
            </w:pPr>
            <w:r>
              <w:rPr>
                <w:rFonts w:hint="eastAsia" w:ascii="宋体" w:hAnsi="宋体" w:cs="宋体"/>
                <w:color w:val="000000"/>
                <w:sz w:val="24"/>
              </w:rPr>
              <w:t>电  话</w:t>
            </w:r>
          </w:p>
        </w:tc>
        <w:tc>
          <w:tcPr>
            <w:tcW w:w="2451"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vMerge w:val="continue"/>
            <w:noWrap w:val="0"/>
            <w:vAlign w:val="center"/>
          </w:tcPr>
          <w:p>
            <w:pPr>
              <w:jc w:val="center"/>
              <w:rPr>
                <w:rFonts w:hint="eastAsia" w:ascii="宋体" w:hAnsi="宋体" w:cs="宋体"/>
                <w:color w:val="000000"/>
                <w:sz w:val="24"/>
              </w:rPr>
            </w:pP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传  真</w:t>
            </w:r>
          </w:p>
        </w:tc>
        <w:tc>
          <w:tcPr>
            <w:tcW w:w="2434" w:type="dxa"/>
            <w:gridSpan w:val="4"/>
            <w:noWrap w:val="0"/>
            <w:vAlign w:val="center"/>
          </w:tcPr>
          <w:p>
            <w:pPr>
              <w:jc w:val="center"/>
              <w:rPr>
                <w:rFonts w:hint="eastAsia" w:ascii="宋体" w:hAnsi="宋体" w:cs="宋体"/>
                <w:color w:val="000000"/>
                <w:sz w:val="24"/>
              </w:rPr>
            </w:pPr>
          </w:p>
        </w:tc>
        <w:tc>
          <w:tcPr>
            <w:tcW w:w="1281" w:type="dxa"/>
            <w:noWrap w:val="0"/>
            <w:vAlign w:val="center"/>
          </w:tcPr>
          <w:p>
            <w:pPr>
              <w:jc w:val="center"/>
              <w:rPr>
                <w:rFonts w:hint="eastAsia" w:ascii="宋体" w:hAnsi="宋体" w:cs="宋体"/>
                <w:color w:val="000000"/>
                <w:sz w:val="24"/>
              </w:rPr>
            </w:pPr>
            <w:r>
              <w:rPr>
                <w:rFonts w:hint="eastAsia" w:ascii="宋体" w:hAnsi="宋体" w:cs="宋体"/>
                <w:color w:val="000000"/>
                <w:sz w:val="24"/>
              </w:rPr>
              <w:t>网  址</w:t>
            </w:r>
          </w:p>
        </w:tc>
        <w:tc>
          <w:tcPr>
            <w:tcW w:w="2451"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组织结构</w:t>
            </w:r>
          </w:p>
        </w:tc>
        <w:tc>
          <w:tcPr>
            <w:tcW w:w="7564" w:type="dxa"/>
            <w:gridSpan w:val="9"/>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法定代表人</w:t>
            </w: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姓名</w:t>
            </w:r>
          </w:p>
        </w:tc>
        <w:tc>
          <w:tcPr>
            <w:tcW w:w="923" w:type="dxa"/>
            <w:noWrap w:val="0"/>
            <w:vAlign w:val="center"/>
          </w:tcPr>
          <w:p>
            <w:pPr>
              <w:jc w:val="center"/>
              <w:rPr>
                <w:rFonts w:hint="eastAsia" w:ascii="宋体" w:hAnsi="宋体" w:cs="宋体"/>
                <w:color w:val="000000"/>
                <w:sz w:val="24"/>
              </w:rPr>
            </w:pPr>
          </w:p>
        </w:tc>
        <w:tc>
          <w:tcPr>
            <w:tcW w:w="1311"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技术职称</w:t>
            </w:r>
          </w:p>
        </w:tc>
        <w:tc>
          <w:tcPr>
            <w:tcW w:w="1748" w:type="dxa"/>
            <w:gridSpan w:val="3"/>
            <w:noWrap w:val="0"/>
            <w:vAlign w:val="center"/>
          </w:tcPr>
          <w:p>
            <w:pPr>
              <w:jc w:val="center"/>
              <w:rPr>
                <w:rFonts w:hint="eastAsia" w:ascii="宋体" w:hAnsi="宋体" w:cs="宋体"/>
                <w:color w:val="000000"/>
                <w:sz w:val="24"/>
              </w:rPr>
            </w:pPr>
          </w:p>
        </w:tc>
        <w:tc>
          <w:tcPr>
            <w:tcW w:w="729" w:type="dxa"/>
            <w:noWrap w:val="0"/>
            <w:vAlign w:val="center"/>
          </w:tcPr>
          <w:p>
            <w:pPr>
              <w:jc w:val="center"/>
              <w:rPr>
                <w:rFonts w:hint="eastAsia" w:ascii="宋体" w:hAnsi="宋体" w:cs="宋体"/>
                <w:color w:val="000000"/>
                <w:sz w:val="24"/>
              </w:rPr>
            </w:pPr>
            <w:r>
              <w:rPr>
                <w:rFonts w:hint="eastAsia" w:ascii="宋体" w:hAnsi="宋体" w:cs="宋体"/>
                <w:color w:val="000000"/>
                <w:sz w:val="24"/>
              </w:rPr>
              <w:t>电话</w:t>
            </w:r>
          </w:p>
        </w:tc>
        <w:tc>
          <w:tcPr>
            <w:tcW w:w="1455"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技术负责人</w:t>
            </w:r>
          </w:p>
        </w:tc>
        <w:tc>
          <w:tcPr>
            <w:tcW w:w="1398" w:type="dxa"/>
            <w:noWrap w:val="0"/>
            <w:vAlign w:val="center"/>
          </w:tcPr>
          <w:p>
            <w:pPr>
              <w:jc w:val="center"/>
              <w:rPr>
                <w:rFonts w:hint="eastAsia" w:ascii="宋体" w:hAnsi="宋体" w:cs="宋体"/>
                <w:color w:val="000000"/>
                <w:sz w:val="24"/>
              </w:rPr>
            </w:pPr>
            <w:r>
              <w:rPr>
                <w:rFonts w:hint="eastAsia" w:ascii="宋体" w:hAnsi="宋体" w:cs="宋体"/>
                <w:color w:val="000000"/>
                <w:sz w:val="24"/>
              </w:rPr>
              <w:t>姓名</w:t>
            </w:r>
          </w:p>
        </w:tc>
        <w:tc>
          <w:tcPr>
            <w:tcW w:w="923" w:type="dxa"/>
            <w:noWrap w:val="0"/>
            <w:vAlign w:val="center"/>
          </w:tcPr>
          <w:p>
            <w:pPr>
              <w:jc w:val="center"/>
              <w:rPr>
                <w:rFonts w:hint="eastAsia" w:ascii="宋体" w:hAnsi="宋体" w:cs="宋体"/>
                <w:color w:val="000000"/>
                <w:sz w:val="24"/>
              </w:rPr>
            </w:pPr>
          </w:p>
        </w:tc>
        <w:tc>
          <w:tcPr>
            <w:tcW w:w="1311"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技术职称</w:t>
            </w:r>
          </w:p>
        </w:tc>
        <w:tc>
          <w:tcPr>
            <w:tcW w:w="1748" w:type="dxa"/>
            <w:gridSpan w:val="3"/>
            <w:noWrap w:val="0"/>
            <w:vAlign w:val="center"/>
          </w:tcPr>
          <w:p>
            <w:pPr>
              <w:jc w:val="center"/>
              <w:rPr>
                <w:rFonts w:hint="eastAsia" w:ascii="宋体" w:hAnsi="宋体" w:cs="宋体"/>
                <w:color w:val="000000"/>
                <w:sz w:val="24"/>
              </w:rPr>
            </w:pPr>
          </w:p>
        </w:tc>
        <w:tc>
          <w:tcPr>
            <w:tcW w:w="729" w:type="dxa"/>
            <w:noWrap w:val="0"/>
            <w:vAlign w:val="center"/>
          </w:tcPr>
          <w:p>
            <w:pPr>
              <w:jc w:val="center"/>
              <w:rPr>
                <w:rFonts w:hint="eastAsia" w:ascii="宋体" w:hAnsi="宋体" w:cs="宋体"/>
                <w:color w:val="000000"/>
                <w:sz w:val="24"/>
              </w:rPr>
            </w:pPr>
            <w:r>
              <w:rPr>
                <w:rFonts w:hint="eastAsia" w:ascii="宋体" w:hAnsi="宋体" w:cs="宋体"/>
                <w:color w:val="000000"/>
                <w:sz w:val="24"/>
              </w:rPr>
              <w:t>电话</w:t>
            </w:r>
          </w:p>
        </w:tc>
        <w:tc>
          <w:tcPr>
            <w:tcW w:w="1455"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成立时间</w:t>
            </w:r>
          </w:p>
        </w:tc>
        <w:tc>
          <w:tcPr>
            <w:tcW w:w="2321" w:type="dxa"/>
            <w:gridSpan w:val="2"/>
            <w:noWrap w:val="0"/>
            <w:vAlign w:val="center"/>
          </w:tcPr>
          <w:p>
            <w:pPr>
              <w:jc w:val="center"/>
              <w:rPr>
                <w:rFonts w:hint="eastAsia" w:ascii="宋体" w:hAnsi="宋体" w:cs="宋体"/>
                <w:color w:val="000000"/>
                <w:sz w:val="24"/>
              </w:rPr>
            </w:pPr>
          </w:p>
        </w:tc>
        <w:tc>
          <w:tcPr>
            <w:tcW w:w="5243" w:type="dxa"/>
            <w:gridSpan w:val="7"/>
            <w:noWrap w:val="0"/>
            <w:vAlign w:val="center"/>
          </w:tcPr>
          <w:p>
            <w:pPr>
              <w:jc w:val="center"/>
              <w:rPr>
                <w:rFonts w:hint="eastAsia" w:ascii="宋体" w:hAnsi="宋体" w:cs="宋体"/>
                <w:color w:val="000000"/>
                <w:sz w:val="24"/>
              </w:rPr>
            </w:pPr>
            <w:r>
              <w:rPr>
                <w:rFonts w:hint="eastAsia" w:ascii="宋体" w:hAnsi="宋体" w:cs="宋体"/>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企业资质</w:t>
            </w:r>
          </w:p>
          <w:p>
            <w:pPr>
              <w:jc w:val="center"/>
              <w:rPr>
                <w:rFonts w:hint="eastAsia" w:ascii="宋体" w:hAnsi="宋体" w:cs="宋体"/>
                <w:color w:val="000000"/>
                <w:sz w:val="24"/>
              </w:rPr>
            </w:pPr>
            <w:r>
              <w:rPr>
                <w:rFonts w:hint="eastAsia" w:ascii="宋体" w:hAnsi="宋体" w:cs="宋体"/>
                <w:color w:val="000000"/>
                <w:sz w:val="24"/>
              </w:rPr>
              <w:t>等   级</w:t>
            </w:r>
          </w:p>
        </w:tc>
        <w:tc>
          <w:tcPr>
            <w:tcW w:w="1398" w:type="dxa"/>
            <w:noWrap w:val="0"/>
            <w:vAlign w:val="center"/>
          </w:tcPr>
          <w:p>
            <w:pPr>
              <w:jc w:val="center"/>
              <w:rPr>
                <w:rFonts w:hint="eastAsia" w:ascii="宋体" w:hAnsi="宋体" w:cs="宋体"/>
                <w:color w:val="000000"/>
                <w:sz w:val="24"/>
              </w:rPr>
            </w:pPr>
          </w:p>
        </w:tc>
        <w:tc>
          <w:tcPr>
            <w:tcW w:w="923" w:type="dxa"/>
            <w:noWrap w:val="0"/>
            <w:vAlign w:val="center"/>
          </w:tcPr>
          <w:p>
            <w:pPr>
              <w:jc w:val="center"/>
              <w:rPr>
                <w:rFonts w:hint="eastAsia" w:ascii="宋体" w:hAnsi="宋体" w:cs="宋体"/>
                <w:color w:val="000000"/>
                <w:sz w:val="24"/>
              </w:rPr>
            </w:pPr>
          </w:p>
        </w:tc>
        <w:tc>
          <w:tcPr>
            <w:tcW w:w="1020" w:type="dxa"/>
            <w:vMerge w:val="restart"/>
            <w:noWrap w:val="0"/>
            <w:vAlign w:val="center"/>
          </w:tcPr>
          <w:p>
            <w:pPr>
              <w:jc w:val="center"/>
              <w:rPr>
                <w:rFonts w:hint="eastAsia" w:ascii="宋体" w:hAnsi="宋体" w:cs="宋体"/>
                <w:color w:val="000000"/>
                <w:sz w:val="24"/>
              </w:rPr>
            </w:pPr>
            <w:r>
              <w:rPr>
                <w:rFonts w:hint="eastAsia" w:ascii="宋体" w:hAnsi="宋体" w:cs="宋体"/>
                <w:color w:val="000000"/>
                <w:sz w:val="24"/>
              </w:rPr>
              <w:t>其中</w:t>
            </w: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项目经理</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营业执照号</w:t>
            </w:r>
          </w:p>
        </w:tc>
        <w:tc>
          <w:tcPr>
            <w:tcW w:w="1398" w:type="dxa"/>
            <w:noWrap w:val="0"/>
            <w:vAlign w:val="center"/>
          </w:tcPr>
          <w:p>
            <w:pPr>
              <w:jc w:val="center"/>
              <w:rPr>
                <w:rFonts w:hint="eastAsia" w:ascii="宋体" w:hAnsi="宋体" w:cs="宋体"/>
                <w:color w:val="000000"/>
                <w:sz w:val="24"/>
              </w:rPr>
            </w:pPr>
          </w:p>
        </w:tc>
        <w:tc>
          <w:tcPr>
            <w:tcW w:w="923" w:type="dxa"/>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高级职称人员</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注册资金</w:t>
            </w:r>
          </w:p>
        </w:tc>
        <w:tc>
          <w:tcPr>
            <w:tcW w:w="1398" w:type="dxa"/>
            <w:noWrap w:val="0"/>
            <w:vAlign w:val="center"/>
          </w:tcPr>
          <w:p>
            <w:pPr>
              <w:jc w:val="center"/>
              <w:rPr>
                <w:rFonts w:hint="eastAsia" w:ascii="宋体" w:hAnsi="宋体" w:cs="宋体"/>
                <w:color w:val="000000"/>
                <w:sz w:val="24"/>
              </w:rPr>
            </w:pPr>
          </w:p>
        </w:tc>
        <w:tc>
          <w:tcPr>
            <w:tcW w:w="923" w:type="dxa"/>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中级职称人员</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开户银行</w:t>
            </w:r>
          </w:p>
        </w:tc>
        <w:tc>
          <w:tcPr>
            <w:tcW w:w="1398" w:type="dxa"/>
            <w:noWrap w:val="0"/>
            <w:vAlign w:val="center"/>
          </w:tcPr>
          <w:p>
            <w:pPr>
              <w:jc w:val="center"/>
              <w:rPr>
                <w:rFonts w:hint="eastAsia" w:ascii="宋体" w:hAnsi="宋体" w:cs="宋体"/>
                <w:color w:val="000000"/>
                <w:sz w:val="24"/>
              </w:rPr>
            </w:pPr>
          </w:p>
        </w:tc>
        <w:tc>
          <w:tcPr>
            <w:tcW w:w="923" w:type="dxa"/>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初级职称人员</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账  号</w:t>
            </w:r>
          </w:p>
        </w:tc>
        <w:tc>
          <w:tcPr>
            <w:tcW w:w="1398" w:type="dxa"/>
            <w:noWrap w:val="0"/>
            <w:vAlign w:val="center"/>
          </w:tcPr>
          <w:p>
            <w:pPr>
              <w:jc w:val="center"/>
              <w:rPr>
                <w:rFonts w:hint="eastAsia" w:ascii="宋体" w:hAnsi="宋体" w:cs="宋体"/>
                <w:color w:val="000000"/>
                <w:sz w:val="24"/>
              </w:rPr>
            </w:pPr>
          </w:p>
        </w:tc>
        <w:tc>
          <w:tcPr>
            <w:tcW w:w="923" w:type="dxa"/>
            <w:noWrap w:val="0"/>
            <w:vAlign w:val="center"/>
          </w:tcPr>
          <w:p>
            <w:pPr>
              <w:jc w:val="center"/>
              <w:rPr>
                <w:rFonts w:hint="eastAsia" w:ascii="宋体" w:hAnsi="宋体" w:cs="宋体"/>
                <w:color w:val="000000"/>
                <w:sz w:val="24"/>
              </w:rPr>
            </w:pPr>
          </w:p>
        </w:tc>
        <w:tc>
          <w:tcPr>
            <w:tcW w:w="1020" w:type="dxa"/>
            <w:vMerge w:val="continue"/>
            <w:noWrap w:val="0"/>
            <w:vAlign w:val="center"/>
          </w:tcPr>
          <w:p>
            <w:pPr>
              <w:jc w:val="center"/>
              <w:rPr>
                <w:rFonts w:hint="eastAsia" w:ascii="宋体" w:hAnsi="宋体" w:cs="宋体"/>
                <w:color w:val="000000"/>
                <w:sz w:val="24"/>
              </w:rPr>
            </w:pPr>
          </w:p>
        </w:tc>
        <w:tc>
          <w:tcPr>
            <w:tcW w:w="2039"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技  工</w:t>
            </w:r>
          </w:p>
        </w:tc>
        <w:tc>
          <w:tcPr>
            <w:tcW w:w="2184" w:type="dxa"/>
            <w:gridSpan w:val="2"/>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经营范围</w:t>
            </w:r>
          </w:p>
        </w:tc>
        <w:tc>
          <w:tcPr>
            <w:tcW w:w="7564" w:type="dxa"/>
            <w:gridSpan w:val="9"/>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96" w:type="dxa"/>
            <w:noWrap w:val="0"/>
            <w:vAlign w:val="center"/>
          </w:tcPr>
          <w:p>
            <w:pPr>
              <w:jc w:val="center"/>
              <w:rPr>
                <w:rFonts w:hint="eastAsia" w:ascii="宋体" w:hAnsi="宋体" w:cs="宋体"/>
                <w:color w:val="000000"/>
                <w:sz w:val="24"/>
              </w:rPr>
            </w:pPr>
            <w:r>
              <w:rPr>
                <w:rFonts w:hint="eastAsia" w:ascii="宋体" w:hAnsi="宋体" w:cs="宋体"/>
                <w:color w:val="000000"/>
                <w:sz w:val="24"/>
              </w:rPr>
              <w:t>备注</w:t>
            </w:r>
          </w:p>
        </w:tc>
        <w:tc>
          <w:tcPr>
            <w:tcW w:w="7564" w:type="dxa"/>
            <w:gridSpan w:val="9"/>
            <w:noWrap w:val="0"/>
            <w:vAlign w:val="center"/>
          </w:tcPr>
          <w:p>
            <w:pPr>
              <w:jc w:val="center"/>
              <w:rPr>
                <w:rFonts w:hint="eastAsia" w:ascii="宋体" w:hAnsi="宋体" w:cs="宋体"/>
                <w:color w:val="00000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附4-1.具有有效的独立法人营业执照；</w:t>
      </w:r>
    </w:p>
    <w:p>
      <w:pPr>
        <w:pStyle w:val="3"/>
        <w:ind w:firstLine="960" w:firstLineChars="400"/>
        <w:rPr>
          <w:rFonts w:hint="eastAsia"/>
          <w:lang w:val="en-US" w:eastAsia="zh-CN"/>
        </w:rPr>
      </w:pPr>
      <w:r>
        <w:rPr>
          <w:rFonts w:hint="eastAsia" w:hAnsi="宋体" w:eastAsia="宋体" w:cs="宋体"/>
          <w:b w:val="0"/>
          <w:bCs w:val="0"/>
          <w:color w:val="000000"/>
          <w:kern w:val="0"/>
          <w:sz w:val="24"/>
          <w:szCs w:val="24"/>
          <w:highlight w:val="none"/>
          <w:lang w:val="en-US" w:eastAsia="zh-CN"/>
        </w:rPr>
        <w:t>（样式略）</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4-2.有效的资质证书及有效的安全生产许可证,疆外企业须提供有效的外省进疆备案报送手续；</w:t>
      </w:r>
    </w:p>
    <w:p>
      <w:pPr>
        <w:pStyle w:val="3"/>
        <w:ind w:firstLine="960" w:firstLineChars="400"/>
        <w:rPr>
          <w:rFonts w:hint="eastAsia"/>
          <w:lang w:val="en-US" w:eastAsia="zh-CN"/>
        </w:rPr>
      </w:pPr>
      <w:r>
        <w:rPr>
          <w:rFonts w:hint="eastAsia" w:hAnsi="宋体" w:eastAsia="宋体" w:cs="宋体"/>
          <w:b w:val="0"/>
          <w:bCs w:val="0"/>
          <w:color w:val="000000"/>
          <w:kern w:val="0"/>
          <w:sz w:val="24"/>
          <w:szCs w:val="24"/>
          <w:highlight w:val="none"/>
          <w:lang w:val="en-US" w:eastAsia="zh-CN"/>
        </w:rPr>
        <w:t>（样式略）</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4-3. 财务审计报告、依法缴纳税收和社会保险费的证明材料</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hAnsi="宋体" w:eastAsia="宋体" w:cs="宋体"/>
          <w:sz w:val="24"/>
          <w:szCs w:val="24"/>
          <w:highlight w:val="none"/>
          <w:lang w:val="en-US" w:eastAsia="zh-CN"/>
        </w:rPr>
        <w:t>提供近二年（2020年、2021年）任意一年经会计事务所审计的财务会计报表，包括资产负债表、损益表和审计报告复印件。</w:t>
      </w:r>
      <w:r>
        <w:rPr>
          <w:rFonts w:hint="eastAsia" w:ascii="宋体" w:hAnsi="宋体" w:eastAsia="宋体" w:cs="宋体"/>
          <w:b w:val="0"/>
          <w:bCs w:val="0"/>
          <w:color w:val="000000"/>
          <w:kern w:val="0"/>
          <w:sz w:val="24"/>
          <w:szCs w:val="24"/>
          <w:highlight w:val="none"/>
          <w:lang w:val="en-US" w:eastAsia="zh-CN"/>
        </w:rPr>
        <w:t>（新成立公司需提供银行资信证明）</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default"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投标单位近3个月的社保缴纳证明（单位社保缴费汇总和个人明细表）含委托</w:t>
      </w:r>
      <w:r>
        <w:rPr>
          <w:rFonts w:hint="eastAsia" w:hAnsi="宋体" w:eastAsia="宋体" w:cs="宋体"/>
          <w:sz w:val="24"/>
          <w:szCs w:val="24"/>
          <w:highlight w:val="none"/>
          <w:lang w:val="en-US" w:eastAsia="zh-CN"/>
        </w:rPr>
        <w:t>代理</w:t>
      </w:r>
      <w:r>
        <w:rPr>
          <w:rFonts w:hint="eastAsia" w:ascii="宋体" w:hAnsi="宋体" w:eastAsia="宋体" w:cs="宋体"/>
          <w:sz w:val="24"/>
          <w:szCs w:val="24"/>
          <w:highlight w:val="none"/>
          <w:lang w:eastAsia="zh-CN"/>
        </w:rPr>
        <w:t>人和项目负责人</w:t>
      </w:r>
    </w:p>
    <w:p>
      <w:pPr>
        <w:pStyle w:val="12"/>
        <w:pageBreakBefore w:val="0"/>
        <w:widowControl w:val="0"/>
        <w:tabs>
          <w:tab w:val="left" w:pos="5580"/>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投标单位近3个月完税证明（新成立公司除外）注：①若为零申报企业，需提供无欠税证明或国家税务总局电子税务局“申报结果查询截图”。②“税种”非社会保险；</w:t>
      </w:r>
    </w:p>
    <w:p>
      <w:pPr>
        <w:pStyle w:val="12"/>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8"/>
        <w:rPr>
          <w:rFonts w:hint="default"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w:t>
      </w: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tabs>
          <w:tab w:val="left" w:pos="5580"/>
        </w:tabs>
        <w:spacing w:line="240" w:lineRule="atLeast"/>
        <w:ind w:left="1" w:firstLine="564" w:firstLineChars="235"/>
        <w:rPr>
          <w:rFonts w:hint="eastAsia" w:ascii="宋体" w:hAnsi="宋体" w:eastAsia="宋体" w:cs="宋体"/>
          <w:sz w:val="24"/>
          <w:szCs w:val="24"/>
          <w:highlight w:val="none"/>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spacing w:line="360" w:lineRule="auto"/>
        <w:rPr>
          <w:rFonts w:hint="eastAsia" w:ascii="宋体" w:hAnsi="宋体" w:cs="宋体"/>
          <w:sz w:val="24"/>
          <w:szCs w:val="20"/>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widowControl w:val="0"/>
        <w:numPr>
          <w:ilvl w:val="0"/>
          <w:numId w:val="0"/>
        </w:numPr>
        <w:snapToGrid w:val="0"/>
        <w:jc w:val="left"/>
        <w:rPr>
          <w:rFonts w:hint="eastAsia"/>
          <w:lang w:val="en-US" w:eastAsia="zh-CN"/>
        </w:rPr>
      </w:pPr>
    </w:p>
    <w:p>
      <w:pPr>
        <w:pStyle w:val="18"/>
        <w:widowControl w:val="0"/>
        <w:numPr>
          <w:ilvl w:val="0"/>
          <w:numId w:val="0"/>
        </w:numPr>
        <w:snapToGrid w:val="0"/>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default"/>
          <w:lang w:val="en-US" w:eastAsia="zh-CN"/>
        </w:rPr>
      </w:pPr>
      <w:r>
        <w:rPr>
          <w:rFonts w:hint="eastAsia"/>
          <w:lang w:val="en-US" w:eastAsia="zh-CN"/>
        </w:rPr>
        <w:t xml:space="preserve">    </w:t>
      </w:r>
    </w:p>
    <w:p>
      <w:pPr>
        <w:numPr>
          <w:ilvl w:val="0"/>
          <w:numId w:val="0"/>
        </w:numPr>
        <w:spacing w:line="360" w:lineRule="auto"/>
        <w:jc w:val="center"/>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项目配备人员情况一览表</w:t>
      </w:r>
    </w:p>
    <w:p>
      <w:pPr>
        <w:numPr>
          <w:ilvl w:val="0"/>
          <w:numId w:val="0"/>
        </w:numPr>
        <w:spacing w:line="360" w:lineRule="auto"/>
        <w:jc w:val="center"/>
        <w:rPr>
          <w:rFonts w:hint="eastAsia"/>
          <w:sz w:val="28"/>
          <w:szCs w:val="36"/>
        </w:rPr>
      </w:pPr>
      <w:r>
        <w:rPr>
          <w:rFonts w:hint="eastAsia" w:ascii="宋体" w:hAnsi="宋体" w:eastAsia="宋体" w:cs="宋体"/>
          <w:sz w:val="28"/>
          <w:szCs w:val="36"/>
          <w:lang w:val="en-US" w:eastAsia="zh-CN"/>
        </w:rPr>
        <w:t xml:space="preserve">5-1 </w:t>
      </w:r>
      <w:r>
        <w:rPr>
          <w:rFonts w:hint="eastAsia" w:ascii="宋体" w:hAnsi="宋体" w:eastAsia="宋体" w:cs="宋体"/>
          <w:sz w:val="28"/>
          <w:szCs w:val="36"/>
        </w:rPr>
        <w:t>项目管理机构组成表</w:t>
      </w:r>
    </w:p>
    <w:tbl>
      <w:tblPr>
        <w:tblStyle w:val="2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106"/>
        <w:gridCol w:w="1112"/>
        <w:gridCol w:w="1356"/>
        <w:gridCol w:w="1052"/>
        <w:gridCol w:w="854"/>
        <w:gridCol w:w="826"/>
        <w:gridCol w:w="119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restart"/>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职务</w:t>
            </w:r>
          </w:p>
        </w:tc>
        <w:tc>
          <w:tcPr>
            <w:tcW w:w="1106" w:type="dxa"/>
            <w:vMerge w:val="restart"/>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姓名</w:t>
            </w:r>
          </w:p>
        </w:tc>
        <w:tc>
          <w:tcPr>
            <w:tcW w:w="1112" w:type="dxa"/>
            <w:vMerge w:val="restart"/>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职称</w:t>
            </w:r>
          </w:p>
        </w:tc>
        <w:tc>
          <w:tcPr>
            <w:tcW w:w="5278" w:type="dxa"/>
            <w:gridSpan w:val="5"/>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执业或职业资格证明</w:t>
            </w:r>
          </w:p>
        </w:tc>
        <w:tc>
          <w:tcPr>
            <w:tcW w:w="914" w:type="dxa"/>
            <w:vMerge w:val="restart"/>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pPr>
              <w:spacing w:line="440" w:lineRule="exact"/>
              <w:jc w:val="center"/>
              <w:rPr>
                <w:rFonts w:hint="eastAsia" w:ascii="宋体" w:hAnsi="宋体" w:cs="宋体"/>
                <w:color w:val="000000"/>
                <w:sz w:val="24"/>
              </w:rPr>
            </w:pPr>
          </w:p>
        </w:tc>
        <w:tc>
          <w:tcPr>
            <w:tcW w:w="1106" w:type="dxa"/>
            <w:vMerge w:val="continue"/>
            <w:noWrap w:val="0"/>
            <w:vAlign w:val="center"/>
          </w:tcPr>
          <w:p>
            <w:pPr>
              <w:spacing w:line="440" w:lineRule="exact"/>
              <w:jc w:val="center"/>
              <w:rPr>
                <w:rFonts w:hint="eastAsia" w:ascii="宋体" w:hAnsi="宋体" w:cs="宋体"/>
                <w:color w:val="000000"/>
                <w:sz w:val="24"/>
              </w:rPr>
            </w:pPr>
          </w:p>
        </w:tc>
        <w:tc>
          <w:tcPr>
            <w:tcW w:w="1112" w:type="dxa"/>
            <w:vMerge w:val="continue"/>
            <w:noWrap w:val="0"/>
            <w:vAlign w:val="center"/>
          </w:tcPr>
          <w:p>
            <w:pPr>
              <w:spacing w:line="440" w:lineRule="exact"/>
              <w:jc w:val="center"/>
              <w:rPr>
                <w:rFonts w:hint="eastAsia" w:ascii="宋体" w:hAnsi="宋体" w:cs="宋体"/>
                <w:color w:val="000000"/>
                <w:sz w:val="24"/>
              </w:rPr>
            </w:pPr>
          </w:p>
        </w:tc>
        <w:tc>
          <w:tcPr>
            <w:tcW w:w="1356"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证书名称</w:t>
            </w:r>
          </w:p>
        </w:tc>
        <w:tc>
          <w:tcPr>
            <w:tcW w:w="1052"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级别</w:t>
            </w:r>
          </w:p>
        </w:tc>
        <w:tc>
          <w:tcPr>
            <w:tcW w:w="854"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证号</w:t>
            </w:r>
          </w:p>
        </w:tc>
        <w:tc>
          <w:tcPr>
            <w:tcW w:w="826"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专业</w:t>
            </w:r>
          </w:p>
        </w:tc>
        <w:tc>
          <w:tcPr>
            <w:tcW w:w="1190"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养老保险</w:t>
            </w:r>
          </w:p>
        </w:tc>
        <w:tc>
          <w:tcPr>
            <w:tcW w:w="914" w:type="dxa"/>
            <w:vMerge w:val="continue"/>
            <w:noWrap w:val="0"/>
            <w:vAlign w:val="center"/>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2"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项目经理</w:t>
            </w:r>
          </w:p>
        </w:tc>
        <w:tc>
          <w:tcPr>
            <w:tcW w:w="1106" w:type="dxa"/>
            <w:noWrap w:val="0"/>
            <w:vAlign w:val="center"/>
          </w:tcPr>
          <w:p>
            <w:pPr>
              <w:spacing w:line="440" w:lineRule="exact"/>
              <w:jc w:val="center"/>
              <w:rPr>
                <w:rFonts w:hint="eastAsia" w:ascii="宋体" w:hAnsi="宋体" w:cs="宋体"/>
                <w:color w:val="000000"/>
                <w:sz w:val="24"/>
              </w:rPr>
            </w:pPr>
          </w:p>
        </w:tc>
        <w:tc>
          <w:tcPr>
            <w:tcW w:w="1112" w:type="dxa"/>
            <w:noWrap w:val="0"/>
            <w:vAlign w:val="center"/>
          </w:tcPr>
          <w:p>
            <w:pPr>
              <w:spacing w:line="440" w:lineRule="exact"/>
              <w:jc w:val="center"/>
              <w:rPr>
                <w:rFonts w:hint="eastAsia" w:ascii="宋体" w:hAnsi="宋体" w:cs="宋体"/>
                <w:color w:val="000000"/>
                <w:sz w:val="24"/>
              </w:rPr>
            </w:pPr>
          </w:p>
        </w:tc>
        <w:tc>
          <w:tcPr>
            <w:tcW w:w="1356" w:type="dxa"/>
            <w:noWrap w:val="0"/>
            <w:vAlign w:val="center"/>
          </w:tcPr>
          <w:p>
            <w:pPr>
              <w:spacing w:line="440" w:lineRule="exact"/>
              <w:jc w:val="center"/>
              <w:rPr>
                <w:rFonts w:hint="eastAsia" w:ascii="宋体" w:hAnsi="宋体" w:cs="宋体"/>
                <w:color w:val="000000"/>
                <w:sz w:val="24"/>
              </w:rPr>
            </w:pPr>
          </w:p>
        </w:tc>
        <w:tc>
          <w:tcPr>
            <w:tcW w:w="1052" w:type="dxa"/>
            <w:noWrap w:val="0"/>
            <w:vAlign w:val="center"/>
          </w:tcPr>
          <w:p>
            <w:pPr>
              <w:spacing w:line="440" w:lineRule="exact"/>
              <w:jc w:val="center"/>
              <w:rPr>
                <w:rFonts w:hint="eastAsia" w:ascii="宋体" w:hAnsi="宋体" w:cs="宋体"/>
                <w:color w:val="000000"/>
                <w:sz w:val="24"/>
              </w:rPr>
            </w:pPr>
          </w:p>
        </w:tc>
        <w:tc>
          <w:tcPr>
            <w:tcW w:w="854" w:type="dxa"/>
            <w:noWrap w:val="0"/>
            <w:vAlign w:val="center"/>
          </w:tcPr>
          <w:p>
            <w:pPr>
              <w:spacing w:line="440" w:lineRule="exact"/>
              <w:jc w:val="center"/>
              <w:rPr>
                <w:rFonts w:hint="eastAsia" w:ascii="宋体" w:hAnsi="宋体" w:cs="宋体"/>
                <w:color w:val="000000"/>
                <w:sz w:val="24"/>
              </w:rPr>
            </w:pPr>
          </w:p>
        </w:tc>
        <w:tc>
          <w:tcPr>
            <w:tcW w:w="826" w:type="dxa"/>
            <w:noWrap w:val="0"/>
            <w:vAlign w:val="center"/>
          </w:tcPr>
          <w:p>
            <w:pPr>
              <w:spacing w:line="440" w:lineRule="exact"/>
              <w:jc w:val="center"/>
              <w:rPr>
                <w:rFonts w:hint="eastAsia" w:ascii="宋体" w:hAnsi="宋体" w:cs="宋体"/>
                <w:color w:val="000000"/>
                <w:sz w:val="24"/>
              </w:rPr>
            </w:pPr>
          </w:p>
        </w:tc>
        <w:tc>
          <w:tcPr>
            <w:tcW w:w="1190" w:type="dxa"/>
            <w:noWrap w:val="0"/>
            <w:vAlign w:val="center"/>
          </w:tcPr>
          <w:p>
            <w:pPr>
              <w:spacing w:line="440" w:lineRule="exact"/>
              <w:jc w:val="center"/>
              <w:rPr>
                <w:rFonts w:hint="eastAsia" w:ascii="宋体" w:hAnsi="宋体" w:cs="宋体"/>
                <w:color w:val="000000"/>
                <w:sz w:val="24"/>
              </w:rPr>
            </w:pPr>
          </w:p>
        </w:tc>
        <w:tc>
          <w:tcPr>
            <w:tcW w:w="914" w:type="dxa"/>
            <w:noWrap w:val="0"/>
            <w:vAlign w:val="center"/>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52"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项目技术</w:t>
            </w:r>
          </w:p>
          <w:p>
            <w:pPr>
              <w:jc w:val="center"/>
              <w:rPr>
                <w:rFonts w:hint="eastAsia" w:ascii="宋体" w:hAnsi="宋体" w:cs="宋体"/>
                <w:bCs/>
                <w:color w:val="000000"/>
                <w:sz w:val="24"/>
              </w:rPr>
            </w:pPr>
            <w:r>
              <w:rPr>
                <w:rFonts w:hint="eastAsia" w:ascii="宋体" w:hAnsi="宋体" w:cs="宋体"/>
                <w:bCs/>
                <w:color w:val="000000"/>
                <w:sz w:val="24"/>
              </w:rPr>
              <w:t>负责人</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52"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专职质检员</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52"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专职安全员</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52"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施 工 员</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52" w:type="dxa"/>
            <w:noWrap w:val="0"/>
            <w:vAlign w:val="top"/>
          </w:tcPr>
          <w:p>
            <w:pPr>
              <w:spacing w:line="440" w:lineRule="exact"/>
              <w:jc w:val="center"/>
              <w:rPr>
                <w:rFonts w:hint="eastAsia" w:ascii="宋体" w:hAnsi="宋体" w:cs="宋体"/>
                <w:color w:val="000000"/>
                <w:sz w:val="24"/>
              </w:rPr>
            </w:pPr>
            <w:r>
              <w:rPr>
                <w:rFonts w:hint="eastAsia" w:ascii="宋体" w:hAnsi="宋体" w:cs="宋体"/>
                <w:bCs/>
                <w:color w:val="000000"/>
                <w:sz w:val="24"/>
              </w:rPr>
              <w:t>材 料 员</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52" w:type="dxa"/>
            <w:noWrap w:val="0"/>
            <w:vAlign w:val="top"/>
          </w:tcPr>
          <w:p>
            <w:pPr>
              <w:spacing w:line="440" w:lineRule="exact"/>
              <w:jc w:val="center"/>
              <w:rPr>
                <w:rFonts w:hint="eastAsia" w:ascii="宋体" w:hAnsi="宋体" w:cs="宋体"/>
                <w:color w:val="000000"/>
                <w:sz w:val="24"/>
              </w:rPr>
            </w:pPr>
            <w:r>
              <w:rPr>
                <w:rFonts w:hint="eastAsia" w:ascii="宋体" w:hAnsi="宋体" w:cs="宋体"/>
                <w:bCs/>
                <w:color w:val="000000"/>
                <w:sz w:val="24"/>
              </w:rPr>
              <w:t>预 算 员</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52"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资 料 员</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52" w:type="dxa"/>
            <w:noWrap w:val="0"/>
            <w:vAlign w:val="top"/>
          </w:tcPr>
          <w:p>
            <w:pPr>
              <w:spacing w:line="440" w:lineRule="exact"/>
              <w:jc w:val="center"/>
              <w:rPr>
                <w:rFonts w:ascii="宋体" w:hAnsi="宋体" w:cs="宋体"/>
                <w:color w:val="000000"/>
                <w:sz w:val="24"/>
              </w:rPr>
            </w:pPr>
            <w:r>
              <w:rPr>
                <w:rFonts w:hint="eastAsia" w:ascii="宋体" w:hAnsi="宋体" w:cs="宋体"/>
                <w:color w:val="000000"/>
                <w:sz w:val="24"/>
              </w:rPr>
              <w:t>其他</w:t>
            </w:r>
          </w:p>
        </w:tc>
        <w:tc>
          <w:tcPr>
            <w:tcW w:w="1106" w:type="dxa"/>
            <w:noWrap w:val="0"/>
            <w:vAlign w:val="top"/>
          </w:tcPr>
          <w:p>
            <w:pPr>
              <w:spacing w:line="440" w:lineRule="exact"/>
              <w:jc w:val="center"/>
              <w:rPr>
                <w:rFonts w:hint="eastAsia" w:ascii="宋体" w:hAnsi="宋体" w:cs="宋体"/>
                <w:color w:val="000000"/>
                <w:sz w:val="24"/>
              </w:rPr>
            </w:pPr>
          </w:p>
        </w:tc>
        <w:tc>
          <w:tcPr>
            <w:tcW w:w="1112" w:type="dxa"/>
            <w:noWrap w:val="0"/>
            <w:vAlign w:val="top"/>
          </w:tcPr>
          <w:p>
            <w:pPr>
              <w:spacing w:line="440" w:lineRule="exact"/>
              <w:jc w:val="center"/>
              <w:rPr>
                <w:rFonts w:hint="eastAsia" w:ascii="宋体" w:hAnsi="宋体" w:cs="宋体"/>
                <w:color w:val="000000"/>
                <w:sz w:val="24"/>
              </w:rPr>
            </w:pPr>
          </w:p>
        </w:tc>
        <w:tc>
          <w:tcPr>
            <w:tcW w:w="1356" w:type="dxa"/>
            <w:noWrap w:val="0"/>
            <w:vAlign w:val="top"/>
          </w:tcPr>
          <w:p>
            <w:pPr>
              <w:spacing w:line="440" w:lineRule="exact"/>
              <w:jc w:val="center"/>
              <w:rPr>
                <w:rFonts w:hint="eastAsia" w:ascii="宋体" w:hAnsi="宋体" w:cs="宋体"/>
                <w:color w:val="000000"/>
                <w:sz w:val="24"/>
              </w:rPr>
            </w:pPr>
          </w:p>
        </w:tc>
        <w:tc>
          <w:tcPr>
            <w:tcW w:w="1052" w:type="dxa"/>
            <w:noWrap w:val="0"/>
            <w:vAlign w:val="top"/>
          </w:tcPr>
          <w:p>
            <w:pPr>
              <w:spacing w:line="440" w:lineRule="exact"/>
              <w:jc w:val="center"/>
              <w:rPr>
                <w:rFonts w:hint="eastAsia" w:ascii="宋体" w:hAnsi="宋体" w:cs="宋体"/>
                <w:color w:val="000000"/>
                <w:sz w:val="24"/>
              </w:rPr>
            </w:pPr>
          </w:p>
        </w:tc>
        <w:tc>
          <w:tcPr>
            <w:tcW w:w="854" w:type="dxa"/>
            <w:noWrap w:val="0"/>
            <w:vAlign w:val="top"/>
          </w:tcPr>
          <w:p>
            <w:pPr>
              <w:spacing w:line="440" w:lineRule="exact"/>
              <w:jc w:val="center"/>
              <w:rPr>
                <w:rFonts w:hint="eastAsia" w:ascii="宋体" w:hAnsi="宋体" w:cs="宋体"/>
                <w:color w:val="000000"/>
                <w:sz w:val="24"/>
              </w:rPr>
            </w:pPr>
          </w:p>
        </w:tc>
        <w:tc>
          <w:tcPr>
            <w:tcW w:w="826" w:type="dxa"/>
            <w:noWrap w:val="0"/>
            <w:vAlign w:val="top"/>
          </w:tcPr>
          <w:p>
            <w:pPr>
              <w:spacing w:line="440" w:lineRule="exact"/>
              <w:jc w:val="center"/>
              <w:rPr>
                <w:rFonts w:hint="eastAsia" w:ascii="宋体" w:hAnsi="宋体" w:cs="宋体"/>
                <w:color w:val="000000"/>
                <w:sz w:val="24"/>
              </w:rPr>
            </w:pPr>
          </w:p>
        </w:tc>
        <w:tc>
          <w:tcPr>
            <w:tcW w:w="1190" w:type="dxa"/>
            <w:noWrap w:val="0"/>
            <w:vAlign w:val="top"/>
          </w:tcPr>
          <w:p>
            <w:pPr>
              <w:spacing w:line="440" w:lineRule="exact"/>
              <w:jc w:val="center"/>
              <w:rPr>
                <w:rFonts w:hint="eastAsia" w:ascii="宋体" w:hAnsi="宋体" w:cs="宋体"/>
                <w:color w:val="000000"/>
                <w:sz w:val="24"/>
              </w:rPr>
            </w:pPr>
          </w:p>
        </w:tc>
        <w:tc>
          <w:tcPr>
            <w:tcW w:w="914" w:type="dxa"/>
            <w:noWrap w:val="0"/>
            <w:vAlign w:val="top"/>
          </w:tcPr>
          <w:p>
            <w:pPr>
              <w:spacing w:line="440" w:lineRule="exact"/>
              <w:jc w:val="center"/>
              <w:rPr>
                <w:rFonts w:hint="eastAsia" w:ascii="宋体" w:hAnsi="宋体" w:cs="宋体"/>
                <w:color w:val="000000"/>
                <w:sz w:val="24"/>
              </w:rPr>
            </w:pPr>
          </w:p>
        </w:tc>
      </w:tr>
    </w:tbl>
    <w:p>
      <w:pPr>
        <w:spacing w:line="440" w:lineRule="exact"/>
        <w:rPr>
          <w:rFonts w:hint="eastAsia" w:ascii="宋体" w:hAnsi="宋体" w:cs="宋体"/>
          <w:color w:val="000000"/>
          <w:sz w:val="24"/>
        </w:rPr>
      </w:pPr>
      <w:r>
        <w:rPr>
          <w:rFonts w:hint="eastAsia" w:ascii="宋体" w:hAnsi="宋体" w:cs="宋体"/>
          <w:color w:val="000000"/>
          <w:sz w:val="24"/>
        </w:rPr>
        <w:t>注：1、本工程一旦我单位中标，将配备上述项目管理人员。上述填报内容真实，如不真实，将按照有关规定接受处理。</w:t>
      </w:r>
    </w:p>
    <w:p>
      <w:pPr>
        <w:spacing w:line="440" w:lineRule="exact"/>
        <w:rPr>
          <w:rFonts w:hint="eastAsia" w:ascii="宋体" w:hAnsi="宋体" w:cs="宋体"/>
          <w:b/>
          <w:color w:val="000000"/>
          <w:kern w:val="0"/>
          <w:sz w:val="24"/>
        </w:rPr>
      </w:pPr>
      <w:r>
        <w:rPr>
          <w:rFonts w:hint="eastAsia" w:ascii="宋体" w:hAnsi="宋体" w:cs="宋体"/>
          <w:b/>
          <w:color w:val="000000"/>
          <w:kern w:val="0"/>
          <w:sz w:val="24"/>
        </w:rPr>
        <w:t xml:space="preserve">    2、承包人若需要更换本工程投标文件中原有人员时须经发包人同意。未经发包人同意，承包人更换人员，承包人应承担违约责任。并且按照中标价</w:t>
      </w:r>
      <w:r>
        <w:rPr>
          <w:rFonts w:hint="eastAsia" w:ascii="宋体" w:hAnsi="宋体" w:cs="宋体"/>
          <w:b/>
          <w:color w:val="000000"/>
          <w:kern w:val="0"/>
          <w:sz w:val="24"/>
          <w:u w:val="single"/>
        </w:rPr>
        <w:t xml:space="preserve"> </w:t>
      </w:r>
      <w:r>
        <w:rPr>
          <w:rFonts w:hint="eastAsia" w:ascii="宋体" w:hAnsi="宋体" w:cs="宋体"/>
          <w:b/>
          <w:bCs/>
          <w:color w:val="000000"/>
          <w:kern w:val="0"/>
          <w:sz w:val="24"/>
          <w:u w:val="single"/>
        </w:rPr>
        <w:t>5</w:t>
      </w:r>
      <w:r>
        <w:rPr>
          <w:rFonts w:hint="eastAsia" w:ascii="宋体" w:hAnsi="宋体" w:cs="宋体"/>
          <w:b/>
          <w:color w:val="000000"/>
          <w:kern w:val="0"/>
          <w:sz w:val="24"/>
          <w:u w:val="single"/>
        </w:rPr>
        <w:t xml:space="preserve"> </w:t>
      </w:r>
      <w:r>
        <w:rPr>
          <w:rFonts w:hint="eastAsia" w:ascii="宋体" w:hAnsi="宋体" w:cs="宋体"/>
          <w:b/>
          <w:bCs/>
          <w:color w:val="000000"/>
          <w:kern w:val="0"/>
          <w:sz w:val="24"/>
        </w:rPr>
        <w:t>％</w:t>
      </w:r>
      <w:r>
        <w:rPr>
          <w:rFonts w:hint="eastAsia" w:ascii="宋体" w:hAnsi="宋体" w:cs="宋体"/>
          <w:b/>
          <w:color w:val="000000"/>
          <w:kern w:val="0"/>
          <w:sz w:val="24"/>
        </w:rPr>
        <w:t xml:space="preserve"> 给发包人支付违约金。</w:t>
      </w:r>
    </w:p>
    <w:p>
      <w:pPr>
        <w:pStyle w:val="12"/>
        <w:pageBreakBefore w:val="0"/>
        <w:widowControl w:val="0"/>
        <w:tabs>
          <w:tab w:val="left" w:pos="5580"/>
        </w:tabs>
        <w:kinsoku/>
        <w:wordWrap/>
        <w:overflowPunct/>
        <w:topLinePunct w:val="0"/>
        <w:bidi w:val="0"/>
        <w:spacing w:line="360" w:lineRule="auto"/>
        <w:ind w:left="1258" w:leftChars="599" w:firstLine="1780" w:firstLineChars="742"/>
        <w:textAlignment w:val="auto"/>
        <w:rPr>
          <w:rFonts w:hint="eastAsia" w:ascii="宋体" w:hAnsi="宋体" w:eastAsia="宋体" w:cs="宋体"/>
          <w:sz w:val="24"/>
          <w:szCs w:val="24"/>
          <w:highlight w:val="none"/>
          <w:lang w:eastAsia="zh-CN"/>
        </w:rPr>
      </w:pPr>
    </w:p>
    <w:p>
      <w:pPr>
        <w:pStyle w:val="12"/>
        <w:pageBreakBefore w:val="0"/>
        <w:widowControl w:val="0"/>
        <w:tabs>
          <w:tab w:val="left" w:pos="5580"/>
        </w:tabs>
        <w:kinsoku/>
        <w:wordWrap/>
        <w:overflowPunct/>
        <w:topLinePunct w:val="0"/>
        <w:bidi w:val="0"/>
        <w:spacing w:line="360" w:lineRule="auto"/>
        <w:ind w:left="1258" w:leftChars="599" w:firstLine="1780" w:firstLineChars="74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供应商名称（单位盖章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2"/>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2"/>
        <w:pageBreakBefore w:val="0"/>
        <w:widowControl w:val="0"/>
        <w:tabs>
          <w:tab w:val="left" w:pos="5580"/>
        </w:tabs>
        <w:kinsoku/>
        <w:wordWrap/>
        <w:overflowPunct/>
        <w:topLinePunct w:val="0"/>
        <w:bidi w:val="0"/>
        <w:spacing w:line="360" w:lineRule="auto"/>
        <w:ind w:firstLine="3360" w:firstLineChars="14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w:t>
      </w:r>
      <w:r>
        <w:rPr>
          <w:rFonts w:hint="eastAsia" w:ascii="宋体" w:hAnsi="宋体" w:eastAsia="宋体" w:cs="宋体"/>
          <w:sz w:val="24"/>
          <w:szCs w:val="24"/>
          <w:highlight w:val="none"/>
          <w:lang w:eastAsia="zh-CN"/>
        </w:rPr>
        <w:t>签字</w:t>
      </w:r>
      <w:r>
        <w:rPr>
          <w:rFonts w:hint="eastAsia"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p>
    <w:p/>
    <w:p/>
    <w:p/>
    <w:p/>
    <w:p>
      <w:pPr>
        <w:pStyle w:val="18"/>
        <w:rPr>
          <w:rFonts w:hint="eastAsia"/>
        </w:rPr>
      </w:pPr>
    </w:p>
    <w:p>
      <w:pPr>
        <w:jc w:val="center"/>
        <w:rPr>
          <w:rFonts w:hint="eastAsia"/>
          <w:sz w:val="24"/>
          <w:szCs w:val="32"/>
        </w:rPr>
      </w:pPr>
      <w:r>
        <w:rPr>
          <w:rFonts w:hint="eastAsia" w:ascii="宋体" w:hAnsi="宋体" w:eastAsia="宋体" w:cs="宋体"/>
          <w:sz w:val="28"/>
          <w:szCs w:val="36"/>
        </w:rPr>
        <w:t>5.2 现场主要人员简历表</w:t>
      </w:r>
    </w:p>
    <w:p>
      <w:pPr>
        <w:spacing w:before="156" w:beforeLines="50" w:after="312" w:afterLines="100" w:line="420" w:lineRule="exact"/>
        <w:rPr>
          <w:rFonts w:hint="eastAsia" w:ascii="宋体" w:hAnsi="宋体" w:cs="宋体"/>
          <w:color w:val="000000"/>
          <w:sz w:val="24"/>
        </w:rPr>
      </w:pPr>
      <w:r>
        <w:rPr>
          <w:rFonts w:hint="eastAsia" w:ascii="宋体" w:hAnsi="宋体" w:cs="宋体"/>
          <w:color w:val="000000"/>
          <w:sz w:val="24"/>
        </w:rPr>
        <w:t>1）项目经理简历表</w:t>
      </w:r>
    </w:p>
    <w:p>
      <w:pPr>
        <w:spacing w:before="156" w:beforeLines="50" w:after="312" w:afterLines="100" w:line="420" w:lineRule="exact"/>
        <w:ind w:firstLine="480" w:firstLineChars="200"/>
        <w:rPr>
          <w:rFonts w:hint="eastAsia" w:ascii="宋体" w:hAnsi="宋体" w:cs="宋体"/>
          <w:color w:val="000000"/>
          <w:sz w:val="24"/>
        </w:rPr>
      </w:pPr>
      <w:r>
        <w:rPr>
          <w:rFonts w:hint="eastAsia" w:ascii="宋体" w:hAnsi="宋体" w:cs="宋体"/>
          <w:color w:val="000000"/>
          <w:sz w:val="24"/>
        </w:rPr>
        <w:t>项目经理应附注册证书、</w:t>
      </w:r>
      <w:r>
        <w:rPr>
          <w:rFonts w:hint="eastAsia" w:ascii="宋体" w:hAnsi="宋体" w:cs="宋体"/>
          <w:color w:val="000000"/>
          <w:sz w:val="24"/>
          <w:lang w:val="en-US" w:eastAsia="zh-CN"/>
        </w:rPr>
        <w:t>安全生产考核合格B类证书、</w:t>
      </w:r>
      <w:r>
        <w:rPr>
          <w:rFonts w:hint="eastAsia" w:ascii="宋体" w:hAnsi="宋体" w:cs="宋体"/>
          <w:color w:val="000000"/>
          <w:sz w:val="24"/>
        </w:rPr>
        <w:t>身份证、学历证复印件及未担任其他在施建设工程项目项目经理的承诺书</w:t>
      </w:r>
      <w:r>
        <w:rPr>
          <w:rFonts w:hint="eastAsia" w:ascii="宋体" w:hAnsi="宋体" w:cs="宋体"/>
          <w:color w:val="000000"/>
          <w:sz w:val="24"/>
          <w:lang w:val="en-US" w:eastAsia="zh-CN"/>
        </w:rPr>
        <w:t xml:space="preserve"> </w:t>
      </w:r>
      <w:r>
        <w:rPr>
          <w:rFonts w:hint="eastAsia" w:ascii="宋体" w:hAnsi="宋体" w:cs="宋体"/>
          <w:color w:val="000000"/>
          <w:sz w:val="24"/>
        </w:rPr>
        <w:t>，管理过的项目业绩须附合同协议书和竣工验收备案登记表复印件。类似项目限于以项目经理身份参与的项目</w:t>
      </w:r>
    </w:p>
    <w:tbl>
      <w:tblPr>
        <w:tblStyle w:val="22"/>
        <w:tblpPr w:leftFromText="180" w:rightFromText="180" w:vertAnchor="text" w:horzAnchor="page" w:tblpX="1395"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8"/>
        <w:gridCol w:w="887"/>
        <w:gridCol w:w="1134"/>
        <w:gridCol w:w="1275"/>
        <w:gridCol w:w="194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姓  名</w:t>
            </w:r>
          </w:p>
        </w:tc>
        <w:tc>
          <w:tcPr>
            <w:tcW w:w="887" w:type="dxa"/>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r>
              <w:rPr>
                <w:rFonts w:hint="eastAsia" w:ascii="宋体" w:hAnsi="宋体" w:cs="宋体"/>
                <w:color w:val="000000"/>
                <w:sz w:val="24"/>
              </w:rPr>
              <w:t>年  龄</w:t>
            </w: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r>
              <w:rPr>
                <w:rFonts w:hint="eastAsia" w:ascii="宋体" w:hAnsi="宋体" w:cs="宋体"/>
                <w:color w:val="000000"/>
                <w:sz w:val="24"/>
              </w:rPr>
              <w:t>学历</w:t>
            </w:r>
          </w:p>
        </w:tc>
        <w:tc>
          <w:tcPr>
            <w:tcW w:w="2340"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职  称</w:t>
            </w:r>
          </w:p>
        </w:tc>
        <w:tc>
          <w:tcPr>
            <w:tcW w:w="887" w:type="dxa"/>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r>
              <w:rPr>
                <w:rFonts w:hint="eastAsia" w:ascii="宋体" w:hAnsi="宋体" w:cs="宋体"/>
                <w:color w:val="000000"/>
                <w:sz w:val="24"/>
              </w:rPr>
              <w:t>职  务</w:t>
            </w: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r>
              <w:rPr>
                <w:rFonts w:hint="eastAsia" w:ascii="宋体" w:hAnsi="宋体" w:cs="宋体"/>
                <w:color w:val="000000"/>
                <w:sz w:val="24"/>
              </w:rPr>
              <w:t>拟在本工程任职</w:t>
            </w:r>
          </w:p>
        </w:tc>
        <w:tc>
          <w:tcPr>
            <w:tcW w:w="2340" w:type="dxa"/>
            <w:noWrap w:val="0"/>
            <w:vAlign w:val="center"/>
          </w:tcPr>
          <w:p>
            <w:pPr>
              <w:jc w:val="center"/>
              <w:rPr>
                <w:rFonts w:hint="eastAsia" w:ascii="宋体" w:hAnsi="宋体" w:cs="宋体"/>
                <w:color w:val="000000"/>
                <w:sz w:val="24"/>
              </w:rPr>
            </w:pPr>
            <w:r>
              <w:rPr>
                <w:rFonts w:hint="eastAsia" w:ascii="宋体" w:hAnsi="宋体" w:cs="宋体"/>
                <w:color w:val="000000"/>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注册建造师执业资格等级</w:t>
            </w:r>
          </w:p>
        </w:tc>
        <w:tc>
          <w:tcPr>
            <w:tcW w:w="1275" w:type="dxa"/>
            <w:noWrap w:val="0"/>
            <w:vAlign w:val="center"/>
          </w:tcPr>
          <w:p>
            <w:pPr>
              <w:jc w:val="center"/>
              <w:rPr>
                <w:rFonts w:hint="eastAsia" w:ascii="宋体" w:hAnsi="宋体" w:cs="宋体"/>
                <w:color w:val="000000"/>
                <w:sz w:val="24"/>
              </w:rPr>
            </w:pPr>
            <w:r>
              <w:rPr>
                <w:rFonts w:hint="eastAsia" w:ascii="宋体" w:hAnsi="宋体" w:cs="宋体"/>
                <w:color w:val="000000"/>
                <w:sz w:val="24"/>
              </w:rPr>
              <w:t xml:space="preserve">      级</w:t>
            </w:r>
          </w:p>
        </w:tc>
        <w:tc>
          <w:tcPr>
            <w:tcW w:w="1944" w:type="dxa"/>
            <w:noWrap w:val="0"/>
            <w:vAlign w:val="center"/>
          </w:tcPr>
          <w:p>
            <w:pPr>
              <w:jc w:val="center"/>
              <w:rPr>
                <w:rFonts w:hint="eastAsia" w:ascii="宋体" w:hAnsi="宋体" w:cs="宋体"/>
                <w:color w:val="000000"/>
                <w:sz w:val="24"/>
              </w:rPr>
            </w:pPr>
            <w:r>
              <w:rPr>
                <w:rFonts w:hint="eastAsia" w:ascii="宋体" w:hAnsi="宋体" w:cs="宋体"/>
                <w:color w:val="000000"/>
                <w:sz w:val="24"/>
              </w:rPr>
              <w:t>建造师专业</w:t>
            </w:r>
          </w:p>
        </w:tc>
        <w:tc>
          <w:tcPr>
            <w:tcW w:w="2340"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261"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安全生产考核合格证书</w:t>
            </w:r>
          </w:p>
        </w:tc>
        <w:tc>
          <w:tcPr>
            <w:tcW w:w="5559" w:type="dxa"/>
            <w:gridSpan w:val="3"/>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0" w:type="dxa"/>
            <w:gridSpan w:val="2"/>
            <w:noWrap w:val="0"/>
            <w:vAlign w:val="center"/>
          </w:tcPr>
          <w:p>
            <w:pPr>
              <w:jc w:val="center"/>
              <w:rPr>
                <w:rFonts w:hint="eastAsia" w:ascii="宋体" w:hAnsi="宋体" w:cs="宋体"/>
                <w:color w:val="000000"/>
                <w:sz w:val="24"/>
              </w:rPr>
            </w:pPr>
            <w:r>
              <w:rPr>
                <w:rFonts w:hint="eastAsia" w:ascii="宋体" w:hAnsi="宋体" w:cs="宋体"/>
                <w:color w:val="000000"/>
                <w:sz w:val="24"/>
              </w:rPr>
              <w:t>毕业学校</w:t>
            </w:r>
          </w:p>
        </w:tc>
        <w:tc>
          <w:tcPr>
            <w:tcW w:w="7580" w:type="dxa"/>
            <w:gridSpan w:val="5"/>
            <w:noWrap w:val="0"/>
            <w:vAlign w:val="center"/>
          </w:tcPr>
          <w:p>
            <w:pPr>
              <w:ind w:firstLine="960" w:firstLineChars="400"/>
              <w:rPr>
                <w:rFonts w:hint="eastAsia" w:ascii="宋体" w:hAnsi="宋体" w:cs="宋体"/>
                <w:color w:val="000000"/>
                <w:sz w:val="24"/>
              </w:rPr>
            </w:pPr>
            <w:r>
              <w:rPr>
                <w:rFonts w:hint="eastAsia" w:ascii="宋体" w:hAnsi="宋体" w:cs="宋体"/>
                <w:color w:val="000000"/>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7"/>
            <w:noWrap w:val="0"/>
            <w:vAlign w:val="center"/>
          </w:tcPr>
          <w:p>
            <w:pPr>
              <w:jc w:val="center"/>
              <w:rPr>
                <w:rFonts w:hint="eastAsia" w:ascii="宋体" w:hAnsi="宋体" w:cs="宋体"/>
                <w:color w:val="000000"/>
                <w:sz w:val="24"/>
              </w:rPr>
            </w:pPr>
            <w:r>
              <w:rPr>
                <w:rFonts w:hint="eastAsia" w:ascii="宋体" w:hAnsi="宋体" w:cs="宋体"/>
                <w:color w:val="000000"/>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s="宋体"/>
                <w:color w:val="000000"/>
                <w:sz w:val="24"/>
              </w:rPr>
            </w:pPr>
            <w:r>
              <w:rPr>
                <w:rFonts w:hint="eastAsia" w:ascii="宋体" w:hAnsi="宋体" w:cs="宋体"/>
                <w:color w:val="000000"/>
                <w:sz w:val="24"/>
              </w:rPr>
              <w:t>时  间</w:t>
            </w:r>
          </w:p>
        </w:tc>
        <w:tc>
          <w:tcPr>
            <w:tcW w:w="3444" w:type="dxa"/>
            <w:gridSpan w:val="4"/>
            <w:noWrap w:val="0"/>
            <w:vAlign w:val="center"/>
          </w:tcPr>
          <w:p>
            <w:pPr>
              <w:jc w:val="center"/>
              <w:rPr>
                <w:rFonts w:hint="eastAsia" w:ascii="宋体" w:hAnsi="宋体" w:cs="宋体"/>
                <w:color w:val="000000"/>
                <w:sz w:val="24"/>
              </w:rPr>
            </w:pPr>
            <w:r>
              <w:rPr>
                <w:rFonts w:hint="eastAsia" w:ascii="宋体" w:hAnsi="宋体" w:cs="宋体"/>
                <w:color w:val="000000"/>
                <w:sz w:val="24"/>
              </w:rPr>
              <w:t>参加过的类似项目名称</w:t>
            </w:r>
          </w:p>
        </w:tc>
        <w:tc>
          <w:tcPr>
            <w:tcW w:w="1944" w:type="dxa"/>
            <w:noWrap w:val="0"/>
            <w:vAlign w:val="center"/>
          </w:tcPr>
          <w:p>
            <w:pPr>
              <w:jc w:val="center"/>
              <w:rPr>
                <w:rFonts w:hint="eastAsia" w:ascii="宋体" w:hAnsi="宋体" w:cs="宋体"/>
                <w:color w:val="000000"/>
                <w:sz w:val="24"/>
              </w:rPr>
            </w:pPr>
            <w:r>
              <w:rPr>
                <w:rFonts w:hint="eastAsia" w:ascii="宋体" w:hAnsi="宋体" w:cs="宋体"/>
                <w:color w:val="000000"/>
                <w:sz w:val="24"/>
              </w:rPr>
              <w:t>工程概况说明</w:t>
            </w:r>
          </w:p>
        </w:tc>
        <w:tc>
          <w:tcPr>
            <w:tcW w:w="2340" w:type="dxa"/>
            <w:noWrap w:val="0"/>
            <w:vAlign w:val="center"/>
          </w:tcPr>
          <w:p>
            <w:pPr>
              <w:jc w:val="center"/>
              <w:rPr>
                <w:rFonts w:hint="eastAsia" w:ascii="宋体" w:hAnsi="宋体" w:cs="宋体"/>
                <w:color w:val="000000"/>
                <w:sz w:val="24"/>
              </w:rPr>
            </w:pPr>
            <w:r>
              <w:rPr>
                <w:rFonts w:hint="eastAsia" w:ascii="宋体" w:hAnsi="宋体" w:cs="宋体"/>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s="宋体"/>
                <w:color w:val="000000"/>
                <w:sz w:val="24"/>
              </w:rPr>
            </w:pPr>
          </w:p>
        </w:tc>
        <w:tc>
          <w:tcPr>
            <w:tcW w:w="1035" w:type="dxa"/>
            <w:gridSpan w:val="2"/>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p>
        </w:tc>
        <w:tc>
          <w:tcPr>
            <w:tcW w:w="2340"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s="宋体"/>
                <w:color w:val="000000"/>
                <w:sz w:val="24"/>
              </w:rPr>
            </w:pPr>
          </w:p>
        </w:tc>
        <w:tc>
          <w:tcPr>
            <w:tcW w:w="1035" w:type="dxa"/>
            <w:gridSpan w:val="2"/>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p>
        </w:tc>
        <w:tc>
          <w:tcPr>
            <w:tcW w:w="2340"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s="宋体"/>
                <w:color w:val="000000"/>
                <w:sz w:val="24"/>
              </w:rPr>
            </w:pPr>
          </w:p>
        </w:tc>
        <w:tc>
          <w:tcPr>
            <w:tcW w:w="1035" w:type="dxa"/>
            <w:gridSpan w:val="2"/>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p>
        </w:tc>
        <w:tc>
          <w:tcPr>
            <w:tcW w:w="2340"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s="宋体"/>
                <w:color w:val="000000"/>
                <w:sz w:val="24"/>
              </w:rPr>
            </w:pPr>
          </w:p>
        </w:tc>
        <w:tc>
          <w:tcPr>
            <w:tcW w:w="1035" w:type="dxa"/>
            <w:gridSpan w:val="2"/>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p>
        </w:tc>
        <w:tc>
          <w:tcPr>
            <w:tcW w:w="2340" w:type="dxa"/>
            <w:noWrap w:val="0"/>
            <w:vAlign w:val="center"/>
          </w:tcPr>
          <w:p>
            <w:pPr>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s="宋体"/>
                <w:color w:val="000000"/>
                <w:sz w:val="24"/>
              </w:rPr>
            </w:pPr>
          </w:p>
        </w:tc>
        <w:tc>
          <w:tcPr>
            <w:tcW w:w="1035" w:type="dxa"/>
            <w:gridSpan w:val="2"/>
            <w:noWrap w:val="0"/>
            <w:vAlign w:val="center"/>
          </w:tcPr>
          <w:p>
            <w:pPr>
              <w:jc w:val="center"/>
              <w:rPr>
                <w:rFonts w:hint="eastAsia" w:ascii="宋体" w:hAnsi="宋体" w:cs="宋体"/>
                <w:color w:val="000000"/>
                <w:sz w:val="24"/>
              </w:rPr>
            </w:pPr>
          </w:p>
        </w:tc>
        <w:tc>
          <w:tcPr>
            <w:tcW w:w="1134" w:type="dxa"/>
            <w:noWrap w:val="0"/>
            <w:vAlign w:val="center"/>
          </w:tcPr>
          <w:p>
            <w:pPr>
              <w:jc w:val="center"/>
              <w:rPr>
                <w:rFonts w:hint="eastAsia" w:ascii="宋体" w:hAnsi="宋体" w:cs="宋体"/>
                <w:color w:val="000000"/>
                <w:sz w:val="24"/>
              </w:rPr>
            </w:pPr>
          </w:p>
        </w:tc>
        <w:tc>
          <w:tcPr>
            <w:tcW w:w="1275" w:type="dxa"/>
            <w:noWrap w:val="0"/>
            <w:vAlign w:val="center"/>
          </w:tcPr>
          <w:p>
            <w:pPr>
              <w:jc w:val="center"/>
              <w:rPr>
                <w:rFonts w:hint="eastAsia" w:ascii="宋体" w:hAnsi="宋体" w:cs="宋体"/>
                <w:color w:val="000000"/>
                <w:sz w:val="24"/>
              </w:rPr>
            </w:pPr>
          </w:p>
        </w:tc>
        <w:tc>
          <w:tcPr>
            <w:tcW w:w="1944" w:type="dxa"/>
            <w:noWrap w:val="0"/>
            <w:vAlign w:val="center"/>
          </w:tcPr>
          <w:p>
            <w:pPr>
              <w:jc w:val="center"/>
              <w:rPr>
                <w:rFonts w:hint="eastAsia" w:ascii="宋体" w:hAnsi="宋体" w:cs="宋体"/>
                <w:color w:val="000000"/>
                <w:sz w:val="24"/>
              </w:rPr>
            </w:pPr>
          </w:p>
        </w:tc>
        <w:tc>
          <w:tcPr>
            <w:tcW w:w="2340" w:type="dxa"/>
            <w:noWrap w:val="0"/>
            <w:vAlign w:val="center"/>
          </w:tcPr>
          <w:p>
            <w:pPr>
              <w:jc w:val="center"/>
              <w:rPr>
                <w:rFonts w:hint="eastAsia" w:ascii="宋体" w:hAnsi="宋体" w:cs="宋体"/>
                <w:color w:val="000000"/>
                <w:sz w:val="24"/>
              </w:rPr>
            </w:pPr>
          </w:p>
        </w:tc>
      </w:tr>
    </w:tbl>
    <w:p>
      <w:pPr>
        <w:pStyle w:val="14"/>
        <w:rPr>
          <w:rFonts w:hint="eastAsia" w:ascii="宋体" w:hAnsi="宋体" w:eastAsia="宋体" w:cs="宋体"/>
          <w:color w:val="000000"/>
        </w:rPr>
      </w:pPr>
      <w:r>
        <w:rPr>
          <w:rFonts w:hint="eastAsia" w:ascii="宋体" w:hAnsi="宋体" w:eastAsia="宋体" w:cs="宋体"/>
          <w:color w:val="000000"/>
        </w:rPr>
        <w:t xml:space="preserve">注： </w:t>
      </w:r>
      <w:r>
        <w:rPr>
          <w:rFonts w:hint="eastAsia" w:ascii="宋体" w:hAnsi="宋体" w:eastAsia="宋体" w:cs="宋体"/>
          <w:color w:val="000000"/>
          <w:kern w:val="0"/>
        </w:rPr>
        <w:t>承包人若需要更换本工程投标文件中原有建造师及人员时须经发包人同意。未经发包人同意，承包人更换人员，承包人应承担违约责任。并且按照中标价</w:t>
      </w:r>
      <w:r>
        <w:rPr>
          <w:rFonts w:hint="eastAsia" w:ascii="宋体" w:hAnsi="宋体" w:eastAsia="宋体" w:cs="宋体"/>
          <w:color w:val="000000"/>
          <w:kern w:val="0"/>
          <w:u w:val="single"/>
        </w:rPr>
        <w:t xml:space="preserve"> </w:t>
      </w:r>
      <w:r>
        <w:rPr>
          <w:rFonts w:hint="eastAsia" w:ascii="宋体" w:hAnsi="宋体" w:eastAsia="宋体" w:cs="宋体"/>
          <w:bCs/>
          <w:color w:val="000000"/>
          <w:kern w:val="0"/>
          <w:u w:val="single"/>
        </w:rPr>
        <w:t>5</w:t>
      </w:r>
      <w:r>
        <w:rPr>
          <w:rFonts w:hint="eastAsia" w:ascii="宋体" w:hAnsi="宋体" w:eastAsia="宋体" w:cs="宋体"/>
          <w:color w:val="000000"/>
          <w:kern w:val="0"/>
          <w:u w:val="single"/>
        </w:rPr>
        <w:t xml:space="preserve"> </w:t>
      </w:r>
      <w:r>
        <w:rPr>
          <w:rFonts w:hint="eastAsia" w:ascii="宋体" w:hAnsi="宋体" w:eastAsia="宋体" w:cs="宋体"/>
          <w:bCs/>
          <w:color w:val="000000"/>
          <w:kern w:val="0"/>
        </w:rPr>
        <w:t>％</w:t>
      </w:r>
      <w:r>
        <w:rPr>
          <w:rFonts w:hint="eastAsia" w:ascii="宋体" w:hAnsi="宋体" w:eastAsia="宋体" w:cs="宋体"/>
          <w:color w:val="000000"/>
          <w:kern w:val="0"/>
        </w:rPr>
        <w:t xml:space="preserve"> 给发包人支付违约金。</w:t>
      </w:r>
    </w:p>
    <w:p>
      <w:pPr>
        <w:spacing w:line="420" w:lineRule="exact"/>
        <w:rPr>
          <w:rFonts w:ascii="宋体" w:hAnsi="宋体" w:cs="宋体"/>
          <w:color w:val="000000"/>
          <w:sz w:val="24"/>
        </w:rPr>
      </w:pPr>
    </w:p>
    <w:p>
      <w:pPr>
        <w:pStyle w:val="18"/>
        <w:rPr>
          <w:rFonts w:ascii="宋体" w:hAnsi="宋体" w:cs="宋体"/>
          <w:color w:val="000000"/>
          <w:sz w:val="24"/>
        </w:rPr>
      </w:pPr>
    </w:p>
    <w:p>
      <w:pPr>
        <w:pStyle w:val="18"/>
        <w:rPr>
          <w:rFonts w:ascii="宋体" w:hAnsi="宋体" w:cs="宋体"/>
          <w:color w:val="000000"/>
          <w:sz w:val="24"/>
        </w:rPr>
      </w:pPr>
    </w:p>
    <w:p>
      <w:pPr>
        <w:pStyle w:val="18"/>
        <w:rPr>
          <w:rFonts w:ascii="宋体" w:hAnsi="宋体" w:cs="宋体"/>
          <w:color w:val="000000"/>
          <w:sz w:val="24"/>
        </w:rPr>
      </w:pPr>
    </w:p>
    <w:p>
      <w:pPr>
        <w:pStyle w:val="18"/>
        <w:rPr>
          <w:rFonts w:ascii="宋体" w:hAnsi="宋体" w:cs="宋体"/>
          <w:color w:val="000000"/>
          <w:sz w:val="24"/>
        </w:rPr>
      </w:pPr>
    </w:p>
    <w:p>
      <w:pPr>
        <w:spacing w:line="420" w:lineRule="exact"/>
        <w:rPr>
          <w:rFonts w:hint="eastAsia" w:ascii="宋体" w:hAnsi="宋体" w:cs="宋体"/>
          <w:color w:val="000000"/>
          <w:szCs w:val="21"/>
        </w:rPr>
      </w:pPr>
      <w:r>
        <w:rPr>
          <w:rFonts w:hint="eastAsia" w:ascii="宋体" w:hAnsi="宋体" w:cs="宋体"/>
          <w:color w:val="000000"/>
          <w:sz w:val="24"/>
        </w:rPr>
        <w:t>2）主要项目管理人员简历表</w:t>
      </w:r>
    </w:p>
    <w:p>
      <w:pPr>
        <w:spacing w:line="420" w:lineRule="exact"/>
        <w:rPr>
          <w:rFonts w:hint="eastAsia" w:ascii="宋体" w:hAnsi="宋体" w:cs="宋体"/>
          <w:color w:val="000000"/>
          <w:sz w:val="24"/>
        </w:rPr>
      </w:pPr>
      <w:r>
        <w:rPr>
          <w:rFonts w:hint="eastAsia" w:ascii="宋体" w:hAnsi="宋体" w:cs="宋体"/>
          <w:color w:val="000000"/>
          <w:sz w:val="24"/>
        </w:rPr>
        <w:t xml:space="preserve">   主要项目管理人员指技术负责人、专职安全生产管理人员等岗位人员。应附身份证、</w:t>
      </w:r>
      <w:r>
        <w:rPr>
          <w:rFonts w:hint="eastAsia" w:ascii="宋体" w:hAnsi="宋体" w:cs="宋体"/>
          <w:color w:val="000000"/>
          <w:sz w:val="24"/>
          <w:lang w:val="en-US" w:eastAsia="zh-CN"/>
        </w:rPr>
        <w:t>岗位证书等证明材料，</w:t>
      </w:r>
      <w:r>
        <w:rPr>
          <w:rFonts w:hint="eastAsia" w:ascii="宋体" w:hAnsi="宋体" w:cs="宋体"/>
          <w:color w:val="000000"/>
          <w:sz w:val="24"/>
        </w:rPr>
        <w:t>专职安全生产管理人员应附安全生产考核合格证书，主要业绩须附合同协议书。</w:t>
      </w:r>
    </w:p>
    <w:p>
      <w:pPr>
        <w:pStyle w:val="18"/>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4"/>
            <w:noWrap w:val="0"/>
            <w:vAlign w:val="center"/>
          </w:tcPr>
          <w:p>
            <w:pPr>
              <w:spacing w:line="440" w:lineRule="exact"/>
              <w:rPr>
                <w:rFonts w:hint="eastAsia" w:ascii="宋体" w:hAnsi="宋体" w:cs="宋体"/>
                <w:color w:val="000000"/>
                <w:sz w:val="24"/>
              </w:rPr>
            </w:pPr>
            <w:r>
              <w:rPr>
                <w:rFonts w:hint="eastAsia" w:ascii="宋体" w:hAnsi="宋体" w:cs="宋体"/>
                <w:color w:val="000000"/>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姓  名</w:t>
            </w:r>
          </w:p>
        </w:tc>
        <w:tc>
          <w:tcPr>
            <w:tcW w:w="3420" w:type="dxa"/>
            <w:noWrap w:val="0"/>
            <w:vAlign w:val="center"/>
          </w:tcPr>
          <w:p>
            <w:pPr>
              <w:spacing w:line="440" w:lineRule="exact"/>
              <w:rPr>
                <w:rFonts w:hint="eastAsia" w:ascii="宋体" w:hAnsi="宋体" w:cs="宋体"/>
                <w:color w:val="000000"/>
                <w:sz w:val="24"/>
              </w:rPr>
            </w:pPr>
          </w:p>
        </w:tc>
        <w:tc>
          <w:tcPr>
            <w:tcW w:w="1261"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年  龄</w:t>
            </w:r>
          </w:p>
        </w:tc>
        <w:tc>
          <w:tcPr>
            <w:tcW w:w="2296" w:type="dxa"/>
            <w:noWrap w:val="0"/>
            <w:vAlign w:val="center"/>
          </w:tcPr>
          <w:p>
            <w:pPr>
              <w:spacing w:line="440" w:lineRule="exact"/>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性  别</w:t>
            </w:r>
          </w:p>
        </w:tc>
        <w:tc>
          <w:tcPr>
            <w:tcW w:w="3420" w:type="dxa"/>
            <w:noWrap w:val="0"/>
            <w:vAlign w:val="top"/>
          </w:tcPr>
          <w:p>
            <w:pPr>
              <w:spacing w:line="440" w:lineRule="exact"/>
              <w:rPr>
                <w:rFonts w:hint="eastAsia" w:ascii="宋体" w:hAnsi="宋体" w:cs="宋体"/>
                <w:color w:val="000000"/>
                <w:sz w:val="24"/>
              </w:rPr>
            </w:pPr>
          </w:p>
        </w:tc>
        <w:tc>
          <w:tcPr>
            <w:tcW w:w="1261"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毕业学校</w:t>
            </w:r>
          </w:p>
        </w:tc>
        <w:tc>
          <w:tcPr>
            <w:tcW w:w="2296" w:type="dxa"/>
            <w:noWrap w:val="0"/>
            <w:vAlign w:val="top"/>
          </w:tcPr>
          <w:p>
            <w:pPr>
              <w:spacing w:line="440" w:lineRule="exact"/>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学历和专业</w:t>
            </w:r>
          </w:p>
        </w:tc>
        <w:tc>
          <w:tcPr>
            <w:tcW w:w="3420" w:type="dxa"/>
            <w:noWrap w:val="0"/>
            <w:vAlign w:val="top"/>
          </w:tcPr>
          <w:p>
            <w:pPr>
              <w:spacing w:line="440" w:lineRule="exact"/>
              <w:rPr>
                <w:rFonts w:hint="eastAsia" w:ascii="宋体" w:hAnsi="宋体" w:cs="宋体"/>
                <w:color w:val="000000"/>
                <w:sz w:val="24"/>
              </w:rPr>
            </w:pPr>
          </w:p>
        </w:tc>
        <w:tc>
          <w:tcPr>
            <w:tcW w:w="1261"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毕业时间</w:t>
            </w:r>
          </w:p>
        </w:tc>
        <w:tc>
          <w:tcPr>
            <w:tcW w:w="2296" w:type="dxa"/>
            <w:noWrap w:val="0"/>
            <w:vAlign w:val="top"/>
          </w:tcPr>
          <w:p>
            <w:pPr>
              <w:spacing w:line="440" w:lineRule="exact"/>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拥有的执业资格</w:t>
            </w:r>
          </w:p>
        </w:tc>
        <w:tc>
          <w:tcPr>
            <w:tcW w:w="3420" w:type="dxa"/>
            <w:noWrap w:val="0"/>
            <w:vAlign w:val="top"/>
          </w:tcPr>
          <w:p>
            <w:pPr>
              <w:spacing w:line="440" w:lineRule="exact"/>
              <w:rPr>
                <w:rFonts w:hint="eastAsia" w:ascii="宋体" w:hAnsi="宋体" w:cs="宋体"/>
                <w:color w:val="000000"/>
                <w:sz w:val="24"/>
              </w:rPr>
            </w:pPr>
          </w:p>
        </w:tc>
        <w:tc>
          <w:tcPr>
            <w:tcW w:w="1261" w:type="dxa"/>
            <w:noWrap w:val="0"/>
            <w:vAlign w:val="top"/>
          </w:tcPr>
          <w:p>
            <w:pPr>
              <w:spacing w:line="440" w:lineRule="exact"/>
              <w:jc w:val="center"/>
              <w:rPr>
                <w:rFonts w:hint="eastAsia" w:ascii="宋体" w:hAnsi="宋体" w:cs="宋体"/>
                <w:color w:val="000000"/>
                <w:sz w:val="24"/>
              </w:rPr>
            </w:pPr>
            <w:r>
              <w:rPr>
                <w:rFonts w:hint="eastAsia" w:ascii="宋体" w:hAnsi="宋体" w:cs="宋体"/>
                <w:color w:val="000000"/>
                <w:sz w:val="24"/>
              </w:rPr>
              <w:t>专业职称</w:t>
            </w:r>
          </w:p>
        </w:tc>
        <w:tc>
          <w:tcPr>
            <w:tcW w:w="2296" w:type="dxa"/>
            <w:noWrap w:val="0"/>
            <w:vAlign w:val="top"/>
          </w:tcPr>
          <w:p>
            <w:pPr>
              <w:spacing w:line="440" w:lineRule="exact"/>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执业资格</w:t>
            </w:r>
          </w:p>
          <w:p>
            <w:pPr>
              <w:spacing w:line="440" w:lineRule="exact"/>
              <w:jc w:val="center"/>
              <w:rPr>
                <w:rFonts w:hint="eastAsia" w:ascii="宋体" w:hAnsi="宋体" w:cs="宋体"/>
                <w:color w:val="000000"/>
                <w:sz w:val="24"/>
              </w:rPr>
            </w:pPr>
            <w:r>
              <w:rPr>
                <w:rFonts w:hint="eastAsia" w:ascii="宋体" w:hAnsi="宋体" w:cs="宋体"/>
                <w:color w:val="000000"/>
                <w:sz w:val="24"/>
              </w:rPr>
              <w:t>证书编号</w:t>
            </w:r>
          </w:p>
        </w:tc>
        <w:tc>
          <w:tcPr>
            <w:tcW w:w="3420" w:type="dxa"/>
            <w:noWrap w:val="0"/>
            <w:vAlign w:val="center"/>
          </w:tcPr>
          <w:p>
            <w:pPr>
              <w:spacing w:line="440" w:lineRule="exact"/>
              <w:rPr>
                <w:rFonts w:hint="eastAsia" w:ascii="宋体" w:hAnsi="宋体" w:cs="宋体"/>
                <w:color w:val="000000"/>
                <w:sz w:val="24"/>
              </w:rPr>
            </w:pPr>
          </w:p>
        </w:tc>
        <w:tc>
          <w:tcPr>
            <w:tcW w:w="1261" w:type="dxa"/>
            <w:noWrap w:val="0"/>
            <w:vAlign w:val="center"/>
          </w:tcPr>
          <w:p>
            <w:pPr>
              <w:spacing w:line="440" w:lineRule="exact"/>
              <w:jc w:val="center"/>
              <w:rPr>
                <w:rFonts w:hint="eastAsia" w:ascii="宋体" w:hAnsi="宋体" w:cs="宋体"/>
                <w:color w:val="000000"/>
                <w:sz w:val="24"/>
              </w:rPr>
            </w:pPr>
            <w:r>
              <w:rPr>
                <w:rFonts w:hint="eastAsia" w:ascii="宋体" w:hAnsi="宋体" w:cs="宋体"/>
                <w:color w:val="000000"/>
                <w:sz w:val="24"/>
              </w:rPr>
              <w:t>工作年限</w:t>
            </w:r>
          </w:p>
        </w:tc>
        <w:tc>
          <w:tcPr>
            <w:tcW w:w="2296" w:type="dxa"/>
            <w:noWrap w:val="0"/>
            <w:vAlign w:val="center"/>
          </w:tcPr>
          <w:p>
            <w:pPr>
              <w:spacing w:line="440" w:lineRule="exact"/>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1923" w:type="dxa"/>
            <w:noWrap w:val="0"/>
            <w:vAlign w:val="center"/>
          </w:tcPr>
          <w:p>
            <w:pPr>
              <w:spacing w:line="440" w:lineRule="exact"/>
              <w:rPr>
                <w:rFonts w:hint="eastAsia" w:ascii="宋体" w:hAnsi="宋体" w:cs="宋体"/>
                <w:color w:val="000000"/>
                <w:sz w:val="24"/>
              </w:rPr>
            </w:pPr>
          </w:p>
          <w:p>
            <w:pPr>
              <w:spacing w:line="440" w:lineRule="exact"/>
              <w:rPr>
                <w:rFonts w:hint="eastAsia" w:ascii="宋体" w:hAnsi="宋体" w:cs="宋体"/>
                <w:color w:val="000000"/>
                <w:sz w:val="24"/>
              </w:rPr>
            </w:pPr>
            <w:r>
              <w:rPr>
                <w:rFonts w:hint="eastAsia" w:ascii="宋体" w:hAnsi="宋体" w:cs="宋体"/>
                <w:color w:val="000000"/>
                <w:sz w:val="24"/>
              </w:rPr>
              <w:t>主要工作业绩及担任的主要工作</w:t>
            </w:r>
          </w:p>
          <w:p>
            <w:pPr>
              <w:spacing w:line="440" w:lineRule="exact"/>
              <w:rPr>
                <w:rFonts w:hint="eastAsia" w:ascii="宋体" w:hAnsi="宋体" w:cs="宋体"/>
                <w:color w:val="000000"/>
                <w:sz w:val="24"/>
              </w:rPr>
            </w:pPr>
          </w:p>
        </w:tc>
        <w:tc>
          <w:tcPr>
            <w:tcW w:w="6977" w:type="dxa"/>
            <w:gridSpan w:val="3"/>
            <w:noWrap w:val="0"/>
            <w:vAlign w:val="center"/>
          </w:tcPr>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p>
          <w:p>
            <w:pPr>
              <w:pStyle w:val="18"/>
              <w:rPr>
                <w:rFonts w:hint="eastAsia" w:ascii="宋体" w:hAnsi="宋体" w:cs="宋体"/>
                <w:color w:val="000000"/>
                <w:sz w:val="24"/>
              </w:rPr>
            </w:pPr>
          </w:p>
          <w:p>
            <w:pPr>
              <w:pStyle w:val="18"/>
              <w:rPr>
                <w:rFonts w:hint="eastAsia" w:ascii="宋体" w:hAnsi="宋体" w:cs="宋体"/>
                <w:color w:val="000000"/>
                <w:sz w:val="24"/>
              </w:rPr>
            </w:pPr>
          </w:p>
          <w:p>
            <w:pPr>
              <w:pStyle w:val="18"/>
              <w:rPr>
                <w:rFonts w:hint="eastAsia" w:ascii="宋体" w:hAnsi="宋体" w:cs="宋体"/>
                <w:color w:val="000000"/>
                <w:sz w:val="24"/>
              </w:rPr>
            </w:pPr>
          </w:p>
          <w:p>
            <w:pPr>
              <w:spacing w:line="440" w:lineRule="exact"/>
              <w:rPr>
                <w:rFonts w:hint="eastAsia" w:ascii="宋体" w:hAnsi="宋体" w:cs="宋体"/>
                <w:color w:val="000000"/>
                <w:sz w:val="24"/>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val="0"/>
          <w:bCs w:val="0"/>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b w:val="0"/>
          <w:bCs w:val="0"/>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b w:val="0"/>
          <w:bCs w:val="0"/>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b w:val="0"/>
          <w:bCs w:val="0"/>
          <w:color w:val="000000"/>
          <w:kern w:val="0"/>
          <w:sz w:val="32"/>
          <w:szCs w:val="32"/>
          <w:lang w:val="en-US" w:eastAsia="zh-CN" w:bidi="ar"/>
        </w:rPr>
      </w:pPr>
    </w:p>
    <w:p>
      <w:pPr>
        <w:rPr>
          <w:rFonts w:hint="default"/>
          <w:sz w:val="28"/>
          <w:szCs w:val="36"/>
          <w:lang w:val="en-US" w:eastAsia="zh-CN"/>
        </w:rPr>
      </w:pPr>
      <w:r>
        <w:rPr>
          <w:rFonts w:hint="eastAsia"/>
          <w:sz w:val="28"/>
          <w:szCs w:val="36"/>
          <w:lang w:val="en-US" w:eastAsia="zh-CN"/>
        </w:rPr>
        <w:t>6.通过“信用中国”网站（www.creditchina.gov.cn）或中国政府采购网（www.ccgp.gov.cn）网站上未被列入失信被执行人、重大税收违法案件当事人名单以及政府采购严重违法失信行为记录名单的网页截图并盖单位章</w:t>
      </w: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p>
    <w:p>
      <w:pPr>
        <w:keepNext w:val="0"/>
        <w:keepLines w:val="0"/>
        <w:widowControl/>
        <w:numPr>
          <w:ilvl w:val="0"/>
          <w:numId w:val="0"/>
        </w:numPr>
        <w:suppressLineNumbers w:val="0"/>
        <w:ind w:firstLine="320" w:firstLineChars="100"/>
        <w:jc w:val="left"/>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7.参加政府采购活动前三年内在经营活动中没有重大违法记录</w:t>
      </w:r>
    </w:p>
    <w:p>
      <w:pPr>
        <w:keepNext w:val="0"/>
        <w:keepLines w:val="0"/>
        <w:widowControl/>
        <w:suppressLineNumbers w:val="0"/>
        <w:jc w:val="center"/>
      </w:pPr>
      <w:r>
        <w:rPr>
          <w:rFonts w:hint="eastAsia" w:ascii="宋体" w:hAnsi="宋体" w:eastAsia="宋体" w:cs="宋体"/>
          <w:b w:val="0"/>
          <w:bCs w:val="0"/>
          <w:color w:val="000000"/>
          <w:kern w:val="0"/>
          <w:sz w:val="32"/>
          <w:szCs w:val="32"/>
          <w:lang w:val="en-US" w:eastAsia="zh-CN" w:bidi="ar"/>
        </w:rPr>
        <w:t>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kern w:val="0"/>
          <w:sz w:val="24"/>
          <w:szCs w:val="24"/>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至</w:t>
      </w:r>
      <w:r>
        <w:rPr>
          <w:rFonts w:hint="eastAsia" w:ascii="宋体" w:hAnsi="宋体" w:eastAsia="宋体" w:cs="宋体"/>
          <w:b w:val="0"/>
          <w:bCs w:val="0"/>
          <w:color w:val="000000"/>
          <w:kern w:val="0"/>
          <w:sz w:val="24"/>
          <w:szCs w:val="24"/>
          <w:highlight w:val="none"/>
          <w:u w:val="single"/>
          <w:lang w:val="en-US" w:eastAsia="zh-CN"/>
        </w:rPr>
        <w:t>（采购人）：</w:t>
      </w:r>
    </w:p>
    <w:p>
      <w:pPr>
        <w:pStyle w:val="18"/>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我单位在参加采购活动前三年内在经营活动中没有《政府采购法》第二十二条第</w:t>
      </w:r>
    </w:p>
    <w:p>
      <w:pPr>
        <w:pStyle w:val="18"/>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一款第（五）项所称重大违法记录，包括：</w:t>
      </w:r>
    </w:p>
    <w:p>
      <w:pPr>
        <w:pStyle w:val="18"/>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我单位或者其法定代表人、董事、监事、高级管理人员未因经营活动中的违法行</w:t>
      </w:r>
    </w:p>
    <w:p>
      <w:pPr>
        <w:pStyle w:val="18"/>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为收到刑事处罚或者责令停产停业、吊销执照、较大数额罚款等行政处罚。</w:t>
      </w:r>
    </w:p>
    <w:p>
      <w:pPr>
        <w:pStyle w:val="18"/>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特此声明！ </w:t>
      </w: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供应商名称： （盖章）</w:t>
      </w: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法定代表人或授权委托人： （签字或盖章）</w:t>
      </w:r>
    </w:p>
    <w:p>
      <w:pPr>
        <w:pStyle w:val="18"/>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日期：     年   月   日</w:t>
      </w: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rPr>
          <w:rFonts w:hint="eastAsia"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eastAsia"/>
          <w:lang w:val="en-US" w:eastAsia="zh-CN"/>
        </w:rPr>
      </w:pPr>
    </w:p>
    <w:p>
      <w:pPr>
        <w:pStyle w:val="18"/>
        <w:widowControl w:val="0"/>
        <w:numPr>
          <w:ilvl w:val="0"/>
          <w:numId w:val="0"/>
        </w:numPr>
        <w:snapToGrid w:val="0"/>
        <w:jc w:val="left"/>
        <w:rPr>
          <w:rFonts w:hint="eastAsia"/>
          <w:lang w:val="en-US" w:eastAsia="zh-CN"/>
        </w:rPr>
      </w:pPr>
    </w:p>
    <w:p>
      <w:pPr>
        <w:pStyle w:val="18"/>
        <w:widowControl w:val="0"/>
        <w:numPr>
          <w:ilvl w:val="0"/>
          <w:numId w:val="0"/>
        </w:numPr>
        <w:snapToGrid w:val="0"/>
        <w:jc w:val="lef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8、提供针对本次项目《反商业贿赂承诺书》</w:t>
      </w:r>
    </w:p>
    <w:p>
      <w:pPr>
        <w:pStyle w:val="18"/>
        <w:jc w:val="center"/>
        <w:rPr>
          <w:rFonts w:hint="eastAsia" w:ascii="宋体" w:hAnsi="宋体" w:eastAsia="宋体" w:cs="宋体"/>
          <w:b w:val="0"/>
          <w:bCs w:val="0"/>
          <w:color w:val="000000"/>
          <w:kern w:val="0"/>
          <w:sz w:val="28"/>
          <w:szCs w:val="28"/>
          <w:highlight w:val="none"/>
          <w:lang w:val="en-US" w:eastAsia="zh-CN"/>
        </w:rPr>
      </w:pPr>
    </w:p>
    <w:p>
      <w:pPr>
        <w:pStyle w:val="18"/>
        <w:jc w:val="center"/>
        <w:rPr>
          <w:rFonts w:hint="eastAsia" w:ascii="宋体" w:hAnsi="宋体" w:eastAsia="宋体" w:cs="宋体"/>
          <w:b w:val="0"/>
          <w:bCs w:val="0"/>
          <w:color w:val="000000"/>
          <w:kern w:val="0"/>
          <w:sz w:val="32"/>
          <w:szCs w:val="32"/>
          <w:highlight w:val="none"/>
          <w:lang w:val="en-US" w:eastAsia="zh-CN"/>
        </w:rPr>
      </w:pPr>
      <w:r>
        <w:rPr>
          <w:rFonts w:hint="eastAsia" w:ascii="宋体" w:hAnsi="宋体" w:eastAsia="宋体" w:cs="宋体"/>
          <w:b w:val="0"/>
          <w:bCs w:val="0"/>
          <w:color w:val="000000"/>
          <w:kern w:val="0"/>
          <w:sz w:val="28"/>
          <w:szCs w:val="28"/>
          <w:highlight w:val="none"/>
          <w:lang w:val="en-US" w:eastAsia="zh-CN"/>
        </w:rPr>
        <w:t>反商业贿赂承诺书</w:t>
      </w:r>
    </w:p>
    <w:p>
      <w:pPr>
        <w:pStyle w:val="18"/>
        <w:jc w:val="both"/>
        <w:rPr>
          <w:rFonts w:hint="eastAsia" w:ascii="宋体" w:hAnsi="宋体" w:eastAsia="宋体" w:cs="宋体"/>
          <w:b w:val="0"/>
          <w:bCs w:val="0"/>
          <w:color w:val="000000"/>
          <w:kern w:val="0"/>
          <w:sz w:val="28"/>
          <w:szCs w:val="28"/>
          <w:highlight w:val="none"/>
          <w:lang w:val="en-US" w:eastAsia="zh-CN"/>
        </w:rPr>
      </w:pPr>
    </w:p>
    <w:p>
      <w:pPr>
        <w:pStyle w:val="18"/>
        <w:jc w:val="left"/>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我单位承诺：</w:t>
      </w:r>
    </w:p>
    <w:p>
      <w:pPr>
        <w:pStyle w:val="18"/>
        <w:ind w:firstLine="560" w:firstLineChars="200"/>
        <w:jc w:val="left"/>
        <w:rPr>
          <w:rFonts w:hint="eastAsia" w:ascii="宋体" w:hAnsi="宋体" w:eastAsia="宋体" w:cs="宋体"/>
          <w:b w:val="0"/>
          <w:bCs w:val="0"/>
          <w:color w:val="000000"/>
          <w:kern w:val="0"/>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在参加</w:t>
      </w:r>
      <w:r>
        <w:rPr>
          <w:rFonts w:hint="eastAsia" w:ascii="宋体" w:hAnsi="宋体" w:eastAsia="宋体" w:cs="宋体"/>
          <w:b w:val="0"/>
          <w:bCs w:val="0"/>
          <w:color w:val="000000"/>
          <w:kern w:val="0"/>
          <w:sz w:val="28"/>
          <w:szCs w:val="28"/>
          <w:highlight w:val="none"/>
          <w:u w:val="single"/>
          <w:lang w:val="en-US" w:eastAsia="zh-CN"/>
        </w:rPr>
        <w:t>（项目名称及编号）</w:t>
      </w:r>
      <w:r>
        <w:rPr>
          <w:rFonts w:hint="eastAsia" w:ascii="宋体" w:hAnsi="宋体" w:eastAsia="宋体" w:cs="宋体"/>
          <w:b w:val="0"/>
          <w:bCs w:val="0"/>
          <w:color w:val="000000"/>
          <w:kern w:val="0"/>
          <w:sz w:val="28"/>
          <w:szCs w:val="28"/>
          <w:highlight w:val="none"/>
          <w:lang w:val="en-US" w:eastAsia="zh-CN"/>
        </w:rPr>
        <w:t>时，我单位保证做到：</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一、公平竞争参加本次招标活动。</w:t>
      </w:r>
    </w:p>
    <w:p>
      <w:pPr>
        <w:pStyle w:val="18"/>
        <w:keepNext w:val="0"/>
        <w:keepLines w:val="0"/>
        <w:pageBreakBefore w:val="0"/>
        <w:widowControl w:val="0"/>
        <w:kinsoku/>
        <w:wordWrap/>
        <w:overflowPunct/>
        <w:topLinePunct w:val="0"/>
        <w:autoSpaceDE/>
        <w:autoSpaceDN/>
        <w:bidi w:val="0"/>
        <w:adjustRightInd/>
        <w:snapToGrid w:val="0"/>
        <w:spacing w:line="360" w:lineRule="auto"/>
        <w:ind w:left="280" w:hanging="280" w:hangingChars="1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三、若出现上述行为，我单位及参与投标的工作人员愿意接受按照国家法律法规等有关规定给予的处罚。</w:t>
      </w:r>
    </w:p>
    <w:p>
      <w:pPr>
        <w:pStyle w:val="18"/>
        <w:jc w:val="left"/>
        <w:rPr>
          <w:rFonts w:hint="eastAsia" w:ascii="宋体" w:hAnsi="宋体" w:eastAsia="宋体" w:cs="宋体"/>
          <w:b w:val="0"/>
          <w:bCs w:val="0"/>
          <w:color w:val="000000"/>
          <w:kern w:val="0"/>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供应商名称： （盖章）</w:t>
      </w: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法定代表人或授权委托人： （签字或盖章）</w:t>
      </w:r>
    </w:p>
    <w:p>
      <w:pPr>
        <w:pStyle w:val="18"/>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000000"/>
          <w:kern w:val="0"/>
          <w:sz w:val="24"/>
          <w:szCs w:val="24"/>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 xml:space="preserve">                                      日期：     年   月   日</w:t>
      </w:r>
    </w:p>
    <w:p>
      <w:pPr>
        <w:pStyle w:val="18"/>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default"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default"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default"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8"/>
        <w:widowControl w:val="0"/>
        <w:numPr>
          <w:ilvl w:val="0"/>
          <w:numId w:val="0"/>
        </w:numPr>
        <w:snapToGrid w:val="0"/>
        <w:jc w:val="left"/>
        <w:rPr>
          <w:rFonts w:hint="eastAsia" w:ascii="宋体" w:hAnsi="宋体" w:eastAsia="宋体" w:cs="宋体"/>
          <w:b w:val="0"/>
          <w:bCs w:val="0"/>
          <w:color w:val="000000"/>
          <w:kern w:val="0"/>
          <w:sz w:val="24"/>
          <w:szCs w:val="24"/>
          <w:highlight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val="0"/>
          <w:bCs w:val="0"/>
          <w:color w:val="000000"/>
          <w:kern w:val="0"/>
          <w:sz w:val="28"/>
          <w:szCs w:val="28"/>
          <w:highlight w:val="none"/>
          <w:lang w:val="en-US" w:eastAsia="zh-CN" w:bidi="ar-SA"/>
        </w:rPr>
      </w:pPr>
    </w:p>
    <w:p>
      <w:pPr>
        <w:pStyle w:val="5"/>
        <w:numPr>
          <w:ilvl w:val="0"/>
          <w:numId w:val="5"/>
        </w:numPr>
        <w:bidi w:val="0"/>
        <w:jc w:val="center"/>
        <w:rPr>
          <w:rFonts w:hint="default"/>
          <w:lang w:val="en-US" w:eastAsia="zh-CN"/>
        </w:rPr>
      </w:pPr>
      <w:r>
        <w:rPr>
          <w:rFonts w:hint="default"/>
          <w:lang w:val="en-US" w:eastAsia="zh-CN"/>
        </w:rPr>
        <w:t xml:space="preserve"> </w:t>
      </w:r>
      <w:bookmarkStart w:id="457" w:name="_Toc6506"/>
      <w:r>
        <w:rPr>
          <w:rFonts w:hint="default"/>
          <w:lang w:val="en-US" w:eastAsia="zh-CN"/>
        </w:rPr>
        <w:t>商务及技术文件</w:t>
      </w:r>
      <w:bookmarkEnd w:id="457"/>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1、响应书</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2、</w:t>
      </w:r>
      <w:r>
        <w:rPr>
          <w:rFonts w:hint="eastAsia" w:ascii="宋体" w:hAnsi="宋体"/>
          <w:sz w:val="24"/>
          <w:szCs w:val="32"/>
        </w:rPr>
        <w:t>投标分项报价表</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w:t>
      </w:r>
      <w:r>
        <w:rPr>
          <w:rFonts w:hint="default" w:ascii="宋体" w:hAnsi="宋体" w:eastAsia="宋体" w:cs="宋体"/>
          <w:b w:val="0"/>
          <w:bCs w:val="0"/>
          <w:color w:val="000000"/>
          <w:kern w:val="0"/>
          <w:sz w:val="24"/>
          <w:szCs w:val="24"/>
          <w:highlight w:val="none"/>
          <w:lang w:val="en-US" w:eastAsia="zh-CN" w:bidi="ar-SA"/>
        </w:rPr>
        <w:t>、技术规格偏离表</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4</w:t>
      </w:r>
      <w:r>
        <w:rPr>
          <w:rFonts w:hint="default" w:ascii="宋体" w:hAnsi="宋体" w:eastAsia="宋体" w:cs="宋体"/>
          <w:b w:val="0"/>
          <w:bCs w:val="0"/>
          <w:color w:val="000000"/>
          <w:kern w:val="0"/>
          <w:sz w:val="24"/>
          <w:szCs w:val="24"/>
          <w:highlight w:val="none"/>
          <w:lang w:val="en-US" w:eastAsia="zh-CN" w:bidi="ar-SA"/>
        </w:rPr>
        <w:t>、商务条款偏离表</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、符合</w:t>
      </w:r>
      <w:r>
        <w:rPr>
          <w:rFonts w:hint="eastAsia" w:ascii="宋体" w:hAnsi="宋体" w:eastAsia="宋体" w:cs="宋体"/>
          <w:sz w:val="24"/>
          <w:szCs w:val="24"/>
          <w:highlight w:val="none"/>
        </w:rPr>
        <w:t>《财政部司法部关于政府采购支持监狱企业发展有关问题的通知》和《三部门联合发布关于促进残疾人就业政府采购政策的通知》</w:t>
      </w:r>
      <w:r>
        <w:rPr>
          <w:rFonts w:hint="eastAsia" w:ascii="宋体" w:hAnsi="宋体" w:eastAsia="宋体" w:cs="宋体"/>
          <w:sz w:val="24"/>
          <w:szCs w:val="24"/>
          <w:highlight w:val="none"/>
          <w:lang w:eastAsia="zh-CN"/>
        </w:rPr>
        <w:t>、《政府采购促进中小企业发展管理办法》、《关于进一步加大政府采购支持中小企业力度的通知》、《</w:t>
      </w:r>
      <w:r>
        <w:rPr>
          <w:rFonts w:hint="eastAsia" w:ascii="宋体" w:hAnsi="宋体" w:eastAsia="宋体" w:cs="宋体"/>
          <w:sz w:val="24"/>
          <w:szCs w:val="24"/>
          <w:highlight w:val="none"/>
          <w:lang w:val="en-US" w:eastAsia="zh-CN"/>
        </w:rPr>
        <w:t>自治区贯彻落实国发【2022】12号为文件精神推进经济稳增长一揽子政策措施》</w:t>
      </w:r>
      <w:r>
        <w:rPr>
          <w:rFonts w:hint="default" w:ascii="宋体" w:hAnsi="宋体" w:eastAsia="宋体" w:cs="宋体"/>
          <w:b w:val="0"/>
          <w:bCs w:val="0"/>
          <w:color w:val="000000"/>
          <w:kern w:val="0"/>
          <w:sz w:val="24"/>
          <w:szCs w:val="24"/>
          <w:highlight w:val="none"/>
          <w:lang w:val="en-US" w:eastAsia="zh-CN" w:bidi="ar-SA"/>
        </w:rPr>
        <w:t>价格扣减条件的供应商须提交</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-1</w:t>
      </w:r>
      <w:r>
        <w:rPr>
          <w:rFonts w:hint="eastAsia" w:ascii="宋体" w:hAnsi="宋体" w:eastAsia="宋体" w:cs="宋体"/>
          <w:b w:val="0"/>
          <w:bCs w:val="0"/>
          <w:color w:val="000000"/>
          <w:kern w:val="0"/>
          <w:sz w:val="24"/>
          <w:szCs w:val="24"/>
          <w:highlight w:val="none"/>
          <w:lang w:val="en-US" w:eastAsia="zh-CN" w:bidi="ar-SA"/>
        </w:rPr>
        <w:t xml:space="preserve"> </w:t>
      </w:r>
      <w:r>
        <w:rPr>
          <w:rFonts w:hint="default" w:ascii="宋体" w:hAnsi="宋体" w:eastAsia="宋体" w:cs="宋体"/>
          <w:b w:val="0"/>
          <w:bCs w:val="0"/>
          <w:color w:val="000000"/>
          <w:kern w:val="0"/>
          <w:sz w:val="24"/>
          <w:szCs w:val="24"/>
          <w:highlight w:val="none"/>
          <w:lang w:val="en-US" w:eastAsia="zh-CN" w:bidi="ar-SA"/>
        </w:rPr>
        <w:t>中小企业声明函</w:t>
      </w:r>
      <w:r>
        <w:rPr>
          <w:rFonts w:hint="eastAsia" w:ascii="宋体" w:hAnsi="宋体" w:eastAsia="宋体" w:cs="宋体"/>
          <w:b w:val="0"/>
          <w:bCs w:val="0"/>
          <w:color w:val="000000"/>
          <w:kern w:val="0"/>
          <w:sz w:val="24"/>
          <w:szCs w:val="24"/>
          <w:highlight w:val="none"/>
          <w:lang w:val="en-US" w:eastAsia="zh-CN" w:bidi="ar-SA"/>
        </w:rPr>
        <w:t>（可选）</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-2</w:t>
      </w:r>
      <w:r>
        <w:rPr>
          <w:rFonts w:hint="eastAsia" w:ascii="宋体" w:hAnsi="宋体" w:eastAsia="宋体" w:cs="宋体"/>
          <w:b w:val="0"/>
          <w:bCs w:val="0"/>
          <w:color w:val="000000"/>
          <w:kern w:val="0"/>
          <w:sz w:val="24"/>
          <w:szCs w:val="24"/>
          <w:highlight w:val="none"/>
          <w:lang w:val="en-US" w:eastAsia="zh-CN" w:bidi="ar-SA"/>
        </w:rPr>
        <w:t xml:space="preserve"> </w:t>
      </w:r>
      <w:r>
        <w:rPr>
          <w:rFonts w:hint="default" w:ascii="宋体" w:hAnsi="宋体" w:eastAsia="宋体" w:cs="宋体"/>
          <w:b w:val="0"/>
          <w:bCs w:val="0"/>
          <w:color w:val="000000"/>
          <w:kern w:val="0"/>
          <w:sz w:val="24"/>
          <w:szCs w:val="24"/>
          <w:highlight w:val="none"/>
          <w:lang w:val="en-US" w:eastAsia="zh-CN" w:bidi="ar-SA"/>
        </w:rPr>
        <w:t>残疾人福利性单位声明函</w:t>
      </w:r>
      <w:r>
        <w:rPr>
          <w:rFonts w:hint="eastAsia" w:ascii="宋体" w:hAnsi="宋体" w:eastAsia="宋体" w:cs="宋体"/>
          <w:b w:val="0"/>
          <w:bCs w:val="0"/>
          <w:color w:val="000000"/>
          <w:kern w:val="0"/>
          <w:sz w:val="24"/>
          <w:szCs w:val="24"/>
          <w:highlight w:val="none"/>
          <w:lang w:val="en-US" w:eastAsia="zh-CN" w:bidi="ar-SA"/>
        </w:rPr>
        <w:t>（可选）</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5-3监狱企业证明（可选）</w:t>
      </w:r>
    </w:p>
    <w:p>
      <w:pPr>
        <w:pStyle w:val="18"/>
        <w:keepNext w:val="0"/>
        <w:keepLines w:val="0"/>
        <w:pageBreakBefore w:val="0"/>
        <w:widowControl w:val="0"/>
        <w:numPr>
          <w:ilvl w:val="0"/>
          <w:numId w:val="6"/>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技术文件</w:t>
      </w:r>
    </w:p>
    <w:p>
      <w:pPr>
        <w:pStyle w:val="18"/>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000000"/>
          <w:kern w:val="0"/>
          <w:sz w:val="24"/>
          <w:szCs w:val="24"/>
          <w:highlight w:val="none"/>
          <w:lang w:val="en-US" w:eastAsia="zh-CN" w:bidi="ar-SA"/>
        </w:rPr>
      </w:pPr>
      <w:r>
        <w:rPr>
          <w:rFonts w:ascii="宋体" w:hAnsi="宋体" w:eastAsia="宋体" w:cs="宋体"/>
          <w:sz w:val="24"/>
          <w:szCs w:val="24"/>
        </w:rPr>
        <w:t>供应商关联单位的说明</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响应文件包括但不仅限于上述内容，如有不足，请自行补充提供</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2"/>
        <w:numPr>
          <w:ilvl w:val="0"/>
          <w:numId w:val="0"/>
        </w:numPr>
        <w:ind w:firstLine="3960" w:firstLineChars="1100"/>
        <w:jc w:val="both"/>
        <w:rPr>
          <w:rFonts w:hint="eastAsia" w:ascii="宋体" w:hAnsi="宋体" w:eastAsia="宋体" w:cs="宋体"/>
          <w:b w:val="0"/>
          <w:bCs/>
          <w:i w:val="0"/>
          <w:iCs w:val="0"/>
          <w:sz w:val="24"/>
          <w:szCs w:val="24"/>
          <w:highlight w:val="none"/>
        </w:rPr>
      </w:pPr>
      <w:bookmarkStart w:id="458" w:name="_Toc12135"/>
      <w:bookmarkStart w:id="459" w:name="_Toc14915"/>
      <w:bookmarkStart w:id="460" w:name="_Toc27303"/>
      <w:bookmarkStart w:id="461" w:name="_Toc18122"/>
      <w:bookmarkStart w:id="462" w:name="_Toc515647817"/>
      <w:bookmarkStart w:id="463" w:name="_Toc2041"/>
      <w:bookmarkStart w:id="464" w:name="_Toc17053"/>
      <w:bookmarkStart w:id="465" w:name="_Toc24846"/>
      <w:r>
        <w:rPr>
          <w:rFonts w:hint="eastAsia" w:ascii="宋体" w:hAnsi="宋体" w:eastAsia="宋体" w:cs="宋体"/>
          <w:b w:val="0"/>
          <w:bCs/>
          <w:i w:val="0"/>
          <w:iCs w:val="0"/>
          <w:sz w:val="36"/>
          <w:szCs w:val="36"/>
          <w:highlight w:val="none"/>
          <w:lang w:val="en-US" w:eastAsia="zh-CN"/>
        </w:rPr>
        <w:t>1.</w:t>
      </w:r>
      <w:r>
        <w:rPr>
          <w:rFonts w:hint="eastAsia" w:ascii="宋体" w:hAnsi="宋体" w:eastAsia="宋体" w:cs="宋体"/>
          <w:b w:val="0"/>
          <w:bCs/>
          <w:i w:val="0"/>
          <w:iCs w:val="0"/>
          <w:sz w:val="36"/>
          <w:szCs w:val="36"/>
          <w:highlight w:val="none"/>
        </w:rPr>
        <w:t>响应书</w:t>
      </w:r>
      <w:bookmarkEnd w:id="458"/>
      <w:bookmarkEnd w:id="459"/>
      <w:bookmarkEnd w:id="460"/>
      <w:bookmarkEnd w:id="461"/>
      <w:bookmarkEnd w:id="462"/>
      <w:bookmarkEnd w:id="463"/>
      <w:bookmarkEnd w:id="464"/>
      <w:bookmarkEnd w:id="465"/>
    </w:p>
    <w:p>
      <w:pPr>
        <w:tabs>
          <w:tab w:val="left" w:pos="5580"/>
        </w:tabs>
        <w:spacing w:line="240" w:lineRule="atLeast"/>
        <w:ind w:left="1080" w:hanging="1080"/>
        <w:rPr>
          <w:rFonts w:hint="eastAsia" w:ascii="宋体" w:hAnsi="宋体" w:eastAsia="宋体" w:cs="宋体"/>
          <w:i w:val="0"/>
          <w:iCs w:val="0"/>
          <w:sz w:val="24"/>
          <w:szCs w:val="24"/>
          <w:highlight w:val="none"/>
        </w:rPr>
      </w:pPr>
    </w:p>
    <w:p>
      <w:pPr>
        <w:tabs>
          <w:tab w:val="left" w:pos="5580"/>
        </w:tabs>
        <w:spacing w:line="240" w:lineRule="atLeast"/>
        <w:ind w:left="1080" w:hanging="108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致：</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rPr>
        <w:t>采购代理机构</w:t>
      </w:r>
      <w:r>
        <w:rPr>
          <w:rFonts w:hint="eastAsia" w:ascii="宋体" w:hAnsi="宋体" w:eastAsia="宋体" w:cs="宋体"/>
          <w:i w:val="0"/>
          <w:iCs w:val="0"/>
          <w:sz w:val="24"/>
          <w:szCs w:val="24"/>
          <w:highlight w:val="none"/>
          <w:u w:val="single"/>
          <w:lang w:eastAsia="zh-CN"/>
        </w:rPr>
        <w:t>单位名称）</w:t>
      </w:r>
    </w:p>
    <w:p>
      <w:pPr>
        <w:pStyle w:val="12"/>
        <w:tabs>
          <w:tab w:val="left" w:pos="5580"/>
        </w:tabs>
        <w:spacing w:line="240" w:lineRule="atLeast"/>
        <w:ind w:left="1080" w:leftChars="257" w:hanging="540"/>
        <w:rPr>
          <w:rFonts w:hint="eastAsia" w:ascii="宋体" w:hAnsi="宋体" w:eastAsia="宋体" w:cs="宋体"/>
          <w:i w:val="0"/>
          <w:iCs w:val="0"/>
          <w:sz w:val="24"/>
          <w:szCs w:val="24"/>
          <w:highlight w:val="none"/>
        </w:rPr>
      </w:pP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2" w:leftChars="1"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根据贵方</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项目名称</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项目的谈判邀请</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项目</w:t>
      </w:r>
      <w:r>
        <w:rPr>
          <w:rFonts w:hint="eastAsia" w:ascii="宋体" w:hAnsi="宋体" w:eastAsia="宋体" w:cs="宋体"/>
          <w:i w:val="0"/>
          <w:iCs w:val="0"/>
          <w:sz w:val="24"/>
          <w:szCs w:val="24"/>
          <w:highlight w:val="none"/>
          <w:u w:val="single"/>
        </w:rPr>
        <w:t>编号</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,签字代表(</w:t>
      </w:r>
      <w:r>
        <w:rPr>
          <w:rFonts w:hint="eastAsia" w:ascii="宋体" w:hAnsi="宋体" w:eastAsia="宋体" w:cs="宋体"/>
          <w:i w:val="0"/>
          <w:iCs w:val="0"/>
          <w:sz w:val="24"/>
          <w:szCs w:val="24"/>
          <w:highlight w:val="none"/>
          <w:u w:val="single"/>
        </w:rPr>
        <w:t>姓名、职务</w:t>
      </w:r>
      <w:r>
        <w:rPr>
          <w:rFonts w:hint="eastAsia" w:ascii="宋体" w:hAnsi="宋体" w:eastAsia="宋体" w:cs="宋体"/>
          <w:i w:val="0"/>
          <w:iCs w:val="0"/>
          <w:sz w:val="24"/>
          <w:szCs w:val="24"/>
          <w:highlight w:val="none"/>
        </w:rPr>
        <w:t>)经正式授权并代表供应商（</w:t>
      </w:r>
      <w:r>
        <w:rPr>
          <w:rFonts w:hint="eastAsia" w:ascii="宋体" w:hAnsi="宋体" w:eastAsia="宋体" w:cs="宋体"/>
          <w:i w:val="0"/>
          <w:iCs w:val="0"/>
          <w:sz w:val="24"/>
          <w:szCs w:val="24"/>
          <w:highlight w:val="none"/>
          <w:u w:val="single"/>
        </w:rPr>
        <w:t>名称、地址</w:t>
      </w:r>
      <w:r>
        <w:rPr>
          <w:rFonts w:hint="eastAsia" w:ascii="宋体" w:hAnsi="宋体" w:eastAsia="宋体" w:cs="宋体"/>
          <w:i w:val="0"/>
          <w:iCs w:val="0"/>
          <w:sz w:val="24"/>
          <w:szCs w:val="24"/>
          <w:highlight w:val="none"/>
        </w:rPr>
        <w:t>）提交下述文件正本</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份、副本</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份及电子文档</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份，并以</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形式出具的金额为人民币</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rPr>
        <w:t>元的谈判保证金。</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据此，签字代表宣布同意如下：</w:t>
      </w:r>
    </w:p>
    <w:p>
      <w:pPr>
        <w:pStyle w:val="12"/>
        <w:keepNext w:val="0"/>
        <w:keepLines w:val="0"/>
        <w:pageBreakBefore w:val="0"/>
        <w:widowControl w:val="0"/>
        <w:tabs>
          <w:tab w:val="left" w:pos="720"/>
          <w:tab w:val="left" w:pos="900"/>
        </w:tabs>
        <w:kinsoku/>
        <w:wordWrap/>
        <w:overflowPunct/>
        <w:topLinePunct w:val="0"/>
        <w:autoSpaceDE/>
        <w:autoSpaceDN/>
        <w:bidi w:val="0"/>
        <w:adjustRightInd/>
        <w:snapToGrid/>
        <w:spacing w:line="312" w:lineRule="auto"/>
        <w:ind w:left="769" w:leftChars="257" w:hanging="229"/>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（1）附</w:t>
      </w:r>
      <w:r>
        <w:rPr>
          <w:rFonts w:hint="eastAsia" w:ascii="宋体" w:hAnsi="宋体" w:eastAsia="宋体" w:cs="宋体"/>
          <w:i w:val="0"/>
          <w:iCs w:val="0"/>
          <w:sz w:val="24"/>
          <w:szCs w:val="24"/>
          <w:highlight w:val="none"/>
          <w:lang w:eastAsia="zh-CN"/>
        </w:rPr>
        <w:t>所投</w:t>
      </w:r>
      <w:r>
        <w:rPr>
          <w:rFonts w:hint="eastAsia" w:ascii="宋体" w:hAnsi="宋体" w:eastAsia="宋体" w:cs="宋体"/>
          <w:i w:val="0"/>
          <w:iCs w:val="0"/>
          <w:sz w:val="24"/>
          <w:szCs w:val="24"/>
          <w:highlight w:val="none"/>
        </w:rPr>
        <w:t>价格表中规定的应提供</w:t>
      </w:r>
      <w:r>
        <w:rPr>
          <w:rFonts w:hint="eastAsia" w:ascii="宋体" w:hAnsi="宋体" w:eastAsia="宋体" w:cs="宋体"/>
          <w:i w:val="0"/>
          <w:iCs w:val="0"/>
          <w:sz w:val="24"/>
          <w:szCs w:val="24"/>
          <w:highlight w:val="none"/>
          <w:lang w:val="en-US" w:eastAsia="zh-CN"/>
        </w:rPr>
        <w:t>工程</w:t>
      </w:r>
      <w:r>
        <w:rPr>
          <w:rFonts w:hint="eastAsia" w:ascii="宋体" w:hAnsi="宋体" w:eastAsia="宋体" w:cs="宋体"/>
          <w:i w:val="0"/>
          <w:iCs w:val="0"/>
          <w:sz w:val="24"/>
          <w:szCs w:val="24"/>
          <w:highlight w:val="none"/>
        </w:rPr>
        <w:t>的标的总价详见报价一览表，</w:t>
      </w:r>
      <w:r>
        <w:rPr>
          <w:rFonts w:hint="eastAsia" w:ascii="宋体" w:hAnsi="宋体" w:eastAsia="宋体" w:cs="宋体"/>
          <w:i w:val="0"/>
          <w:iCs w:val="0"/>
          <w:sz w:val="24"/>
          <w:szCs w:val="24"/>
          <w:highlight w:val="none"/>
          <w:u w:val="single"/>
        </w:rPr>
        <w:t>其中由小型和</w:t>
      </w:r>
      <w:r>
        <w:rPr>
          <w:rFonts w:hint="eastAsia" w:ascii="宋体" w:hAnsi="宋体" w:eastAsia="宋体" w:cs="宋体"/>
          <w:i w:val="0"/>
          <w:iCs w:val="0"/>
          <w:sz w:val="24"/>
          <w:szCs w:val="24"/>
          <w:highlight w:val="none"/>
        </w:rPr>
        <w:t>微型企业制造产品的价格为</w:t>
      </w:r>
      <w:r>
        <w:rPr>
          <w:rFonts w:hint="eastAsia" w:ascii="宋体" w:hAnsi="宋体" w:eastAsia="宋体" w:cs="宋体"/>
          <w:i w:val="0"/>
          <w:iCs w:val="0"/>
          <w:sz w:val="24"/>
          <w:szCs w:val="24"/>
          <w:highlight w:val="none"/>
          <w:u w:val="single"/>
        </w:rPr>
        <w:t>　　  （用文字和数字表示），占标的总价   %</w:t>
      </w:r>
      <w:r>
        <w:rPr>
          <w:rFonts w:hint="eastAsia" w:ascii="宋体" w:hAnsi="宋体" w:eastAsia="宋体" w:cs="宋体"/>
          <w:i w:val="0"/>
          <w:iCs w:val="0"/>
          <w:sz w:val="24"/>
          <w:szCs w:val="24"/>
          <w:highlight w:val="none"/>
        </w:rPr>
        <w:t>。</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（2）本谈判有效期为自</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截止之日起</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个日历日。</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（3）联合体中的大中型企业和其他自然人、法人或者非法人组织，与联合体中的小型、微型企业之间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存在、不存在）投资关系（如果是联合体的话）。</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（4）已详细审查全部谈判文件，包括所有补充通知（如果有的话），完全理解并同意放弃对这方面有不明、误解和质疑的权力。</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（5）在规定的谈判开启时间后，遵守谈判文件中有关保证金的规定。</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（6）我方不是为本项目提供整体设计、规范编制或者项目管理、监理、检测等服务的供应商，我方不是采购代理机构的附属机构。</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（7）在领取成交通知书的同时按谈判文件规定的形式，向贵方一次性支付成交服务费。</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（8）按照贵方可能要求，提供与其</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有关的一切数据或资料，完全理解贵方不一定接受最低价的</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或收到的任何</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（9）按照谈判文件的规定履行合同责任和义务。</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359" w:leftChars="68" w:hanging="216" w:hangingChars="9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  与本</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有关的一切正式往来信函请寄：</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 xml:space="preserve">     传真</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电话</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 xml:space="preserve">     电子函件</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rPr>
        <w:t>法定代表人或其委托代理人签字</w:t>
      </w:r>
      <w:r>
        <w:rPr>
          <w:rFonts w:hint="eastAsia" w:ascii="宋体" w:hAnsi="宋体" w:eastAsia="宋体" w:cs="宋体"/>
          <w:i w:val="0"/>
          <w:iCs w:val="0"/>
          <w:sz w:val="24"/>
          <w:szCs w:val="24"/>
          <w:highlight w:val="none"/>
          <w:lang w:val="en-US" w:eastAsia="zh-CN"/>
        </w:rPr>
        <w:t>或盖章：</w:t>
      </w:r>
      <w:r>
        <w:rPr>
          <w:rFonts w:hint="eastAsia" w:ascii="宋体" w:hAnsi="宋体" w:eastAsia="宋体" w:cs="宋体"/>
          <w:i w:val="0"/>
          <w:iCs w:val="0"/>
          <w:sz w:val="24"/>
          <w:szCs w:val="24"/>
          <w:highlight w:val="none"/>
          <w:u w:val="single"/>
          <w:lang w:val="en-US" w:eastAsia="zh-CN"/>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供应商名称（全称）</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供应商开户银行（全称）</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供应商银行帐号</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rPr>
        <w:t>供应商单位章</w:t>
      </w:r>
      <w:r>
        <w:rPr>
          <w:rFonts w:hint="eastAsia" w:ascii="宋体" w:hAnsi="宋体" w:eastAsia="宋体" w:cs="宋体"/>
          <w:i w:val="0"/>
          <w:iCs w:val="0"/>
          <w:sz w:val="24"/>
          <w:szCs w:val="24"/>
          <w:highlight w:val="none"/>
          <w:lang w:eastAsia="zh-CN"/>
        </w:rPr>
        <w:t>：</w:t>
      </w:r>
    </w:p>
    <w:p>
      <w:pPr>
        <w:pStyle w:val="12"/>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日期</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 xml:space="preserve">  年  月  日</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2880" w:firstLineChars="900"/>
        <w:jc w:val="left"/>
        <w:textAlignment w:val="auto"/>
        <w:rPr>
          <w:rFonts w:hint="default" w:ascii="宋体" w:hAnsi="宋体" w:eastAsia="宋体" w:cs="宋体"/>
          <w:b w:val="0"/>
          <w:bCs w:val="0"/>
          <w:color w:val="000000"/>
          <w:kern w:val="0"/>
          <w:sz w:val="32"/>
          <w:szCs w:val="32"/>
          <w:highlight w:val="none"/>
          <w:lang w:val="en-US" w:eastAsia="zh-CN" w:bidi="ar-SA"/>
        </w:rPr>
      </w:pPr>
      <w:r>
        <w:rPr>
          <w:rFonts w:hint="eastAsia" w:ascii="宋体" w:hAnsi="宋体" w:eastAsia="宋体" w:cs="宋体"/>
          <w:b w:val="0"/>
          <w:bCs w:val="0"/>
          <w:color w:val="000000"/>
          <w:kern w:val="0"/>
          <w:sz w:val="32"/>
          <w:szCs w:val="32"/>
          <w:highlight w:val="none"/>
          <w:lang w:val="en-US" w:eastAsia="zh-CN" w:bidi="ar-SA"/>
        </w:rPr>
        <w:t xml:space="preserve">2. </w:t>
      </w:r>
      <w:r>
        <w:rPr>
          <w:rFonts w:hint="default" w:ascii="宋体" w:hAnsi="宋体" w:eastAsia="宋体" w:cs="宋体"/>
          <w:b w:val="0"/>
          <w:bCs w:val="0"/>
          <w:color w:val="000000"/>
          <w:kern w:val="0"/>
          <w:sz w:val="32"/>
          <w:szCs w:val="32"/>
          <w:highlight w:val="none"/>
          <w:lang w:val="en-US" w:eastAsia="zh-CN" w:bidi="ar-SA"/>
        </w:rPr>
        <w:t>投标分项报价表</w:t>
      </w:r>
    </w:p>
    <w:p>
      <w:pPr>
        <w:pStyle w:val="12"/>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hAnsi="宋体" w:cs="宋体"/>
          <w:sz w:val="24"/>
          <w:lang w:val="en-US" w:eastAsia="zh-CN"/>
        </w:rPr>
      </w:pPr>
      <w:r>
        <w:rPr>
          <w:rFonts w:hint="eastAsia" w:hAnsi="宋体" w:cs="宋体"/>
          <w:sz w:val="24"/>
        </w:rPr>
        <w:t xml:space="preserve">项目名称:                      </w:t>
      </w:r>
      <w:r>
        <w:rPr>
          <w:rFonts w:hint="eastAsia" w:hAnsi="宋体" w:cs="宋体"/>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hAnsi="宋体" w:cs="宋体"/>
          <w:sz w:val="24"/>
        </w:rPr>
      </w:pPr>
      <w:r>
        <w:rPr>
          <w:rFonts w:hint="eastAsia" w:hAnsi="宋体" w:cs="宋体"/>
          <w:sz w:val="24"/>
          <w:lang w:val="en-US" w:eastAsia="zh-CN"/>
        </w:rPr>
        <w:t>项目</w:t>
      </w:r>
      <w:r>
        <w:rPr>
          <w:rFonts w:hint="eastAsia" w:hAnsi="宋体" w:cs="宋体"/>
          <w:sz w:val="24"/>
        </w:rPr>
        <w:t xml:space="preserve">编号:            </w:t>
      </w:r>
      <w:r>
        <w:rPr>
          <w:rFonts w:hint="eastAsia" w:hAnsi="宋体" w:cs="宋体"/>
          <w:sz w:val="24"/>
          <w:lang w:val="en-US" w:eastAsia="zh-CN"/>
        </w:rPr>
        <w:t xml:space="preserve">  </w:t>
      </w:r>
      <w:r>
        <w:rPr>
          <w:rFonts w:hint="eastAsia" w:hAnsi="宋体" w:cs="宋体"/>
          <w:sz w:val="24"/>
        </w:rPr>
        <w:t>　        　报价单位：人民币</w:t>
      </w:r>
      <w:r>
        <w:rPr>
          <w:rFonts w:hint="eastAsia" w:hAnsi="宋体" w:cs="宋体"/>
          <w:sz w:val="24"/>
          <w:lang w:val="en-US" w:eastAsia="zh-CN"/>
        </w:rPr>
        <w:t xml:space="preserve"> </w:t>
      </w:r>
      <w:r>
        <w:rPr>
          <w:rFonts w:hint="eastAsia" w:hAnsi="宋体" w:cs="宋体"/>
          <w:sz w:val="24"/>
        </w:rPr>
        <w:t>元</w:t>
      </w:r>
    </w:p>
    <w:tbl>
      <w:tblPr>
        <w:tblStyle w:val="22"/>
        <w:tblpPr w:leftFromText="180" w:rightFromText="180" w:vertAnchor="text" w:horzAnchor="page" w:tblpX="695" w:tblpY="232"/>
        <w:tblOverlap w:val="never"/>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84"/>
        <w:gridCol w:w="2360"/>
        <w:gridCol w:w="1280"/>
        <w:gridCol w:w="1226"/>
        <w:gridCol w:w="1254"/>
        <w:gridCol w:w="1280"/>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序号</w:t>
            </w:r>
          </w:p>
        </w:tc>
        <w:tc>
          <w:tcPr>
            <w:tcW w:w="1484" w:type="dxa"/>
            <w:noWrap w:val="0"/>
            <w:vAlign w:val="center"/>
          </w:tcPr>
          <w:p>
            <w:pPr>
              <w:pStyle w:val="12"/>
              <w:spacing w:line="240" w:lineRule="atLeast"/>
              <w:jc w:val="center"/>
              <w:rPr>
                <w:rFonts w:hint="eastAsia" w:hAnsi="宋体" w:cs="宋体"/>
                <w:sz w:val="24"/>
              </w:rPr>
            </w:pPr>
            <w:r>
              <w:rPr>
                <w:rFonts w:hint="eastAsia" w:hAnsi="宋体" w:cs="宋体"/>
                <w:sz w:val="24"/>
              </w:rPr>
              <w:t>名称</w:t>
            </w:r>
          </w:p>
        </w:tc>
        <w:tc>
          <w:tcPr>
            <w:tcW w:w="2360" w:type="dxa"/>
            <w:noWrap w:val="0"/>
            <w:vAlign w:val="center"/>
          </w:tcPr>
          <w:p>
            <w:pPr>
              <w:pStyle w:val="12"/>
              <w:spacing w:line="240" w:lineRule="atLeast"/>
              <w:jc w:val="center"/>
              <w:rPr>
                <w:rFonts w:hint="default" w:hAnsi="宋体" w:cs="宋体"/>
                <w:sz w:val="24"/>
                <w:lang w:val="en-US" w:eastAsia="zh-CN"/>
              </w:rPr>
            </w:pPr>
            <w:r>
              <w:rPr>
                <w:rFonts w:hint="eastAsia" w:hAnsi="宋体" w:cs="宋体"/>
                <w:sz w:val="24"/>
                <w:lang w:val="en-US" w:eastAsia="zh-CN"/>
              </w:rPr>
              <w:t>规格</w:t>
            </w:r>
          </w:p>
        </w:tc>
        <w:tc>
          <w:tcPr>
            <w:tcW w:w="1280" w:type="dxa"/>
            <w:noWrap w:val="0"/>
            <w:vAlign w:val="center"/>
          </w:tcPr>
          <w:p>
            <w:pPr>
              <w:pStyle w:val="12"/>
              <w:spacing w:line="240" w:lineRule="atLeast"/>
              <w:jc w:val="center"/>
              <w:rPr>
                <w:rFonts w:hint="default" w:hAnsi="宋体" w:cs="宋体"/>
                <w:sz w:val="24"/>
                <w:lang w:val="en-US" w:eastAsia="zh-CN"/>
              </w:rPr>
            </w:pPr>
            <w:r>
              <w:rPr>
                <w:rFonts w:hint="eastAsia" w:hAnsi="宋体" w:cs="宋体"/>
                <w:sz w:val="24"/>
                <w:lang w:val="en-US" w:eastAsia="zh-CN"/>
              </w:rPr>
              <w:t>数量</w:t>
            </w:r>
          </w:p>
        </w:tc>
        <w:tc>
          <w:tcPr>
            <w:tcW w:w="1226" w:type="dxa"/>
            <w:noWrap w:val="0"/>
            <w:vAlign w:val="center"/>
          </w:tcPr>
          <w:p>
            <w:pPr>
              <w:pStyle w:val="12"/>
              <w:spacing w:line="240" w:lineRule="atLeast"/>
              <w:jc w:val="center"/>
              <w:rPr>
                <w:rFonts w:hint="default" w:hAnsi="宋体" w:cs="宋体"/>
                <w:sz w:val="24"/>
                <w:lang w:val="en-US" w:eastAsia="zh-CN"/>
              </w:rPr>
            </w:pPr>
            <w:r>
              <w:rPr>
                <w:rFonts w:hint="eastAsia" w:hAnsi="宋体" w:cs="宋体"/>
                <w:sz w:val="24"/>
                <w:lang w:val="en-US" w:eastAsia="zh-CN"/>
              </w:rPr>
              <w:t>单位</w:t>
            </w:r>
          </w:p>
        </w:tc>
        <w:tc>
          <w:tcPr>
            <w:tcW w:w="1254" w:type="dxa"/>
            <w:noWrap w:val="0"/>
            <w:vAlign w:val="center"/>
          </w:tcPr>
          <w:p>
            <w:pPr>
              <w:pStyle w:val="12"/>
              <w:spacing w:line="240" w:lineRule="atLeast"/>
              <w:jc w:val="center"/>
              <w:rPr>
                <w:rFonts w:hint="default" w:hAnsi="宋体" w:cs="宋体" w:eastAsiaTheme="minorEastAsia"/>
                <w:sz w:val="24"/>
                <w:lang w:val="en-US" w:eastAsia="zh-CN"/>
              </w:rPr>
            </w:pPr>
            <w:r>
              <w:rPr>
                <w:rFonts w:hint="eastAsia" w:hAnsi="宋体" w:cs="宋体"/>
                <w:sz w:val="24"/>
                <w:lang w:val="en-US" w:eastAsia="zh-CN"/>
              </w:rPr>
              <w:t>单价</w:t>
            </w:r>
          </w:p>
        </w:tc>
        <w:tc>
          <w:tcPr>
            <w:tcW w:w="1280" w:type="dxa"/>
            <w:noWrap w:val="0"/>
            <w:vAlign w:val="center"/>
          </w:tcPr>
          <w:p>
            <w:pPr>
              <w:pStyle w:val="12"/>
              <w:spacing w:line="240" w:lineRule="atLeast"/>
              <w:jc w:val="center"/>
              <w:rPr>
                <w:rFonts w:hint="eastAsia" w:hAnsi="宋体" w:cs="宋体" w:eastAsiaTheme="minorEastAsia"/>
                <w:sz w:val="24"/>
                <w:lang w:val="en-US" w:eastAsia="zh-CN"/>
              </w:rPr>
            </w:pPr>
            <w:r>
              <w:rPr>
                <w:rFonts w:hint="eastAsia" w:hAnsi="宋体" w:cs="宋体"/>
                <w:sz w:val="24"/>
                <w:lang w:val="en-US" w:eastAsia="zh-CN"/>
              </w:rPr>
              <w:t>合价</w:t>
            </w:r>
          </w:p>
        </w:tc>
        <w:tc>
          <w:tcPr>
            <w:tcW w:w="1195" w:type="dxa"/>
            <w:noWrap w:val="0"/>
            <w:vAlign w:val="center"/>
          </w:tcPr>
          <w:p>
            <w:pPr>
              <w:pStyle w:val="12"/>
              <w:spacing w:line="240" w:lineRule="atLeast"/>
              <w:jc w:val="center"/>
              <w:rPr>
                <w:rFonts w:hint="eastAsia" w:hAnsi="宋体" w:cs="宋体"/>
                <w:sz w:val="24"/>
              </w:rPr>
            </w:pPr>
            <w:r>
              <w:rPr>
                <w:rFonts w:hint="eastAsia"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1</w:t>
            </w:r>
          </w:p>
        </w:tc>
        <w:tc>
          <w:tcPr>
            <w:tcW w:w="1484" w:type="dxa"/>
            <w:noWrap w:val="0"/>
            <w:vAlign w:val="center"/>
          </w:tcPr>
          <w:p>
            <w:pPr>
              <w:pStyle w:val="12"/>
              <w:spacing w:line="240" w:lineRule="atLeast"/>
              <w:jc w:val="center"/>
              <w:rPr>
                <w:rFonts w:hint="eastAsia" w:hAnsi="宋体" w:cs="宋体"/>
                <w:sz w:val="24"/>
              </w:rPr>
            </w:pPr>
          </w:p>
        </w:tc>
        <w:tc>
          <w:tcPr>
            <w:tcW w:w="2360"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226" w:type="dxa"/>
            <w:noWrap w:val="0"/>
            <w:vAlign w:val="center"/>
          </w:tcPr>
          <w:p>
            <w:pPr>
              <w:pStyle w:val="12"/>
              <w:spacing w:line="240" w:lineRule="atLeast"/>
              <w:ind w:left="1080" w:leftChars="257" w:hanging="540"/>
              <w:jc w:val="center"/>
              <w:rPr>
                <w:rFonts w:hint="eastAsia" w:hAnsi="宋体" w:cs="宋体"/>
                <w:sz w:val="24"/>
              </w:rPr>
            </w:pPr>
          </w:p>
        </w:tc>
        <w:tc>
          <w:tcPr>
            <w:tcW w:w="1254"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195" w:type="dxa"/>
            <w:noWrap w:val="0"/>
            <w:vAlign w:val="center"/>
          </w:tcPr>
          <w:p>
            <w:pPr>
              <w:pStyle w:val="12"/>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2</w:t>
            </w:r>
          </w:p>
        </w:tc>
        <w:tc>
          <w:tcPr>
            <w:tcW w:w="1484" w:type="dxa"/>
            <w:noWrap w:val="0"/>
            <w:vAlign w:val="center"/>
          </w:tcPr>
          <w:p>
            <w:pPr>
              <w:pStyle w:val="12"/>
              <w:spacing w:line="240" w:lineRule="atLeast"/>
              <w:jc w:val="center"/>
              <w:rPr>
                <w:rFonts w:hint="eastAsia" w:hAnsi="宋体" w:cs="宋体"/>
                <w:sz w:val="24"/>
              </w:rPr>
            </w:pPr>
          </w:p>
        </w:tc>
        <w:tc>
          <w:tcPr>
            <w:tcW w:w="2360"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226" w:type="dxa"/>
            <w:noWrap w:val="0"/>
            <w:vAlign w:val="center"/>
          </w:tcPr>
          <w:p>
            <w:pPr>
              <w:pStyle w:val="12"/>
              <w:spacing w:line="240" w:lineRule="atLeast"/>
              <w:ind w:left="1080" w:leftChars="257" w:hanging="540"/>
              <w:jc w:val="center"/>
              <w:rPr>
                <w:rFonts w:hint="eastAsia" w:hAnsi="宋体" w:cs="宋体"/>
                <w:sz w:val="24"/>
              </w:rPr>
            </w:pPr>
          </w:p>
        </w:tc>
        <w:tc>
          <w:tcPr>
            <w:tcW w:w="1254"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195" w:type="dxa"/>
            <w:noWrap w:val="0"/>
            <w:vAlign w:val="center"/>
          </w:tcPr>
          <w:p>
            <w:pPr>
              <w:pStyle w:val="12"/>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3</w:t>
            </w:r>
          </w:p>
        </w:tc>
        <w:tc>
          <w:tcPr>
            <w:tcW w:w="1484" w:type="dxa"/>
            <w:noWrap w:val="0"/>
            <w:vAlign w:val="center"/>
          </w:tcPr>
          <w:p>
            <w:pPr>
              <w:pStyle w:val="12"/>
              <w:spacing w:line="240" w:lineRule="atLeast"/>
              <w:jc w:val="center"/>
              <w:rPr>
                <w:rFonts w:hint="eastAsia" w:hAnsi="宋体" w:cs="宋体"/>
                <w:sz w:val="24"/>
              </w:rPr>
            </w:pPr>
          </w:p>
        </w:tc>
        <w:tc>
          <w:tcPr>
            <w:tcW w:w="2360"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226" w:type="dxa"/>
            <w:noWrap w:val="0"/>
            <w:vAlign w:val="center"/>
          </w:tcPr>
          <w:p>
            <w:pPr>
              <w:pStyle w:val="12"/>
              <w:spacing w:line="240" w:lineRule="atLeast"/>
              <w:ind w:left="1080" w:leftChars="257" w:hanging="540"/>
              <w:jc w:val="center"/>
              <w:rPr>
                <w:rFonts w:hint="eastAsia" w:hAnsi="宋体" w:cs="宋体"/>
                <w:sz w:val="24"/>
              </w:rPr>
            </w:pPr>
          </w:p>
        </w:tc>
        <w:tc>
          <w:tcPr>
            <w:tcW w:w="1254"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195" w:type="dxa"/>
            <w:noWrap w:val="0"/>
            <w:vAlign w:val="center"/>
          </w:tcPr>
          <w:p>
            <w:pPr>
              <w:pStyle w:val="12"/>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4</w:t>
            </w:r>
          </w:p>
        </w:tc>
        <w:tc>
          <w:tcPr>
            <w:tcW w:w="1484" w:type="dxa"/>
            <w:noWrap w:val="0"/>
            <w:vAlign w:val="center"/>
          </w:tcPr>
          <w:p>
            <w:pPr>
              <w:pStyle w:val="12"/>
              <w:spacing w:line="240" w:lineRule="atLeast"/>
              <w:jc w:val="center"/>
              <w:rPr>
                <w:rFonts w:hint="eastAsia" w:hAnsi="宋体" w:cs="宋体"/>
                <w:sz w:val="24"/>
              </w:rPr>
            </w:pPr>
          </w:p>
        </w:tc>
        <w:tc>
          <w:tcPr>
            <w:tcW w:w="2360"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226" w:type="dxa"/>
            <w:noWrap w:val="0"/>
            <w:vAlign w:val="center"/>
          </w:tcPr>
          <w:p>
            <w:pPr>
              <w:pStyle w:val="12"/>
              <w:spacing w:line="240" w:lineRule="atLeast"/>
              <w:ind w:left="1080" w:leftChars="257" w:hanging="540"/>
              <w:jc w:val="center"/>
              <w:rPr>
                <w:rFonts w:hint="eastAsia" w:hAnsi="宋体" w:cs="宋体"/>
                <w:sz w:val="24"/>
              </w:rPr>
            </w:pPr>
          </w:p>
        </w:tc>
        <w:tc>
          <w:tcPr>
            <w:tcW w:w="1254"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195" w:type="dxa"/>
            <w:noWrap w:val="0"/>
            <w:vAlign w:val="center"/>
          </w:tcPr>
          <w:p>
            <w:pPr>
              <w:pStyle w:val="12"/>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5</w:t>
            </w:r>
          </w:p>
        </w:tc>
        <w:tc>
          <w:tcPr>
            <w:tcW w:w="1484" w:type="dxa"/>
            <w:noWrap w:val="0"/>
            <w:vAlign w:val="center"/>
          </w:tcPr>
          <w:p>
            <w:pPr>
              <w:pStyle w:val="12"/>
              <w:spacing w:line="240" w:lineRule="atLeast"/>
              <w:jc w:val="center"/>
              <w:rPr>
                <w:rFonts w:hint="eastAsia" w:hAnsi="宋体" w:cs="宋体"/>
                <w:sz w:val="24"/>
              </w:rPr>
            </w:pPr>
          </w:p>
        </w:tc>
        <w:tc>
          <w:tcPr>
            <w:tcW w:w="2360"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226" w:type="dxa"/>
            <w:noWrap w:val="0"/>
            <w:vAlign w:val="center"/>
          </w:tcPr>
          <w:p>
            <w:pPr>
              <w:pStyle w:val="12"/>
              <w:spacing w:line="240" w:lineRule="atLeast"/>
              <w:ind w:left="1080" w:leftChars="257" w:hanging="540"/>
              <w:jc w:val="center"/>
              <w:rPr>
                <w:rFonts w:hint="eastAsia" w:hAnsi="宋体" w:cs="宋体"/>
                <w:sz w:val="24"/>
              </w:rPr>
            </w:pPr>
          </w:p>
        </w:tc>
        <w:tc>
          <w:tcPr>
            <w:tcW w:w="1254"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195" w:type="dxa"/>
            <w:noWrap w:val="0"/>
            <w:vAlign w:val="center"/>
          </w:tcPr>
          <w:p>
            <w:pPr>
              <w:pStyle w:val="12"/>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8" w:type="dxa"/>
            <w:noWrap w:val="0"/>
            <w:vAlign w:val="center"/>
          </w:tcPr>
          <w:p>
            <w:pPr>
              <w:pStyle w:val="12"/>
              <w:spacing w:line="240" w:lineRule="atLeast"/>
              <w:jc w:val="center"/>
              <w:rPr>
                <w:rFonts w:hint="eastAsia" w:hAnsi="宋体" w:cs="宋体"/>
                <w:sz w:val="24"/>
              </w:rPr>
            </w:pPr>
            <w:r>
              <w:rPr>
                <w:rFonts w:hint="eastAsia" w:hAnsi="宋体" w:cs="宋体"/>
                <w:sz w:val="24"/>
              </w:rPr>
              <w:t>6</w:t>
            </w:r>
          </w:p>
        </w:tc>
        <w:tc>
          <w:tcPr>
            <w:tcW w:w="1484" w:type="dxa"/>
            <w:noWrap w:val="0"/>
            <w:vAlign w:val="center"/>
          </w:tcPr>
          <w:p>
            <w:pPr>
              <w:pStyle w:val="12"/>
              <w:spacing w:line="240" w:lineRule="atLeast"/>
              <w:jc w:val="center"/>
              <w:rPr>
                <w:rFonts w:hint="eastAsia" w:hAnsi="宋体" w:cs="宋体"/>
                <w:sz w:val="24"/>
              </w:rPr>
            </w:pPr>
          </w:p>
        </w:tc>
        <w:tc>
          <w:tcPr>
            <w:tcW w:w="2360"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226" w:type="dxa"/>
            <w:noWrap w:val="0"/>
            <w:vAlign w:val="center"/>
          </w:tcPr>
          <w:p>
            <w:pPr>
              <w:pStyle w:val="12"/>
              <w:spacing w:line="240" w:lineRule="atLeast"/>
              <w:ind w:left="1080" w:leftChars="257" w:hanging="540"/>
              <w:jc w:val="center"/>
              <w:rPr>
                <w:rFonts w:hint="eastAsia" w:hAnsi="宋体" w:cs="宋体"/>
                <w:sz w:val="24"/>
              </w:rPr>
            </w:pPr>
          </w:p>
        </w:tc>
        <w:tc>
          <w:tcPr>
            <w:tcW w:w="1254" w:type="dxa"/>
            <w:noWrap w:val="0"/>
            <w:vAlign w:val="center"/>
          </w:tcPr>
          <w:p>
            <w:pPr>
              <w:pStyle w:val="12"/>
              <w:spacing w:line="240" w:lineRule="atLeast"/>
              <w:ind w:left="1080" w:leftChars="257" w:hanging="540"/>
              <w:jc w:val="center"/>
              <w:rPr>
                <w:rFonts w:hint="eastAsia" w:hAnsi="宋体" w:cs="宋体"/>
                <w:sz w:val="24"/>
              </w:rPr>
            </w:pPr>
          </w:p>
        </w:tc>
        <w:tc>
          <w:tcPr>
            <w:tcW w:w="1280" w:type="dxa"/>
            <w:noWrap w:val="0"/>
            <w:vAlign w:val="center"/>
          </w:tcPr>
          <w:p>
            <w:pPr>
              <w:pStyle w:val="12"/>
              <w:spacing w:line="240" w:lineRule="atLeast"/>
              <w:ind w:left="1080" w:leftChars="257" w:hanging="540"/>
              <w:jc w:val="center"/>
              <w:rPr>
                <w:rFonts w:hint="eastAsia" w:hAnsi="宋体" w:cs="宋体"/>
                <w:sz w:val="24"/>
              </w:rPr>
            </w:pPr>
          </w:p>
        </w:tc>
        <w:tc>
          <w:tcPr>
            <w:tcW w:w="1195" w:type="dxa"/>
            <w:noWrap w:val="0"/>
            <w:vAlign w:val="center"/>
          </w:tcPr>
          <w:p>
            <w:pPr>
              <w:pStyle w:val="12"/>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0817" w:type="dxa"/>
            <w:gridSpan w:val="8"/>
            <w:noWrap w:val="0"/>
            <w:vAlign w:val="center"/>
          </w:tcPr>
          <w:p>
            <w:pPr>
              <w:pStyle w:val="12"/>
              <w:spacing w:line="240" w:lineRule="atLeast"/>
              <w:jc w:val="both"/>
              <w:rPr>
                <w:rFonts w:hint="eastAsia" w:hAnsi="宋体" w:cs="宋体"/>
                <w:sz w:val="24"/>
              </w:rPr>
            </w:pPr>
            <w:r>
              <w:rPr>
                <w:rFonts w:hint="eastAsia" w:hAnsi="宋体" w:cs="宋体"/>
                <w:sz w:val="24"/>
              </w:rPr>
              <w:t>总价：</w:t>
            </w:r>
          </w:p>
        </w:tc>
      </w:tr>
    </w:tbl>
    <w:p>
      <w:pPr>
        <w:pStyle w:val="12"/>
        <w:spacing w:line="240" w:lineRule="atLeast"/>
        <w:ind w:left="1080" w:leftChars="257" w:hanging="540"/>
        <w:rPr>
          <w:rFonts w:hint="eastAsia" w:hAnsi="宋体" w:cs="宋体"/>
          <w:sz w:val="24"/>
        </w:rPr>
      </w:pPr>
    </w:p>
    <w:p>
      <w:pPr>
        <w:pStyle w:val="12"/>
        <w:tabs>
          <w:tab w:val="left" w:pos="5370"/>
        </w:tabs>
        <w:spacing w:line="240" w:lineRule="atLeast"/>
        <w:ind w:left="1080" w:leftChars="257" w:hanging="540"/>
        <w:jc w:val="right"/>
        <w:rPr>
          <w:rFonts w:hint="eastAsia" w:hAnsi="宋体" w:cs="宋体"/>
          <w:sz w:val="24"/>
          <w:lang w:val="en-US" w:eastAsia="zh-CN"/>
        </w:rPr>
      </w:pPr>
    </w:p>
    <w:p>
      <w:pPr>
        <w:pStyle w:val="12"/>
        <w:tabs>
          <w:tab w:val="left" w:pos="5370"/>
        </w:tabs>
        <w:spacing w:line="240" w:lineRule="atLeast"/>
        <w:ind w:left="1080" w:leftChars="257" w:hanging="540"/>
        <w:jc w:val="right"/>
        <w:rPr>
          <w:rFonts w:hAnsi="宋体" w:cs="宋体"/>
          <w:sz w:val="24"/>
          <w:u w:val="single"/>
        </w:rPr>
      </w:pPr>
      <w:r>
        <w:rPr>
          <w:rFonts w:hint="eastAsia" w:hAnsi="宋体" w:cs="宋体"/>
          <w:sz w:val="24"/>
          <w:lang w:val="en-US" w:eastAsia="zh-CN"/>
        </w:rPr>
        <w:t>供应商</w:t>
      </w:r>
      <w:r>
        <w:rPr>
          <w:rFonts w:hint="eastAsia" w:hAnsi="宋体" w:cs="宋体"/>
          <w:sz w:val="24"/>
        </w:rPr>
        <w:t>(盖单位章):</w:t>
      </w:r>
      <w:r>
        <w:rPr>
          <w:rFonts w:hint="eastAsia" w:hAnsi="宋体" w:cs="宋体"/>
          <w:sz w:val="24"/>
          <w:u w:val="single"/>
        </w:rPr>
        <w:tab/>
      </w:r>
    </w:p>
    <w:p>
      <w:pPr>
        <w:jc w:val="right"/>
        <w:rPr>
          <w:rFonts w:hint="eastAsia"/>
          <w:sz w:val="24"/>
          <w:szCs w:val="32"/>
        </w:rPr>
      </w:pPr>
    </w:p>
    <w:p>
      <w:pPr>
        <w:pStyle w:val="12"/>
        <w:spacing w:line="240" w:lineRule="atLeast"/>
        <w:ind w:left="1080" w:leftChars="257" w:hanging="540"/>
        <w:jc w:val="center"/>
        <w:rPr>
          <w:rFonts w:hint="eastAsia" w:hAnsi="宋体" w:cs="宋体"/>
          <w:sz w:val="24"/>
          <w:u w:val="single"/>
        </w:rPr>
      </w:pPr>
      <w:r>
        <w:rPr>
          <w:rFonts w:hint="eastAsia" w:hAnsi="宋体" w:cs="宋体"/>
          <w:sz w:val="24"/>
        </w:rPr>
        <w:t>法定代表人或其委托代理人</w:t>
      </w:r>
      <w:r>
        <w:rPr>
          <w:rFonts w:hint="eastAsia" w:hAnsi="宋体" w:cs="宋体"/>
          <w:sz w:val="24"/>
          <w:lang w:eastAsia="zh-CN"/>
        </w:rPr>
        <w:t>（</w:t>
      </w:r>
      <w:r>
        <w:rPr>
          <w:rFonts w:hint="eastAsia" w:hAnsi="宋体" w:cs="宋体"/>
          <w:sz w:val="24"/>
        </w:rPr>
        <w:t>签字</w:t>
      </w:r>
      <w:r>
        <w:rPr>
          <w:rFonts w:hint="eastAsia" w:hAnsi="宋体" w:cs="宋体"/>
          <w:sz w:val="24"/>
          <w:lang w:val="en-US" w:eastAsia="zh-CN"/>
        </w:rPr>
        <w:t>或盖章）</w:t>
      </w:r>
      <w:r>
        <w:rPr>
          <w:rFonts w:hint="eastAsia" w:hAnsi="宋体" w:cs="宋体"/>
          <w:sz w:val="24"/>
        </w:rPr>
        <w:t>:</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3"/>
        <w:jc w:val="right"/>
        <w:rPr>
          <w:rFonts w:hint="eastAsia" w:ascii="宋体" w:hAnsi="宋体" w:cs="宋体"/>
        </w:rPr>
      </w:pPr>
    </w:p>
    <w:p>
      <w:pPr>
        <w:pStyle w:val="18"/>
        <w:jc w:val="right"/>
        <w:rPr>
          <w:rFonts w:hint="eastAsia"/>
        </w:rPr>
      </w:pPr>
    </w:p>
    <w:p>
      <w:pPr>
        <w:pStyle w:val="12"/>
        <w:spacing w:line="240" w:lineRule="atLeast"/>
        <w:ind w:left="1080" w:leftChars="257" w:hanging="540"/>
        <w:rPr>
          <w:rFonts w:hint="eastAsia" w:hAnsi="宋体" w:cs="宋体"/>
          <w:sz w:val="24"/>
        </w:rPr>
      </w:pPr>
    </w:p>
    <w:p>
      <w:pPr>
        <w:pStyle w:val="12"/>
        <w:spacing w:line="240" w:lineRule="atLeast"/>
        <w:ind w:left="1155" w:leftChars="371" w:hanging="376" w:hangingChars="157"/>
        <w:rPr>
          <w:rFonts w:hint="eastAsia" w:hAnsi="宋体" w:cs="宋体"/>
          <w:sz w:val="24"/>
        </w:rPr>
      </w:pPr>
      <w:r>
        <w:rPr>
          <w:rFonts w:hint="eastAsia" w:hAnsi="宋体" w:cs="宋体"/>
          <w:sz w:val="24"/>
        </w:rPr>
        <w:t>注:</w:t>
      </w:r>
      <w:r>
        <w:rPr>
          <w:rFonts w:hint="eastAsia" w:hAnsi="宋体" w:cs="宋体"/>
          <w:sz w:val="24"/>
          <w:lang w:val="en-US" w:eastAsia="zh-CN"/>
        </w:rPr>
        <w:t xml:space="preserve"> </w:t>
      </w:r>
      <w:r>
        <w:rPr>
          <w:rFonts w:hint="eastAsia" w:hAnsi="宋体" w:cs="宋体"/>
          <w:sz w:val="24"/>
        </w:rPr>
        <w:t>1.如果按分项报价计算的结果与总价不一致,以分项报价为准修正总价。</w:t>
      </w:r>
    </w:p>
    <w:p>
      <w:pPr>
        <w:pStyle w:val="12"/>
        <w:spacing w:line="240" w:lineRule="atLeast"/>
        <w:ind w:firstLine="1200" w:firstLineChars="500"/>
        <w:rPr>
          <w:rFonts w:hint="default" w:ascii="宋体" w:hAnsi="宋体" w:eastAsia="宋体" w:cs="宋体"/>
          <w:b w:val="0"/>
          <w:bCs w:val="0"/>
          <w:color w:val="000000"/>
          <w:kern w:val="0"/>
          <w:sz w:val="24"/>
          <w:szCs w:val="24"/>
          <w:highlight w:val="none"/>
          <w:lang w:val="en-US" w:eastAsia="zh-CN" w:bidi="ar-SA"/>
        </w:rPr>
      </w:pPr>
      <w:r>
        <w:rPr>
          <w:rFonts w:hint="eastAsia" w:hAnsi="宋体" w:cs="宋体"/>
          <w:sz w:val="24"/>
          <w:lang w:val="en-US" w:eastAsia="zh-CN"/>
        </w:rPr>
        <w:t>2</w:t>
      </w:r>
      <w:r>
        <w:rPr>
          <w:rFonts w:hint="eastAsia" w:hAnsi="宋体" w:cs="宋体"/>
          <w:sz w:val="24"/>
        </w:rPr>
        <w:t>.如果开标一览表（报价表）内容与响应文件中</w:t>
      </w:r>
      <w:r>
        <w:rPr>
          <w:rFonts w:hint="default" w:ascii="宋体" w:hAnsi="宋体" w:eastAsia="宋体" w:cs="宋体"/>
          <w:b w:val="0"/>
          <w:bCs w:val="0"/>
          <w:color w:val="000000"/>
          <w:kern w:val="0"/>
          <w:sz w:val="24"/>
          <w:szCs w:val="24"/>
          <w:highlight w:val="none"/>
          <w:lang w:val="en-US" w:eastAsia="zh-CN" w:bidi="ar-SA"/>
        </w:rPr>
        <w:t>投标分项报价表</w:t>
      </w:r>
      <w:r>
        <w:rPr>
          <w:rFonts w:hint="eastAsia" w:hAnsi="宋体" w:cs="宋体"/>
          <w:sz w:val="24"/>
        </w:rPr>
        <w:t>内容不一致的，以开标一览表（报价表）内容为准</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 xml:space="preserve">          3.拆除水塔的单价包含砌体拆除、垃圾清运、安全防护等所有费用</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2"/>
        <w:spacing w:before="0" w:line="240" w:lineRule="atLeast"/>
        <w:ind w:left="1080" w:leftChars="257" w:hanging="540"/>
        <w:jc w:val="center"/>
        <w:rPr>
          <w:rFonts w:hint="eastAsia" w:ascii="宋体" w:hAnsi="宋体" w:eastAsia="宋体" w:cs="宋体"/>
          <w:sz w:val="24"/>
          <w:szCs w:val="24"/>
          <w:highlight w:val="none"/>
        </w:rPr>
      </w:pPr>
      <w:bookmarkStart w:id="466" w:name="_Toc2812"/>
      <w:bookmarkStart w:id="467" w:name="_Toc10953"/>
      <w:bookmarkStart w:id="468" w:name="_Toc24908"/>
      <w:bookmarkStart w:id="469" w:name="_Toc19500"/>
      <w:r>
        <w:rPr>
          <w:rFonts w:hint="eastAsia" w:ascii="宋体" w:hAnsi="宋体" w:eastAsia="宋体" w:cs="宋体"/>
          <w:b w:val="0"/>
          <w:bCs/>
          <w:sz w:val="32"/>
          <w:szCs w:val="32"/>
          <w:highlight w:val="none"/>
          <w:lang w:val="en-US" w:eastAsia="zh-CN"/>
        </w:rPr>
        <w:t xml:space="preserve">3. </w:t>
      </w:r>
      <w:r>
        <w:rPr>
          <w:rFonts w:hint="eastAsia" w:ascii="宋体" w:hAnsi="宋体" w:eastAsia="宋体" w:cs="宋体"/>
          <w:b w:val="0"/>
          <w:bCs/>
          <w:sz w:val="32"/>
          <w:szCs w:val="32"/>
          <w:highlight w:val="none"/>
        </w:rPr>
        <w:t>技术规格偏离表</w:t>
      </w:r>
      <w:bookmarkEnd w:id="466"/>
      <w:bookmarkEnd w:id="467"/>
      <w:bookmarkEnd w:id="468"/>
      <w:bookmarkEnd w:id="469"/>
    </w:p>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p>
      <w:pPr>
        <w:pStyle w:val="12"/>
        <w:spacing w:line="240" w:lineRule="atLeast"/>
        <w:ind w:left="1080" w:leftChars="257" w:hanging="540"/>
        <w:rPr>
          <w:rFonts w:hint="eastAsia" w:ascii="宋体" w:hAnsi="宋体" w:eastAsia="宋体" w:cs="宋体"/>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0"/>
        <w:gridCol w:w="2227"/>
        <w:gridCol w:w="1233"/>
        <w:gridCol w:w="1260"/>
        <w:gridCol w:w="106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400"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工程名称</w:t>
            </w:r>
          </w:p>
        </w:tc>
        <w:tc>
          <w:tcPr>
            <w:tcW w:w="2227" w:type="dxa"/>
            <w:noWrap w:val="0"/>
            <w:vAlign w:val="center"/>
          </w:tcPr>
          <w:p>
            <w:pPr>
              <w:pStyle w:val="12"/>
              <w:spacing w:line="240" w:lineRule="atLeast"/>
              <w:ind w:left="269" w:leftChars="1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谈判文件条款号</w:t>
            </w:r>
          </w:p>
        </w:tc>
        <w:tc>
          <w:tcPr>
            <w:tcW w:w="1233"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采购规格</w:t>
            </w:r>
          </w:p>
        </w:tc>
        <w:tc>
          <w:tcPr>
            <w:tcW w:w="1260"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响应规格</w:t>
            </w:r>
          </w:p>
        </w:tc>
        <w:tc>
          <w:tcPr>
            <w:tcW w:w="1067"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w:t>
            </w:r>
          </w:p>
        </w:tc>
        <w:tc>
          <w:tcPr>
            <w:tcW w:w="947" w:type="dxa"/>
            <w:noWrap w:val="0"/>
            <w:vAlign w:val="center"/>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bl>
    <w:p>
      <w:pPr>
        <w:pStyle w:val="12"/>
        <w:spacing w:line="240" w:lineRule="atLeast"/>
        <w:rPr>
          <w:rFonts w:hint="eastAsia" w:ascii="宋体" w:hAnsi="宋体" w:eastAsia="宋体" w:cs="宋体"/>
          <w:sz w:val="24"/>
          <w:szCs w:val="24"/>
          <w:highlight w:val="none"/>
        </w:rPr>
      </w:pPr>
    </w:p>
    <w:p>
      <w:pPr>
        <w:pStyle w:val="12"/>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2"/>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2"/>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2.供应商将响应文件与谈判文件在技术部分的差异之处汇集成此表。偏离表未声明事项视为认同谈判文件标准。</w:t>
      </w:r>
    </w:p>
    <w:p>
      <w:pPr>
        <w:pStyle w:val="12"/>
        <w:spacing w:line="240" w:lineRule="atLeast"/>
        <w:ind w:left="1080" w:leftChars="257" w:hanging="540"/>
        <w:rPr>
          <w:rFonts w:hint="eastAsia" w:ascii="宋体" w:hAnsi="宋体" w:eastAsia="宋体" w:cs="宋体"/>
          <w:sz w:val="24"/>
          <w:szCs w:val="24"/>
          <w:highlight w:val="none"/>
        </w:rPr>
      </w:pPr>
    </w:p>
    <w:p>
      <w:pPr>
        <w:pStyle w:val="12"/>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2"/>
        <w:spacing w:line="240" w:lineRule="atLeast"/>
        <w:ind w:left="1258" w:leftChars="599" w:firstLine="103" w:firstLineChars="43"/>
        <w:rPr>
          <w:rFonts w:hint="eastAsia" w:ascii="宋体" w:hAnsi="宋体" w:eastAsia="宋体" w:cs="宋体"/>
          <w:sz w:val="24"/>
          <w:szCs w:val="24"/>
          <w:highlight w:val="none"/>
        </w:rPr>
      </w:pPr>
    </w:p>
    <w:p>
      <w:pPr>
        <w:pStyle w:val="12"/>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2"/>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70" w:name="_Toc32084"/>
      <w:bookmarkStart w:id="471" w:name="_Toc1980"/>
      <w:bookmarkStart w:id="472" w:name="_Toc216582818"/>
      <w:bookmarkStart w:id="473" w:name="_Toc13556"/>
      <w:bookmarkStart w:id="474" w:name="_Toc31024"/>
      <w:bookmarkStart w:id="475" w:name="_Toc26917"/>
      <w:bookmarkStart w:id="476" w:name="_Toc515647821"/>
      <w:bookmarkStart w:id="477" w:name="_Toc23"/>
      <w:bookmarkStart w:id="478" w:name="_Toc20812"/>
      <w:r>
        <w:rPr>
          <w:rFonts w:hint="eastAsia" w:ascii="宋体" w:hAnsi="宋体" w:eastAsia="宋体" w:cs="宋体"/>
          <w:b w:val="0"/>
          <w:bCs/>
          <w:sz w:val="32"/>
          <w:szCs w:val="32"/>
          <w:highlight w:val="none"/>
          <w:lang w:val="en-US" w:eastAsia="zh-CN"/>
        </w:rPr>
        <w:t xml:space="preserve">4. </w:t>
      </w:r>
      <w:r>
        <w:rPr>
          <w:rFonts w:hint="eastAsia" w:ascii="宋体" w:hAnsi="宋体" w:eastAsia="宋体" w:cs="宋体"/>
          <w:b w:val="0"/>
          <w:bCs/>
          <w:sz w:val="32"/>
          <w:szCs w:val="32"/>
          <w:highlight w:val="none"/>
        </w:rPr>
        <w:t>商务条款偏离表</w:t>
      </w:r>
      <w:bookmarkEnd w:id="470"/>
      <w:bookmarkEnd w:id="471"/>
      <w:bookmarkEnd w:id="472"/>
      <w:bookmarkEnd w:id="473"/>
      <w:bookmarkEnd w:id="474"/>
      <w:bookmarkEnd w:id="475"/>
      <w:bookmarkEnd w:id="476"/>
      <w:bookmarkEnd w:id="477"/>
      <w:bookmarkEnd w:id="478"/>
    </w:p>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ind w:left="1080" w:leftChars="257" w:hanging="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项目编号：</w:t>
      </w:r>
    </w:p>
    <w:p>
      <w:pPr>
        <w:pStyle w:val="13"/>
        <w:rPr>
          <w:rFonts w:hint="default"/>
          <w:lang w:val="en-US"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520"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谈判文件的商务条款</w:t>
            </w:r>
          </w:p>
        </w:tc>
        <w:tc>
          <w:tcPr>
            <w:tcW w:w="2520"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响应文件的商务条款</w:t>
            </w:r>
          </w:p>
        </w:tc>
        <w:tc>
          <w:tcPr>
            <w:tcW w:w="2166" w:type="dxa"/>
            <w:noWrap w:val="0"/>
            <w:vAlign w:val="top"/>
          </w:tcPr>
          <w:p>
            <w:pPr>
              <w:pStyle w:val="12"/>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jc w:val="center"/>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jc w:val="center"/>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2"/>
              <w:spacing w:line="240" w:lineRule="atLeast"/>
              <w:ind w:left="1080" w:leftChars="257" w:hanging="540"/>
              <w:rPr>
                <w:rFonts w:hint="eastAsia" w:ascii="宋体" w:hAnsi="宋体" w:eastAsia="宋体" w:cs="宋体"/>
                <w:sz w:val="24"/>
                <w:szCs w:val="24"/>
                <w:highlight w:val="none"/>
                <w:lang w:val="en-US" w:eastAsia="zh-CN"/>
              </w:rPr>
            </w:pPr>
          </w:p>
        </w:tc>
      </w:tr>
    </w:tbl>
    <w:p>
      <w:pPr>
        <w:pStyle w:val="12"/>
        <w:spacing w:line="240" w:lineRule="atLeast"/>
        <w:ind w:left="1080" w:leftChars="257" w:hanging="540"/>
        <w:rPr>
          <w:rFonts w:hint="eastAsia" w:ascii="宋体" w:hAnsi="宋体" w:eastAsia="宋体" w:cs="宋体"/>
          <w:sz w:val="24"/>
          <w:szCs w:val="24"/>
          <w:highlight w:val="none"/>
        </w:rPr>
      </w:pPr>
    </w:p>
    <w:p>
      <w:pPr>
        <w:pStyle w:val="12"/>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2"/>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2"/>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2.供应商将响应文件与谈判文件在商务部分的差异之处汇集成此表。偏离表未声明事项视为认同谈判文件标准。</w:t>
      </w:r>
    </w:p>
    <w:p>
      <w:pPr>
        <w:pStyle w:val="12"/>
        <w:tabs>
          <w:tab w:val="left" w:pos="5370"/>
        </w:tabs>
        <w:spacing w:line="240" w:lineRule="atLeast"/>
        <w:ind w:left="1080" w:leftChars="257" w:hanging="540"/>
        <w:jc w:val="right"/>
        <w:rPr>
          <w:rFonts w:hint="eastAsia" w:ascii="宋体" w:hAnsi="宋体" w:eastAsia="宋体" w:cs="宋体"/>
          <w:sz w:val="24"/>
          <w:szCs w:val="24"/>
          <w:highlight w:val="none"/>
        </w:rPr>
      </w:pPr>
    </w:p>
    <w:p>
      <w:pPr>
        <w:pStyle w:val="12"/>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2"/>
        <w:spacing w:line="240" w:lineRule="atLeast"/>
        <w:ind w:left="1258" w:leftChars="599" w:firstLine="103" w:firstLineChars="43"/>
        <w:rPr>
          <w:rFonts w:hint="eastAsia" w:ascii="宋体" w:hAnsi="宋体" w:eastAsia="宋体" w:cs="宋体"/>
          <w:sz w:val="24"/>
          <w:szCs w:val="24"/>
          <w:highlight w:val="none"/>
        </w:rPr>
      </w:pPr>
    </w:p>
    <w:p>
      <w:pPr>
        <w:pStyle w:val="12"/>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br w:type="page"/>
      </w:r>
    </w:p>
    <w:p>
      <w:pPr>
        <w:widowControl/>
        <w:spacing w:before="100" w:beforeAutospacing="1" w:after="100" w:afterAutospacing="1" w:line="330" w:lineRule="atLeast"/>
        <w:ind w:firstLine="1600" w:firstLineChars="500"/>
        <w:jc w:val="both"/>
        <w:rPr>
          <w:rFonts w:hint="eastAsia" w:ascii="宋体" w:hAnsi="宋体" w:eastAsia="宋体" w:cs="宋体"/>
          <w:sz w:val="24"/>
          <w:szCs w:val="24"/>
          <w:highlight w:val="none"/>
          <w:u w:val="none"/>
          <w:lang w:val="en-US" w:eastAsia="zh-CN"/>
        </w:rPr>
      </w:pPr>
      <w:r>
        <w:rPr>
          <w:rFonts w:hint="eastAsia" w:ascii="宋体" w:hAnsi="宋体" w:eastAsia="宋体" w:cs="宋体"/>
          <w:sz w:val="32"/>
          <w:szCs w:val="32"/>
          <w:highlight w:val="none"/>
          <w:u w:val="none"/>
          <w:lang w:val="en-US" w:eastAsia="zh-CN"/>
        </w:rPr>
        <w:t>5-1  中小企业声明函（工程、服务）（可选）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sz w:val="24"/>
          <w:szCs w:val="32"/>
          <w:u w:val="single"/>
          <w:lang w:val="en-US" w:eastAsia="zh-CN"/>
        </w:rPr>
        <w:t xml:space="preserve">   （单位名称）  </w:t>
      </w:r>
      <w:r>
        <w:rPr>
          <w:rFonts w:hint="eastAsia" w:ascii="宋体" w:hAnsi="宋体" w:eastAsia="宋体" w:cs="宋体"/>
          <w:sz w:val="24"/>
          <w:szCs w:val="32"/>
          <w:lang w:val="en-US" w:eastAsia="zh-CN"/>
        </w:rPr>
        <w:t>的</w:t>
      </w:r>
      <w:r>
        <w:rPr>
          <w:rFonts w:hint="eastAsia" w:ascii="宋体" w:hAnsi="宋体" w:eastAsia="宋体" w:cs="宋体"/>
          <w:sz w:val="24"/>
          <w:szCs w:val="32"/>
          <w:u w:val="single"/>
          <w:lang w:val="en-US" w:eastAsia="zh-CN"/>
        </w:rPr>
        <w:t xml:space="preserve">   （项目名称）  </w:t>
      </w:r>
      <w:r>
        <w:rPr>
          <w:rFonts w:hint="eastAsia" w:ascii="宋体" w:hAnsi="宋体" w:eastAsia="宋体" w:cs="宋体"/>
          <w:sz w:val="24"/>
          <w:szCs w:val="32"/>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；承建（承接）企业为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；承建（承接）企业为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企业名称（盖章）： </w:t>
      </w:r>
    </w:p>
    <w:p>
      <w:pPr>
        <w:pStyle w:val="21"/>
        <w:rPr>
          <w:rFonts w:hint="default"/>
          <w:lang w:val="en-US" w:eastAsia="zh-CN"/>
        </w:rPr>
      </w:pPr>
      <w:r>
        <w:rPr>
          <w:rFonts w:hint="eastAsia" w:ascii="宋体" w:hAnsi="宋体" w:eastAsia="宋体" w:cs="宋体"/>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日期：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备注：1、从业人员、营业收入、资产总额填报上一年度数据，无上一年度数据的新成立企业可不填报。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sz w:val="24"/>
          <w:szCs w:val="32"/>
          <w:lang w:val="en-US" w:eastAsia="zh-CN"/>
        </w:rPr>
        <w:t>2、投标人为中小企业时需提供本声明函，并完整填写从业人员、营业收入、资产总额等内容，否则评审时不能享受相应的价格扣除。</w:t>
      </w:r>
    </w:p>
    <w:p>
      <w:pPr>
        <w:widowControl/>
        <w:spacing w:before="100" w:beforeAutospacing="1" w:after="100" w:afterAutospacing="1" w:line="330" w:lineRule="atLeast"/>
        <w:ind w:firstLine="2730" w:firstLineChars="1300"/>
        <w:jc w:val="center"/>
        <w:rPr>
          <w:rFonts w:hint="eastAsia" w:ascii="宋体" w:hAnsi="宋体" w:eastAsia="宋体" w:cs="宋体"/>
          <w:kern w:val="0"/>
          <w:highlight w:val="none"/>
        </w:rPr>
      </w:pPr>
    </w:p>
    <w:p>
      <w:pPr>
        <w:widowControl/>
        <w:spacing w:before="100" w:beforeAutospacing="1" w:after="100" w:afterAutospacing="1" w:line="330" w:lineRule="atLeast"/>
        <w:jc w:val="center"/>
        <w:rPr>
          <w:rFonts w:hint="eastAsia" w:ascii="宋体" w:hAnsi="宋体" w:eastAsia="宋体" w:cs="宋体"/>
          <w:kern w:val="0"/>
          <w:sz w:val="32"/>
          <w:szCs w:val="40"/>
          <w:highlight w:val="none"/>
          <w:lang w:eastAsia="zh-CN"/>
        </w:rPr>
      </w:pPr>
      <w:r>
        <w:rPr>
          <w:rFonts w:hint="eastAsia" w:ascii="宋体" w:hAnsi="宋体" w:eastAsia="宋体" w:cs="宋体"/>
          <w:kern w:val="0"/>
          <w:sz w:val="32"/>
          <w:szCs w:val="40"/>
          <w:highlight w:val="none"/>
        </w:rPr>
        <w:t>5-2  残疾人福利性单位声明函</w:t>
      </w:r>
      <w:r>
        <w:rPr>
          <w:rFonts w:hint="eastAsia" w:ascii="宋体" w:hAnsi="宋体" w:eastAsia="宋体" w:cs="宋体"/>
          <w:kern w:val="0"/>
          <w:sz w:val="32"/>
          <w:szCs w:val="40"/>
          <w:highlight w:val="none"/>
          <w:lang w:eastAsia="zh-CN"/>
        </w:rPr>
        <w:t>（</w:t>
      </w:r>
      <w:r>
        <w:rPr>
          <w:rFonts w:hint="eastAsia" w:ascii="宋体" w:hAnsi="宋体" w:eastAsia="宋体" w:cs="宋体"/>
          <w:kern w:val="0"/>
          <w:sz w:val="32"/>
          <w:szCs w:val="40"/>
          <w:highlight w:val="none"/>
          <w:lang w:val="en-US" w:eastAsia="zh-CN"/>
        </w:rPr>
        <w:t>可选</w:t>
      </w:r>
      <w:r>
        <w:rPr>
          <w:rFonts w:hint="eastAsia" w:ascii="宋体" w:hAnsi="宋体" w:eastAsia="宋体" w:cs="宋体"/>
          <w:kern w:val="0"/>
          <w:sz w:val="32"/>
          <w:szCs w:val="40"/>
          <w:highlight w:val="none"/>
          <w:lang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32"/>
          <w:highlight w:val="none"/>
          <w:u w:val="single"/>
          <w:lang w:val="en-US" w:eastAsia="zh-CN"/>
        </w:rPr>
        <w:t xml:space="preserve">    （采购人名称）   </w:t>
      </w:r>
      <w:r>
        <w:rPr>
          <w:rFonts w:hint="eastAsia" w:ascii="宋体" w:hAnsi="宋体" w:eastAsia="宋体" w:cs="宋体"/>
          <w:kern w:val="0"/>
          <w:sz w:val="24"/>
          <w:szCs w:val="32"/>
          <w:highlight w:val="none"/>
        </w:rPr>
        <w:t>单位的</w:t>
      </w:r>
      <w:r>
        <w:rPr>
          <w:rFonts w:hint="eastAsia" w:ascii="宋体" w:hAnsi="宋体" w:eastAsia="宋体" w:cs="宋体"/>
          <w:kern w:val="0"/>
          <w:sz w:val="24"/>
          <w:szCs w:val="32"/>
          <w:highlight w:val="none"/>
          <w:u w:val="single"/>
          <w:lang w:val="en-US" w:eastAsia="zh-CN"/>
        </w:rPr>
        <w:t xml:space="preserve">   （项目名称）  </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项目</w:t>
      </w:r>
      <w:r>
        <w:rPr>
          <w:rFonts w:hint="eastAsia" w:ascii="宋体" w:hAnsi="宋体" w:eastAsia="宋体" w:cs="宋体"/>
          <w:color w:val="auto"/>
          <w:spacing w:val="6"/>
          <w:sz w:val="24"/>
          <w:szCs w:val="24"/>
          <w:highlight w:val="none"/>
        </w:rPr>
        <w:t>采购活动由本单位承担工程。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本单位对上述声明的真实性负责。如有虚假，将依法承担相应责任。</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600" w:firstLineChars="1500"/>
        <w:jc w:val="both"/>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残疾人福利性单位名称（盖单位章</w:t>
      </w:r>
      <w:r>
        <w:rPr>
          <w:rFonts w:hint="eastAsia" w:ascii="宋体" w:hAnsi="宋体" w:eastAsia="宋体" w:cs="宋体"/>
          <w:kern w:val="0"/>
          <w:sz w:val="24"/>
          <w:szCs w:val="32"/>
          <w:highlight w:val="none"/>
          <w:lang w:eastAsia="zh-CN"/>
        </w:rPr>
        <w:t>）：</w:t>
      </w:r>
      <w:r>
        <w:rPr>
          <w:rFonts w:hint="eastAsia" w:ascii="宋体" w:hAnsi="宋体" w:eastAsia="宋体" w:cs="宋体"/>
          <w:kern w:val="0"/>
          <w:sz w:val="24"/>
          <w:szCs w:val="32"/>
          <w:highlight w:val="none"/>
        </w:rPr>
        <w:t>______________</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 xml:space="preserve">                 </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 xml:space="preserve">日  期：__________________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pPr>
        <w:widowControl/>
        <w:spacing w:before="100" w:beforeAutospacing="1" w:after="100" w:afterAutospacing="1" w:line="330" w:lineRule="atLeast"/>
        <w:ind w:firstLine="420"/>
        <w:jc w:val="left"/>
        <w:rPr>
          <w:rFonts w:hint="eastAsia" w:ascii="宋体" w:hAnsi="宋体" w:eastAsia="宋体" w:cs="宋体"/>
          <w:kern w:val="0"/>
          <w:highlight w:val="none"/>
        </w:rPr>
      </w:pPr>
    </w:p>
    <w:p>
      <w:pPr>
        <w:spacing w:line="240" w:lineRule="atLeast"/>
        <w:ind w:left="1080" w:leftChars="257" w:hanging="540"/>
        <w:jc w:val="center"/>
        <w:rPr>
          <w:rFonts w:hint="eastAsia" w:ascii="宋体" w:hAnsi="宋体" w:eastAsia="宋体" w:cs="宋体"/>
          <w:b/>
          <w:kern w:val="0"/>
          <w:szCs w:val="20"/>
          <w:highlight w:val="none"/>
        </w:rPr>
      </w:pPr>
      <w:r>
        <w:rPr>
          <w:rFonts w:hint="eastAsia" w:ascii="宋体" w:hAnsi="宋体" w:eastAsia="宋体" w:cs="宋体"/>
          <w:b/>
          <w:kern w:val="0"/>
          <w:szCs w:val="20"/>
          <w:highlight w:val="none"/>
        </w:rPr>
        <w:t>　</w:t>
      </w:r>
    </w:p>
    <w:p>
      <w:pPr>
        <w:pStyle w:val="26"/>
        <w:rPr>
          <w:rFonts w:hint="eastAsia" w:ascii="宋体" w:hAnsi="宋体" w:eastAsia="宋体" w:cs="宋体"/>
          <w:b/>
          <w:szCs w:val="20"/>
          <w:highlight w:val="none"/>
        </w:rPr>
      </w:pPr>
      <w:r>
        <w:rPr>
          <w:rFonts w:hint="eastAsia" w:ascii="宋体" w:hAnsi="宋体" w:eastAsia="宋体" w:cs="宋体"/>
          <w:b w:val="0"/>
          <w:highlight w:val="none"/>
        </w:rPr>
        <w:br w:type="page"/>
      </w:r>
    </w:p>
    <w:p>
      <w:pPr>
        <w:pStyle w:val="26"/>
        <w:ind w:firstLine="2560" w:firstLineChars="800"/>
        <w:rPr>
          <w:rFonts w:hint="eastAsia" w:ascii="宋体" w:hAnsi="宋体" w:eastAsia="宋体" w:cs="宋体"/>
          <w:color w:val="auto"/>
          <w:kern w:val="0"/>
          <w:sz w:val="32"/>
          <w:szCs w:val="40"/>
          <w:highlight w:val="none"/>
          <w:lang w:val="en-US" w:eastAsia="zh-CN" w:bidi="ar-SA"/>
        </w:rPr>
      </w:pPr>
      <w:r>
        <w:rPr>
          <w:rFonts w:hint="eastAsia" w:ascii="宋体" w:hAnsi="宋体" w:eastAsia="宋体" w:cs="宋体"/>
          <w:color w:val="auto"/>
          <w:kern w:val="0"/>
          <w:sz w:val="32"/>
          <w:szCs w:val="40"/>
          <w:highlight w:val="none"/>
          <w:lang w:val="en-US" w:eastAsia="zh-CN" w:bidi="ar-SA"/>
        </w:rPr>
        <w:t>5-3 监狱企业证明（可选）</w:t>
      </w:r>
    </w:p>
    <w:p>
      <w:pPr>
        <w:pStyle w:val="26"/>
        <w:rPr>
          <w:rFonts w:hint="eastAsia" w:ascii="宋体" w:hAnsi="宋体" w:eastAsia="宋体" w:cs="宋体"/>
          <w:b/>
          <w:szCs w:val="20"/>
          <w:highlight w:val="none"/>
        </w:rPr>
      </w:pPr>
    </w:p>
    <w:p>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p>
    <w:p>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注：1.监狱企业参加政府采购活动时，应当提供由省级以上监狱管理局、戒毒管理局（含新疆生产建设兵团）出具的属于监狱企业的证明文件，并加盖单位公章。</w:t>
      </w:r>
    </w:p>
    <w:p>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2.监狱企业视同小型、微型企业，享受预留份额、评审中价格扣除等政府采购促进中小企业发展的政府采购政策。监狱企业属于小型、微型企业的，不重复享受政策。</w:t>
      </w:r>
    </w:p>
    <w:p>
      <w:pPr>
        <w:pStyle w:val="26"/>
        <w:rPr>
          <w:rFonts w:hint="eastAsia" w:ascii="宋体" w:hAnsi="宋体" w:eastAsia="宋体" w:cs="宋体"/>
          <w:b/>
          <w:szCs w:val="20"/>
          <w:highlight w:val="none"/>
        </w:rPr>
      </w:pPr>
    </w:p>
    <w:p>
      <w:pPr>
        <w:pStyle w:val="26"/>
        <w:rPr>
          <w:rFonts w:hint="eastAsia" w:ascii="宋体" w:hAnsi="宋体" w:eastAsia="宋体" w:cs="宋体"/>
          <w:b/>
          <w:szCs w:val="20"/>
          <w:highlight w:val="none"/>
        </w:rPr>
      </w:pPr>
    </w:p>
    <w:p>
      <w:pPr>
        <w:pStyle w:val="26"/>
        <w:rPr>
          <w:rFonts w:hint="eastAsia" w:ascii="宋体" w:hAnsi="宋体" w:eastAsia="宋体" w:cs="宋体"/>
          <w:b/>
          <w:szCs w:val="20"/>
          <w:highlight w:val="none"/>
        </w:rPr>
      </w:pPr>
    </w:p>
    <w:p>
      <w:pPr>
        <w:spacing w:line="240" w:lineRule="atLeast"/>
        <w:ind w:left="1080" w:leftChars="257" w:hanging="540"/>
        <w:jc w:val="center"/>
        <w:rPr>
          <w:rFonts w:hint="eastAsia" w:ascii="宋体" w:hAnsi="宋体" w:eastAsia="宋体" w:cs="宋体"/>
          <w:b/>
          <w:kern w:val="0"/>
          <w:szCs w:val="20"/>
          <w:highlight w:val="none"/>
        </w:rPr>
      </w:pPr>
    </w:p>
    <w:p>
      <w:pPr>
        <w:pStyle w:val="12"/>
        <w:spacing w:line="360" w:lineRule="auto"/>
        <w:ind w:left="1080" w:leftChars="257" w:hanging="540"/>
        <w:jc w:val="left"/>
        <w:outlineLvl w:val="2"/>
        <w:rPr>
          <w:rFonts w:hint="eastAsia" w:ascii="宋体" w:hAnsi="宋体" w:eastAsia="宋体" w:cs="宋体"/>
          <w:sz w:val="24"/>
          <w:highlight w:val="none"/>
          <w:lang w:eastAsia="zh-CN"/>
        </w:rPr>
      </w:pPr>
      <w:bookmarkStart w:id="479" w:name="_Toc3869"/>
      <w:bookmarkStart w:id="480" w:name="_Toc1118"/>
      <w:bookmarkStart w:id="481" w:name="_Toc9764"/>
      <w:bookmarkStart w:id="482" w:name="_Toc19819"/>
      <w:bookmarkStart w:id="483" w:name="_Toc7738"/>
      <w:r>
        <w:rPr>
          <w:rFonts w:hint="eastAsia" w:ascii="宋体" w:hAnsi="宋体" w:eastAsia="宋体" w:cs="宋体"/>
          <w:b/>
          <w:bCs/>
          <w:color w:val="000000"/>
          <w:kern w:val="0"/>
          <w:sz w:val="24"/>
          <w:szCs w:val="24"/>
          <w:highlight w:val="none"/>
          <w:lang w:val="en-US" w:eastAsia="zh-CN" w:bidi="ar"/>
        </w:rPr>
        <w:t>响应文件包括但不仅限于上述内容，如有不足，请自行补充提供</w:t>
      </w:r>
      <w:bookmarkEnd w:id="479"/>
      <w:bookmarkEnd w:id="480"/>
      <w:bookmarkEnd w:id="481"/>
      <w:bookmarkEnd w:id="482"/>
      <w:bookmarkEnd w:id="483"/>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32"/>
          <w:szCs w:val="32"/>
          <w:highlight w:val="none"/>
          <w:u w:val="none"/>
          <w:lang w:val="en-US" w:eastAsia="zh-CN"/>
        </w:rPr>
        <w:t>6.</w:t>
      </w:r>
      <w:r>
        <w:rPr>
          <w:rFonts w:hint="default" w:ascii="宋体" w:hAnsi="宋体" w:eastAsia="宋体" w:cs="宋体"/>
          <w:sz w:val="32"/>
          <w:szCs w:val="32"/>
          <w:highlight w:val="none"/>
          <w:u w:val="none"/>
          <w:lang w:val="en-US" w:eastAsia="zh-CN"/>
        </w:rPr>
        <w:t>技术文件</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一、供应商应根据本工程的具体情况，编织相应的施工组织设计。</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二、施工组织设计包括下列内容：</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1、工程概况及特点</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2、施工准备计划</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3、施工方案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4、施工进度计划</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5、施工平面图</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6、劳动力需用量计划</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7、材料需用量计划</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8、机械设备需用量计划</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9、质量保证措施和体系</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10、工期保证措施和体系</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11、安全保证措施和体系</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12、现场文明施工措施</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13、施工扬尘防治专篇</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备注：施工现场总平面布置、施工进度计划表或施工网络图须采用A3纸</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r>
        <w:rPr>
          <w:rFonts w:ascii="宋体" w:hAnsi="宋体" w:eastAsia="宋体" w:cs="宋体"/>
          <w:sz w:val="24"/>
          <w:szCs w:val="24"/>
        </w:rPr>
        <w:t>7、供应商关联单位的说明</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4"/>
        <w:bidi w:val="0"/>
        <w:rPr>
          <w:rFonts w:hint="default" w:ascii="宋体" w:hAnsi="宋体" w:eastAsia="宋体" w:cs="宋体"/>
          <w:sz w:val="28"/>
          <w:szCs w:val="28"/>
          <w:highlight w:val="none"/>
          <w:lang w:val="en-US"/>
        </w:rPr>
      </w:pPr>
      <w:bookmarkStart w:id="484" w:name="_Toc24796"/>
      <w:bookmarkStart w:id="485" w:name="_Toc7981"/>
      <w:r>
        <w:rPr>
          <w:rFonts w:hint="eastAsia"/>
          <w:sz w:val="36"/>
          <w:szCs w:val="21"/>
          <w:lang w:val="en-US" w:eastAsia="zh-CN"/>
        </w:rPr>
        <w:t>第三章  谈判邀请</w:t>
      </w:r>
      <w:bookmarkEnd w:id="484"/>
      <w:bookmarkEnd w:id="485"/>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2022泽普县农村饮水安全工程服务总站水塔拆除项目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竞争性谈判公告</w:t>
      </w:r>
    </w:p>
    <w:p>
      <w:pPr>
        <w:pStyle w:val="18"/>
        <w:rPr>
          <w:rFonts w:hint="eastAsia"/>
        </w:rPr>
      </w:pP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486" w:name="_Toc35393629"/>
      <w:bookmarkStart w:id="487" w:name="_Toc28359089"/>
      <w:bookmarkStart w:id="488" w:name="_Toc35393798"/>
      <w:bookmarkStart w:id="489" w:name="_Toc28359012"/>
      <w:r>
        <w:rPr>
          <w:rFonts w:hint="eastAsia" w:ascii="宋体" w:hAnsi="宋体" w:eastAsia="宋体" w:cs="宋体"/>
          <w:b w:val="0"/>
          <w:i w:val="0"/>
          <w:caps w:val="0"/>
          <w:spacing w:val="0"/>
          <w:w w:val="100"/>
          <w:sz w:val="24"/>
          <w:szCs w:val="24"/>
        </w:rPr>
        <w:t>2022泽普县农村饮水安全工程服务总站水塔拆除项目的潜在</w:t>
      </w:r>
      <w:r>
        <w:rPr>
          <w:rFonts w:hint="eastAsia" w:ascii="宋体" w:hAnsi="宋体" w:eastAsia="宋体" w:cs="宋体"/>
          <w:b w:val="0"/>
          <w:i w:val="0"/>
          <w:caps w:val="0"/>
          <w:spacing w:val="0"/>
          <w:w w:val="100"/>
          <w:sz w:val="24"/>
          <w:szCs w:val="24"/>
          <w:lang w:eastAsia="zh-CN"/>
        </w:rPr>
        <w:t>供应商应</w:t>
      </w:r>
      <w:r>
        <w:rPr>
          <w:rFonts w:hint="eastAsia" w:ascii="宋体" w:hAnsi="宋体" w:eastAsia="宋体" w:cs="宋体"/>
          <w:b w:val="0"/>
          <w:i w:val="0"/>
          <w:caps w:val="0"/>
          <w:spacing w:val="0"/>
          <w:w w:val="100"/>
          <w:sz w:val="24"/>
          <w:szCs w:val="24"/>
        </w:rPr>
        <w:t>在</w:t>
      </w:r>
      <w:r>
        <w:rPr>
          <w:rFonts w:hint="eastAsia" w:ascii="宋体" w:hAnsi="宋体" w:eastAsia="宋体" w:cs="宋体"/>
          <w:b w:val="0"/>
          <w:i w:val="0"/>
          <w:caps w:val="0"/>
          <w:spacing w:val="0"/>
          <w:w w:val="100"/>
          <w:sz w:val="24"/>
          <w:szCs w:val="24"/>
          <w:lang w:eastAsia="zh-CN"/>
        </w:rPr>
        <w:t>线上</w:t>
      </w:r>
      <w:r>
        <w:rPr>
          <w:rFonts w:hint="eastAsia" w:ascii="宋体" w:hAnsi="宋体" w:eastAsia="宋体" w:cs="宋体"/>
          <w:b w:val="0"/>
          <w:i w:val="0"/>
          <w:caps w:val="0"/>
          <w:spacing w:val="0"/>
          <w:w w:val="100"/>
          <w:sz w:val="24"/>
          <w:szCs w:val="24"/>
          <w:shd w:val="clear" w:color="auto" w:fill="FFFFFF"/>
        </w:rPr>
        <w:t>获取</w:t>
      </w:r>
      <w:r>
        <w:rPr>
          <w:rFonts w:hint="eastAsia" w:ascii="宋体" w:hAnsi="宋体" w:eastAsia="宋体" w:cs="宋体"/>
          <w:b w:val="0"/>
          <w:i w:val="0"/>
          <w:caps w:val="0"/>
          <w:spacing w:val="0"/>
          <w:w w:val="100"/>
          <w:sz w:val="24"/>
          <w:szCs w:val="24"/>
          <w:shd w:val="clear" w:color="auto" w:fill="FFFFFF"/>
          <w:lang w:eastAsia="zh-CN"/>
        </w:rPr>
        <w:t>采购</w:t>
      </w:r>
      <w:r>
        <w:rPr>
          <w:rFonts w:hint="eastAsia" w:ascii="宋体" w:hAnsi="宋体" w:eastAsia="宋体" w:cs="宋体"/>
          <w:b w:val="0"/>
          <w:i w:val="0"/>
          <w:caps w:val="0"/>
          <w:spacing w:val="0"/>
          <w:w w:val="100"/>
          <w:sz w:val="24"/>
          <w:szCs w:val="24"/>
        </w:rPr>
        <w:t>文件，并于</w:t>
      </w:r>
      <w:r>
        <w:rPr>
          <w:rFonts w:hint="eastAsia" w:ascii="宋体" w:hAnsi="宋体" w:eastAsia="宋体" w:cs="宋体"/>
          <w:b w:val="0"/>
          <w:i w:val="0"/>
          <w:caps w:val="0"/>
          <w:spacing w:val="0"/>
          <w:w w:val="100"/>
          <w:sz w:val="24"/>
          <w:szCs w:val="24"/>
          <w:lang w:eastAsia="zh-CN"/>
        </w:rPr>
        <w:t>202</w:t>
      </w:r>
      <w:r>
        <w:rPr>
          <w:rFonts w:hint="eastAsia" w:ascii="宋体" w:hAnsi="宋体" w:eastAsia="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lang w:eastAsia="zh-CN"/>
        </w:rPr>
        <w:t>年</w:t>
      </w:r>
      <w:r>
        <w:rPr>
          <w:rFonts w:hint="eastAsia" w:ascii="宋体" w:hAnsi="宋体" w:eastAsia="宋体" w:cs="宋体"/>
          <w:b w:val="0"/>
          <w:i w:val="0"/>
          <w:caps w:val="0"/>
          <w:color w:val="auto"/>
          <w:spacing w:val="0"/>
          <w:w w:val="100"/>
          <w:sz w:val="24"/>
          <w:szCs w:val="24"/>
          <w:highlight w:val="none"/>
          <w:lang w:val="en-US" w:eastAsia="zh-CN"/>
        </w:rPr>
        <w:t>7</w:t>
      </w:r>
      <w:r>
        <w:rPr>
          <w:rFonts w:hint="eastAsia" w:ascii="宋体" w:hAnsi="宋体" w:eastAsia="宋体" w:cs="宋体"/>
          <w:b w:val="0"/>
          <w:i w:val="0"/>
          <w:caps w:val="0"/>
          <w:color w:val="auto"/>
          <w:spacing w:val="0"/>
          <w:w w:val="100"/>
          <w:sz w:val="24"/>
          <w:szCs w:val="24"/>
          <w:highlight w:val="none"/>
          <w:lang w:eastAsia="zh-CN"/>
        </w:rPr>
        <w:t>月</w:t>
      </w:r>
      <w:r>
        <w:rPr>
          <w:rFonts w:hint="eastAsia" w:ascii="宋体" w:hAnsi="宋体" w:eastAsia="宋体" w:cs="宋体"/>
          <w:b w:val="0"/>
          <w:i w:val="0"/>
          <w:caps w:val="0"/>
          <w:color w:val="auto"/>
          <w:spacing w:val="0"/>
          <w:w w:val="100"/>
          <w:sz w:val="24"/>
          <w:szCs w:val="24"/>
          <w:highlight w:val="none"/>
          <w:lang w:val="en-US" w:eastAsia="zh-CN"/>
        </w:rPr>
        <w:t>18</w:t>
      </w:r>
      <w:r>
        <w:rPr>
          <w:rFonts w:hint="eastAsia" w:ascii="宋体" w:hAnsi="宋体" w:eastAsia="宋体" w:cs="宋体"/>
          <w:b w:val="0"/>
          <w:i w:val="0"/>
          <w:caps w:val="0"/>
          <w:color w:val="auto"/>
          <w:spacing w:val="0"/>
          <w:w w:val="100"/>
          <w:sz w:val="24"/>
          <w:szCs w:val="24"/>
          <w:highlight w:val="none"/>
          <w:lang w:eastAsia="zh-CN"/>
        </w:rPr>
        <w:t>日</w:t>
      </w:r>
      <w:r>
        <w:rPr>
          <w:rFonts w:hint="eastAsia" w:ascii="宋体" w:hAnsi="宋体" w:eastAsia="宋体" w:cs="宋体"/>
          <w:b w:val="0"/>
          <w:i w:val="0"/>
          <w:caps w:val="0"/>
          <w:color w:val="auto"/>
          <w:spacing w:val="0"/>
          <w:w w:val="100"/>
          <w:sz w:val="24"/>
          <w:szCs w:val="24"/>
          <w:highlight w:val="none"/>
          <w:lang w:val="en-US" w:eastAsia="zh-CN"/>
        </w:rPr>
        <w:t>16</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lang w:val="en-US" w:eastAsia="zh-CN"/>
        </w:rPr>
        <w:t>00</w:t>
      </w:r>
      <w:r>
        <w:rPr>
          <w:rFonts w:hint="eastAsia" w:ascii="宋体" w:hAnsi="宋体" w:eastAsia="宋体" w:cs="宋体"/>
          <w:b w:val="0"/>
          <w:i w:val="0"/>
          <w:caps w:val="0"/>
          <w:color w:val="auto"/>
          <w:spacing w:val="0"/>
          <w:w w:val="100"/>
          <w:sz w:val="24"/>
          <w:szCs w:val="24"/>
          <w:lang w:eastAsia="zh-CN"/>
        </w:rPr>
        <w:t>时</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spacing w:val="0"/>
          <w:w w:val="100"/>
          <w:sz w:val="24"/>
          <w:szCs w:val="24"/>
        </w:rPr>
        <w:t>北京时间）前提交</w:t>
      </w:r>
      <w:r>
        <w:rPr>
          <w:rFonts w:hint="eastAsia" w:ascii="宋体" w:hAnsi="宋体" w:eastAsia="宋体" w:cs="宋体"/>
          <w:b w:val="0"/>
          <w:i w:val="0"/>
          <w:caps w:val="0"/>
          <w:spacing w:val="0"/>
          <w:w w:val="100"/>
          <w:sz w:val="24"/>
          <w:szCs w:val="24"/>
          <w:lang w:eastAsia="zh-CN"/>
        </w:rPr>
        <w:t>响应</w:t>
      </w:r>
      <w:r>
        <w:rPr>
          <w:rFonts w:hint="eastAsia" w:ascii="宋体" w:hAnsi="宋体" w:eastAsia="宋体" w:cs="宋体"/>
          <w:b w:val="0"/>
          <w:i w:val="0"/>
          <w:caps w:val="0"/>
          <w:spacing w:val="0"/>
          <w:w w:val="100"/>
          <w:sz w:val="24"/>
          <w:szCs w:val="24"/>
        </w:rPr>
        <w:t>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一、项目基本情况</w:t>
      </w:r>
      <w:bookmarkEnd w:id="486"/>
      <w:bookmarkEnd w:id="487"/>
      <w:bookmarkEnd w:id="488"/>
      <w:bookmarkEnd w:id="489"/>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spacing w:val="0"/>
          <w:w w:val="100"/>
          <w:sz w:val="24"/>
          <w:szCs w:val="24"/>
        </w:rPr>
        <w:t>项目编号：</w:t>
      </w:r>
      <w:r>
        <w:rPr>
          <w:rFonts w:hint="eastAsia" w:ascii="宋体" w:hAnsi="宋体" w:eastAsia="宋体" w:cs="宋体"/>
          <w:b w:val="0"/>
          <w:i w:val="0"/>
          <w:caps w:val="0"/>
          <w:spacing w:val="0"/>
          <w:w w:val="100"/>
          <w:sz w:val="24"/>
          <w:szCs w:val="24"/>
          <w:lang w:val="en-US" w:eastAsia="zh-CN"/>
        </w:rPr>
        <w:t xml:space="preserve">ZPDL(2022)028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项目名称：2022泽普县农村饮水安全工程服务总站水塔拆除项目</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采购方式：竞争性谈判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预算金额：</w:t>
      </w:r>
      <w:r>
        <w:rPr>
          <w:rFonts w:hint="eastAsia" w:ascii="宋体" w:hAnsi="宋体" w:eastAsia="宋体" w:cs="宋体"/>
          <w:b w:val="0"/>
          <w:i w:val="0"/>
          <w:caps w:val="0"/>
          <w:spacing w:val="0"/>
          <w:w w:val="100"/>
          <w:sz w:val="24"/>
          <w:szCs w:val="24"/>
          <w:lang w:val="en-US" w:eastAsia="zh-CN"/>
        </w:rPr>
        <w:t>1500000</w:t>
      </w:r>
      <w:r>
        <w:rPr>
          <w:rFonts w:hint="eastAsia" w:ascii="宋体" w:hAnsi="宋体" w:eastAsia="宋体" w:cs="宋体"/>
          <w:b w:val="0"/>
          <w:i w:val="0"/>
          <w:caps w:val="0"/>
          <w:spacing w:val="0"/>
          <w:w w:val="100"/>
          <w:sz w:val="24"/>
          <w:szCs w:val="24"/>
        </w:rPr>
        <w:t>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lang w:val="en-US" w:eastAsia="zh-CN"/>
        </w:rPr>
      </w:pPr>
      <w:r>
        <w:rPr>
          <w:rFonts w:hint="eastAsia" w:ascii="宋体" w:hAnsi="宋体" w:eastAsia="宋体" w:cs="宋体"/>
          <w:b w:val="0"/>
          <w:i w:val="0"/>
          <w:caps w:val="0"/>
          <w:spacing w:val="0"/>
          <w:w w:val="100"/>
          <w:sz w:val="24"/>
          <w:szCs w:val="24"/>
          <w:lang w:val="en-US" w:eastAsia="zh-CN"/>
        </w:rPr>
        <w:t>最高限价：</w:t>
      </w:r>
      <w:r>
        <w:rPr>
          <w:rFonts w:hint="eastAsia" w:ascii="宋体" w:hAnsi="宋体" w:eastAsia="宋体" w:cs="宋体"/>
          <w:b w:val="0"/>
          <w:i w:val="0"/>
          <w:caps w:val="0"/>
          <w:color w:val="FF0000"/>
          <w:spacing w:val="0"/>
          <w:w w:val="100"/>
          <w:sz w:val="24"/>
          <w:szCs w:val="24"/>
          <w:lang w:val="en-US" w:eastAsia="zh-CN"/>
        </w:rPr>
        <w:t>1500000元</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采购需求：</w:t>
      </w:r>
      <w:bookmarkStart w:id="490" w:name="_Toc28359090"/>
      <w:bookmarkStart w:id="491" w:name="_Toc35393799"/>
      <w:bookmarkStart w:id="492" w:name="_Toc35393630"/>
      <w:bookmarkStart w:id="493" w:name="_Toc28359013"/>
      <w:r>
        <w:rPr>
          <w:rFonts w:hint="eastAsia" w:ascii="宋体" w:hAnsi="宋体" w:eastAsia="宋体" w:cs="宋体"/>
          <w:b w:val="0"/>
          <w:i w:val="0"/>
          <w:caps w:val="0"/>
          <w:spacing w:val="0"/>
          <w:w w:val="100"/>
          <w:sz w:val="24"/>
          <w:szCs w:val="24"/>
          <w:lang w:val="en-US" w:eastAsia="zh-CN"/>
        </w:rPr>
        <w:t>/</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标项名称：</w:t>
      </w:r>
      <w:r>
        <w:rPr>
          <w:rFonts w:hint="eastAsia" w:ascii="宋体" w:hAnsi="宋体" w:eastAsia="宋体" w:cs="宋体"/>
          <w:b w:val="0"/>
          <w:i w:val="0"/>
          <w:caps w:val="0"/>
          <w:spacing w:val="0"/>
          <w:w w:val="100"/>
          <w:sz w:val="24"/>
          <w:szCs w:val="24"/>
        </w:rPr>
        <w:t>2022泽普县农村饮水安全工程服务总站水塔拆除项目</w:t>
      </w:r>
      <w:r>
        <w:rPr>
          <w:rFonts w:hint="eastAsia" w:ascii="宋体" w:hAnsi="宋体" w:eastAsia="宋体" w:cs="宋体"/>
          <w:b w:val="0"/>
          <w:i w:val="0"/>
          <w:caps w:val="0"/>
          <w:spacing w:val="0"/>
          <w:w w:val="100"/>
          <w:sz w:val="24"/>
          <w:szCs w:val="24"/>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数量：1     </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预算金额（元）：1500000 </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单位：批 </w:t>
      </w:r>
    </w:p>
    <w:p>
      <w:pPr>
        <w:pStyle w:val="18"/>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简要规格描述：泽普县农村饮水安全工程服务总站现有16座水塔。14座高度为20米以上水塔、2座12米水塔。项目包含砌体拆除、垃圾清运、安全防护等</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备注：/</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合同履约期限：标项 1，30天</w:t>
      </w:r>
    </w:p>
    <w:p>
      <w:pPr>
        <w:pStyle w:val="18"/>
        <w:keepNext w:val="0"/>
        <w:keepLines w:val="0"/>
        <w:pageBreakBefore w:val="0"/>
        <w:widowControl w:val="0"/>
        <w:kinsoku/>
        <w:wordWrap/>
        <w:overflowPunct/>
        <w:topLinePunct w:val="0"/>
        <w:autoSpaceDE/>
        <w:autoSpaceDN/>
        <w:bidi w:val="0"/>
        <w:adjustRightInd/>
        <w:snapToGrid w:val="0"/>
        <w:spacing w:line="360" w:lineRule="auto"/>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val="en-US" w:eastAsia="zh-CN"/>
        </w:rPr>
        <w:t xml:space="preserve">    本项目（否）接受联合体投标。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二、申请人的资格要求：</w:t>
      </w:r>
      <w:bookmarkEnd w:id="490"/>
      <w:bookmarkEnd w:id="491"/>
      <w:bookmarkEnd w:id="492"/>
      <w:bookmarkEnd w:id="49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bookmarkStart w:id="494" w:name="_Toc28359091"/>
      <w:bookmarkStart w:id="495" w:name="_Toc35393800"/>
      <w:bookmarkStart w:id="496" w:name="_Toc28359014"/>
      <w:bookmarkStart w:id="497" w:name="_Toc35393631"/>
      <w:r>
        <w:rPr>
          <w:rFonts w:hint="eastAsia" w:ascii="宋体" w:hAnsi="宋体" w:eastAsia="宋体" w:cs="宋体"/>
          <w:b w:val="0"/>
          <w:i w:val="0"/>
          <w:caps w:val="0"/>
          <w:spacing w:val="0"/>
          <w:w w:val="1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3.本项目的特定资格要求：标项1：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（1）.具有有效的独立法人营业执照；</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（2）.投标人须具备有效的资质证书（【施工总承包建筑工程三级】（含）及以上）及具备有效的安全生产许可证,疆外企业须提供有效的外省进疆备案报送手续；</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（3）.项目负责人要求：具备【建筑工程二级】（含）以上注册建造师执业资格，具备有效的安全生产考核合格证书（B类），且未担任其他任何在建工程的项目负责人；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（4）.法人本人投标的提供法人身份证明及身份证，被授权委托人需提供法人授权委托书及身份证；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（5）.近两年任意一年（2020年度或2021年度）的经审计的财务报告（新成立公司需提供银行资信证明）；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6）.通过“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以招标人及招标代理查询为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（7）.投标单位近3个月的社保缴纳证明（单位社保缴费汇总和个人明细表）含委托代理人和项目负责人。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（8）.近3个月完税证明（新成立公司除外）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注：①若为零申报企业，需提供无欠税证明或国家税务总局电子税务局“申报结果查询截图”。②“税种”非社会保险；</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（9）.参加政府采购活动前三年内，在经营活动中没有重大违法记录声明；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（10）.提供针对本次项目《反商业贿赂承诺书》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三、获取采购文件</w:t>
      </w:r>
      <w:bookmarkEnd w:id="494"/>
      <w:bookmarkEnd w:id="495"/>
      <w:bookmarkEnd w:id="496"/>
      <w:bookmarkEnd w:id="497"/>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498" w:name="_Toc28359092"/>
      <w:bookmarkStart w:id="499" w:name="_Toc35393801"/>
      <w:bookmarkStart w:id="500" w:name="_Toc35393632"/>
      <w:bookmarkStart w:id="501" w:name="_Toc28359015"/>
      <w:r>
        <w:rPr>
          <w:rFonts w:hint="eastAsia" w:ascii="宋体" w:hAnsi="宋体" w:eastAsia="宋体" w:cs="宋体"/>
          <w:b w:val="0"/>
          <w:i w:val="0"/>
          <w:caps w:val="0"/>
          <w:spacing w:val="0"/>
          <w:w w:val="100"/>
          <w:sz w:val="24"/>
          <w:szCs w:val="24"/>
        </w:rPr>
        <w:t>时间：2022年0</w:t>
      </w:r>
      <w:r>
        <w:rPr>
          <w:rFonts w:hint="eastAsia" w:ascii="宋体" w:hAnsi="宋体" w:eastAsia="宋体" w:cs="宋体"/>
          <w:b w:val="0"/>
          <w:i w:val="0"/>
          <w:caps w:val="0"/>
          <w:spacing w:val="0"/>
          <w:w w:val="100"/>
          <w:sz w:val="24"/>
          <w:szCs w:val="24"/>
          <w:lang w:val="en-US" w:eastAsia="zh-CN"/>
        </w:rPr>
        <w:t>7</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lang w:val="en-US" w:eastAsia="zh-CN"/>
        </w:rPr>
        <w:t>5</w:t>
      </w:r>
      <w:r>
        <w:rPr>
          <w:rFonts w:hint="eastAsia" w:ascii="宋体" w:hAnsi="宋体" w:eastAsia="宋体" w:cs="宋体"/>
          <w:b w:val="0"/>
          <w:i w:val="0"/>
          <w:caps w:val="0"/>
          <w:spacing w:val="0"/>
          <w:w w:val="100"/>
          <w:sz w:val="24"/>
          <w:szCs w:val="24"/>
        </w:rPr>
        <w:t>日至2022年0</w:t>
      </w:r>
      <w:r>
        <w:rPr>
          <w:rFonts w:hint="eastAsia" w:ascii="宋体" w:hAnsi="宋体" w:eastAsia="宋体" w:cs="宋体"/>
          <w:b w:val="0"/>
          <w:i w:val="0"/>
          <w:caps w:val="0"/>
          <w:spacing w:val="0"/>
          <w:w w:val="100"/>
          <w:sz w:val="24"/>
          <w:szCs w:val="24"/>
          <w:lang w:val="en-US" w:eastAsia="zh-CN"/>
        </w:rPr>
        <w:t>7</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lang w:val="en-US" w:eastAsia="zh-CN"/>
        </w:rPr>
        <w:t>15</w:t>
      </w:r>
      <w:r>
        <w:rPr>
          <w:rFonts w:hint="eastAsia" w:ascii="宋体" w:hAnsi="宋体" w:eastAsia="宋体" w:cs="宋体"/>
          <w:b w:val="0"/>
          <w:i w:val="0"/>
          <w:caps w:val="0"/>
          <w:spacing w:val="0"/>
          <w:w w:val="100"/>
          <w:sz w:val="24"/>
          <w:szCs w:val="24"/>
        </w:rPr>
        <w:t>日，每天上午10:00至14:00，下午15:30至19:30（北京时间，法定节假日除外）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地点：政采云平台下载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方式：（登录政府采购云平台 → 项目采购 → 获取招标文件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售价（元）：0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四、响应文件提交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截止时间：</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07</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18</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16</w:t>
      </w:r>
      <w:r>
        <w:rPr>
          <w:rFonts w:hint="eastAsia" w:ascii="宋体" w:hAnsi="宋体" w:eastAsia="宋体" w:cs="宋体"/>
          <w:b w:val="0"/>
          <w:i w:val="0"/>
          <w:caps w:val="0"/>
          <w:color w:val="auto"/>
          <w:spacing w:val="0"/>
          <w:w w:val="100"/>
          <w:sz w:val="24"/>
          <w:szCs w:val="24"/>
          <w:u w:val="single"/>
        </w:rPr>
        <w:t>点</w:t>
      </w:r>
      <w:r>
        <w:rPr>
          <w:rFonts w:hint="eastAsia" w:ascii="宋体" w:hAnsi="宋体" w:eastAsia="宋体" w:cs="宋体"/>
          <w:b w:val="0"/>
          <w:i w:val="0"/>
          <w:caps w:val="0"/>
          <w:color w:val="auto"/>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地点：泽普县行政服务中心B栋3楼开标室</w:t>
      </w:r>
    </w:p>
    <w:bookmarkEnd w:id="498"/>
    <w:bookmarkEnd w:id="499"/>
    <w:bookmarkEnd w:id="500"/>
    <w:bookmarkEnd w:id="501"/>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02" w:name="_Toc28359093"/>
      <w:bookmarkStart w:id="503" w:name="_Toc28359016"/>
      <w:bookmarkStart w:id="504" w:name="_Toc35393802"/>
      <w:bookmarkStart w:id="505" w:name="_Toc35393633"/>
      <w:r>
        <w:rPr>
          <w:rFonts w:hint="eastAsia" w:ascii="宋体" w:hAnsi="宋体" w:eastAsia="宋体" w:cs="宋体"/>
          <w:b w:val="0"/>
          <w:i w:val="0"/>
          <w:caps w:val="0"/>
          <w:spacing w:val="0"/>
          <w:w w:val="100"/>
          <w:sz w:val="24"/>
          <w:szCs w:val="24"/>
        </w:rPr>
        <w:t>五、响应文件开启</w:t>
      </w:r>
      <w:bookmarkEnd w:id="502"/>
      <w:bookmarkEnd w:id="503"/>
      <w:bookmarkEnd w:id="504"/>
      <w:bookmarkEnd w:id="505"/>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时间</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07</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18</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16</w:t>
      </w:r>
      <w:r>
        <w:rPr>
          <w:rFonts w:hint="eastAsia" w:ascii="宋体" w:hAnsi="宋体" w:eastAsia="宋体" w:cs="宋体"/>
          <w:b w:val="0"/>
          <w:i w:val="0"/>
          <w:caps w:val="0"/>
          <w:spacing w:val="0"/>
          <w:w w:val="100"/>
          <w:sz w:val="24"/>
          <w:szCs w:val="24"/>
          <w:u w:val="single"/>
        </w:rPr>
        <w:t>点</w:t>
      </w:r>
      <w:r>
        <w:rPr>
          <w:rFonts w:hint="eastAsia" w:ascii="宋体" w:hAnsi="宋体" w:eastAsia="宋体" w:cs="宋体"/>
          <w:b w:val="0"/>
          <w:i w:val="0"/>
          <w:caps w:val="0"/>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地点：泽普县行政服务中心B栋3楼开标室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06" w:name="_Toc35393634"/>
      <w:bookmarkStart w:id="507" w:name="_Toc28359094"/>
      <w:bookmarkStart w:id="508" w:name="_Toc35393803"/>
      <w:bookmarkStart w:id="509" w:name="_Toc28359017"/>
      <w:r>
        <w:rPr>
          <w:rFonts w:hint="eastAsia" w:ascii="宋体" w:hAnsi="宋体" w:eastAsia="宋体" w:cs="宋体"/>
          <w:b w:val="0"/>
          <w:i w:val="0"/>
          <w:caps w:val="0"/>
          <w:spacing w:val="0"/>
          <w:w w:val="100"/>
          <w:sz w:val="24"/>
          <w:szCs w:val="24"/>
        </w:rPr>
        <w:t>六、公告期限</w:t>
      </w:r>
      <w:bookmarkEnd w:id="506"/>
      <w:bookmarkEnd w:id="507"/>
      <w:bookmarkEnd w:id="508"/>
      <w:bookmarkEnd w:id="509"/>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自本公告发布之日起</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个工作日。</w:t>
      </w:r>
    </w:p>
    <w:p>
      <w:pPr>
        <w:keepNext w:val="0"/>
        <w:keepLines w:val="0"/>
        <w:pageBreakBefore w:val="0"/>
        <w:widowControl w:val="0"/>
        <w:numPr>
          <w:ilvl w:val="0"/>
          <w:numId w:val="7"/>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其他补充事宜</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rPr>
      </w:pPr>
      <w:r>
        <w:rPr>
          <w:rFonts w:hint="default" w:ascii="宋体" w:hAnsi="宋体" w:eastAsia="宋体" w:cs="宋体"/>
          <w:b w:val="0"/>
          <w:i w:val="0"/>
          <w:caps w:val="0"/>
          <w:spacing w:val="0"/>
          <w:w w:val="10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10" w:name="_Toc28359095"/>
      <w:bookmarkStart w:id="511" w:name="_Toc35393636"/>
      <w:bookmarkStart w:id="512" w:name="_Toc28359018"/>
      <w:bookmarkStart w:id="513" w:name="_Toc35393805"/>
      <w:r>
        <w:rPr>
          <w:rFonts w:hint="eastAsia" w:ascii="宋体" w:hAnsi="宋体" w:eastAsia="宋体" w:cs="宋体"/>
          <w:b w:val="0"/>
          <w:i w:val="0"/>
          <w:caps w:val="0"/>
          <w:spacing w:val="0"/>
          <w:w w:val="100"/>
          <w:sz w:val="24"/>
          <w:szCs w:val="24"/>
          <w:lang w:val="en-US" w:eastAsia="zh-CN"/>
        </w:rPr>
        <w:t>八</w:t>
      </w:r>
      <w:r>
        <w:rPr>
          <w:rFonts w:hint="eastAsia" w:ascii="宋体" w:hAnsi="宋体" w:eastAsia="宋体" w:cs="宋体"/>
          <w:b w:val="0"/>
          <w:i w:val="0"/>
          <w:caps w:val="0"/>
          <w:spacing w:val="0"/>
          <w:w w:val="100"/>
          <w:sz w:val="24"/>
          <w:szCs w:val="24"/>
        </w:rPr>
        <w:t>、凡对本次采购提出询问，请按以下方式联系。</w:t>
      </w:r>
      <w:bookmarkEnd w:id="510"/>
      <w:bookmarkEnd w:id="511"/>
      <w:bookmarkEnd w:id="512"/>
      <w:bookmarkEnd w:id="513"/>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1.采购人信息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名 称：泽普县农村饮水安全工程服务总站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地址：</w:t>
      </w:r>
      <w:r>
        <w:rPr>
          <w:rFonts w:hint="eastAsia" w:ascii="宋体" w:hAnsi="宋体" w:eastAsia="宋体" w:cs="宋体"/>
          <w:b w:val="0"/>
          <w:i w:val="0"/>
          <w:caps w:val="0"/>
          <w:spacing w:val="0"/>
          <w:w w:val="100"/>
          <w:sz w:val="24"/>
          <w:szCs w:val="24"/>
          <w:lang w:val="en-US" w:eastAsia="zh-CN"/>
        </w:rPr>
        <w:t>泽普县北新街17号</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rPr>
      </w:pPr>
      <w:r>
        <w:rPr>
          <w:rFonts w:hint="eastAsia" w:ascii="宋体" w:hAnsi="宋体" w:eastAsia="宋体" w:cs="宋体"/>
          <w:b w:val="0"/>
          <w:i w:val="0"/>
          <w:caps w:val="0"/>
          <w:spacing w:val="0"/>
          <w:w w:val="100"/>
          <w:sz w:val="24"/>
          <w:szCs w:val="24"/>
        </w:rPr>
        <w:t>联系方式：</w:t>
      </w:r>
      <w:bookmarkStart w:id="514" w:name="_Toc28359009"/>
      <w:bookmarkStart w:id="515" w:name="_Toc28359086"/>
      <w:r>
        <w:rPr>
          <w:rFonts w:hint="eastAsia" w:ascii="宋体" w:hAnsi="宋体" w:eastAsia="宋体" w:cs="宋体"/>
          <w:b w:val="0"/>
          <w:i w:val="0"/>
          <w:caps w:val="0"/>
          <w:spacing w:val="0"/>
          <w:w w:val="100"/>
          <w:sz w:val="24"/>
          <w:szCs w:val="24"/>
        </w:rPr>
        <w:t>18609984368</w:t>
      </w:r>
      <w:r>
        <w:rPr>
          <w:rFonts w:hint="eastAsia" w:ascii="宋体" w:hAnsi="宋体" w:eastAsia="宋体" w:cs="宋体"/>
          <w:b w:val="0"/>
          <w:i w:val="0"/>
          <w:caps w:val="0"/>
          <w:spacing w:val="0"/>
          <w:w w:val="100"/>
          <w:sz w:val="24"/>
          <w:szCs w:val="24"/>
          <w:lang w:val="en-US" w:eastAsia="zh-CN"/>
        </w:rPr>
        <w:t xml:space="preserve"> </w:t>
      </w:r>
    </w:p>
    <w:bookmarkEnd w:id="514"/>
    <w:bookmarkEnd w:id="515"/>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名 称：</w:t>
      </w:r>
      <w:r>
        <w:rPr>
          <w:rFonts w:hint="eastAsia" w:ascii="宋体" w:hAnsi="宋体" w:eastAsia="宋体" w:cs="宋体"/>
          <w:b w:val="0"/>
          <w:i w:val="0"/>
          <w:caps w:val="0"/>
          <w:spacing w:val="0"/>
          <w:w w:val="100"/>
          <w:sz w:val="24"/>
          <w:szCs w:val="24"/>
          <w:lang w:val="en-US" w:eastAsia="zh-CN"/>
        </w:rPr>
        <w:t>新疆正昊建设工程项目管理有限公司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b w:val="0"/>
          <w:i w:val="0"/>
          <w:caps w:val="0"/>
          <w:spacing w:val="0"/>
          <w:w w:val="100"/>
          <w:sz w:val="24"/>
          <w:szCs w:val="24"/>
        </w:rPr>
        <w:t>地 址：喀什市托克扎克路103号福源汇居小区1栋3单元301室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联系方式：</w:t>
      </w:r>
      <w:r>
        <w:rPr>
          <w:rFonts w:hint="eastAsia" w:ascii="宋体" w:hAnsi="宋体" w:eastAsia="宋体" w:cs="宋体"/>
          <w:b w:val="0"/>
          <w:i w:val="0"/>
          <w:caps w:val="0"/>
          <w:spacing w:val="0"/>
          <w:w w:val="100"/>
          <w:sz w:val="24"/>
          <w:szCs w:val="24"/>
          <w:lang w:val="en-US" w:eastAsia="zh-CN"/>
        </w:rPr>
        <w:t>18299026691</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3.项目联系方式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项目联系人：</w:t>
      </w:r>
      <w:r>
        <w:rPr>
          <w:rFonts w:hint="eastAsia" w:ascii="宋体" w:hAnsi="宋体" w:eastAsia="宋体" w:cs="宋体"/>
          <w:b w:val="0"/>
          <w:i w:val="0"/>
          <w:caps w:val="0"/>
          <w:spacing w:val="0"/>
          <w:w w:val="100"/>
          <w:sz w:val="24"/>
          <w:szCs w:val="24"/>
          <w:lang w:val="en-US" w:eastAsia="zh-CN"/>
        </w:rPr>
        <w:t>陈聪</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电 话：</w:t>
      </w:r>
      <w:r>
        <w:rPr>
          <w:rFonts w:hint="eastAsia" w:ascii="宋体" w:hAnsi="宋体" w:eastAsia="宋体" w:cs="宋体"/>
          <w:b w:val="0"/>
          <w:i w:val="0"/>
          <w:caps w:val="0"/>
          <w:spacing w:val="0"/>
          <w:w w:val="100"/>
          <w:sz w:val="24"/>
          <w:szCs w:val="24"/>
          <w:lang w:val="en-US" w:eastAsia="zh-CN"/>
        </w:rPr>
        <w:t>18299026691</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4"/>
        <w:tabs>
          <w:tab w:val="left" w:pos="0"/>
        </w:tabs>
        <w:spacing w:before="0" w:after="0" w:line="240" w:lineRule="atLeast"/>
        <w:rPr>
          <w:rFonts w:hint="eastAsia" w:ascii="宋体" w:hAnsi="宋体" w:eastAsia="宋体" w:cs="宋体"/>
          <w:b w:val="0"/>
          <w:szCs w:val="32"/>
          <w:highlight w:val="none"/>
        </w:rPr>
      </w:pPr>
      <w:bookmarkStart w:id="516" w:name="_Toc25269"/>
      <w:bookmarkStart w:id="517" w:name="_Toc11703"/>
      <w:r>
        <w:rPr>
          <w:rFonts w:hint="eastAsia" w:ascii="宋体" w:hAnsi="宋体" w:eastAsia="宋体" w:cs="宋体"/>
          <w:highlight w:val="none"/>
          <w:lang w:eastAsia="zh-CN"/>
        </w:rPr>
        <w:t>第四章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供应商须知资料表</w:t>
      </w:r>
      <w:bookmarkEnd w:id="516"/>
      <w:bookmarkEnd w:id="517"/>
    </w:p>
    <w:p>
      <w:pPr>
        <w:spacing w:line="240" w:lineRule="atLeast"/>
        <w:ind w:firstLine="440" w:firstLineChars="200"/>
        <w:rPr>
          <w:rFonts w:hint="eastAsia" w:ascii="宋体" w:hAnsi="宋体" w:eastAsia="宋体" w:cs="宋体"/>
          <w:sz w:val="22"/>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本表是本谈判项目的具体资料，是对供应商须知的具体补充和修改，如有矛盾，应以本资料表为准。</w:t>
      </w:r>
    </w:p>
    <w:tbl>
      <w:tblPr>
        <w:tblStyle w:val="22"/>
        <w:tblpPr w:leftFromText="180" w:rightFromText="180" w:vertAnchor="text" w:horzAnchor="page" w:tblpX="1190" w:tblpY="351"/>
        <w:tblOverlap w:val="never"/>
        <w:tblW w:w="88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4"/>
        <w:gridCol w:w="7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采购人名称：</w:t>
            </w:r>
            <w:r>
              <w:rPr>
                <w:rFonts w:hint="eastAsia" w:ascii="宋体" w:hAnsi="宋体" w:eastAsia="宋体" w:cs="宋体"/>
                <w:b w:val="0"/>
                <w:i w:val="0"/>
                <w:caps w:val="0"/>
                <w:spacing w:val="0"/>
                <w:w w:val="100"/>
                <w:sz w:val="24"/>
                <w:szCs w:val="24"/>
              </w:rPr>
              <w:t>泽普县农村饮水安全工程服务总站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地  　址：</w:t>
            </w:r>
            <w:r>
              <w:rPr>
                <w:rFonts w:hint="eastAsia" w:ascii="宋体" w:hAnsi="宋体" w:eastAsia="宋体" w:cs="宋体"/>
                <w:b w:val="0"/>
                <w:i w:val="0"/>
                <w:caps w:val="0"/>
                <w:spacing w:val="0"/>
                <w:w w:val="100"/>
                <w:sz w:val="24"/>
                <w:szCs w:val="24"/>
                <w:lang w:val="en-US" w:eastAsia="zh-CN"/>
              </w:rPr>
              <w:t>泽普县北新街17号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联 系 人：努尔比亚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rPr>
            </w:pPr>
            <w:r>
              <w:rPr>
                <w:rFonts w:hint="eastAsia" w:ascii="宋体" w:hAnsi="宋体" w:eastAsia="宋体" w:cs="宋体"/>
                <w:bCs/>
                <w:sz w:val="24"/>
                <w:szCs w:val="24"/>
                <w:highlight w:val="none"/>
                <w:lang w:val="en-US" w:eastAsia="zh-CN"/>
              </w:rPr>
              <w:t>联系方式：</w:t>
            </w:r>
            <w:r>
              <w:rPr>
                <w:rFonts w:hint="eastAsia" w:ascii="宋体" w:hAnsi="宋体" w:eastAsia="宋体" w:cs="宋体"/>
                <w:b w:val="0"/>
                <w:i w:val="0"/>
                <w:caps w:val="0"/>
                <w:spacing w:val="0"/>
                <w:w w:val="100"/>
                <w:sz w:val="24"/>
                <w:szCs w:val="24"/>
              </w:rPr>
              <w:t>18609984368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采购代理机构：新疆正昊建设工程项目管理有限公司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b w:val="0"/>
                <w:i w:val="0"/>
                <w:caps w:val="0"/>
                <w:spacing w:val="0"/>
                <w:w w:val="100"/>
                <w:sz w:val="24"/>
                <w:szCs w:val="24"/>
              </w:rPr>
              <w:t>喀什市托克扎克路103号福源汇居小区1栋3单元301室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陈聪</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18299026691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w:t>
            </w:r>
          </w:p>
        </w:tc>
        <w:tc>
          <w:tcPr>
            <w:tcW w:w="7312"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合格供应商资格要求：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符合《中华人民共和国政府采购法》第二十二条的规定：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1.具有有效的独立法人营业执照；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2.投标人须具备有效的资质证书（【施工总承包建筑工程三级】（含）</w:t>
            </w:r>
            <w:r>
              <w:rPr>
                <w:rFonts w:hint="eastAsia" w:ascii="宋体" w:hAnsi="宋体" w:eastAsia="宋体" w:cs="宋体"/>
                <w:b w:val="0"/>
                <w:bCs w:val="0"/>
                <w:sz w:val="24"/>
                <w:szCs w:val="24"/>
                <w:highlight w:val="none"/>
                <w:lang w:val="en-US" w:eastAsia="zh-CN"/>
              </w:rPr>
              <w:t>及</w:t>
            </w:r>
            <w:r>
              <w:rPr>
                <w:rFonts w:hint="eastAsia" w:ascii="宋体" w:hAnsi="宋体" w:eastAsia="宋体" w:cs="宋体"/>
                <w:b w:val="0"/>
                <w:bCs w:val="0"/>
                <w:sz w:val="24"/>
                <w:szCs w:val="24"/>
                <w:highlight w:val="none"/>
              </w:rPr>
              <w:t>以上）及具备有效的安全生产许可证,疆外企业须提供有效的外省进疆备案报送手续；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3.项目负责人要求：具备【建筑工程二级】（含）以上注册建造师执业资格，具备有效的安全生产考核合格证书（B类），且未担任其他任何在建工程的项目负责人</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需提供项目负责人无在建项目承诺</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4.法人本人投标的提供法人身份证明及身份证，被授权委托人需提供法人授权委托书及身份证；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5.近两年任意一年（2020年度或2021年度）的经审计的财务报告（新成立公司需提供银行资信证明）；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通过“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以招标人及招标代理查询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7.投标单位近3个月的社保缴纳证明（单位社保缴费汇总和个人明细表）含委托代理人和项目负责人。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8.近3个月完税证明（新成立公司除外）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注：①若为零申报企业，需提供无欠税证明或国家税务总局电子税务局“申报结果查询截图”。②“税种”非社会保险；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10.提供针对本次项目《反商业贿赂承诺书》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11.谈判保证金的有效凭证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b w:val="0"/>
                <w:bCs w:val="0"/>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eastAsia="zh-CN"/>
              </w:rPr>
              <w:t>提示：上述资质开标现场能够通过官方网络查证的，均视为合格供应商。在资格审查过程中，潜在投标企业提供的资质材料不全的，可打</w:t>
            </w:r>
            <w:r>
              <w:rPr>
                <w:rFonts w:hint="eastAsia" w:ascii="宋体" w:hAnsi="宋体" w:eastAsia="宋体" w:cs="宋体"/>
                <w:b w:val="0"/>
                <w:bCs w:val="0"/>
                <w:sz w:val="24"/>
                <w:szCs w:val="24"/>
                <w:highlight w:val="none"/>
                <w:lang w:val="en-US" w:eastAsia="zh-CN"/>
              </w:rPr>
              <w:t>开</w:t>
            </w:r>
            <w:r>
              <w:rPr>
                <w:rFonts w:hint="eastAsia" w:ascii="宋体" w:hAnsi="宋体" w:eastAsia="宋体" w:cs="宋体"/>
                <w:b w:val="0"/>
                <w:bCs w:val="0"/>
                <w:sz w:val="24"/>
                <w:szCs w:val="24"/>
                <w:highlight w:val="none"/>
                <w:lang w:eastAsia="zh-CN"/>
              </w:rPr>
              <w:t>投标书“正本”进行进一步核实，符合条件的均为合格供应商。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rPr>
              <w:t>1.3.6</w:t>
            </w:r>
          </w:p>
        </w:tc>
        <w:tc>
          <w:tcPr>
            <w:tcW w:w="7312" w:type="dxa"/>
            <w:noWrap w:val="0"/>
            <w:vAlign w:val="center"/>
          </w:tcPr>
          <w:p>
            <w:pPr>
              <w:keepNext w:val="0"/>
              <w:keepLines w:val="0"/>
              <w:pageBreakBefore w:val="0"/>
              <w:kinsoku/>
              <w:wordWrap/>
              <w:overflowPunct/>
              <w:topLinePunct w:val="0"/>
              <w:autoSpaceDE/>
              <w:autoSpaceDN/>
              <w:bidi w:val="0"/>
              <w:adjustRightInd/>
              <w:spacing w:line="340" w:lineRule="exact"/>
              <w:jc w:val="left"/>
              <w:textAlignment w:val="auto"/>
              <w:rPr>
                <w:rFonts w:hint="eastAsia" w:ascii="宋体" w:hAnsi="宋体" w:eastAsia="宋体" w:cs="宋体"/>
                <w:b/>
                <w:bCs/>
                <w:i w:val="0"/>
                <w:iCs w:val="0"/>
                <w:sz w:val="24"/>
                <w:szCs w:val="24"/>
                <w:highlight w:val="none"/>
                <w:lang w:eastAsia="zh-CN"/>
              </w:rPr>
            </w:pPr>
            <w:r>
              <w:rPr>
                <w:rFonts w:hint="eastAsia" w:ascii="宋体" w:hAnsi="宋体" w:eastAsia="宋体" w:cs="宋体"/>
                <w:b w:val="0"/>
                <w:bCs/>
                <w:i w:val="0"/>
                <w:iCs w:val="0"/>
                <w:color w:val="auto"/>
                <w:sz w:val="24"/>
                <w:szCs w:val="24"/>
              </w:rPr>
              <w:t>是否为专门面向中小企业采购：</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single"/>
                <w:lang w:val="en-US" w:eastAsia="zh-CN"/>
              </w:rPr>
              <w:t>否</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1584"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rPr>
              <w:t>1.4</w:t>
            </w:r>
          </w:p>
        </w:tc>
        <w:tc>
          <w:tcPr>
            <w:tcW w:w="7312" w:type="dxa"/>
            <w:noWrap w:val="0"/>
            <w:vAlign w:val="center"/>
          </w:tcPr>
          <w:p>
            <w:pPr>
              <w:keepNext w:val="0"/>
              <w:keepLines w:val="0"/>
              <w:pageBreakBefore w:val="0"/>
              <w:kinsoku/>
              <w:wordWrap/>
              <w:overflowPunct/>
              <w:topLinePunct w:val="0"/>
              <w:autoSpaceDE/>
              <w:autoSpaceDN/>
              <w:bidi w:val="0"/>
              <w:adjustRightInd/>
              <w:spacing w:line="340" w:lineRule="exact"/>
              <w:jc w:val="both"/>
              <w:textAlignment w:val="auto"/>
              <w:rPr>
                <w:rFonts w:hint="eastAsia" w:ascii="宋体" w:hAnsi="宋体" w:eastAsia="宋体" w:cs="宋体"/>
                <w:b/>
                <w:bCs/>
                <w:i w:val="0"/>
                <w:iCs w:val="0"/>
                <w:sz w:val="24"/>
                <w:szCs w:val="24"/>
                <w:highlight w:val="none"/>
                <w:lang w:eastAsia="zh-CN"/>
              </w:rPr>
            </w:pPr>
            <w:r>
              <w:rPr>
                <w:rFonts w:hint="eastAsia" w:ascii="宋体" w:hAnsi="宋体" w:eastAsia="宋体" w:cs="宋体"/>
                <w:b w:val="0"/>
                <w:bCs/>
                <w:i w:val="0"/>
                <w:iCs w:val="0"/>
                <w:color w:val="auto"/>
                <w:sz w:val="24"/>
                <w:szCs w:val="24"/>
              </w:rPr>
              <w:t>是否允许联合体参加谈判的：</w:t>
            </w:r>
            <w:r>
              <w:rPr>
                <w:rFonts w:hint="eastAsia" w:ascii="宋体" w:hAnsi="宋体" w:eastAsia="宋体" w:cs="宋体"/>
                <w:b w:val="0"/>
                <w:bCs/>
                <w:i w:val="0"/>
                <w:iCs w:val="0"/>
                <w:color w:val="auto"/>
                <w:sz w:val="24"/>
                <w:szCs w:val="24"/>
                <w:u w:val="single"/>
              </w:rPr>
              <w:t xml:space="preserve">  否  </w:t>
            </w:r>
            <w:r>
              <w:rPr>
                <w:rFonts w:hint="eastAsia" w:ascii="宋体" w:hAnsi="宋体" w:eastAsia="宋体" w:cs="宋体"/>
                <w:b w:val="0"/>
                <w:bCs/>
                <w:i w:val="0"/>
                <w:iCs w:val="0"/>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trPr>
        <w:tc>
          <w:tcPr>
            <w:tcW w:w="1584" w:type="dxa"/>
            <w:noWrap w:val="0"/>
            <w:vAlign w:val="center"/>
          </w:tcPr>
          <w:p>
            <w:pPr>
              <w:spacing w:line="240" w:lineRule="atLeast"/>
              <w:ind w:firstLine="480" w:firstLineChars="200"/>
              <w:jc w:val="both"/>
              <w:rPr>
                <w:rFonts w:hint="eastAsia" w:ascii="宋体" w:hAnsi="宋体" w:eastAsia="宋体" w:cs="宋体"/>
                <w:b w:val="0"/>
                <w:bCs/>
                <w:color w:val="auto"/>
                <w:sz w:val="24"/>
                <w:szCs w:val="24"/>
              </w:rPr>
            </w:pPr>
            <w:r>
              <w:rPr>
                <w:rFonts w:hint="eastAsia" w:ascii="宋体" w:hAnsi="宋体" w:cs="宋体"/>
                <w:sz w:val="24"/>
              </w:rPr>
              <w:t>1.4.8</w:t>
            </w:r>
          </w:p>
        </w:tc>
        <w:tc>
          <w:tcPr>
            <w:tcW w:w="7312" w:type="dxa"/>
            <w:noWrap w:val="0"/>
            <w:vAlign w:val="center"/>
          </w:tcPr>
          <w:p>
            <w:pPr>
              <w:spacing w:line="240" w:lineRule="atLeast"/>
              <w:jc w:val="left"/>
              <w:rPr>
                <w:rFonts w:hint="eastAsia" w:ascii="宋体" w:hAnsi="宋体" w:eastAsia="宋体" w:cs="宋体"/>
                <w:b w:val="0"/>
                <w:bCs/>
                <w:i w:val="0"/>
                <w:iCs w:val="0"/>
                <w:color w:val="auto"/>
                <w:sz w:val="24"/>
                <w:szCs w:val="24"/>
              </w:rPr>
            </w:pPr>
            <w:r>
              <w:rPr>
                <w:rFonts w:hint="eastAsia" w:ascii="宋体" w:hAnsi="宋体" w:cs="宋体"/>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trPr>
        <w:tc>
          <w:tcPr>
            <w:tcW w:w="1584" w:type="dxa"/>
            <w:noWrap w:val="0"/>
            <w:vAlign w:val="center"/>
          </w:tcPr>
          <w:p>
            <w:pPr>
              <w:spacing w:line="240" w:lineRule="atLeast"/>
              <w:jc w:val="center"/>
              <w:rPr>
                <w:rFonts w:hint="eastAsia" w:ascii="宋体" w:hAnsi="宋体" w:cs="宋体"/>
                <w:sz w:val="24"/>
              </w:rPr>
            </w:pPr>
            <w:r>
              <w:rPr>
                <w:rFonts w:hint="eastAsia" w:ascii="宋体" w:hAnsi="宋体" w:cs="宋体"/>
                <w:sz w:val="24"/>
              </w:rPr>
              <w:t>2.2</w:t>
            </w:r>
          </w:p>
        </w:tc>
        <w:tc>
          <w:tcPr>
            <w:tcW w:w="7312" w:type="dxa"/>
            <w:noWrap w:val="0"/>
            <w:vAlign w:val="center"/>
          </w:tcPr>
          <w:p>
            <w:pPr>
              <w:widowControl/>
              <w:spacing w:line="440" w:lineRule="exact"/>
              <w:jc w:val="left"/>
              <w:rPr>
                <w:rFonts w:hint="eastAsia" w:ascii="宋体" w:hAnsi="宋体" w:cs="宋体"/>
                <w:sz w:val="24"/>
              </w:rPr>
            </w:pPr>
            <w:r>
              <w:rPr>
                <w:rFonts w:hint="eastAsia" w:ascii="宋体" w:hAnsi="宋体" w:cs="宋体"/>
                <w:sz w:val="24"/>
                <w:lang w:val="en-US" w:eastAsia="zh-CN"/>
              </w:rPr>
              <w:t>预算价</w:t>
            </w:r>
            <w:r>
              <w:rPr>
                <w:rFonts w:hint="eastAsia" w:ascii="宋体" w:hAnsi="宋体" w:cs="宋体"/>
                <w:sz w:val="24"/>
              </w:rPr>
              <w:t>：</w:t>
            </w:r>
            <w:r>
              <w:rPr>
                <w:rFonts w:hint="eastAsia" w:ascii="宋体" w:hAnsi="宋体" w:cs="宋体"/>
                <w:color w:val="000000"/>
                <w:sz w:val="24"/>
                <w:lang w:val="en-US" w:eastAsia="zh-CN"/>
              </w:rPr>
              <w:t>1500000</w:t>
            </w:r>
            <w:r>
              <w:rPr>
                <w:rFonts w:hint="eastAsia" w:ascii="宋体" w:hAnsi="宋体" w:cs="宋体"/>
                <w:sz w:val="24"/>
              </w:rPr>
              <w:t>元（</w:t>
            </w:r>
            <w:r>
              <w:rPr>
                <w:rFonts w:hint="eastAsia" w:ascii="宋体" w:hAnsi="宋体" w:cs="宋体"/>
                <w:color w:val="000000"/>
                <w:sz w:val="24"/>
                <w:lang w:val="en-US" w:eastAsia="zh-CN"/>
              </w:rPr>
              <w:t>壹佰伍拾万元</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trPr>
        <w:tc>
          <w:tcPr>
            <w:tcW w:w="1584" w:type="dxa"/>
            <w:noWrap w:val="0"/>
            <w:vAlign w:val="center"/>
          </w:tcPr>
          <w:p>
            <w:pPr>
              <w:spacing w:line="240" w:lineRule="atLeast"/>
              <w:ind w:left="1080" w:leftChars="257" w:hanging="540" w:firstLineChars="0"/>
              <w:jc w:val="both"/>
              <w:rPr>
                <w:rFonts w:hint="eastAsia" w:ascii="宋体" w:hAnsi="宋体" w:cs="宋体"/>
                <w:sz w:val="24"/>
              </w:rPr>
            </w:pPr>
            <w:r>
              <w:rPr>
                <w:rFonts w:hint="eastAsia" w:ascii="宋体" w:hAnsi="宋体" w:cs="宋体"/>
                <w:sz w:val="24"/>
              </w:rPr>
              <w:t>8.1</w:t>
            </w:r>
          </w:p>
        </w:tc>
        <w:tc>
          <w:tcPr>
            <w:tcW w:w="7312" w:type="dxa"/>
            <w:noWrap w:val="0"/>
            <w:vAlign w:val="center"/>
          </w:tcPr>
          <w:p>
            <w:pPr>
              <w:spacing w:line="240" w:lineRule="atLeast"/>
              <w:jc w:val="left"/>
              <w:rPr>
                <w:rFonts w:hint="eastAsia" w:ascii="宋体" w:hAnsi="宋体" w:cs="宋体"/>
                <w:sz w:val="24"/>
              </w:rPr>
            </w:pPr>
            <w:r>
              <w:rPr>
                <w:rFonts w:hint="eastAsia" w:ascii="宋体" w:hAnsi="宋体" w:cs="宋体"/>
                <w:sz w:val="24"/>
              </w:rPr>
              <w:t>如投标商对多个包进行投标，可以中标</w:t>
            </w:r>
            <w:r>
              <w:rPr>
                <w:rFonts w:hint="eastAsia" w:ascii="宋体" w:hAnsi="宋体" w:cs="宋体"/>
                <w:sz w:val="24"/>
                <w:u w:val="single"/>
              </w:rPr>
              <w:t>/</w:t>
            </w:r>
            <w:r>
              <w:rPr>
                <w:rFonts w:hint="eastAsia" w:ascii="宋体" w:hAnsi="宋体" w:cs="宋体"/>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5" w:hRule="atLeast"/>
        </w:trPr>
        <w:tc>
          <w:tcPr>
            <w:tcW w:w="1584" w:type="dxa"/>
            <w:noWrap w:val="0"/>
            <w:vAlign w:val="center"/>
          </w:tcPr>
          <w:p>
            <w:pPr>
              <w:spacing w:line="240" w:lineRule="atLeast"/>
              <w:jc w:val="center"/>
              <w:rPr>
                <w:rFonts w:hint="eastAsia" w:ascii="宋体" w:hAnsi="宋体" w:cs="宋体"/>
                <w:sz w:val="24"/>
              </w:rPr>
            </w:pPr>
            <w:r>
              <w:rPr>
                <w:rFonts w:hint="eastAsia" w:ascii="宋体" w:hAnsi="宋体" w:cs="宋体"/>
                <w:sz w:val="24"/>
              </w:rPr>
              <w:t>12.1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lang w:val="en-US" w:eastAsia="zh-CN"/>
              </w:rPr>
              <w:t>谈判</w:t>
            </w:r>
            <w:r>
              <w:rPr>
                <w:rFonts w:hint="eastAsia" w:ascii="宋体" w:hAnsi="宋体" w:cs="宋体"/>
                <w:sz w:val="24"/>
              </w:rPr>
              <w:t>保证金形式：☑保函 ☑电汇 ☑对公转账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lang w:val="en-US" w:eastAsia="zh-CN"/>
              </w:rPr>
              <w:t>谈判</w:t>
            </w:r>
            <w:r>
              <w:rPr>
                <w:rFonts w:hint="eastAsia" w:ascii="宋体" w:hAnsi="宋体" w:cs="宋体"/>
                <w:sz w:val="24"/>
              </w:rPr>
              <w:t>保证金金额：</w:t>
            </w:r>
            <w:r>
              <w:rPr>
                <w:rFonts w:hint="eastAsia" w:ascii="宋体" w:hAnsi="宋体" w:cs="宋体"/>
                <w:sz w:val="24"/>
                <w:lang w:val="en-US" w:eastAsia="zh-CN"/>
              </w:rPr>
              <w:t>15</w:t>
            </w:r>
            <w:r>
              <w:rPr>
                <w:rFonts w:hint="eastAsia" w:ascii="宋体" w:hAnsi="宋体" w:cs="宋体"/>
                <w:sz w:val="24"/>
              </w:rPr>
              <w:t>000 元（</w:t>
            </w:r>
            <w:r>
              <w:rPr>
                <w:rFonts w:hint="eastAsia" w:ascii="宋体" w:hAnsi="宋体" w:cs="宋体"/>
                <w:sz w:val="24"/>
                <w:lang w:val="en-US" w:eastAsia="zh-CN"/>
              </w:rPr>
              <w:t>壹万伍仟元</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保证金收款人：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账户名称：新疆正昊建设工程项目管理有限公司喀什市分公司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帐号：3012341409024534740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开户银行：中国工商银行股份有限公司喀什托克扎克路支行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（电汇时请在汇款备注栏注明项目名称及包号（如有），并注明是</w:t>
            </w:r>
            <w:r>
              <w:rPr>
                <w:rFonts w:hint="eastAsia" w:ascii="宋体" w:hAnsi="宋体" w:cs="宋体"/>
                <w:sz w:val="24"/>
                <w:lang w:val="en-US" w:eastAsia="zh-CN"/>
              </w:rPr>
              <w:t>谈判</w:t>
            </w:r>
            <w:r>
              <w:rPr>
                <w:rFonts w:hint="eastAsia" w:ascii="宋体" w:hAnsi="宋体" w:cs="宋体"/>
                <w:sz w:val="24"/>
              </w:rPr>
              <w:t>保证</w:t>
            </w:r>
            <w:r>
              <w:rPr>
                <w:rFonts w:hint="eastAsia" w:ascii="宋体" w:hAnsi="宋体" w:cs="宋体"/>
                <w:sz w:val="24"/>
                <w:lang w:val="en-US" w:eastAsia="zh-CN"/>
              </w:rPr>
              <w:t>金。</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eastAsiaTheme="minorEastAsia"/>
                <w:sz w:val="24"/>
                <w:lang w:val="en-US" w:eastAsia="zh-CN"/>
              </w:rPr>
            </w:pPr>
            <w:r>
              <w:rPr>
                <w:rFonts w:hint="eastAsia" w:ascii="宋体" w:hAnsi="宋体" w:cs="宋体"/>
                <w:sz w:val="24"/>
              </w:rPr>
              <w:t>注：请于202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r>
              <w:rPr>
                <w:rFonts w:hint="eastAsia" w:ascii="宋体" w:hAnsi="宋体" w:cs="宋体"/>
                <w:sz w:val="24"/>
                <w:lang w:val="en-US" w:eastAsia="zh-CN"/>
              </w:rPr>
              <w:t>16</w:t>
            </w:r>
            <w:r>
              <w:rPr>
                <w:rFonts w:hint="eastAsia" w:ascii="宋体" w:hAnsi="宋体" w:cs="宋体"/>
                <w:sz w:val="24"/>
              </w:rPr>
              <w:t>：00（北京时间）前缴入指定账户</w:t>
            </w:r>
            <w:r>
              <w:rPr>
                <w:rFonts w:hint="eastAsia" w:ascii="宋体" w:hAnsi="宋体" w:cs="宋体"/>
                <w:sz w:val="24"/>
                <w:lang w:eastAsia="zh-CN"/>
              </w:rPr>
              <w:t>，</w:t>
            </w:r>
            <w:r>
              <w:rPr>
                <w:rFonts w:hint="eastAsia" w:ascii="宋体" w:hAnsi="宋体" w:cs="宋体"/>
                <w:sz w:val="24"/>
                <w:lang w:val="en-US" w:eastAsia="zh-CN"/>
              </w:rPr>
              <w:t>开标时手持汇款凭证或保函进行现场验证，同时将汇款凭证或保函复印件放入响应文件内。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spacing w:line="240" w:lineRule="atLeast"/>
              <w:jc w:val="center"/>
              <w:rPr>
                <w:rFonts w:hint="default" w:ascii="宋体" w:hAnsi="宋体" w:cs="宋体" w:eastAsiaTheme="minorEastAsia"/>
                <w:sz w:val="24"/>
                <w:lang w:val="en-US" w:eastAsia="zh-CN"/>
              </w:rPr>
            </w:pPr>
            <w:r>
              <w:rPr>
                <w:rFonts w:hint="eastAsia" w:ascii="宋体" w:hAnsi="宋体" w:eastAsia="宋体" w:cs="宋体"/>
                <w:sz w:val="24"/>
                <w:szCs w:val="24"/>
                <w:lang w:val="en-US" w:eastAsia="zh-CN"/>
              </w:rPr>
              <w:t xml:space="preserve"> 13.1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sz w:val="24"/>
                <w:lang w:val="en-US" w:eastAsia="zh-CN"/>
              </w:rPr>
            </w:pPr>
            <w:r>
              <w:rPr>
                <w:rFonts w:hint="eastAsia" w:ascii="宋体" w:hAnsi="宋体" w:eastAsia="宋体" w:cs="宋体"/>
                <w:sz w:val="24"/>
                <w:szCs w:val="24"/>
                <w:lang w:val="en-US" w:eastAsia="zh-CN"/>
              </w:rPr>
              <w:t>谈判有效期：</w:t>
            </w:r>
            <w:r>
              <w:rPr>
                <w:rFonts w:hint="eastAsia" w:ascii="宋体" w:hAnsi="宋体" w:eastAsia="宋体" w:cs="宋体"/>
                <w:sz w:val="24"/>
                <w:szCs w:val="24"/>
                <w:u w:val="single"/>
                <w:lang w:val="en-US" w:eastAsia="zh-CN"/>
              </w:rPr>
              <w:t>60</w:t>
            </w:r>
            <w:r>
              <w:rPr>
                <w:rFonts w:hint="eastAsia" w:ascii="宋体" w:hAnsi="宋体" w:eastAsia="宋体" w:cs="宋体"/>
                <w:sz w:val="24"/>
                <w:szCs w:val="24"/>
                <w:lang w:val="en-US" w:eastAsia="zh-CN"/>
              </w:rPr>
              <w:t xml:space="preserve">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Cs/>
                <w:color w:val="000000"/>
                <w:sz w:val="24"/>
              </w:rPr>
              <w:t>14.1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响应文件包括“报价一览表及资格证明文件”和“商务及技术文件”两部分，两部分合订成一册密封递交。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响应文件：正本：壹份、副本：</w:t>
            </w:r>
            <w:r>
              <w:rPr>
                <w:rFonts w:hint="eastAsia" w:ascii="宋体" w:hAnsi="宋体" w:eastAsia="宋体" w:cs="宋体"/>
                <w:iCs/>
                <w:color w:val="000000"/>
                <w:sz w:val="24"/>
                <w:lang w:val="en-US" w:eastAsia="zh-CN"/>
              </w:rPr>
              <w:t>贰</w:t>
            </w:r>
            <w:r>
              <w:rPr>
                <w:rFonts w:hint="eastAsia" w:ascii="宋体" w:hAnsi="宋体" w:eastAsia="宋体" w:cs="宋体"/>
                <w:iCs/>
                <w:color w:val="000000"/>
                <w:sz w:val="24"/>
              </w:rPr>
              <w:t>份；（正、副本分别单独密封提交，密封袋封面右上角标明“正本”和“副本”字样）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供应商必须制作“报价一览表”并单独密封提交，并在密封袋上标明“报价一览表”的字样。不按要求标注或不单独提交报价一览表，其</w:t>
            </w:r>
            <w:r>
              <w:rPr>
                <w:rFonts w:hint="eastAsia" w:ascii="宋体" w:hAnsi="宋体" w:eastAsia="宋体" w:cs="宋体"/>
                <w:iCs/>
                <w:color w:val="000000"/>
                <w:sz w:val="24"/>
                <w:lang w:eastAsia="zh-CN"/>
              </w:rPr>
              <w:t>谈判</w:t>
            </w:r>
            <w:r>
              <w:rPr>
                <w:rFonts w:hint="eastAsia" w:ascii="宋体" w:hAnsi="宋体" w:eastAsia="宋体" w:cs="宋体"/>
                <w:iCs/>
                <w:color w:val="000000"/>
                <w:sz w:val="24"/>
              </w:rPr>
              <w:t>将被拒绝。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w:t>
            </w:r>
            <w:r>
              <w:rPr>
                <w:rFonts w:hint="eastAsia" w:ascii="宋体" w:hAnsi="宋体" w:eastAsia="宋体" w:cs="宋体"/>
                <w:iCs/>
                <w:color w:val="000000"/>
                <w:sz w:val="24"/>
                <w:lang w:eastAsia="zh-CN"/>
              </w:rPr>
              <w:t>谈判</w:t>
            </w:r>
            <w:r>
              <w:rPr>
                <w:rFonts w:hint="eastAsia" w:ascii="宋体" w:hAnsi="宋体" w:eastAsia="宋体" w:cs="宋体"/>
                <w:iCs/>
                <w:color w:val="000000"/>
                <w:sz w:val="24"/>
              </w:rPr>
              <w:t>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响应文件使用A4</w:t>
            </w:r>
            <w:r>
              <w:rPr>
                <w:rFonts w:hint="eastAsia" w:ascii="宋体" w:hAnsi="宋体" w:eastAsia="宋体" w:cs="宋体"/>
                <w:iCs/>
                <w:color w:val="000000"/>
                <w:sz w:val="24"/>
                <w:lang w:eastAsia="zh-CN"/>
              </w:rPr>
              <w:t>，</w:t>
            </w:r>
            <w:r>
              <w:rPr>
                <w:rFonts w:hint="eastAsia" w:ascii="宋体" w:hAnsi="宋体" w:eastAsia="宋体" w:cs="宋体"/>
                <w:iCs/>
                <w:color w:val="000000"/>
                <w:sz w:val="24"/>
              </w:rPr>
              <w:t>胶装，每册装订应牢固、不易拆散和换页，不得采用活页装订。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Cs/>
                <w:color w:val="000000"/>
                <w:sz w:val="24"/>
              </w:rPr>
            </w:pPr>
            <w:r>
              <w:rPr>
                <w:rFonts w:hint="eastAsia" w:ascii="宋体" w:hAnsi="宋体" w:eastAsia="宋体" w:cs="宋体"/>
                <w:b/>
                <w:bCs/>
                <w:iCs/>
                <w:color w:val="000000"/>
                <w:sz w:val="24"/>
                <w:lang w:eastAsia="zh-CN"/>
              </w:rPr>
              <w:t>谈判</w:t>
            </w:r>
            <w:r>
              <w:rPr>
                <w:rFonts w:hint="eastAsia" w:ascii="宋体" w:hAnsi="宋体" w:eastAsia="宋体" w:cs="宋体"/>
                <w:b/>
                <w:bCs/>
                <w:iCs/>
                <w:color w:val="000000"/>
                <w:sz w:val="24"/>
              </w:rPr>
              <w:t>文件的签署及规定：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供应商应按供应商须知资料表中的规定，准备和递交响应文件</w:t>
            </w:r>
            <w:r>
              <w:rPr>
                <w:rFonts w:hint="eastAsia" w:ascii="宋体" w:hAnsi="宋体" w:eastAsia="宋体" w:cs="宋体"/>
                <w:iCs/>
                <w:color w:val="000000"/>
                <w:sz w:val="24"/>
                <w:lang w:eastAsia="zh-CN"/>
              </w:rPr>
              <w:t>、</w:t>
            </w:r>
            <w:r>
              <w:rPr>
                <w:rFonts w:hint="eastAsia" w:ascii="宋体" w:hAnsi="宋体" w:eastAsia="宋体" w:cs="宋体"/>
                <w:iCs/>
                <w:color w:val="000000"/>
                <w:sz w:val="24"/>
              </w:rPr>
              <w:t>报价一览表和电子文档，每份响应文件封皮须清楚地标明“正本”或“副本”。若正本和副本不符，以正本为准。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lang w:eastAsia="zh-CN"/>
              </w:rPr>
              <w:t>谈判</w:t>
            </w:r>
            <w:r>
              <w:rPr>
                <w:rFonts w:hint="eastAsia" w:ascii="宋体" w:hAnsi="宋体" w:eastAsia="宋体" w:cs="宋体"/>
                <w:iCs/>
                <w:color w:val="000000"/>
                <w:sz w:val="24"/>
              </w:rPr>
              <w:t>文件的正本需打印或用不褪色墨水书写，并由供应商的法定代表人或经其正式委托代理人按</w:t>
            </w:r>
            <w:r>
              <w:rPr>
                <w:rFonts w:hint="eastAsia" w:ascii="宋体" w:hAnsi="宋体" w:eastAsia="宋体" w:cs="宋体"/>
                <w:iCs/>
                <w:color w:val="000000"/>
                <w:sz w:val="24"/>
                <w:lang w:eastAsia="zh-CN"/>
              </w:rPr>
              <w:t>谈判</w:t>
            </w:r>
            <w:r>
              <w:rPr>
                <w:rFonts w:hint="eastAsia" w:ascii="宋体" w:hAnsi="宋体" w:eastAsia="宋体" w:cs="宋体"/>
                <w:iCs/>
                <w:color w:val="000000"/>
                <w:sz w:val="24"/>
              </w:rPr>
              <w:t>文件规定在</w:t>
            </w:r>
            <w:r>
              <w:rPr>
                <w:rFonts w:hint="eastAsia" w:ascii="宋体" w:hAnsi="宋体" w:eastAsia="宋体" w:cs="宋体"/>
                <w:iCs/>
                <w:color w:val="000000"/>
                <w:sz w:val="24"/>
                <w:lang w:val="en-US" w:eastAsia="zh-CN"/>
              </w:rPr>
              <w:t>响应</w:t>
            </w:r>
            <w:r>
              <w:rPr>
                <w:rFonts w:hint="eastAsia" w:ascii="宋体" w:hAnsi="宋体" w:eastAsia="宋体" w:cs="宋体"/>
                <w:iCs/>
                <w:color w:val="000000"/>
                <w:sz w:val="24"/>
              </w:rPr>
              <w:t>文件上签字</w:t>
            </w:r>
            <w:r>
              <w:rPr>
                <w:rFonts w:hint="eastAsia" w:ascii="宋体" w:hAnsi="宋体" w:eastAsia="宋体" w:cs="宋体"/>
                <w:iCs/>
                <w:color w:val="000000"/>
                <w:sz w:val="24"/>
                <w:lang w:val="en-US" w:eastAsia="zh-CN"/>
              </w:rPr>
              <w:t>或盖章，</w:t>
            </w:r>
            <w:r>
              <w:rPr>
                <w:rFonts w:hint="eastAsia" w:ascii="宋体" w:hAnsi="宋体" w:eastAsia="宋体" w:cs="宋体"/>
                <w:iCs/>
                <w:color w:val="000000"/>
                <w:sz w:val="24"/>
              </w:rPr>
              <w:t>并加盖单位印章。</w:t>
            </w:r>
            <w:r>
              <w:rPr>
                <w:rFonts w:ascii="宋体" w:hAnsi="宋体" w:eastAsia="宋体" w:cs="宋体"/>
                <w:sz w:val="24"/>
                <w:szCs w:val="24"/>
              </w:rPr>
              <w:t>委托代理人须持有书面的“法定代表人授权委托书”，并将其附在</w:t>
            </w:r>
            <w:r>
              <w:rPr>
                <w:rFonts w:hint="eastAsia" w:ascii="宋体" w:hAnsi="宋体" w:eastAsia="宋体" w:cs="宋体"/>
                <w:sz w:val="24"/>
                <w:szCs w:val="24"/>
                <w:lang w:val="en-US" w:eastAsia="zh-CN"/>
              </w:rPr>
              <w:t>谈判</w:t>
            </w:r>
            <w:r>
              <w:rPr>
                <w:rFonts w:ascii="宋体" w:hAnsi="宋体" w:eastAsia="宋体" w:cs="宋体"/>
                <w:sz w:val="24"/>
                <w:szCs w:val="24"/>
              </w:rPr>
              <w:t>文件中</w:t>
            </w:r>
            <w:r>
              <w:rPr>
                <w:rFonts w:hint="eastAsia" w:ascii="宋体" w:hAnsi="宋体" w:eastAsia="宋体" w:cs="宋体"/>
                <w:sz w:val="24"/>
                <w:szCs w:val="24"/>
                <w:lang w:eastAsia="zh-CN"/>
              </w:rPr>
              <w:t>。</w:t>
            </w:r>
            <w:r>
              <w:rPr>
                <w:rFonts w:hint="eastAsia" w:ascii="宋体" w:hAnsi="宋体" w:eastAsia="宋体" w:cs="宋体"/>
                <w:iCs/>
                <w:color w:val="000000"/>
                <w:sz w:val="24"/>
              </w:rPr>
              <w:t>如对</w:t>
            </w:r>
            <w:r>
              <w:rPr>
                <w:rFonts w:hint="eastAsia" w:ascii="宋体" w:hAnsi="宋体" w:eastAsia="宋体" w:cs="宋体"/>
                <w:iCs/>
                <w:color w:val="000000"/>
                <w:sz w:val="24"/>
                <w:lang w:val="en-US" w:eastAsia="zh-CN"/>
              </w:rPr>
              <w:t>响应</w:t>
            </w:r>
            <w:r>
              <w:rPr>
                <w:rFonts w:hint="eastAsia" w:ascii="宋体" w:hAnsi="宋体" w:eastAsia="宋体" w:cs="宋体"/>
                <w:iCs/>
                <w:color w:val="000000"/>
                <w:sz w:val="24"/>
              </w:rPr>
              <w:t>文件进行了修改，则应由供应商的法定代表人或其委托代理人在每一修改处签字。</w:t>
            </w:r>
            <w:r>
              <w:rPr>
                <w:rFonts w:hint="eastAsia" w:ascii="宋体" w:hAnsi="宋体" w:eastAsia="宋体" w:cs="宋体"/>
                <w:iCs/>
                <w:color w:val="000000"/>
                <w:sz w:val="24"/>
                <w:lang w:eastAsia="zh-CN"/>
              </w:rPr>
              <w:t>谈判</w:t>
            </w:r>
            <w:r>
              <w:rPr>
                <w:rFonts w:hint="eastAsia" w:ascii="宋体" w:hAnsi="宋体" w:eastAsia="宋体" w:cs="宋体"/>
                <w:iCs/>
                <w:color w:val="000000"/>
                <w:sz w:val="24"/>
              </w:rPr>
              <w:t>文件的副本可采用正本的复印件。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Cs/>
                <w:color w:val="000000"/>
                <w:sz w:val="24"/>
              </w:rPr>
            </w:pPr>
            <w:r>
              <w:rPr>
                <w:rFonts w:hint="eastAsia" w:ascii="宋体" w:hAnsi="宋体" w:eastAsia="宋体" w:cs="宋体"/>
                <w:b/>
                <w:bCs/>
                <w:iCs/>
                <w:color w:val="000000"/>
                <w:sz w:val="24"/>
              </w:rPr>
              <w:t>所有包装封皮和信封上均应：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rPr>
            </w:pPr>
            <w:r>
              <w:rPr>
                <w:rFonts w:hint="eastAsia" w:ascii="宋体" w:hAnsi="宋体" w:eastAsia="宋体" w:cs="宋体"/>
                <w:iCs/>
                <w:color w:val="000000"/>
                <w:sz w:val="24"/>
              </w:rPr>
              <w:t>注明招标公告或</w:t>
            </w:r>
            <w:r>
              <w:rPr>
                <w:rFonts w:hint="eastAsia" w:ascii="宋体" w:hAnsi="宋体" w:eastAsia="宋体" w:cs="宋体"/>
                <w:iCs/>
                <w:color w:val="000000"/>
                <w:sz w:val="24"/>
                <w:lang w:eastAsia="zh-CN"/>
              </w:rPr>
              <w:t>谈判</w:t>
            </w:r>
            <w:r>
              <w:rPr>
                <w:rFonts w:hint="eastAsia" w:ascii="宋体" w:hAnsi="宋体" w:eastAsia="宋体" w:cs="宋体"/>
                <w:iCs/>
                <w:color w:val="000000"/>
                <w:sz w:val="24"/>
              </w:rPr>
              <w:t>邀请书中指明的项目名称、</w:t>
            </w:r>
            <w:r>
              <w:rPr>
                <w:rFonts w:hint="eastAsia" w:ascii="宋体" w:hAnsi="宋体" w:eastAsia="宋体" w:cs="宋体"/>
                <w:iCs/>
                <w:color w:val="000000"/>
                <w:sz w:val="24"/>
                <w:lang w:val="en-US" w:eastAsia="zh-CN"/>
              </w:rPr>
              <w:t>项目</w:t>
            </w:r>
            <w:r>
              <w:rPr>
                <w:rFonts w:hint="eastAsia" w:ascii="宋体" w:hAnsi="宋体" w:eastAsia="宋体" w:cs="宋体"/>
                <w:iCs/>
                <w:color w:val="000000"/>
                <w:sz w:val="24"/>
              </w:rPr>
              <w:t>编号、供应商名称和“在（开标时间）之前不得启封”的字样。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在封口处加盖供应商单位公章，并由法定代表人（或其委托代理人）签字(或加盖</w:t>
            </w:r>
            <w:r>
              <w:rPr>
                <w:rFonts w:hint="eastAsia" w:ascii="宋体" w:hAnsi="宋体" w:eastAsia="宋体" w:cs="宋体"/>
                <w:sz w:val="24"/>
                <w:szCs w:val="24"/>
                <w:highlight w:val="none"/>
                <w:lang w:val="en-US" w:eastAsia="zh-CN"/>
              </w:rPr>
              <w:t>私章</w:t>
            </w:r>
            <w:r>
              <w:rPr>
                <w:rFonts w:hint="eastAsia" w:ascii="宋体" w:hAnsi="宋体" w:eastAsia="宋体" w:cs="宋体"/>
                <w:sz w:val="24"/>
                <w:szCs w:val="24"/>
                <w:highlight w:val="none"/>
              </w:rPr>
              <w:t>）</w:t>
            </w:r>
            <w:r>
              <w:rPr>
                <w:rFonts w:hint="eastAsia" w:ascii="宋体" w:hAnsi="宋体" w:eastAsia="宋体" w:cs="宋体"/>
                <w:i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16.1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递交响应文件截止时间：</w:t>
            </w:r>
            <w:r>
              <w:rPr>
                <w:rFonts w:hint="eastAsia" w:ascii="宋体" w:hAnsi="宋体" w:eastAsia="宋体" w:cs="宋体"/>
                <w:bCs/>
                <w:color w:val="000000"/>
                <w:sz w:val="24"/>
                <w:szCs w:val="24"/>
                <w:lang w:eastAsia="zh-CN"/>
              </w:rPr>
              <w:t>202</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年</w:t>
            </w:r>
            <w:r>
              <w:rPr>
                <w:rFonts w:hint="eastAsia" w:ascii="宋体" w:hAnsi="宋体" w:eastAsia="宋体" w:cs="宋体"/>
                <w:bCs/>
                <w:color w:val="000000"/>
                <w:sz w:val="24"/>
                <w:szCs w:val="24"/>
                <w:lang w:val="en-US" w:eastAsia="zh-CN"/>
              </w:rPr>
              <w:t>07</w:t>
            </w:r>
            <w:r>
              <w:rPr>
                <w:rFonts w:hint="eastAsia" w:ascii="宋体" w:hAnsi="宋体" w:eastAsia="宋体" w:cs="宋体"/>
                <w:bCs/>
                <w:color w:val="000000"/>
                <w:sz w:val="24"/>
                <w:szCs w:val="24"/>
                <w:lang w:eastAsia="zh-CN"/>
              </w:rPr>
              <w:t>月</w:t>
            </w:r>
            <w:r>
              <w:rPr>
                <w:rFonts w:hint="eastAsia" w:ascii="宋体" w:hAnsi="宋体" w:eastAsia="宋体" w:cs="宋体"/>
                <w:bCs/>
                <w:color w:val="000000"/>
                <w:sz w:val="24"/>
                <w:szCs w:val="24"/>
                <w:lang w:val="en-US" w:eastAsia="zh-CN"/>
              </w:rPr>
              <w:t>18</w:t>
            </w:r>
            <w:r>
              <w:rPr>
                <w:rFonts w:hint="eastAsia" w:ascii="宋体" w:hAnsi="宋体" w:eastAsia="宋体" w:cs="宋体"/>
                <w:bCs/>
                <w:color w:val="000000"/>
                <w:sz w:val="24"/>
                <w:szCs w:val="24"/>
                <w:lang w:eastAsia="zh-CN"/>
              </w:rPr>
              <w:t>日</w:t>
            </w:r>
            <w:r>
              <w:rPr>
                <w:rFonts w:hint="eastAsia" w:ascii="宋体" w:hAnsi="宋体" w:eastAsia="宋体" w:cs="宋体"/>
                <w:bCs/>
                <w:color w:val="000000"/>
                <w:sz w:val="24"/>
                <w:szCs w:val="24"/>
                <w:lang w:val="en-US" w:eastAsia="zh-CN"/>
              </w:rPr>
              <w:t>16:00</w:t>
            </w:r>
            <w:r>
              <w:rPr>
                <w:rFonts w:hint="eastAsia" w:ascii="宋体" w:hAnsi="宋体" w:eastAsia="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18.1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谈判报价开启时间</w:t>
            </w:r>
            <w:r>
              <w:rPr>
                <w:rFonts w:hint="eastAsia" w:ascii="宋体" w:hAnsi="宋体" w:eastAsia="宋体" w:cs="宋体"/>
                <w:bCs/>
                <w:color w:val="000000"/>
                <w:sz w:val="24"/>
                <w:szCs w:val="24"/>
                <w:lang w:eastAsia="zh-CN"/>
              </w:rPr>
              <w:t>：202</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年</w:t>
            </w:r>
            <w:r>
              <w:rPr>
                <w:rFonts w:hint="eastAsia" w:ascii="宋体" w:hAnsi="宋体" w:eastAsia="宋体" w:cs="宋体"/>
                <w:bCs/>
                <w:color w:val="000000"/>
                <w:sz w:val="24"/>
                <w:szCs w:val="24"/>
                <w:lang w:val="en-US" w:eastAsia="zh-CN"/>
              </w:rPr>
              <w:t>07</w:t>
            </w:r>
            <w:r>
              <w:rPr>
                <w:rFonts w:hint="eastAsia" w:ascii="宋体" w:hAnsi="宋体" w:eastAsia="宋体" w:cs="宋体"/>
                <w:bCs/>
                <w:color w:val="000000"/>
                <w:sz w:val="24"/>
                <w:szCs w:val="24"/>
                <w:lang w:eastAsia="zh-CN"/>
              </w:rPr>
              <w:t>月</w:t>
            </w:r>
            <w:r>
              <w:rPr>
                <w:rFonts w:hint="eastAsia" w:ascii="宋体" w:hAnsi="宋体" w:eastAsia="宋体" w:cs="宋体"/>
                <w:bCs/>
                <w:color w:val="000000"/>
                <w:sz w:val="24"/>
                <w:szCs w:val="24"/>
                <w:lang w:val="en-US" w:eastAsia="zh-CN"/>
              </w:rPr>
              <w:t>18</w:t>
            </w:r>
            <w:r>
              <w:rPr>
                <w:rFonts w:hint="eastAsia" w:ascii="宋体" w:hAnsi="宋体" w:eastAsia="宋体" w:cs="宋体"/>
                <w:bCs/>
                <w:color w:val="000000"/>
                <w:sz w:val="24"/>
                <w:szCs w:val="24"/>
                <w:lang w:eastAsia="zh-CN"/>
              </w:rPr>
              <w:t>日</w:t>
            </w:r>
            <w:r>
              <w:rPr>
                <w:rFonts w:hint="eastAsia" w:ascii="宋体" w:hAnsi="宋体" w:eastAsia="宋体" w:cs="宋体"/>
                <w:bCs/>
                <w:color w:val="000000"/>
                <w:sz w:val="24"/>
                <w:szCs w:val="24"/>
                <w:lang w:val="en-US" w:eastAsia="zh-CN"/>
              </w:rPr>
              <w:t>16:00</w:t>
            </w:r>
            <w:r>
              <w:rPr>
                <w:rFonts w:hint="eastAsia" w:ascii="宋体" w:hAnsi="宋体" w:eastAsia="宋体" w:cs="宋体"/>
                <w:bCs/>
                <w:color w:val="000000"/>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lang w:val="en-US"/>
              </w:rPr>
            </w:pPr>
            <w:r>
              <w:rPr>
                <w:rFonts w:hint="eastAsia" w:ascii="宋体" w:hAnsi="宋体" w:eastAsia="宋体" w:cs="宋体"/>
                <w:bCs/>
                <w:color w:val="000000"/>
                <w:sz w:val="24"/>
                <w:szCs w:val="24"/>
              </w:rPr>
              <w:t>谈判报价开启地点：</w:t>
            </w:r>
            <w:r>
              <w:rPr>
                <w:rFonts w:hint="eastAsia" w:ascii="宋体" w:hAnsi="宋体" w:eastAsia="宋体" w:cs="宋体"/>
                <w:bCs/>
                <w:color w:val="000000"/>
                <w:sz w:val="24"/>
                <w:szCs w:val="24"/>
                <w:lang w:val="en-US" w:eastAsia="zh-CN"/>
              </w:rPr>
              <w:t>泽普县行政服务中心B座3楼开标室</w:t>
            </w:r>
            <w:r>
              <w:rPr>
                <w:rFonts w:hint="eastAsia" w:ascii="宋体" w:hAnsi="宋体" w:eastAsia="宋体" w:cs="宋体"/>
                <w:color w:val="auto"/>
                <w:kern w:val="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23.2</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rPr>
              <w:t>评审方法：最低评标价法</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根据质量和服务均能满足采购文件实质性响应要求且报价最低的原则确定成交供应商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 w:val="0"/>
                <w:bCs/>
                <w:color w:val="000000"/>
                <w:sz w:val="24"/>
                <w:szCs w:val="24"/>
                <w:highlight w:val="none"/>
              </w:rPr>
              <w:t>报价方式：第一轮不公开报价，第二轮公开报价　</w:t>
            </w:r>
            <w:r>
              <w:rPr>
                <w:rFonts w:hint="eastAsia" w:ascii="宋体" w:hAnsi="宋体" w:eastAsia="宋体" w:cs="宋体"/>
                <w:bCs/>
                <w:color w:val="000000"/>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27</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推荐成交候选供应商的数量：</w:t>
            </w:r>
            <w:r>
              <w:rPr>
                <w:rFonts w:hint="eastAsia" w:ascii="宋体" w:hAnsi="宋体" w:eastAsia="宋体" w:cs="宋体"/>
                <w:bCs/>
                <w:color w:val="000000"/>
                <w:sz w:val="24"/>
                <w:szCs w:val="24"/>
                <w:u w:val="single"/>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27</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采购人是否委托谈判小组直接确定成交供应商：</w:t>
            </w:r>
            <w:r>
              <w:rPr>
                <w:rFonts w:hint="eastAsia" w:ascii="宋体" w:hAnsi="宋体" w:eastAsia="宋体" w:cs="宋体"/>
                <w:bCs/>
                <w:color w:val="000000"/>
                <w:sz w:val="24"/>
                <w:szCs w:val="24"/>
                <w:u w:val="single"/>
                <w:lang w:val="en-US" w:eastAsia="zh-CN"/>
              </w:rPr>
              <w:t>是</w:t>
            </w:r>
            <w:r>
              <w:rPr>
                <w:rFonts w:hint="eastAsia" w:ascii="宋体" w:hAnsi="宋体" w:eastAsia="宋体" w:cs="宋体"/>
                <w:bCs/>
                <w:i w:val="0"/>
                <w:iCs/>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31.1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履约保证金金额：</w:t>
            </w:r>
            <w:r>
              <w:rPr>
                <w:rFonts w:hint="eastAsia" w:ascii="宋体" w:hAnsi="宋体" w:eastAsia="宋体" w:cs="宋体"/>
                <w:bCs/>
                <w:color w:val="auto"/>
                <w:sz w:val="24"/>
                <w:szCs w:val="24"/>
                <w:highlight w:val="none"/>
                <w:u w:val="single"/>
              </w:rPr>
              <w:t>成交金额的</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u w:val="single"/>
              </w:rPr>
              <w:t>（不得超过成交金额额的10%）</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履约保证金形式：</w:t>
            </w:r>
            <w:r>
              <w:rPr>
                <w:rFonts w:hint="eastAsia" w:ascii="宋体" w:hAnsi="宋体" w:eastAsia="宋体" w:cs="宋体"/>
                <w:bCs/>
                <w:color w:val="000000"/>
                <w:sz w:val="24"/>
                <w:szCs w:val="24"/>
                <w:u w:val="single"/>
              </w:rPr>
              <w:t xml:space="preserve"> ☑保函  ☑电汇  □支票</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rPr>
              <w:t xml:space="preserve">  对公转账（本项目允许的其他形式）</w:t>
            </w:r>
            <w:r>
              <w:rPr>
                <w:rFonts w:hint="eastAsia" w:ascii="宋体" w:hAnsi="宋体" w:eastAsia="宋体" w:cs="宋体"/>
                <w:bCs/>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提交履约保证金的时间：</w:t>
            </w:r>
            <w:r>
              <w:rPr>
                <w:rFonts w:hint="eastAsia" w:ascii="宋体" w:hAnsi="宋体" w:eastAsia="宋体" w:cs="宋体"/>
                <w:bCs/>
                <w:color w:val="000000"/>
                <w:sz w:val="24"/>
                <w:szCs w:val="24"/>
                <w:u w:val="single"/>
              </w:rPr>
              <w:t>签订合同前2日内</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lang w:val="en-US" w:eastAsia="zh-CN"/>
              </w:rPr>
              <w:t>打入甲方账户。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32</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成交服务费：</w:t>
            </w:r>
            <w:r>
              <w:rPr>
                <w:rFonts w:hint="eastAsia" w:ascii="宋体" w:hAnsi="宋体" w:eastAsia="宋体" w:cs="宋体"/>
                <w:color w:val="auto"/>
                <w:sz w:val="24"/>
                <w:szCs w:val="24"/>
                <w:lang w:val="en-US" w:eastAsia="zh-CN"/>
              </w:rPr>
              <w:t>根据发改委价格[2015]299文件：经采购单位与招标代理公司协商确定代理服务费按照100万以下按中标价的1%，100万-500万之间按0.7%收取</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由成交供应商支付</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支付形式：</w:t>
            </w:r>
            <w:r>
              <w:rPr>
                <w:rFonts w:hint="eastAsia" w:ascii="宋体" w:hAnsi="宋体" w:eastAsia="宋体" w:cs="宋体"/>
                <w:bCs/>
                <w:color w:val="000000"/>
                <w:sz w:val="24"/>
                <w:szCs w:val="24"/>
                <w:u w:val="single"/>
              </w:rPr>
              <w:t xml:space="preserve">  对公转账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支付时间：</w:t>
            </w:r>
            <w:r>
              <w:rPr>
                <w:rFonts w:hint="eastAsia" w:ascii="宋体" w:hAnsi="宋体" w:eastAsia="宋体" w:cs="宋体"/>
                <w:bCs/>
                <w:color w:val="000000"/>
                <w:sz w:val="24"/>
                <w:szCs w:val="24"/>
                <w:u w:val="single"/>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5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33.1</w:t>
            </w:r>
          </w:p>
        </w:tc>
        <w:tc>
          <w:tcPr>
            <w:tcW w:w="73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本项目是否属于信用担保试点范围：</w:t>
            </w:r>
            <w:r>
              <w:rPr>
                <w:rFonts w:hint="eastAsia" w:ascii="宋体" w:hAnsi="宋体" w:eastAsia="宋体" w:cs="宋体"/>
                <w:bCs/>
                <w:color w:val="000000"/>
                <w:sz w:val="24"/>
                <w:szCs w:val="24"/>
                <w:u w:val="single"/>
              </w:rPr>
              <w:t xml:space="preserve">  否  </w:t>
            </w:r>
            <w:r>
              <w:rPr>
                <w:rFonts w:hint="eastAsia" w:ascii="宋体" w:hAnsi="宋体" w:eastAsia="宋体" w:cs="宋体"/>
                <w:bCs/>
                <w:color w:val="000000"/>
                <w:sz w:val="24"/>
                <w:szCs w:val="24"/>
              </w:rPr>
              <w:t xml:space="preserve"> </w:t>
            </w:r>
            <w:r>
              <w:rPr>
                <w:rFonts w:hint="eastAsia" w:ascii="宋体" w:hAnsi="宋体" w:eastAsia="宋体" w:cs="宋体"/>
                <w:bCs/>
                <w:i/>
                <w:color w:val="000000"/>
                <w:sz w:val="24"/>
                <w:szCs w:val="24"/>
              </w:rPr>
              <w:t>（是、否）</w:t>
            </w:r>
          </w:p>
        </w:tc>
      </w:tr>
    </w:tbl>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widowControl/>
        <w:spacing w:line="360" w:lineRule="exact"/>
        <w:jc w:val="both"/>
        <w:rPr>
          <w:rFonts w:hint="eastAsia" w:ascii="宋体" w:hAnsi="宋体" w:eastAsia="宋体" w:cs="宋体"/>
          <w:b/>
          <w:color w:val="000000"/>
          <w:kern w:val="0"/>
          <w:sz w:val="24"/>
          <w:szCs w:val="24"/>
        </w:rPr>
        <w:sectPr>
          <w:footerReference r:id="rId8" w:type="first"/>
          <w:footerReference r:id="rId7" w:type="default"/>
          <w:pgSz w:w="11906" w:h="16838"/>
          <w:pgMar w:top="1440" w:right="1686" w:bottom="1440" w:left="1180" w:header="851" w:footer="992" w:gutter="0"/>
          <w:pgNumType w:fmt="decimal" w:start="1"/>
          <w:cols w:space="0" w:num="1"/>
          <w:rtlGutter w:val="0"/>
          <w:docGrid w:type="lines" w:linePitch="312" w:charSpace="0"/>
        </w:sectPr>
      </w:pPr>
    </w:p>
    <w:p>
      <w:pPr>
        <w:widowControl/>
        <w:spacing w:line="36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资格审查表</w:t>
      </w:r>
    </w:p>
    <w:tbl>
      <w:tblPr>
        <w:tblStyle w:val="22"/>
        <w:tblpPr w:leftFromText="180" w:rightFromText="180" w:vertAnchor="text" w:horzAnchor="page" w:tblpX="442" w:tblpY="131"/>
        <w:tblOverlap w:val="never"/>
        <w:tblW w:w="15920" w:type="dxa"/>
        <w:tblInd w:w="0" w:type="dxa"/>
        <w:tblLayout w:type="fixed"/>
        <w:tblCellMar>
          <w:top w:w="0" w:type="dxa"/>
          <w:left w:w="108" w:type="dxa"/>
          <w:bottom w:w="0" w:type="dxa"/>
          <w:right w:w="108" w:type="dxa"/>
        </w:tblCellMar>
      </w:tblPr>
      <w:tblGrid>
        <w:gridCol w:w="614"/>
        <w:gridCol w:w="1080"/>
        <w:gridCol w:w="1973"/>
        <w:gridCol w:w="1987"/>
        <w:gridCol w:w="1786"/>
        <w:gridCol w:w="1854"/>
        <w:gridCol w:w="1453"/>
        <w:gridCol w:w="2773"/>
        <w:gridCol w:w="1494"/>
        <w:gridCol w:w="906"/>
      </w:tblGrid>
      <w:tr>
        <w:tblPrEx>
          <w:tblCellMar>
            <w:top w:w="0" w:type="dxa"/>
            <w:left w:w="108" w:type="dxa"/>
            <w:bottom w:w="0" w:type="dxa"/>
            <w:right w:w="108" w:type="dxa"/>
          </w:tblCellMar>
        </w:tblPrEx>
        <w:trPr>
          <w:trHeight w:val="579" w:hRule="atLeast"/>
        </w:trPr>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 w:val="20"/>
                <w:szCs w:val="20"/>
              </w:rPr>
            </w:pPr>
            <w:r>
              <w:rPr>
                <w:rFonts w:hint="eastAsia" w:ascii="宋体" w:hAnsi="宋体" w:cs="宋体"/>
                <w:kern w:val="0"/>
                <w:sz w:val="20"/>
                <w:szCs w:val="20"/>
              </w:rPr>
              <w:t>投标人名称</w:t>
            </w:r>
          </w:p>
        </w:tc>
        <w:tc>
          <w:tcPr>
            <w:tcW w:w="1440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 w:val="20"/>
                <w:szCs w:val="20"/>
              </w:rPr>
            </w:pPr>
            <w:r>
              <w:rPr>
                <w:rFonts w:ascii="宋体" w:hAnsi="宋体" w:cs="宋体"/>
                <w:kern w:val="0"/>
                <w:sz w:val="20"/>
                <w:szCs w:val="20"/>
              </w:rPr>
              <w:t>审查</w:t>
            </w:r>
            <w:r>
              <w:rPr>
                <w:rFonts w:hint="eastAsia" w:ascii="宋体" w:hAnsi="宋体" w:cs="宋体"/>
                <w:kern w:val="0"/>
                <w:sz w:val="20"/>
                <w:szCs w:val="20"/>
              </w:rPr>
              <w:t>项目</w:t>
            </w:r>
          </w:p>
        </w:tc>
        <w:tc>
          <w:tcPr>
            <w:tcW w:w="9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kern w:val="0"/>
                <w:sz w:val="20"/>
                <w:szCs w:val="20"/>
              </w:rPr>
            </w:pPr>
            <w:r>
              <w:rPr>
                <w:rFonts w:hint="eastAsia" w:ascii="宋体" w:hAnsi="宋体" w:cs="宋体"/>
                <w:kern w:val="0"/>
                <w:sz w:val="20"/>
                <w:szCs w:val="20"/>
              </w:rPr>
              <w:t>结论</w:t>
            </w:r>
          </w:p>
        </w:tc>
      </w:tr>
      <w:tr>
        <w:tblPrEx>
          <w:tblCellMar>
            <w:top w:w="0" w:type="dxa"/>
            <w:left w:w="108" w:type="dxa"/>
            <w:bottom w:w="0" w:type="dxa"/>
            <w:right w:w="108" w:type="dxa"/>
          </w:tblCellMar>
        </w:tblPrEx>
        <w:trPr>
          <w:trHeight w:val="5404" w:hRule="atLeast"/>
        </w:trPr>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kern w:val="0"/>
                <w:sz w:val="20"/>
                <w:szCs w:val="20"/>
              </w:rPr>
            </w:pPr>
          </w:p>
        </w:tc>
        <w:tc>
          <w:tcPr>
            <w:tcW w:w="1080"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r>
              <w:rPr>
                <w:rFonts w:hint="eastAsia" w:ascii="宋体" w:hAnsi="宋体" w:eastAsia="宋体" w:cs="宋体"/>
                <w:i w:val="0"/>
                <w:iCs w:val="0"/>
                <w:kern w:val="0"/>
                <w:sz w:val="18"/>
                <w:szCs w:val="18"/>
                <w:lang w:val="en-US" w:eastAsia="zh-CN"/>
              </w:rPr>
              <w:t>具有有效的营业执照原件或复印件需加盖公章；</w:t>
            </w:r>
          </w:p>
        </w:tc>
        <w:tc>
          <w:tcPr>
            <w:tcW w:w="1973"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rPr>
              <w:t>投标人须具备有效的资质证书（【施工总承包建筑工程三级】（含）以上）及具备有效的安全生产许可证,疆外企业须提供有效的外省进疆备案报送手续</w:t>
            </w:r>
            <w:r>
              <w:rPr>
                <w:rFonts w:hint="eastAsia" w:ascii="宋体" w:hAnsi="宋体" w:eastAsia="宋体" w:cs="宋体"/>
                <w:kern w:val="0"/>
                <w:sz w:val="18"/>
                <w:szCs w:val="18"/>
                <w:lang w:eastAsia="zh-CN"/>
              </w:rPr>
              <w:t>，项目负责人要求：具备【建筑工程二级】（含）以上注册建造师执业资格，具备有效的安全生产考核合格证书（B类），且未担任其他任何在建工程的项目负责人（需提供项目负责人无在建项目承诺）；</w:t>
            </w:r>
          </w:p>
        </w:tc>
        <w:tc>
          <w:tcPr>
            <w:tcW w:w="1987"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法人本人投标的提供法人身份证明及身份证，被授权委托人需提供法人授权委托书及身份证；投标单位近3个月的社保缴纳证明（单位社保缴费汇总和个人明细表）含委托代理人和项目负责人。</w:t>
            </w:r>
          </w:p>
        </w:tc>
        <w:tc>
          <w:tcPr>
            <w:tcW w:w="1786"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近两年任意一年（2020年度或2021年度）的经审计的财务报告（新成立公司需提供银行资信证明）；</w:t>
            </w:r>
          </w:p>
        </w:tc>
        <w:tc>
          <w:tcPr>
            <w:tcW w:w="1854"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近3个月完税证明（新成立公司除外）</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注：①若为零申报企业，需提供无欠税证明或国家税务总局电子税务局“申报结果查询截图”。②“税种”非社会保险</w:t>
            </w:r>
          </w:p>
        </w:tc>
        <w:tc>
          <w:tcPr>
            <w:tcW w:w="1453"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针对本项目的反商业贿赂承诺书；参加政府采购活动前三年内，在经营活动中没有重大违法记录声明；</w:t>
            </w:r>
          </w:p>
        </w:tc>
        <w:tc>
          <w:tcPr>
            <w:tcW w:w="2773"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i w:val="0"/>
                <w:iCs w:val="0"/>
                <w:kern w:val="0"/>
                <w:sz w:val="18"/>
                <w:szCs w:val="18"/>
                <w:lang w:val="en-US" w:eastAsia="zh-CN"/>
              </w:rPr>
              <w:t>通过“信用中国”网站（www.creditchina.gov.cn）或中国政府采购网（www.ccgp.gov.cn）网站上未被列入失信被执行人、重大税收违法案件当事人名单以及政府采购严重违法失信行为记录名单的网页打印件并加盖公章（查询时间为公告发布之日起至投标截止时间止）；（采购代理机构将在开标前1个工作日至投标截止后1小时的期间内查询投标人的信用记录,投标人存在不良信用记录的或被列入失信被执行人、重大税收违法案件当事人名单的，其投标将被认定为投标无效）；</w:t>
            </w:r>
          </w:p>
        </w:tc>
        <w:tc>
          <w:tcPr>
            <w:tcW w:w="1494"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汇款凭证或保函</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0"/>
                <w:szCs w:val="20"/>
                <w:highlight w:val="none"/>
                <w:lang w:val="en-US" w:eastAsia="zh-CN"/>
              </w:rPr>
            </w:pPr>
          </w:p>
        </w:tc>
      </w:tr>
    </w:tbl>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sectPr>
          <w:pgSz w:w="16838" w:h="11906" w:orient="landscape"/>
          <w:pgMar w:top="1179" w:right="1440" w:bottom="1684" w:left="1440" w:header="851" w:footer="992" w:gutter="0"/>
          <w:pgNumType w:fmt="decimal"/>
          <w:cols w:space="0" w:num="1"/>
          <w:titlePg/>
          <w:rtlGutter w:val="0"/>
          <w:docGrid w:type="lines" w:linePitch="322" w:charSpace="0"/>
        </w:sectPr>
      </w:pPr>
    </w:p>
    <w:p>
      <w:pPr>
        <w:pStyle w:val="18"/>
        <w:keepNext w:val="0"/>
        <w:keepLines w:val="0"/>
        <w:pageBreakBefore w:val="0"/>
        <w:widowControl w:val="0"/>
        <w:numPr>
          <w:ilvl w:val="0"/>
          <w:numId w:val="8"/>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r>
        <w:rPr>
          <w:rFonts w:hint="eastAsia" w:ascii="宋体" w:hAnsi="宋体" w:eastAsia="宋体" w:cs="宋体"/>
          <w:sz w:val="32"/>
          <w:szCs w:val="32"/>
          <w:highlight w:val="none"/>
          <w:u w:val="none"/>
          <w:lang w:val="en-US" w:eastAsia="zh-CN"/>
        </w:rPr>
        <w:t xml:space="preserve"> </w:t>
      </w:r>
      <w:r>
        <w:rPr>
          <w:rFonts w:hint="default" w:ascii="宋体" w:hAnsi="宋体" w:eastAsia="宋体" w:cs="宋体"/>
          <w:sz w:val="32"/>
          <w:szCs w:val="32"/>
          <w:highlight w:val="none"/>
          <w:u w:val="none"/>
          <w:lang w:val="en-US" w:eastAsia="zh-CN"/>
        </w:rPr>
        <w:t>服务需求一览表及技术规格</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keepNext w:val="0"/>
        <w:keepLines w:val="0"/>
        <w:widowControl/>
        <w:numPr>
          <w:ilvl w:val="0"/>
          <w:numId w:val="9"/>
        </w:numPr>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建设规模：泽普县农村饮水安全工程服务总站现有16座水塔。14座高度为20米以上水塔、2座12米水塔。项目包含砌体拆除、垃圾清运、安全防护等。</w:t>
      </w:r>
    </w:p>
    <w:p>
      <w:pPr>
        <w:keepNext w:val="0"/>
        <w:keepLines w:val="0"/>
        <w:widowControl/>
        <w:numPr>
          <w:ilvl w:val="0"/>
          <w:numId w:val="0"/>
        </w:numPr>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2、建设地点：泽普县农村饮水安全工程服务总站</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：1500000元。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：1500000元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5、工期：30天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6、质量：合格</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7、履约保证金：成交金额的10%</w:t>
      </w:r>
    </w:p>
    <w:p>
      <w:pPr>
        <w:pStyle w:val="3"/>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 xml:space="preserve"> </w:t>
      </w:r>
    </w:p>
    <w:tbl>
      <w:tblPr>
        <w:tblStyle w:val="22"/>
        <w:tblW w:w="92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2"/>
        <w:gridCol w:w="1597"/>
        <w:gridCol w:w="1059"/>
        <w:gridCol w:w="1328"/>
        <w:gridCol w:w="3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规格要求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单位</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拆除水塔</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高度为20米以上水塔</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b w:val="0"/>
                <w:bCs w:val="0"/>
                <w:color w:val="000000"/>
                <w:kern w:val="0"/>
                <w:sz w:val="28"/>
                <w:szCs w:val="28"/>
                <w:lang w:val="en-US" w:eastAsia="zh-CN" w:bidi="ar"/>
              </w:rPr>
              <w:t>包含砌体拆除、垃圾清运、安全防护等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拆除水塔</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高度为12米水塔</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b w:val="0"/>
                <w:bCs w:val="0"/>
                <w:color w:val="000000"/>
                <w:kern w:val="0"/>
                <w:sz w:val="28"/>
                <w:szCs w:val="28"/>
                <w:lang w:val="en-US" w:eastAsia="zh-CN" w:bidi="ar"/>
              </w:rPr>
              <w:t>包含砌体拆除、垃圾清运、安全防护等</w:t>
            </w:r>
          </w:p>
        </w:tc>
      </w:tr>
    </w:tbl>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20" w:firstLineChars="200"/>
        <w:jc w:val="both"/>
        <w:textAlignment w:val="auto"/>
        <w:rPr>
          <w:rFonts w:hint="eastAsia" w:ascii="仿宋_GB2312" w:hAnsi="仿宋_GB2312" w:eastAsia="仿宋_GB2312" w:cs="仿宋_GB2312"/>
          <w:b w:val="0"/>
          <w:bCs w:val="0"/>
          <w:color w:val="FF0000"/>
          <w:kern w:val="0"/>
          <w:sz w:val="31"/>
          <w:szCs w:val="31"/>
          <w:lang w:val="en-US" w:eastAsia="zh-CN" w:bidi="ar"/>
        </w:rPr>
      </w:pPr>
      <w:r>
        <w:rPr>
          <w:rFonts w:hint="eastAsia" w:ascii="仿宋_GB2312" w:hAnsi="仿宋_GB2312" w:eastAsia="仿宋_GB2312" w:cs="仿宋_GB2312"/>
          <w:b w:val="0"/>
          <w:bCs w:val="0"/>
          <w:color w:val="FF0000"/>
          <w:kern w:val="0"/>
          <w:sz w:val="31"/>
          <w:szCs w:val="31"/>
          <w:lang w:val="en-US" w:eastAsia="zh-CN" w:bidi="ar"/>
        </w:rPr>
        <w:t>9、进度和方式：预付:30%工程款，按进度支付余款。（具体以合同签订为准）</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    10、适用规范、标准和规程</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（1）除合同另有约定外，本工程适用现行国家、行业和地方规范、标准和规程。</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（2）除合同另有约定外，材料、施工工艺和本工程都应依照本技术标准和要求以及适用的现行规范、标准和规程的最新版本执行。</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20" w:firstLineChars="200"/>
        <w:jc w:val="both"/>
        <w:textAlignment w:val="auto"/>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11、安全文明施工</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20" w:firstLineChars="200"/>
        <w:jc w:val="both"/>
        <w:textAlignment w:val="auto"/>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在工程施工、竣工、交付及修补任何缺陷的过程中，承包人应当始终遵守国家和地方有关安全生产的法律、法规、规范、标准和规程等，履行其安全施工职责。</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r>
        <w:rPr>
          <w:rFonts w:hint="eastAsia" w:ascii="宋体" w:hAnsi="宋体" w:eastAsia="宋体" w:cs="宋体"/>
          <w:sz w:val="32"/>
          <w:szCs w:val="32"/>
          <w:highlight w:val="none"/>
          <w:u w:val="none"/>
          <w:lang w:val="en-US" w:eastAsia="zh-CN"/>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r>
        <w:rPr>
          <w:rFonts w:hint="default" w:ascii="宋体" w:hAnsi="宋体" w:eastAsia="宋体" w:cs="宋体"/>
          <w:sz w:val="32"/>
          <w:szCs w:val="32"/>
          <w:highlight w:val="none"/>
          <w:u w:val="none"/>
          <w:lang w:val="en-US" w:eastAsia="zh-CN"/>
        </w:rPr>
        <w:t>第6章 评审方法和标准</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本项目将按照招标文件第一章供应商须知中“五</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eastAsia="zh-CN"/>
        </w:rPr>
        <w:t>谈判开启及评审</w:t>
      </w:r>
      <w:r>
        <w:rPr>
          <w:rFonts w:hint="default" w:ascii="宋体" w:hAnsi="宋体" w:eastAsia="宋体" w:cs="宋体"/>
          <w:sz w:val="24"/>
          <w:szCs w:val="24"/>
          <w:highlight w:val="none"/>
          <w:u w:val="none"/>
          <w:lang w:val="en-US" w:eastAsia="zh-CN"/>
        </w:rPr>
        <w:t>”、“六</w:t>
      </w:r>
      <w:r>
        <w:rPr>
          <w:rFonts w:hint="eastAsia" w:ascii="宋体" w:hAnsi="宋体" w:eastAsia="宋体" w:cs="宋体"/>
          <w:sz w:val="24"/>
          <w:szCs w:val="24"/>
          <w:highlight w:val="none"/>
          <w:u w:val="none"/>
          <w:lang w:val="en-US" w:eastAsia="zh-CN"/>
        </w:rPr>
        <w:t xml:space="preserve">  </w:t>
      </w:r>
      <w:r>
        <w:rPr>
          <w:rFonts w:hint="default" w:ascii="宋体" w:hAnsi="宋体" w:eastAsia="宋体" w:cs="宋体"/>
          <w:sz w:val="24"/>
          <w:szCs w:val="24"/>
          <w:highlight w:val="none"/>
          <w:u w:val="none"/>
          <w:lang w:val="en-US" w:eastAsia="zh-CN"/>
        </w:rPr>
        <w:t>确定中标”及本章的规定评标。</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注：1.谈判无效的情形：</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（1）单位负责人为同一人或者存在直接控股、管理关系的不同供应商，其相关谈判将被认定为谈判无效。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（2）为本项目提供过整体设计、规范编制或者项目管理、监理、检测等货物的供应商，不得再参加本项目上述货物以外的其他采购活动。否则其谈判将被认定为谈判无效。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供应商在谈判过程中不得向采购人提供、给予任何有价值的物品，影响其正常决策行为。一经发现，其将被认定为谈判无效。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（3）供应商报价超过谈判文件规定的预算金额或者分项、分包最高限价的，其谈判将被认定为谈判无效。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4）供应商应认真阅读谈判文件所有的事项、格式、条款和技术规范等。如供应商没有按照谈判文件要求提交全部资料，或者响应文件没有对谈判文件在各方面都做出实质性响应，可能导致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 （5）供应商应当对所投分包谈判文件中“服务需求”所列的所有内容进行谈判，如仅响应某一包中的部分内容，其该包谈判将被认定为谈判无效。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（6）供应商未按本须知第12.1和12.3条规定提交谈判保证金的，其谈判资格将被认定为谈判无效。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7）所有磋商均以人民币报价。供应商的谈判报价应遵守《中华人民共和国价格法》。同时，根据《中华人民共和国政府采购法》第二条的规定，为保证公平竞争，如有货物主体部分的赠与行为，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（8）供应商所报的各分项报价单价在合同履行过程中是固定不变的，不得以任何理由予以变更。任何包含价格调整要求的谈判，其谈判将被认定为谈判无效。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（9）谈判应在供应商须知资料表中规定时间内保持有效。谈判有效期不满足要求的谈判，其谈判将被认定为谈判无效。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（10）采购人或采购代理机构将在开标前1个工作日至磋商截止后1小时的期间内查询供应商的信用记录。供应商存在不良信用记录的，其谈判将被认定为谈判无效。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11）总价金额与按单价汇总金额不一致的，以单价金额计算结果为准。同时出现两种以上不一致的，按照前款规定的顺序修正。修正后的报价按照第20.2条的规定经供应商确认后产生约束力，供应商不确认的，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12）在比较与评价之前，根据本须知的规定，谈判小组要审查每份响应文件是否实质上响应了谈判文件的要求。实质上响应的谈判应该是与谈判文件要求的全部条款、条件和规格相符，没有重大偏离的谈判。对关键条款的偏离，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（13）如发现下列情况之一的，其谈判将被认定为谈判无效：</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①</w:t>
      </w:r>
      <w:r>
        <w:rPr>
          <w:rFonts w:hint="default" w:ascii="宋体" w:hAnsi="宋体" w:eastAsia="宋体" w:cs="宋体"/>
          <w:sz w:val="24"/>
          <w:szCs w:val="24"/>
          <w:highlight w:val="none"/>
          <w:u w:val="none"/>
          <w:lang w:val="en-US" w:eastAsia="zh-CN"/>
        </w:rPr>
        <w:t>未按谈判文件规定的形式和金额提交谈判保证金的；</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②</w:t>
      </w:r>
      <w:r>
        <w:rPr>
          <w:rFonts w:hint="default" w:ascii="宋体" w:hAnsi="宋体" w:eastAsia="宋体" w:cs="宋体"/>
          <w:sz w:val="24"/>
          <w:szCs w:val="24"/>
          <w:highlight w:val="none"/>
          <w:u w:val="none"/>
          <w:lang w:val="en-US" w:eastAsia="zh-CN"/>
        </w:rPr>
        <w:t>未按照谈判文件规定要求签署、盖章的；</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③</w:t>
      </w:r>
      <w:r>
        <w:rPr>
          <w:rFonts w:hint="default" w:ascii="宋体" w:hAnsi="宋体" w:eastAsia="宋体" w:cs="宋体"/>
          <w:sz w:val="24"/>
          <w:szCs w:val="24"/>
          <w:highlight w:val="none"/>
          <w:u w:val="none"/>
          <w:lang w:val="en-US" w:eastAsia="zh-CN"/>
        </w:rPr>
        <w:t>未满足谈判文件中技术条款的实质性要求；</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④</w:t>
      </w:r>
      <w:r>
        <w:rPr>
          <w:rFonts w:hint="default" w:ascii="宋体" w:hAnsi="宋体" w:eastAsia="宋体" w:cs="宋体"/>
          <w:sz w:val="24"/>
          <w:szCs w:val="24"/>
          <w:highlight w:val="none"/>
          <w:u w:val="none"/>
          <w:lang w:val="en-US" w:eastAsia="zh-CN"/>
        </w:rPr>
        <w:t>与其他供应商串通谈判，或者与招标人串通谈判；</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⑤</w:t>
      </w:r>
      <w:r>
        <w:rPr>
          <w:rFonts w:hint="default" w:ascii="宋体" w:hAnsi="宋体" w:eastAsia="宋体" w:cs="宋体"/>
          <w:sz w:val="24"/>
          <w:szCs w:val="24"/>
          <w:highlight w:val="none"/>
          <w:u w:val="none"/>
          <w:lang w:val="en-US" w:eastAsia="zh-CN"/>
        </w:rPr>
        <w:t>属于谈判文件规定的其他谈判无效情形；</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⑥</w:t>
      </w:r>
      <w:r>
        <w:rPr>
          <w:rFonts w:hint="default" w:ascii="宋体" w:hAnsi="宋体" w:eastAsia="宋体" w:cs="宋体"/>
          <w:sz w:val="24"/>
          <w:szCs w:val="24"/>
          <w:highlight w:val="none"/>
          <w:u w:val="none"/>
          <w:lang w:val="en-US" w:eastAsia="zh-CN"/>
        </w:rPr>
        <w:t>谈判小组认为供应商的报价明显低于其他通过符合性检查供应商的报价，有可能影响履约的，且供应商未按照规定证明其报价合理性的；</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⑦</w:t>
      </w:r>
      <w:r>
        <w:rPr>
          <w:rFonts w:hint="default" w:ascii="宋体" w:hAnsi="宋体" w:eastAsia="宋体" w:cs="宋体"/>
          <w:sz w:val="24"/>
          <w:szCs w:val="24"/>
          <w:highlight w:val="none"/>
          <w:u w:val="none"/>
          <w:lang w:val="en-US" w:eastAsia="zh-CN"/>
        </w:rPr>
        <w:t>响应文件含有采购人不能接受的附加条件的；</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⑧</w:t>
      </w:r>
      <w:r>
        <w:rPr>
          <w:rFonts w:hint="default" w:ascii="宋体" w:hAnsi="宋体" w:eastAsia="宋体" w:cs="宋体"/>
          <w:sz w:val="24"/>
          <w:szCs w:val="24"/>
          <w:highlight w:val="none"/>
          <w:u w:val="none"/>
          <w:lang w:val="en-US" w:eastAsia="zh-CN"/>
        </w:rPr>
        <w:t>不符合法规和谈判文件中规定的其他实质性要求的。</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sz w:val="24"/>
          <w:szCs w:val="24"/>
          <w:highlight w:val="none"/>
          <w:u w:val="single"/>
          <w:lang w:val="en-US" w:eastAsia="zh-CN"/>
        </w:rPr>
        <w:t xml:space="preserve"> 6 </w:t>
      </w:r>
      <w:r>
        <w:rPr>
          <w:rFonts w:hint="default" w:ascii="宋体" w:hAnsi="宋体" w:eastAsia="宋体" w:cs="宋体"/>
          <w:sz w:val="24"/>
          <w:szCs w:val="24"/>
          <w:highlight w:val="none"/>
          <w:u w:val="none"/>
          <w:lang w:val="en-US" w:eastAsia="zh-CN"/>
        </w:rPr>
        <w:t>%后参与评审。对于同时属于小微企业、监狱企业或残疾人福利性单位的，不重复进行报价扣除。</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 xml:space="preserve"> </w:t>
      </w:r>
      <w:r>
        <w:rPr>
          <w:rFonts w:hint="default" w:ascii="宋体" w:hAnsi="宋体" w:eastAsia="宋体" w:cs="宋体"/>
          <w:sz w:val="24"/>
          <w:szCs w:val="24"/>
          <w:highlight w:val="none"/>
          <w:u w:val="none"/>
          <w:lang w:val="en-US" w:eastAsia="zh-CN"/>
        </w:rPr>
        <w:t>联合协议中约定，小型、微型企业和监狱企业的协议合同金额占到联合体协议合同总金额30%以上的，可给予联合体</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val="en-US" w:eastAsia="zh-CN"/>
        </w:rPr>
        <w:t xml:space="preserve">/  </w:t>
      </w:r>
      <w:r>
        <w:rPr>
          <w:rFonts w:hint="default" w:ascii="宋体" w:hAnsi="宋体" w:eastAsia="宋体" w:cs="宋体"/>
          <w:sz w:val="24"/>
          <w:szCs w:val="24"/>
          <w:highlight w:val="none"/>
          <w:u w:val="none"/>
          <w:lang w:val="en-US" w:eastAsia="zh-CN"/>
        </w:rPr>
        <w:t>%的价格扣除。（本项目不适用）</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联合体各方均为小型、微型企业和监狱企业的，联合体视同为小型、微型企业和监狱企业。</w:t>
      </w:r>
    </w:p>
    <w:p>
      <w:pPr>
        <w:pStyle w:val="18"/>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供应商为提供货物在</w:t>
      </w:r>
      <w:r>
        <w:rPr>
          <w:rFonts w:hint="eastAsia" w:ascii="宋体" w:hAnsi="宋体" w:eastAsia="宋体" w:cs="宋体"/>
          <w:sz w:val="24"/>
          <w:szCs w:val="24"/>
          <w:highlight w:val="none"/>
          <w:u w:val="none"/>
          <w:lang w:val="en-US" w:eastAsia="zh-CN"/>
        </w:rPr>
        <w:t>谈判</w:t>
      </w:r>
      <w:r>
        <w:rPr>
          <w:rFonts w:hint="default" w:ascii="宋体" w:hAnsi="宋体" w:eastAsia="宋体" w:cs="宋体"/>
          <w:sz w:val="24"/>
          <w:szCs w:val="24"/>
          <w:highlight w:val="none"/>
          <w:u w:val="none"/>
          <w:lang w:val="en-US" w:eastAsia="zh-CN"/>
        </w:rPr>
        <w:t>中伴随</w:t>
      </w:r>
      <w:r>
        <w:rPr>
          <w:rFonts w:hint="eastAsia" w:ascii="宋体" w:hAnsi="宋体" w:eastAsia="宋体" w:cs="宋体"/>
          <w:sz w:val="24"/>
          <w:szCs w:val="24"/>
          <w:highlight w:val="none"/>
          <w:u w:val="none"/>
          <w:lang w:val="en-US" w:eastAsia="zh-CN"/>
        </w:rPr>
        <w:t>谈判</w:t>
      </w:r>
      <w:r>
        <w:rPr>
          <w:rFonts w:hint="default" w:ascii="宋体" w:hAnsi="宋体" w:eastAsia="宋体" w:cs="宋体"/>
          <w:sz w:val="24"/>
          <w:szCs w:val="24"/>
          <w:highlight w:val="none"/>
          <w:u w:val="none"/>
          <w:lang w:val="en-US" w:eastAsia="zh-CN"/>
        </w:rPr>
        <w:t>的产品如被列入财政部与国家主管部门颁发的节能产品目录或环境标志产品目录或无线局域网产品目录，应提供相关证明，在评标时予以优先采购，具体优惠措施为：供应商所提供产品应优先选择《关于印发节能产品政府采购品目清单的通知》（财库〔2019〕19号）、《关于印发环境标志产品政府采购品目清单的通知》（财库〔2019〕18号）目录内的产品。</w:t>
      </w:r>
    </w:p>
    <w:p>
      <w:pPr>
        <w:pStyle w:val="18"/>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对创新产品或创新性企业的优惠措施为：</w:t>
      </w:r>
      <w:r>
        <w:rPr>
          <w:rFonts w:hint="eastAsia" w:ascii="宋体" w:hAnsi="宋体" w:eastAsia="宋体" w:cs="宋体"/>
          <w:sz w:val="24"/>
          <w:szCs w:val="24"/>
          <w:highlight w:val="none"/>
          <w:u w:val="none"/>
          <w:lang w:val="en-US" w:eastAsia="zh-CN"/>
        </w:rPr>
        <w:t>/</w:t>
      </w:r>
      <w:r>
        <w:rPr>
          <w:rFonts w:hint="default" w:ascii="宋体" w:hAnsi="宋体" w:eastAsia="宋体" w:cs="宋体"/>
          <w:sz w:val="24"/>
          <w:szCs w:val="24"/>
          <w:highlight w:val="none"/>
          <w:u w:val="none"/>
          <w:lang w:val="en-US" w:eastAsia="zh-CN"/>
        </w:rPr>
        <w:t xml:space="preserve">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6. </w:t>
      </w:r>
      <w:r>
        <w:rPr>
          <w:rFonts w:hint="default" w:ascii="宋体" w:hAnsi="宋体" w:eastAsia="宋体" w:cs="宋体"/>
          <w:sz w:val="24"/>
          <w:szCs w:val="24"/>
          <w:highlight w:val="none"/>
          <w:u w:val="none"/>
          <w:lang w:val="en-US" w:eastAsia="zh-CN"/>
        </w:rPr>
        <w:t>报价相同的处理方式：</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r>
        <w:rPr>
          <w:rFonts w:hint="default" w:ascii="宋体" w:hAnsi="宋体" w:eastAsia="宋体" w:cs="宋体"/>
          <w:sz w:val="24"/>
          <w:szCs w:val="24"/>
          <w:highlight w:val="none"/>
          <w:u w:val="none"/>
          <w:lang w:val="en-US" w:eastAsia="zh-CN"/>
        </w:rPr>
        <w:t xml:space="preserve">成交候选人并列时的处理方式：   </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采用最低评审办法：自收到评审报告之日起2个工作日内，在评审报告确定的三名成交候选人名单中按顺序确定成交人。招标文件未规定的，采取随机抽取的方式确定。</w:t>
      </w: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8"/>
        <w:spacing w:before="0" w:line="400" w:lineRule="exact"/>
        <w:jc w:val="both"/>
        <w:rPr>
          <w:rFonts w:hint="eastAsia" w:ascii="宋体" w:hAnsi="宋体" w:eastAsia="宋体" w:cs="宋体"/>
          <w:b/>
          <w:bCs/>
        </w:rPr>
      </w:pPr>
    </w:p>
    <w:p>
      <w:pPr>
        <w:bidi w:val="0"/>
        <w:jc w:val="center"/>
        <w:rPr>
          <w:rFonts w:hint="eastAsia"/>
          <w:sz w:val="28"/>
          <w:szCs w:val="36"/>
        </w:rPr>
      </w:pPr>
      <w:r>
        <w:rPr>
          <w:rFonts w:hint="eastAsia"/>
          <w:sz w:val="28"/>
          <w:szCs w:val="36"/>
        </w:rPr>
        <w:t>初步评审—资格性审查表</w:t>
      </w:r>
    </w:p>
    <w:tbl>
      <w:tblPr>
        <w:tblStyle w:val="22"/>
        <w:tblpPr w:leftFromText="180" w:rightFromText="180" w:vertAnchor="text" w:horzAnchor="page" w:tblpXSpec="center" w:tblpY="116"/>
        <w:tblOverlap w:val="never"/>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6198"/>
        <w:gridCol w:w="923"/>
        <w:gridCol w:w="812"/>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79" w:type="pct"/>
            <w:vMerge w:val="restart"/>
            <w:noWrap w:val="0"/>
            <w:vAlign w:val="center"/>
          </w:tcPr>
          <w:p>
            <w:pPr>
              <w:spacing w:line="300" w:lineRule="auto"/>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3291" w:type="pct"/>
            <w:vMerge w:val="restart"/>
            <w:noWrap w:val="0"/>
            <w:vAlign w:val="center"/>
          </w:tcPr>
          <w:p>
            <w:pPr>
              <w:spacing w:line="300" w:lineRule="auto"/>
              <w:jc w:val="center"/>
              <w:rPr>
                <w:rFonts w:hint="eastAsia" w:ascii="宋体" w:hAnsi="宋体" w:eastAsia="宋体" w:cs="宋体"/>
                <w:b/>
                <w:sz w:val="22"/>
                <w:szCs w:val="22"/>
              </w:rPr>
            </w:pPr>
            <w:r>
              <w:rPr>
                <w:rFonts w:hint="eastAsia" w:ascii="宋体" w:hAnsi="宋体" w:eastAsia="宋体" w:cs="宋体"/>
                <w:b/>
                <w:sz w:val="22"/>
                <w:szCs w:val="22"/>
              </w:rPr>
              <w:t>评审内容</w:t>
            </w:r>
          </w:p>
        </w:tc>
        <w:tc>
          <w:tcPr>
            <w:tcW w:w="1429" w:type="pct"/>
            <w:gridSpan w:val="3"/>
            <w:noWrap w:val="0"/>
            <w:vAlign w:val="center"/>
          </w:tcPr>
          <w:p>
            <w:pPr>
              <w:spacing w:line="300" w:lineRule="auto"/>
              <w:jc w:val="center"/>
              <w:rPr>
                <w:rFonts w:hint="eastAsia" w:ascii="宋体" w:hAnsi="宋体" w:eastAsia="宋体" w:cs="宋体"/>
                <w:b/>
                <w:sz w:val="22"/>
                <w:szCs w:val="22"/>
              </w:rPr>
            </w:pPr>
            <w:r>
              <w:rPr>
                <w:rFonts w:hint="eastAsia" w:ascii="宋体" w:hAnsi="宋体" w:eastAsia="宋体" w:cs="宋体"/>
                <w:b/>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79" w:type="pct"/>
            <w:vMerge w:val="continue"/>
            <w:noWrap w:val="0"/>
            <w:vAlign w:val="center"/>
          </w:tcPr>
          <w:p>
            <w:pPr>
              <w:spacing w:line="300" w:lineRule="auto"/>
              <w:jc w:val="center"/>
              <w:rPr>
                <w:rFonts w:hint="eastAsia" w:ascii="宋体" w:hAnsi="宋体" w:eastAsia="宋体" w:cs="宋体"/>
                <w:b/>
                <w:sz w:val="22"/>
                <w:szCs w:val="22"/>
              </w:rPr>
            </w:pPr>
          </w:p>
        </w:tc>
        <w:tc>
          <w:tcPr>
            <w:tcW w:w="3291" w:type="pct"/>
            <w:vMerge w:val="continue"/>
            <w:noWrap w:val="0"/>
            <w:vAlign w:val="center"/>
          </w:tcPr>
          <w:p>
            <w:pPr>
              <w:spacing w:line="300" w:lineRule="auto"/>
              <w:jc w:val="center"/>
              <w:rPr>
                <w:rFonts w:hint="eastAsia" w:ascii="宋体" w:hAnsi="宋体" w:eastAsia="宋体" w:cs="宋体"/>
                <w:b/>
                <w:sz w:val="22"/>
                <w:szCs w:val="22"/>
              </w:rPr>
            </w:pPr>
          </w:p>
        </w:tc>
        <w:tc>
          <w:tcPr>
            <w:tcW w:w="490"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A </w:t>
            </w:r>
          </w:p>
        </w:tc>
        <w:tc>
          <w:tcPr>
            <w:tcW w:w="431"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B</w:t>
            </w:r>
          </w:p>
        </w:tc>
        <w:tc>
          <w:tcPr>
            <w:tcW w:w="507" w:type="pct"/>
            <w:noWrap w:val="0"/>
            <w:vAlign w:val="center"/>
          </w:tcPr>
          <w:p>
            <w:pPr>
              <w:spacing w:line="30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291" w:type="pct"/>
            <w:noWrap w:val="0"/>
            <w:vAlign w:val="center"/>
          </w:tcPr>
          <w:p>
            <w:pPr>
              <w:spacing w:line="30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olor w:val="auto"/>
                <w:kern w:val="2"/>
                <w:sz w:val="22"/>
                <w:szCs w:val="22"/>
                <w:highlight w:val="none"/>
                <w:u w:val="none"/>
                <w:lang w:val="en-US" w:eastAsia="zh-CN" w:bidi="ar-SA"/>
              </w:rPr>
              <w:t>法人或其他组织的合法有效的营业执照（三证合一）；</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291" w:type="pct"/>
            <w:noWrap w:val="0"/>
            <w:vAlign w:val="center"/>
          </w:tcPr>
          <w:p>
            <w:pPr>
              <w:spacing w:line="300" w:lineRule="auto"/>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投标人须具备有效的资质证书（【施工总承包建筑工程三级】（含）以上）及具备有效的安全生产许可证，疆外企业须提供有效的外省进疆备案报送手续</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291" w:type="pct"/>
            <w:noWrap w:val="0"/>
            <w:vAlign w:val="center"/>
          </w:tcPr>
          <w:p>
            <w:pPr>
              <w:spacing w:line="300" w:lineRule="auto"/>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rPr>
              <w:t>项目负责人要求：具备【建筑工程二级】（含）以上注册建造师执业资格，具备有效的安全生产考核合格证书（B类），且未担任其他任何在建工程的项目负责人</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须提供项目负责人无在建项目承诺</w:t>
            </w:r>
            <w:r>
              <w:rPr>
                <w:rFonts w:hint="eastAsia" w:ascii="宋体" w:hAnsi="宋体" w:eastAsia="宋体" w:cs="宋体"/>
                <w:b w:val="0"/>
                <w:bCs w:val="0"/>
                <w:sz w:val="22"/>
                <w:szCs w:val="22"/>
                <w:highlight w:val="none"/>
                <w:lang w:eastAsia="zh-CN"/>
              </w:rPr>
              <w:t>）</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291" w:type="pct"/>
            <w:noWrap w:val="0"/>
            <w:vAlign w:val="center"/>
          </w:tcPr>
          <w:p>
            <w:pPr>
              <w:spacing w:line="300" w:lineRule="auto"/>
              <w:rPr>
                <w:rFonts w:hint="eastAsia" w:ascii="宋体" w:hAnsi="宋体" w:eastAsia="宋体" w:cs="宋体"/>
                <w:b w:val="0"/>
                <w:bCs w:val="0"/>
                <w:sz w:val="22"/>
                <w:szCs w:val="22"/>
                <w:highlight w:val="none"/>
              </w:rPr>
            </w:pPr>
            <w:r>
              <w:rPr>
                <w:rFonts w:hint="eastAsia" w:ascii="宋体" w:hAnsi="宋体" w:eastAsia="宋体" w:cs="宋体"/>
                <w:sz w:val="22"/>
                <w:szCs w:val="22"/>
                <w:highlight w:val="none"/>
              </w:rPr>
              <w:t>法定代表人身份证明</w:t>
            </w:r>
            <w:r>
              <w:rPr>
                <w:rFonts w:hint="eastAsia" w:ascii="宋体" w:hAnsi="宋体" w:eastAsia="宋体" w:cs="宋体"/>
                <w:sz w:val="22"/>
                <w:szCs w:val="22"/>
                <w:highlight w:val="none"/>
                <w:lang w:eastAsia="zh-CN"/>
              </w:rPr>
              <w:t>或</w:t>
            </w:r>
            <w:r>
              <w:rPr>
                <w:rFonts w:hint="eastAsia" w:ascii="宋体" w:hAnsi="宋体" w:eastAsia="宋体" w:cs="宋体"/>
                <w:sz w:val="22"/>
                <w:szCs w:val="22"/>
                <w:highlight w:val="none"/>
              </w:rPr>
              <w:t>法定代表人授权委托书</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291" w:type="pct"/>
            <w:noWrap w:val="0"/>
            <w:vAlign w:val="center"/>
          </w:tcPr>
          <w:p>
            <w:pPr>
              <w:spacing w:line="300" w:lineRule="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rPr>
              <w:t>近3个月的社保缴纳证明（单位社保缴费汇总和个人明细表）</w:t>
            </w:r>
            <w:r>
              <w:rPr>
                <w:rFonts w:hint="eastAsia" w:ascii="宋体" w:hAnsi="宋体" w:eastAsia="宋体" w:cs="宋体"/>
                <w:b w:val="0"/>
                <w:bCs w:val="0"/>
                <w:sz w:val="22"/>
                <w:szCs w:val="22"/>
                <w:highlight w:val="none"/>
                <w:lang w:val="en-US" w:eastAsia="zh-CN"/>
              </w:rPr>
              <w:t>及近3个月完税证明（新成立公司除外）</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79"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291" w:type="pct"/>
            <w:noWrap w:val="0"/>
            <w:vAlign w:val="center"/>
          </w:tcPr>
          <w:p>
            <w:pPr>
              <w:jc w:val="both"/>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近两年任意一年（2020年度或2021年度）的经审计的财务报告（新成立公司需提供银行资信证明）；</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291" w:type="pct"/>
            <w:noWrap w:val="0"/>
            <w:vAlign w:val="center"/>
          </w:tcPr>
          <w:p>
            <w:pPr>
              <w:spacing w:line="300" w:lineRule="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有效的谈判保证金证明（银行汇款凭证或保函）</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3291" w:type="pct"/>
            <w:noWrap w:val="0"/>
            <w:vAlign w:val="center"/>
          </w:tcPr>
          <w:p>
            <w:pPr>
              <w:spacing w:line="300" w:lineRule="auto"/>
              <w:rPr>
                <w:rFonts w:hint="eastAsia" w:ascii="宋体" w:hAnsi="宋体" w:eastAsia="宋体" w:cs="宋体"/>
                <w:b w:val="0"/>
                <w:bCs w:val="0"/>
                <w:color w:val="auto"/>
                <w:sz w:val="22"/>
                <w:szCs w:val="22"/>
                <w:highlight w:val="none"/>
              </w:rPr>
            </w:pPr>
            <w:r>
              <w:rPr>
                <w:rFonts w:hint="eastAsia" w:ascii="宋体" w:hAnsi="宋体" w:eastAsia="宋体" w:cs="宋体"/>
                <w:sz w:val="22"/>
                <w:szCs w:val="22"/>
                <w:highlight w:val="none"/>
              </w:rPr>
              <w:t>提供针对本次项目《反商业贿赂承诺书》</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329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通过“信用中国”网站（www.creditchina.gov.cn）或中国政府采购网（www.ccgp.gov.cn）网站上</w:t>
            </w:r>
            <w:r>
              <w:rPr>
                <w:rFonts w:hint="eastAsia" w:ascii="宋体" w:hAnsi="宋体" w:eastAsia="宋体" w:cs="宋体"/>
                <w:b w:val="0"/>
                <w:bCs w:val="0"/>
                <w:color w:val="auto"/>
                <w:sz w:val="22"/>
                <w:szCs w:val="22"/>
                <w:highlight w:val="none"/>
                <w:lang w:val="en-US" w:eastAsia="zh-CN"/>
              </w:rPr>
              <w:t>查询</w:t>
            </w:r>
            <w:r>
              <w:rPr>
                <w:rFonts w:hint="eastAsia" w:ascii="宋体" w:hAnsi="宋体" w:eastAsia="宋体" w:cs="宋体"/>
                <w:b w:val="0"/>
                <w:bCs w:val="0"/>
                <w:color w:val="auto"/>
                <w:sz w:val="22"/>
                <w:szCs w:val="22"/>
                <w:highlight w:val="none"/>
              </w:rPr>
              <w:t>未被列入失信被执行人、重大税收违法案件当事人名单以及政府采购严重违法失信行为记录名单（</w:t>
            </w:r>
            <w:r>
              <w:rPr>
                <w:rFonts w:hint="eastAsia" w:ascii="宋体" w:hAnsi="宋体" w:eastAsia="宋体" w:cs="宋体"/>
                <w:b w:val="0"/>
                <w:bCs w:val="0"/>
                <w:color w:val="auto"/>
                <w:sz w:val="22"/>
                <w:szCs w:val="22"/>
                <w:highlight w:val="none"/>
                <w:lang w:eastAsia="zh-CN"/>
              </w:rPr>
              <w:t>以招标代理在投标截止时间前的查询结果为准。）</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79" w:type="pct"/>
            <w:noWrap w:val="0"/>
            <w:vAlign w:val="center"/>
          </w:tcPr>
          <w:p>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291" w:type="pct"/>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b w:val="0"/>
                <w:bCs w:val="0"/>
                <w:i w:val="0"/>
                <w:iCs w:val="0"/>
                <w:caps w:val="0"/>
                <w:color w:val="000000"/>
                <w:spacing w:val="0"/>
                <w:sz w:val="22"/>
                <w:szCs w:val="22"/>
              </w:rPr>
            </w:pPr>
            <w:r>
              <w:rPr>
                <w:rFonts w:hint="eastAsia" w:ascii="宋体" w:hAnsi="宋体" w:eastAsia="宋体" w:cs="宋体"/>
                <w:b w:val="0"/>
                <w:bCs w:val="0"/>
                <w:i w:val="0"/>
                <w:iCs w:val="0"/>
                <w:caps w:val="0"/>
                <w:color w:val="000000"/>
                <w:spacing w:val="0"/>
                <w:sz w:val="22"/>
                <w:szCs w:val="22"/>
                <w:lang w:val="en-US" w:eastAsia="zh-CN"/>
              </w:rPr>
              <w:t>参加政府采购活动前三年内，在经营活动中没有重大违法记录的承诺书；</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9" w:type="pct"/>
            <w:noWrap w:val="0"/>
            <w:vAlign w:val="center"/>
          </w:tcPr>
          <w:p>
            <w:pPr>
              <w:spacing w:line="300" w:lineRule="auto"/>
              <w:rPr>
                <w:rFonts w:hint="eastAsia" w:ascii="宋体" w:hAnsi="宋体" w:eastAsia="宋体" w:cs="宋体"/>
                <w:sz w:val="22"/>
                <w:szCs w:val="22"/>
                <w:lang w:val="en-US" w:eastAsia="zh-CN"/>
              </w:rPr>
            </w:pPr>
          </w:p>
        </w:tc>
        <w:tc>
          <w:tcPr>
            <w:tcW w:w="3291" w:type="pct"/>
            <w:noWrap w:val="0"/>
            <w:vAlign w:val="center"/>
          </w:tcPr>
          <w:p>
            <w:pPr>
              <w:spacing w:line="300" w:lineRule="auto"/>
              <w:jc w:val="center"/>
              <w:rPr>
                <w:rFonts w:hint="eastAsia" w:ascii="宋体" w:hAnsi="宋体" w:eastAsia="宋体" w:cs="宋体"/>
                <w:sz w:val="22"/>
                <w:szCs w:val="22"/>
              </w:rPr>
            </w:pPr>
            <w:r>
              <w:rPr>
                <w:rFonts w:hint="eastAsia" w:ascii="宋体" w:hAnsi="宋体" w:eastAsia="宋体" w:cs="宋体"/>
                <w:sz w:val="22"/>
                <w:szCs w:val="22"/>
              </w:rPr>
              <w:t>结论</w:t>
            </w:r>
          </w:p>
        </w:tc>
        <w:tc>
          <w:tcPr>
            <w:tcW w:w="490" w:type="pct"/>
            <w:noWrap w:val="0"/>
            <w:vAlign w:val="top"/>
          </w:tcPr>
          <w:p>
            <w:pPr>
              <w:spacing w:line="300" w:lineRule="auto"/>
              <w:rPr>
                <w:rFonts w:hint="eastAsia" w:ascii="宋体" w:hAnsi="宋体" w:eastAsia="宋体" w:cs="宋体"/>
                <w:sz w:val="22"/>
                <w:szCs w:val="22"/>
              </w:rPr>
            </w:pPr>
          </w:p>
        </w:tc>
        <w:tc>
          <w:tcPr>
            <w:tcW w:w="431" w:type="pct"/>
            <w:noWrap w:val="0"/>
            <w:vAlign w:val="top"/>
          </w:tcPr>
          <w:p>
            <w:pPr>
              <w:spacing w:line="300" w:lineRule="auto"/>
              <w:rPr>
                <w:rFonts w:hint="eastAsia" w:ascii="宋体" w:hAnsi="宋体" w:eastAsia="宋体" w:cs="宋体"/>
                <w:sz w:val="22"/>
                <w:szCs w:val="22"/>
              </w:rPr>
            </w:pPr>
          </w:p>
        </w:tc>
        <w:tc>
          <w:tcPr>
            <w:tcW w:w="507" w:type="pct"/>
            <w:noWrap w:val="0"/>
            <w:vAlign w:val="top"/>
          </w:tcPr>
          <w:p>
            <w:pPr>
              <w:spacing w:line="300" w:lineRule="auto"/>
              <w:rPr>
                <w:rFonts w:hint="eastAsia" w:ascii="宋体" w:hAnsi="宋体" w:eastAsia="宋体" w:cs="宋体"/>
                <w:sz w:val="22"/>
                <w:szCs w:val="22"/>
              </w:rPr>
            </w:pPr>
          </w:p>
        </w:tc>
      </w:tr>
    </w:tbl>
    <w:p>
      <w:pPr>
        <w:spacing w:line="360" w:lineRule="exact"/>
        <w:rPr>
          <w:rFonts w:hint="eastAsia" w:ascii="宋体" w:hAnsi="宋体" w:eastAsia="宋体" w:cs="宋体"/>
          <w:sz w:val="22"/>
          <w:szCs w:val="22"/>
        </w:rPr>
      </w:pPr>
      <w:r>
        <w:rPr>
          <w:rFonts w:hint="eastAsia" w:ascii="宋体" w:hAnsi="宋体" w:eastAsia="宋体" w:cs="宋体"/>
          <w:sz w:val="22"/>
          <w:szCs w:val="22"/>
        </w:rPr>
        <w:t>说明：（1）上述各项中用“√”表示</w:t>
      </w:r>
      <w:r>
        <w:rPr>
          <w:rFonts w:hint="eastAsia" w:ascii="宋体" w:hAnsi="宋体" w:eastAsia="宋体" w:cs="宋体"/>
          <w:sz w:val="22"/>
          <w:szCs w:val="22"/>
          <w:lang w:eastAsia="zh-CN"/>
        </w:rPr>
        <w:t>合格</w:t>
      </w:r>
      <w:r>
        <w:rPr>
          <w:rFonts w:hint="eastAsia" w:ascii="宋体" w:hAnsi="宋体" w:eastAsia="宋体" w:cs="宋体"/>
          <w:sz w:val="22"/>
          <w:szCs w:val="22"/>
        </w:rPr>
        <w:t>，“×”表示不</w:t>
      </w:r>
      <w:r>
        <w:rPr>
          <w:rFonts w:hint="eastAsia" w:ascii="宋体" w:hAnsi="宋体" w:eastAsia="宋体" w:cs="宋体"/>
          <w:sz w:val="22"/>
          <w:szCs w:val="22"/>
          <w:lang w:eastAsia="zh-CN"/>
        </w:rPr>
        <w:t>合格</w:t>
      </w:r>
      <w:r>
        <w:rPr>
          <w:rFonts w:hint="eastAsia" w:ascii="宋体" w:hAnsi="宋体" w:eastAsia="宋体" w:cs="宋体"/>
          <w:sz w:val="22"/>
          <w:szCs w:val="22"/>
        </w:rPr>
        <w:t>；</w:t>
      </w:r>
    </w:p>
    <w:p>
      <w:pPr>
        <w:spacing w:line="360" w:lineRule="exact"/>
        <w:rPr>
          <w:rFonts w:hint="eastAsia" w:ascii="宋体" w:hAnsi="宋体" w:eastAsia="宋体" w:cs="宋体"/>
          <w:sz w:val="22"/>
          <w:szCs w:val="22"/>
        </w:rPr>
      </w:pPr>
      <w:r>
        <w:rPr>
          <w:rFonts w:hint="eastAsia" w:ascii="宋体" w:hAnsi="宋体" w:eastAsia="宋体" w:cs="宋体"/>
          <w:sz w:val="22"/>
          <w:szCs w:val="22"/>
        </w:rPr>
        <w:t>（2）上述各项中如有一项为“×”，则结论为“×”，表示该响应文件中存在重大偏差，不能通过初步评审；评委对某一分项评审认为不合格时，必须要写明原因。</w:t>
      </w:r>
    </w:p>
    <w:p>
      <w:pPr>
        <w:spacing w:line="360" w:lineRule="exact"/>
        <w:rPr>
          <w:rFonts w:hint="eastAsia" w:ascii="宋体" w:hAnsi="宋体" w:eastAsia="宋体" w:cs="宋体"/>
          <w:sz w:val="22"/>
          <w:szCs w:val="22"/>
        </w:rPr>
      </w:pPr>
      <w:r>
        <w:rPr>
          <w:rFonts w:hint="eastAsia" w:ascii="宋体" w:hAnsi="宋体" w:eastAsia="宋体" w:cs="宋体"/>
          <w:sz w:val="22"/>
          <w:szCs w:val="22"/>
        </w:rPr>
        <w:t>（3）响应文件最终</w:t>
      </w:r>
      <w:r>
        <w:rPr>
          <w:rFonts w:hint="eastAsia" w:ascii="宋体" w:hAnsi="宋体" w:eastAsia="宋体" w:cs="宋体"/>
          <w:sz w:val="22"/>
          <w:szCs w:val="22"/>
          <w:lang w:eastAsia="zh-CN"/>
        </w:rPr>
        <w:t>通过</w:t>
      </w:r>
      <w:r>
        <w:rPr>
          <w:rFonts w:hint="eastAsia" w:ascii="宋体" w:hAnsi="宋体" w:eastAsia="宋体" w:cs="宋体"/>
          <w:sz w:val="22"/>
          <w:szCs w:val="22"/>
        </w:rPr>
        <w:t>与否，以所有评委的评审意见中少数服从多数为原则定论。</w:t>
      </w:r>
    </w:p>
    <w:p>
      <w:pPr>
        <w:spacing w:line="360" w:lineRule="auto"/>
        <w:rPr>
          <w:rFonts w:hint="eastAsia" w:ascii="宋体" w:hAnsi="宋体" w:eastAsia="宋体" w:cs="宋体"/>
        </w:rPr>
      </w:pPr>
      <w:r>
        <w:rPr>
          <w:rFonts w:hint="eastAsia" w:ascii="宋体" w:hAnsi="宋体" w:eastAsia="宋体" w:cs="宋体"/>
          <w:b/>
          <w:bCs/>
          <w:sz w:val="22"/>
          <w:szCs w:val="22"/>
        </w:rPr>
        <w:t>备注：如果响应文件中有一项未通过上述审查标准，谈判小组会将认定整个响应文件未响应谈判文件而予以无效处理。</w:t>
      </w:r>
    </w:p>
    <w:p>
      <w:pPr>
        <w:pStyle w:val="5"/>
        <w:jc w:val="center"/>
        <w:rPr>
          <w:rFonts w:hint="eastAsia" w:ascii="宋体" w:hAnsi="宋体" w:eastAsia="宋体" w:cs="宋体"/>
          <w:b w:val="0"/>
          <w:bCs/>
          <w:sz w:val="32"/>
          <w:szCs w:val="21"/>
        </w:rPr>
      </w:pPr>
      <w:bookmarkStart w:id="518" w:name="_Toc27265"/>
      <w:r>
        <w:rPr>
          <w:rFonts w:hint="eastAsia" w:ascii="宋体" w:hAnsi="宋体" w:eastAsia="宋体" w:cs="宋体"/>
          <w:b w:val="0"/>
          <w:bCs/>
          <w:sz w:val="32"/>
          <w:szCs w:val="21"/>
        </w:rPr>
        <w:t>初步评审—符合性审查表</w:t>
      </w:r>
      <w:bookmarkEnd w:id="518"/>
    </w:p>
    <w:tbl>
      <w:tblPr>
        <w:tblStyle w:val="22"/>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pacing w:val="-2"/>
                <w:sz w:val="22"/>
                <w:szCs w:val="22"/>
              </w:rPr>
            </w:pPr>
            <w:r>
              <w:rPr>
                <w:rFonts w:hint="eastAsia" w:ascii="宋体" w:hAnsi="宋体" w:eastAsia="宋体" w:cs="宋体"/>
                <w:b/>
                <w:spacing w:val="-2"/>
                <w:sz w:val="22"/>
                <w:szCs w:val="22"/>
              </w:rPr>
              <w:t>评审内容</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r>
              <w:rPr>
                <w:rFonts w:hint="eastAsia" w:ascii="宋体" w:hAnsi="宋体" w:eastAsia="宋体" w:cs="宋体"/>
                <w:b/>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lang w:eastAsia="zh-CN"/>
              </w:rPr>
            </w:pPr>
            <w:r>
              <w:rPr>
                <w:rFonts w:hint="eastAsia" w:ascii="宋体" w:hAnsi="宋体" w:eastAsia="宋体" w:cs="宋体"/>
                <w:spacing w:val="-2"/>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谈判报价</w:t>
            </w:r>
            <w:r>
              <w:rPr>
                <w:rFonts w:hint="eastAsia" w:ascii="宋体" w:hAnsi="宋体" w:eastAsia="宋体" w:cs="宋体"/>
                <w:kern w:val="0"/>
                <w:sz w:val="22"/>
                <w:szCs w:val="22"/>
                <w:lang w:val="en-US" w:eastAsia="zh-CN"/>
              </w:rPr>
              <w:t>没有超过</w:t>
            </w:r>
            <w:r>
              <w:rPr>
                <w:rFonts w:hint="eastAsia" w:ascii="宋体" w:hAnsi="宋体" w:eastAsia="宋体" w:cs="宋体"/>
                <w:kern w:val="0"/>
                <w:sz w:val="22"/>
                <w:szCs w:val="22"/>
              </w:rPr>
              <w:t>预算金额；</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供应商之间或者供应商与采购人没有串通参加谈判；</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没有以行贿手段谋取成交或者以其他弄虚作假方式参加谈判；</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响应文件有供应商法定代表人或其授权代表签字（章）和加盖供应商公章（响应文件正本的印章和签字为原件）；</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项目完成期限不高于谈判文件规定期限；</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响应文件载明的技术规格、技术标准，符合谈判文件要求；</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供应商附有详细地址、联系人、电话标明；</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响应文件没有散页、活页、未胶装；</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不同供应商的响应文件不存在错漏一致的情况；</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响应文件无附有采购人不能接受条件的；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谈判小组共同确定没有实质上不响应谈判文件要求的其他情形。</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spacing w:val="-2"/>
                <w:sz w:val="22"/>
                <w:szCs w:val="22"/>
              </w:rPr>
            </w:pPr>
            <w:r>
              <w:rPr>
                <w:rFonts w:hint="eastAsia" w:ascii="宋体" w:hAnsi="宋体" w:eastAsia="宋体" w:cs="宋体"/>
                <w:spacing w:val="-2"/>
                <w:sz w:val="22"/>
                <w:szCs w:val="22"/>
              </w:rPr>
              <w:t>结论：通过评审打“√”，未通过评审打“×”</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spacing w:val="-2"/>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（1）上述各项中用“√”表示</w:t>
      </w:r>
      <w:r>
        <w:rPr>
          <w:rFonts w:hint="eastAsia" w:ascii="宋体" w:hAnsi="宋体" w:eastAsia="宋体" w:cs="宋体"/>
          <w:sz w:val="22"/>
          <w:szCs w:val="22"/>
          <w:lang w:eastAsia="zh-CN"/>
        </w:rPr>
        <w:t>合格</w:t>
      </w:r>
      <w:r>
        <w:rPr>
          <w:rFonts w:hint="eastAsia" w:ascii="宋体" w:hAnsi="宋体" w:eastAsia="宋体" w:cs="宋体"/>
          <w:sz w:val="22"/>
          <w:szCs w:val="22"/>
        </w:rPr>
        <w:t>，“×”表示不</w:t>
      </w:r>
      <w:r>
        <w:rPr>
          <w:rFonts w:hint="eastAsia" w:ascii="宋体" w:hAnsi="宋体" w:eastAsia="宋体" w:cs="宋体"/>
          <w:sz w:val="22"/>
          <w:szCs w:val="22"/>
          <w:lang w:eastAsia="zh-CN"/>
        </w:rPr>
        <w:t>合格</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（2）上述各项中如有一项为“×”，则结论为“</w:t>
      </w:r>
      <w:r>
        <w:rPr>
          <w:rFonts w:hint="eastAsia" w:ascii="宋体" w:hAnsi="宋体" w:eastAsia="宋体" w:cs="宋体"/>
          <w:sz w:val="22"/>
          <w:szCs w:val="22"/>
          <w:lang w:eastAsia="zh-CN"/>
        </w:rPr>
        <w:t>不通过</w:t>
      </w:r>
      <w:r>
        <w:rPr>
          <w:rFonts w:hint="eastAsia" w:ascii="宋体" w:hAnsi="宋体" w:eastAsia="宋体" w:cs="宋体"/>
          <w:sz w:val="22"/>
          <w:szCs w:val="22"/>
        </w:rPr>
        <w:t>”，表示该响应文件中存在重大偏差，不能通过初步评审；评委对某一分项评审认为不合格时，必须要写明原因。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（3）响应文件最终合格与否，以所有评委的评审意见中少数服从多数为原则定论。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备注：如果响应文件中有一项未通过上述审查标准，谈判小组会将认定整个响应文件未响应谈判文件而予以无效处理。</w:t>
      </w:r>
    </w:p>
    <w:p>
      <w:pPr>
        <w:pStyle w:val="21"/>
        <w:rPr>
          <w:rFonts w:hint="eastAsia" w:ascii="宋体" w:hAnsi="宋体" w:eastAsia="宋体" w:cs="宋体"/>
          <w:b/>
          <w:bCs/>
          <w:sz w:val="22"/>
          <w:szCs w:val="22"/>
        </w:rPr>
      </w:pPr>
    </w:p>
    <w:p>
      <w:pPr>
        <w:pStyle w:val="21"/>
        <w:rPr>
          <w:rFonts w:hint="eastAsia" w:ascii="宋体" w:hAnsi="宋体" w:eastAsia="宋体" w:cs="宋体"/>
          <w:b/>
          <w:bCs/>
          <w:sz w:val="22"/>
          <w:szCs w:val="22"/>
        </w:rPr>
      </w:pPr>
    </w:p>
    <w:p>
      <w:pPr>
        <w:pStyle w:val="21"/>
        <w:rPr>
          <w:rFonts w:hint="eastAsia" w:ascii="宋体" w:hAnsi="宋体" w:eastAsia="宋体" w:cs="宋体"/>
          <w:b/>
          <w:bCs/>
          <w:sz w:val="22"/>
          <w:szCs w:val="22"/>
        </w:rPr>
      </w:pPr>
    </w:p>
    <w:p>
      <w:pPr>
        <w:pStyle w:val="18"/>
        <w:rPr>
          <w:rFonts w:hint="eastAsia" w:ascii="宋体" w:hAnsi="宋体" w:eastAsia="宋体" w:cs="宋体"/>
          <w:sz w:val="22"/>
          <w:szCs w:val="22"/>
        </w:rPr>
      </w:pPr>
    </w:p>
    <w:tbl>
      <w:tblPr>
        <w:tblStyle w:val="22"/>
        <w:tblW w:w="9648" w:type="dxa"/>
        <w:tblInd w:w="-539" w:type="dxa"/>
        <w:tblLayout w:type="fixed"/>
        <w:tblCellMar>
          <w:top w:w="0" w:type="dxa"/>
          <w:left w:w="108" w:type="dxa"/>
          <w:bottom w:w="0" w:type="dxa"/>
          <w:right w:w="108" w:type="dxa"/>
        </w:tblCellMar>
      </w:tblPr>
      <w:tblGrid>
        <w:gridCol w:w="2627"/>
        <w:gridCol w:w="4575"/>
        <w:gridCol w:w="857"/>
        <w:gridCol w:w="804"/>
        <w:gridCol w:w="785"/>
      </w:tblGrid>
      <w:tr>
        <w:tblPrEx>
          <w:tblCellMar>
            <w:top w:w="0" w:type="dxa"/>
            <w:left w:w="108" w:type="dxa"/>
            <w:bottom w:w="0" w:type="dxa"/>
            <w:right w:w="108" w:type="dxa"/>
          </w:tblCellMar>
        </w:tblPrEx>
        <w:trPr>
          <w:trHeight w:val="585" w:hRule="atLeast"/>
        </w:trPr>
        <w:tc>
          <w:tcPr>
            <w:tcW w:w="9648" w:type="dxa"/>
            <w:gridSpan w:val="5"/>
            <w:tcBorders>
              <w:top w:val="nil"/>
              <w:left w:val="nil"/>
              <w:bottom w:val="single" w:color="auto" w:sz="4" w:space="0"/>
              <w:right w:val="nil"/>
            </w:tcBorders>
            <w:noWrap w:val="0"/>
            <w:vAlign w:val="center"/>
          </w:tcPr>
          <w:p>
            <w:pPr>
              <w:widowControl/>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商务符合性审查表</w:t>
            </w:r>
          </w:p>
        </w:tc>
      </w:tr>
      <w:tr>
        <w:tblPrEx>
          <w:tblCellMar>
            <w:top w:w="0" w:type="dxa"/>
            <w:left w:w="108" w:type="dxa"/>
            <w:bottom w:w="0" w:type="dxa"/>
            <w:right w:w="108" w:type="dxa"/>
          </w:tblCellMar>
        </w:tblPrEx>
        <w:trPr>
          <w:trHeight w:val="566" w:hRule="atLeast"/>
        </w:trPr>
        <w:tc>
          <w:tcPr>
            <w:tcW w:w="720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审查事项</w:t>
            </w:r>
          </w:p>
        </w:tc>
        <w:tc>
          <w:tcPr>
            <w:tcW w:w="244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供应商名称及审查情况</w:t>
            </w:r>
          </w:p>
        </w:tc>
      </w:tr>
      <w:tr>
        <w:trPr>
          <w:trHeight w:val="57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谈判文件条款（供应商须知、供应商须知资料表条款号）</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本项目要求</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rPr>
          <w:trHeight w:val="9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中小企业谈判要求</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本项目</w:t>
            </w:r>
            <w:r>
              <w:rPr>
                <w:rFonts w:hint="eastAsia" w:ascii="宋体" w:hAnsi="宋体" w:eastAsia="宋体" w:cs="宋体"/>
                <w:i w:val="0"/>
                <w:iCs w:val="0"/>
                <w:kern w:val="0"/>
                <w:sz w:val="22"/>
                <w:szCs w:val="22"/>
                <w:highlight w:val="none"/>
                <w:u w:val="single"/>
              </w:rPr>
              <w:t>适用</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联合体参加规定</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本项目</w:t>
            </w:r>
            <w:r>
              <w:rPr>
                <w:rFonts w:hint="eastAsia" w:ascii="宋体" w:hAnsi="宋体" w:eastAsia="宋体" w:cs="宋体"/>
                <w:i w:val="0"/>
                <w:iCs w:val="0"/>
                <w:kern w:val="0"/>
                <w:sz w:val="22"/>
                <w:szCs w:val="22"/>
                <w:highlight w:val="none"/>
                <w:u w:val="single"/>
              </w:rPr>
              <w:t>不接受</w:t>
            </w:r>
            <w:r>
              <w:rPr>
                <w:rFonts w:hint="eastAsia" w:ascii="宋体" w:hAnsi="宋体" w:eastAsia="宋体" w:cs="宋体"/>
                <w:i w:val="0"/>
                <w:iCs w:val="0"/>
                <w:kern w:val="0"/>
                <w:sz w:val="22"/>
                <w:szCs w:val="22"/>
                <w:highlight w:val="none"/>
              </w:rPr>
              <w:t>联合体参加</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rPr>
          <w:trHeight w:val="699"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供应商的关联性</w:t>
            </w:r>
          </w:p>
          <w:p>
            <w:pPr>
              <w:widowControl/>
              <w:jc w:val="both"/>
              <w:rPr>
                <w:rFonts w:hint="eastAsia" w:ascii="宋体" w:hAnsi="宋体" w:eastAsia="宋体" w:cs="宋体"/>
                <w:i w:val="0"/>
                <w:iCs w:val="0"/>
                <w:kern w:val="0"/>
                <w:sz w:val="22"/>
                <w:szCs w:val="22"/>
                <w:highlight w:val="none"/>
              </w:rPr>
            </w:pP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在同一标包内，单位负责人为非同一人或者不存在直接控股、管理关系的不同供应商。</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trHeight w:val="678"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未发现影响采购人决策行为</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供应商在谈判过程中未向采购人提供、给予任何有价值的物品，影响其正常决策行为。</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rPr>
          <w:trHeight w:val="1038"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满足谈判范围的完整性要求</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供应商对所投分包谈判文件中所列的所有内容进行谈判。</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rPr>
          <w:trHeight w:val="731"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未包含价格调整要求</w:t>
            </w:r>
          </w:p>
          <w:p>
            <w:pPr>
              <w:widowControl/>
              <w:jc w:val="center"/>
              <w:rPr>
                <w:rFonts w:hint="eastAsia" w:ascii="宋体" w:hAnsi="宋体" w:eastAsia="宋体" w:cs="宋体"/>
                <w:i w:val="0"/>
                <w:iCs w:val="0"/>
                <w:kern w:val="0"/>
                <w:sz w:val="22"/>
                <w:szCs w:val="22"/>
                <w:highlight w:val="none"/>
              </w:rPr>
            </w:pP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供应商所报的各分项报价在合同履行过程中是固定不变的，不得以任何理由予以变更。</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谈判保证金</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符合谈判文件要求</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trHeight w:val="651"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谈判有效期满足要求</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自提交响应文件截止之日起</w:t>
            </w:r>
            <w:r>
              <w:rPr>
                <w:rFonts w:hint="eastAsia" w:ascii="宋体" w:hAnsi="宋体" w:eastAsia="宋体" w:cs="宋体"/>
                <w:i w:val="0"/>
                <w:iCs w:val="0"/>
                <w:sz w:val="22"/>
                <w:szCs w:val="22"/>
                <w:highlight w:val="none"/>
                <w:u w:val="single"/>
              </w:rPr>
              <w:t xml:space="preserve"> </w:t>
            </w:r>
            <w:r>
              <w:rPr>
                <w:rFonts w:hint="eastAsia" w:ascii="宋体" w:hAnsi="宋体" w:eastAsia="宋体" w:cs="宋体"/>
                <w:i w:val="0"/>
                <w:iCs w:val="0"/>
                <w:sz w:val="22"/>
                <w:szCs w:val="22"/>
                <w:highlight w:val="none"/>
                <w:u w:val="single"/>
                <w:lang w:val="en-US" w:eastAsia="zh-CN"/>
              </w:rPr>
              <w:t>60</w:t>
            </w:r>
            <w:r>
              <w:rPr>
                <w:rFonts w:hint="eastAsia" w:ascii="宋体" w:hAnsi="宋体" w:eastAsia="宋体" w:cs="宋体"/>
                <w:i w:val="0"/>
                <w:iCs w:val="0"/>
                <w:sz w:val="22"/>
                <w:szCs w:val="22"/>
                <w:highlight w:val="none"/>
                <w:u w:val="none"/>
              </w:rPr>
              <w:t>日</w:t>
            </w:r>
            <w:r>
              <w:rPr>
                <w:rFonts w:hint="eastAsia" w:ascii="宋体" w:hAnsi="宋体" w:eastAsia="宋体" w:cs="宋体"/>
                <w:i w:val="0"/>
                <w:iCs w:val="0"/>
                <w:sz w:val="22"/>
                <w:szCs w:val="22"/>
                <w:highlight w:val="none"/>
              </w:rPr>
              <w:t>历日内</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trHeight w:val="624"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响应文件的装订方式</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所有响应文件采用不可拆装的胶订方式装订</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rPr>
          <w:trHeight w:val="57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响应文件的签署和盖章符合要求</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按照谈判文件规定要求签署、盖章。</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接受价格的算术修正</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响应文件报价出现前后不一致的，应按照谈判文件规定的顺序修正。修正后的报价经供应商确认后产生约束力。</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trHeight w:val="684"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未发现串通谈判</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未与其他供应商串通参加谈判，或者与采购人串通参加谈判。</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trHeight w:val="510"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报价说明可以接受</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供应商的报价明显低于其他通过符合性检查供应商的报价，有可能影响履约的，供应商能按照规定证明其报价合理性。</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r>
              <w:rPr>
                <w:rFonts w:hint="eastAsia" w:ascii="宋体" w:hAnsi="宋体" w:eastAsia="宋体" w:cs="宋体"/>
                <w:i w:val="0"/>
                <w:iCs w:val="0"/>
                <w:kern w:val="0"/>
                <w:sz w:val="22"/>
                <w:szCs w:val="22"/>
                <w:highlight w:val="none"/>
              </w:rPr>
              <w:t>　</w:t>
            </w:r>
          </w:p>
        </w:tc>
      </w:tr>
      <w:tr>
        <w:tblPrEx>
          <w:tblCellMar>
            <w:top w:w="0" w:type="dxa"/>
            <w:left w:w="108" w:type="dxa"/>
            <w:bottom w:w="0" w:type="dxa"/>
            <w:right w:w="108" w:type="dxa"/>
          </w:tblCellMar>
        </w:tblPrEx>
        <w:trPr>
          <w:trHeight w:val="722" w:hRule="atLeast"/>
        </w:trPr>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无采购人不能接受的附加条件</w:t>
            </w:r>
          </w:p>
        </w:tc>
        <w:tc>
          <w:tcPr>
            <w:tcW w:w="45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kern w:val="0"/>
                <w:sz w:val="22"/>
                <w:szCs w:val="22"/>
                <w:highlight w:val="none"/>
              </w:rPr>
            </w:pPr>
            <w:r>
              <w:rPr>
                <w:rFonts w:hint="eastAsia" w:ascii="宋体" w:hAnsi="宋体" w:eastAsia="宋体" w:cs="宋体"/>
                <w:i w:val="0"/>
                <w:iCs w:val="0"/>
                <w:sz w:val="22"/>
                <w:szCs w:val="22"/>
                <w:highlight w:val="none"/>
              </w:rPr>
              <w:t>响应文件未含有采购人不能接受的附加条件。</w:t>
            </w:r>
          </w:p>
        </w:tc>
        <w:tc>
          <w:tcPr>
            <w:tcW w:w="85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i w:val="0"/>
                <w:iCs w:val="0"/>
                <w:kern w:val="0"/>
                <w:sz w:val="22"/>
                <w:szCs w:val="22"/>
                <w:highlight w:val="none"/>
              </w:rPr>
            </w:pPr>
          </w:p>
        </w:tc>
      </w:tr>
      <w:tr>
        <w:tblPrEx>
          <w:tblCellMar>
            <w:top w:w="0" w:type="dxa"/>
            <w:left w:w="108" w:type="dxa"/>
            <w:bottom w:w="0" w:type="dxa"/>
            <w:right w:w="108" w:type="dxa"/>
          </w:tblCellMar>
        </w:tblPrEx>
        <w:trPr>
          <w:trHeight w:val="617" w:hRule="atLeast"/>
        </w:trPr>
        <w:tc>
          <w:tcPr>
            <w:tcW w:w="720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sz w:val="22"/>
                <w:szCs w:val="22"/>
                <w:highlight w:val="none"/>
              </w:rPr>
            </w:pPr>
            <w:r>
              <w:rPr>
                <w:rFonts w:hint="eastAsia" w:ascii="宋体" w:hAnsi="宋体" w:eastAsia="宋体" w:cs="宋体"/>
                <w:b/>
                <w:kern w:val="0"/>
                <w:sz w:val="22"/>
                <w:szCs w:val="22"/>
                <w:highlight w:val="none"/>
              </w:rPr>
              <w:t>结论</w:t>
            </w:r>
          </w:p>
        </w:tc>
        <w:tc>
          <w:tcPr>
            <w:tcW w:w="8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p>
        </w:tc>
        <w:tc>
          <w:tcPr>
            <w:tcW w:w="80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p>
        </w:tc>
        <w:tc>
          <w:tcPr>
            <w:tcW w:w="7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highlight w:val="none"/>
              </w:rPr>
            </w:pPr>
          </w:p>
        </w:tc>
      </w:tr>
    </w:tbl>
    <w:p>
      <w:pPr>
        <w:ind w:firstLine="3213" w:firstLineChars="1000"/>
        <w:jc w:val="left"/>
        <w:rPr>
          <w:rFonts w:hint="eastAsia" w:ascii="宋体" w:hAnsi="宋体" w:cs="宋体"/>
          <w:b/>
          <w:bCs/>
          <w:kern w:val="0"/>
          <w:sz w:val="32"/>
          <w:szCs w:val="32"/>
        </w:rPr>
      </w:pPr>
      <w:r>
        <w:rPr>
          <w:rFonts w:hint="eastAsia" w:ascii="宋体" w:hAnsi="宋体" w:cs="宋体"/>
          <w:b/>
          <w:bCs/>
          <w:kern w:val="0"/>
          <w:sz w:val="32"/>
          <w:szCs w:val="32"/>
        </w:rPr>
        <w:t>技术符合性审查表</w:t>
      </w:r>
    </w:p>
    <w:tbl>
      <w:tblPr>
        <w:tblStyle w:val="22"/>
        <w:tblpPr w:leftFromText="180" w:rightFromText="180" w:vertAnchor="text" w:horzAnchor="margin" w:tblpY="24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3960"/>
        <w:gridCol w:w="1197"/>
        <w:gridCol w:w="993"/>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648" w:type="dxa"/>
            <w:vMerge w:val="restart"/>
            <w:noWrap w:val="0"/>
            <w:vAlign w:val="center"/>
          </w:tcPr>
          <w:p>
            <w:pPr>
              <w:jc w:val="center"/>
              <w:rPr>
                <w:rFonts w:hint="eastAsia" w:ascii="宋体" w:hAnsi="宋体"/>
                <w:b/>
                <w:color w:val="000000"/>
              </w:rPr>
            </w:pPr>
            <w:r>
              <w:rPr>
                <w:rFonts w:hint="eastAsia" w:ascii="宋体" w:hAnsi="宋体"/>
                <w:b/>
                <w:color w:val="000000"/>
              </w:rPr>
              <w:t>项目</w:t>
            </w:r>
          </w:p>
        </w:tc>
        <w:tc>
          <w:tcPr>
            <w:tcW w:w="4500" w:type="dxa"/>
            <w:gridSpan w:val="2"/>
            <w:vMerge w:val="restart"/>
            <w:noWrap w:val="0"/>
            <w:vAlign w:val="center"/>
          </w:tcPr>
          <w:p>
            <w:pPr>
              <w:jc w:val="center"/>
              <w:rPr>
                <w:rFonts w:hint="eastAsia" w:ascii="宋体" w:hAnsi="宋体"/>
                <w:b/>
                <w:color w:val="000000"/>
              </w:rPr>
            </w:pPr>
            <w:r>
              <w:rPr>
                <w:rFonts w:hint="eastAsia" w:ascii="宋体" w:hAnsi="宋体" w:cs="宋体"/>
                <w:b/>
                <w:kern w:val="0"/>
                <w:sz w:val="22"/>
                <w:szCs w:val="22"/>
              </w:rPr>
              <w:t>审查事项</w:t>
            </w:r>
          </w:p>
        </w:tc>
        <w:tc>
          <w:tcPr>
            <w:tcW w:w="4316" w:type="dxa"/>
            <w:gridSpan w:val="4"/>
            <w:tcBorders>
              <w:bottom w:val="single" w:color="auto" w:sz="4" w:space="0"/>
            </w:tcBorders>
            <w:noWrap w:val="0"/>
            <w:vAlign w:val="center"/>
          </w:tcPr>
          <w:p>
            <w:pPr>
              <w:jc w:val="center"/>
              <w:rPr>
                <w:rFonts w:hint="eastAsia" w:ascii="宋体" w:hAnsi="宋体"/>
                <w:color w:val="000000"/>
              </w:rPr>
            </w:pPr>
            <w:r>
              <w:rPr>
                <w:rFonts w:hint="eastAsia" w:ascii="宋体" w:hAnsi="宋体" w:cs="宋体"/>
                <w:b/>
                <w:kern w:val="0"/>
                <w:sz w:val="22"/>
                <w:szCs w:val="22"/>
              </w:rPr>
              <w:t>投标人名称及审查情况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648" w:type="dxa"/>
            <w:vMerge w:val="continue"/>
            <w:noWrap w:val="0"/>
            <w:vAlign w:val="center"/>
          </w:tcPr>
          <w:p>
            <w:pPr>
              <w:jc w:val="center"/>
              <w:rPr>
                <w:rFonts w:hint="eastAsia" w:ascii="宋体" w:hAnsi="宋体"/>
                <w:b/>
                <w:color w:val="000000"/>
                <w:sz w:val="18"/>
              </w:rPr>
            </w:pPr>
          </w:p>
        </w:tc>
        <w:tc>
          <w:tcPr>
            <w:tcW w:w="4500" w:type="dxa"/>
            <w:gridSpan w:val="2"/>
            <w:vMerge w:val="continue"/>
            <w:noWrap w:val="0"/>
            <w:vAlign w:val="center"/>
          </w:tcPr>
          <w:p>
            <w:pPr>
              <w:jc w:val="center"/>
              <w:rPr>
                <w:rFonts w:hint="eastAsia" w:ascii="宋体" w:hAnsi="宋体"/>
                <w:b/>
                <w:color w:val="000000"/>
                <w:sz w:val="18"/>
              </w:rPr>
            </w:pPr>
          </w:p>
        </w:tc>
        <w:tc>
          <w:tcPr>
            <w:tcW w:w="1197" w:type="dxa"/>
            <w:noWrap w:val="0"/>
            <w:vAlign w:val="center"/>
          </w:tcPr>
          <w:p>
            <w:pPr>
              <w:jc w:val="center"/>
              <w:rPr>
                <w:rFonts w:hint="eastAsia" w:ascii="宋体" w:hAnsi="宋体"/>
                <w:color w:val="000000"/>
                <w:sz w:val="18"/>
              </w:rPr>
            </w:pPr>
            <w:r>
              <w:rPr>
                <w:rFonts w:hint="eastAsia" w:ascii="宋体" w:hAnsi="宋体"/>
                <w:color w:val="000000"/>
                <w:sz w:val="18"/>
              </w:rPr>
              <w:t>1</w:t>
            </w:r>
          </w:p>
        </w:tc>
        <w:tc>
          <w:tcPr>
            <w:tcW w:w="993" w:type="dxa"/>
            <w:noWrap w:val="0"/>
            <w:vAlign w:val="center"/>
          </w:tcPr>
          <w:p>
            <w:pPr>
              <w:jc w:val="center"/>
              <w:rPr>
                <w:rFonts w:hint="eastAsia" w:ascii="宋体" w:hAnsi="宋体"/>
                <w:color w:val="000000"/>
                <w:sz w:val="18"/>
              </w:rPr>
            </w:pPr>
            <w:r>
              <w:rPr>
                <w:rFonts w:hint="eastAsia" w:ascii="宋体" w:hAnsi="宋体"/>
                <w:color w:val="000000"/>
                <w:sz w:val="18"/>
              </w:rPr>
              <w:t>2</w:t>
            </w:r>
          </w:p>
        </w:tc>
        <w:tc>
          <w:tcPr>
            <w:tcW w:w="1134" w:type="dxa"/>
            <w:noWrap w:val="0"/>
            <w:vAlign w:val="center"/>
          </w:tcPr>
          <w:p>
            <w:pPr>
              <w:jc w:val="center"/>
              <w:rPr>
                <w:rFonts w:hint="eastAsia" w:ascii="宋体" w:hAnsi="宋体"/>
                <w:color w:val="000000"/>
                <w:sz w:val="18"/>
              </w:rPr>
            </w:pPr>
            <w:r>
              <w:rPr>
                <w:rFonts w:hint="eastAsia" w:ascii="宋体" w:hAnsi="宋体"/>
                <w:color w:val="000000"/>
                <w:sz w:val="18"/>
              </w:rPr>
              <w:t>3</w:t>
            </w:r>
          </w:p>
        </w:tc>
        <w:tc>
          <w:tcPr>
            <w:tcW w:w="992" w:type="dxa"/>
            <w:noWrap w:val="0"/>
            <w:vAlign w:val="center"/>
          </w:tcPr>
          <w:p>
            <w:pPr>
              <w:jc w:val="center"/>
              <w:rPr>
                <w:rFonts w:hint="eastAsia" w:ascii="宋体" w:hAnsi="宋体"/>
                <w:color w:val="000000"/>
                <w:sz w:val="18"/>
              </w:rPr>
            </w:pPr>
            <w:r>
              <w:rPr>
                <w:rFonts w:hint="eastAsia" w:ascii="宋体" w:hAnsi="宋体"/>
                <w:color w:val="000000"/>
                <w:sz w:val="18"/>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restart"/>
            <w:noWrap w:val="0"/>
            <w:vAlign w:val="center"/>
          </w:tcPr>
          <w:p>
            <w:pPr>
              <w:jc w:val="center"/>
              <w:rPr>
                <w:rFonts w:hint="eastAsia" w:ascii="宋体" w:hAnsi="宋体"/>
                <w:color w:val="000000"/>
                <w:szCs w:val="21"/>
              </w:rPr>
            </w:pPr>
            <w:r>
              <w:rPr>
                <w:rFonts w:hint="eastAsia" w:ascii="宋体" w:hAnsi="宋体"/>
                <w:b/>
                <w:color w:val="000000"/>
                <w:szCs w:val="21"/>
              </w:rPr>
              <w:t>技术符合性审查标准</w:t>
            </w:r>
          </w:p>
        </w:tc>
        <w:tc>
          <w:tcPr>
            <w:tcW w:w="540" w:type="dxa"/>
            <w:noWrap w:val="0"/>
            <w:vAlign w:val="center"/>
          </w:tcPr>
          <w:p>
            <w:pPr>
              <w:rPr>
                <w:rFonts w:hint="eastAsia" w:ascii="宋体" w:hAnsi="宋体"/>
                <w:color w:val="000000"/>
                <w:szCs w:val="21"/>
              </w:rPr>
            </w:pPr>
            <w:r>
              <w:rPr>
                <w:rFonts w:hint="eastAsia" w:ascii="宋体" w:hAnsi="宋体"/>
                <w:color w:val="000000"/>
                <w:szCs w:val="21"/>
              </w:rPr>
              <w:t>1</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施工方案与技术措施</w:t>
            </w:r>
          </w:p>
        </w:tc>
        <w:tc>
          <w:tcPr>
            <w:tcW w:w="1197" w:type="dxa"/>
            <w:noWrap w:val="0"/>
            <w:vAlign w:val="center"/>
          </w:tcPr>
          <w:p>
            <w:pPr>
              <w:rPr>
                <w:rFonts w:hint="eastAsia" w:ascii="宋体" w:hAnsi="宋体"/>
                <w:color w:val="000000"/>
                <w:sz w:val="18"/>
              </w:rPr>
            </w:pPr>
          </w:p>
        </w:tc>
        <w:tc>
          <w:tcPr>
            <w:tcW w:w="993" w:type="dxa"/>
            <w:noWrap w:val="0"/>
            <w:vAlign w:val="center"/>
          </w:tcPr>
          <w:p>
            <w:pPr>
              <w:rPr>
                <w:rFonts w:hint="eastAsia" w:ascii="宋体" w:hAnsi="宋体"/>
                <w:color w:val="000000"/>
                <w:sz w:val="18"/>
              </w:rPr>
            </w:pPr>
          </w:p>
        </w:tc>
        <w:tc>
          <w:tcPr>
            <w:tcW w:w="1134" w:type="dxa"/>
            <w:noWrap w:val="0"/>
            <w:vAlign w:val="center"/>
          </w:tcPr>
          <w:p>
            <w:pPr>
              <w:rPr>
                <w:rFonts w:hint="eastAsia" w:ascii="宋体" w:hAnsi="宋体"/>
                <w:color w:val="000000"/>
                <w:sz w:val="18"/>
              </w:rPr>
            </w:pPr>
          </w:p>
        </w:tc>
        <w:tc>
          <w:tcPr>
            <w:tcW w:w="992"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2</w:t>
            </w:r>
          </w:p>
        </w:tc>
        <w:tc>
          <w:tcPr>
            <w:tcW w:w="3960" w:type="dxa"/>
            <w:noWrap w:val="0"/>
            <w:vAlign w:val="center"/>
          </w:tcPr>
          <w:p>
            <w:pPr>
              <w:rPr>
                <w:rFonts w:hint="eastAsia" w:ascii="宋体" w:hAnsi="宋体"/>
                <w:color w:val="000000"/>
                <w:szCs w:val="21"/>
              </w:rPr>
            </w:pPr>
            <w:r>
              <w:rPr>
                <w:rFonts w:hint="eastAsia" w:ascii="宋体" w:hAnsi="宋体"/>
                <w:color w:val="000000"/>
                <w:szCs w:val="21"/>
              </w:rPr>
              <w:t>质量保证措施计划</w:t>
            </w:r>
          </w:p>
        </w:tc>
        <w:tc>
          <w:tcPr>
            <w:tcW w:w="1197" w:type="dxa"/>
            <w:noWrap w:val="0"/>
            <w:vAlign w:val="center"/>
          </w:tcPr>
          <w:p>
            <w:pPr>
              <w:rPr>
                <w:rFonts w:hint="eastAsia" w:ascii="宋体" w:hAnsi="宋体"/>
                <w:color w:val="000000"/>
                <w:sz w:val="18"/>
              </w:rPr>
            </w:pPr>
          </w:p>
        </w:tc>
        <w:tc>
          <w:tcPr>
            <w:tcW w:w="993" w:type="dxa"/>
            <w:noWrap w:val="0"/>
            <w:vAlign w:val="center"/>
          </w:tcPr>
          <w:p>
            <w:pPr>
              <w:rPr>
                <w:rFonts w:hint="eastAsia" w:ascii="宋体" w:hAnsi="宋体"/>
                <w:color w:val="000000"/>
                <w:sz w:val="18"/>
              </w:rPr>
            </w:pPr>
          </w:p>
        </w:tc>
        <w:tc>
          <w:tcPr>
            <w:tcW w:w="1134" w:type="dxa"/>
            <w:noWrap w:val="0"/>
            <w:vAlign w:val="center"/>
          </w:tcPr>
          <w:p>
            <w:pPr>
              <w:rPr>
                <w:rFonts w:hint="eastAsia" w:ascii="宋体" w:hAnsi="宋体"/>
                <w:color w:val="000000"/>
                <w:sz w:val="18"/>
              </w:rPr>
            </w:pPr>
          </w:p>
        </w:tc>
        <w:tc>
          <w:tcPr>
            <w:tcW w:w="992"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3</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施工总进度计划及保证措施</w:t>
            </w:r>
          </w:p>
        </w:tc>
        <w:tc>
          <w:tcPr>
            <w:tcW w:w="1197" w:type="dxa"/>
            <w:noWrap w:val="0"/>
            <w:vAlign w:val="center"/>
          </w:tcPr>
          <w:p>
            <w:pPr>
              <w:rPr>
                <w:rFonts w:hint="eastAsia" w:ascii="宋体" w:hAnsi="宋体"/>
                <w:color w:val="000000"/>
                <w:sz w:val="18"/>
              </w:rPr>
            </w:pPr>
          </w:p>
        </w:tc>
        <w:tc>
          <w:tcPr>
            <w:tcW w:w="993" w:type="dxa"/>
            <w:noWrap w:val="0"/>
            <w:vAlign w:val="center"/>
          </w:tcPr>
          <w:p>
            <w:pPr>
              <w:rPr>
                <w:rFonts w:hint="eastAsia" w:ascii="宋体" w:hAnsi="宋体"/>
                <w:color w:val="000000"/>
                <w:sz w:val="18"/>
              </w:rPr>
            </w:pPr>
          </w:p>
        </w:tc>
        <w:tc>
          <w:tcPr>
            <w:tcW w:w="1134" w:type="dxa"/>
            <w:noWrap w:val="0"/>
            <w:vAlign w:val="center"/>
          </w:tcPr>
          <w:p>
            <w:pPr>
              <w:rPr>
                <w:rFonts w:hint="eastAsia" w:ascii="宋体" w:hAnsi="宋体"/>
                <w:color w:val="000000"/>
                <w:sz w:val="18"/>
              </w:rPr>
            </w:pPr>
          </w:p>
        </w:tc>
        <w:tc>
          <w:tcPr>
            <w:tcW w:w="992"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4</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施工安全措施计划</w:t>
            </w:r>
          </w:p>
        </w:tc>
        <w:tc>
          <w:tcPr>
            <w:tcW w:w="1197" w:type="dxa"/>
            <w:noWrap w:val="0"/>
            <w:vAlign w:val="center"/>
          </w:tcPr>
          <w:p>
            <w:pPr>
              <w:rPr>
                <w:rFonts w:hint="eastAsia" w:ascii="宋体" w:hAnsi="宋体"/>
                <w:color w:val="000000"/>
                <w:sz w:val="18"/>
              </w:rPr>
            </w:pPr>
          </w:p>
        </w:tc>
        <w:tc>
          <w:tcPr>
            <w:tcW w:w="993" w:type="dxa"/>
            <w:noWrap w:val="0"/>
            <w:vAlign w:val="center"/>
          </w:tcPr>
          <w:p>
            <w:pPr>
              <w:rPr>
                <w:rFonts w:hint="eastAsia" w:ascii="宋体" w:hAnsi="宋体"/>
                <w:color w:val="000000"/>
                <w:sz w:val="18"/>
              </w:rPr>
            </w:pPr>
          </w:p>
        </w:tc>
        <w:tc>
          <w:tcPr>
            <w:tcW w:w="1134" w:type="dxa"/>
            <w:noWrap w:val="0"/>
            <w:vAlign w:val="center"/>
          </w:tcPr>
          <w:p>
            <w:pPr>
              <w:rPr>
                <w:rFonts w:hint="eastAsia" w:ascii="宋体" w:hAnsi="宋体"/>
                <w:color w:val="000000"/>
                <w:sz w:val="18"/>
              </w:rPr>
            </w:pPr>
          </w:p>
        </w:tc>
        <w:tc>
          <w:tcPr>
            <w:tcW w:w="992"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5</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文明施工措施计划</w:t>
            </w:r>
          </w:p>
        </w:tc>
        <w:tc>
          <w:tcPr>
            <w:tcW w:w="1197" w:type="dxa"/>
            <w:tcBorders>
              <w:bottom w:val="single" w:color="auto" w:sz="4" w:space="0"/>
            </w:tcBorders>
            <w:noWrap w:val="0"/>
            <w:vAlign w:val="center"/>
          </w:tcPr>
          <w:p>
            <w:pPr>
              <w:rPr>
                <w:rFonts w:hint="eastAsia" w:ascii="宋体" w:hAnsi="宋体"/>
                <w:color w:val="000000"/>
                <w:sz w:val="18"/>
              </w:rPr>
            </w:pPr>
          </w:p>
        </w:tc>
        <w:tc>
          <w:tcPr>
            <w:tcW w:w="993" w:type="dxa"/>
            <w:tcBorders>
              <w:bottom w:val="single" w:color="auto" w:sz="4" w:space="0"/>
            </w:tcBorders>
            <w:noWrap w:val="0"/>
            <w:vAlign w:val="center"/>
          </w:tcPr>
          <w:p>
            <w:pPr>
              <w:rPr>
                <w:rFonts w:hint="eastAsia" w:ascii="宋体" w:hAnsi="宋体"/>
                <w:color w:val="000000"/>
                <w:sz w:val="18"/>
              </w:rPr>
            </w:pPr>
          </w:p>
        </w:tc>
        <w:tc>
          <w:tcPr>
            <w:tcW w:w="1134" w:type="dxa"/>
            <w:tcBorders>
              <w:bottom w:val="single" w:color="auto" w:sz="4" w:space="0"/>
            </w:tcBorders>
            <w:noWrap w:val="0"/>
            <w:vAlign w:val="center"/>
          </w:tcPr>
          <w:p>
            <w:pPr>
              <w:rPr>
                <w:rFonts w:hint="eastAsia" w:ascii="宋体" w:hAnsi="宋体"/>
                <w:color w:val="000000"/>
                <w:sz w:val="18"/>
              </w:rPr>
            </w:pPr>
          </w:p>
        </w:tc>
        <w:tc>
          <w:tcPr>
            <w:tcW w:w="992"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6</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施工扬尘防治计划</w:t>
            </w:r>
          </w:p>
        </w:tc>
        <w:tc>
          <w:tcPr>
            <w:tcW w:w="1197" w:type="dxa"/>
            <w:tcBorders>
              <w:bottom w:val="single" w:color="auto" w:sz="4" w:space="0"/>
            </w:tcBorders>
            <w:noWrap w:val="0"/>
            <w:vAlign w:val="center"/>
          </w:tcPr>
          <w:p>
            <w:pPr>
              <w:rPr>
                <w:rFonts w:hint="eastAsia" w:ascii="宋体" w:hAnsi="宋体"/>
                <w:color w:val="000000"/>
                <w:sz w:val="18"/>
              </w:rPr>
            </w:pPr>
          </w:p>
        </w:tc>
        <w:tc>
          <w:tcPr>
            <w:tcW w:w="993" w:type="dxa"/>
            <w:tcBorders>
              <w:bottom w:val="single" w:color="auto" w:sz="4" w:space="0"/>
            </w:tcBorders>
            <w:noWrap w:val="0"/>
            <w:vAlign w:val="center"/>
          </w:tcPr>
          <w:p>
            <w:pPr>
              <w:rPr>
                <w:rFonts w:hint="eastAsia" w:ascii="宋体" w:hAnsi="宋体"/>
                <w:color w:val="000000"/>
                <w:sz w:val="18"/>
              </w:rPr>
            </w:pPr>
          </w:p>
        </w:tc>
        <w:tc>
          <w:tcPr>
            <w:tcW w:w="1134" w:type="dxa"/>
            <w:tcBorders>
              <w:bottom w:val="single" w:color="auto" w:sz="4" w:space="0"/>
            </w:tcBorders>
            <w:noWrap w:val="0"/>
            <w:vAlign w:val="center"/>
          </w:tcPr>
          <w:p>
            <w:pPr>
              <w:rPr>
                <w:rFonts w:hint="eastAsia" w:ascii="宋体" w:hAnsi="宋体"/>
                <w:color w:val="000000"/>
                <w:sz w:val="18"/>
              </w:rPr>
            </w:pPr>
          </w:p>
        </w:tc>
        <w:tc>
          <w:tcPr>
            <w:tcW w:w="992" w:type="dxa"/>
            <w:tcBorders>
              <w:bottom w:val="single" w:color="auto" w:sz="4" w:space="0"/>
            </w:tcBorders>
            <w:noWrap w:val="0"/>
            <w:vAlign w:val="center"/>
          </w:tcPr>
          <w:p>
            <w:pPr>
              <w:rPr>
                <w:rFonts w:hint="eastAsia" w:ascii="宋体" w:hAnsi="宋体"/>
                <w:color w:val="000000"/>
                <w:sz w:val="18"/>
              </w:rPr>
            </w:pPr>
          </w:p>
        </w:tc>
      </w:tr>
    </w:tbl>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r>
        <w:rPr>
          <w:rFonts w:hint="default" w:ascii="宋体" w:hAnsi="宋体" w:eastAsia="宋体" w:cs="宋体"/>
          <w:sz w:val="32"/>
          <w:szCs w:val="32"/>
          <w:highlight w:val="none"/>
          <w:u w:val="none"/>
          <w:lang w:val="en-US" w:eastAsia="zh-CN"/>
        </w:rPr>
        <w:t>第7章 政府采购合同格式</w:t>
      </w:r>
    </w:p>
    <w:p>
      <w:pPr>
        <w:jc w:val="center"/>
        <w:rPr>
          <w:rFonts w:hint="eastAsia" w:ascii="宋体" w:hAnsi="宋体" w:eastAsia="宋体" w:cs="宋体"/>
          <w:b/>
          <w:bCs/>
          <w:lang w:eastAsia="zh-CN"/>
        </w:rPr>
      </w:pPr>
      <w:bookmarkStart w:id="519" w:name="EB0241872a782746df84ab771927209b83"/>
      <w:r>
        <w:rPr>
          <w:rFonts w:hint="eastAsia" w:ascii="宋体" w:hAnsi="宋体" w:cs="宋体"/>
          <w:b/>
          <w:bCs/>
          <w:lang w:eastAsia="zh-CN"/>
        </w:rPr>
        <w:t>（</w:t>
      </w:r>
      <w:r>
        <w:rPr>
          <w:rFonts w:hint="eastAsia" w:ascii="宋体" w:hAnsi="宋体" w:cs="宋体"/>
          <w:b/>
          <w:bCs/>
          <w:lang w:val="en-US" w:eastAsia="zh-CN"/>
        </w:rPr>
        <w:t>仅供参考</w:t>
      </w:r>
      <w:r>
        <w:rPr>
          <w:rFonts w:hint="eastAsia" w:ascii="宋体" w:hAnsi="宋体" w:cs="宋体"/>
          <w:b/>
          <w:bCs/>
          <w:lang w:eastAsia="zh-CN"/>
        </w:rPr>
        <w:t>）</w:t>
      </w:r>
    </w:p>
    <w:bookmarkEnd w:id="519"/>
    <w:p>
      <w:pPr>
        <w:rPr>
          <w:rFonts w:ascii="宋体" w:hAnsi="宋体" w:cs="宋体"/>
          <w:color w:val="000080"/>
          <w:sz w:val="24"/>
          <w:szCs w:val="24"/>
        </w:rPr>
      </w:pPr>
    </w:p>
    <w:p>
      <w:pPr>
        <w:jc w:val="center"/>
        <w:outlineLvl w:val="9"/>
        <w:rPr>
          <w:rFonts w:hint="eastAsia" w:ascii="宋体" w:hAnsi="宋体" w:cs="宋体"/>
          <w:sz w:val="32"/>
          <w:szCs w:val="32"/>
        </w:rPr>
      </w:pPr>
    </w:p>
    <w:p>
      <w:pPr>
        <w:jc w:val="left"/>
        <w:rPr>
          <w:rFonts w:ascii="宋体" w:hAnsi="宋体"/>
          <w:bCs/>
          <w:color w:val="000000"/>
          <w:sz w:val="32"/>
          <w:szCs w:val="32"/>
        </w:rPr>
      </w:pPr>
      <w:r>
        <w:rPr>
          <w:rFonts w:hint="eastAsia" w:cs="仿宋_GB2312"/>
        </w:rPr>
        <w:t>（</w:t>
      </w:r>
      <w:r>
        <w:rPr>
          <w:rFonts w:ascii="宋体" w:hAnsi="宋体"/>
          <w:bCs/>
          <w:color w:val="000000"/>
          <w:sz w:val="32"/>
          <w:szCs w:val="32"/>
        </w:rPr>
        <w:t>GF—2017—0201</w:t>
      </w:r>
      <w:r>
        <w:rPr>
          <w:rFonts w:hint="eastAsia" w:ascii="宋体" w:hAnsi="宋体"/>
          <w:bCs/>
          <w:color w:val="000000"/>
          <w:sz w:val="32"/>
          <w:szCs w:val="32"/>
        </w:rPr>
        <w:t>）</w:t>
      </w:r>
    </w:p>
    <w:p>
      <w:pPr>
        <w:jc w:val="center"/>
        <w:rPr>
          <w:rFonts w:eastAsia="华文中宋"/>
          <w:b/>
          <w:bCs/>
          <w:color w:val="000000"/>
          <w:sz w:val="52"/>
          <w:szCs w:val="52"/>
        </w:rPr>
      </w:pPr>
    </w:p>
    <w:p>
      <w:pPr>
        <w:jc w:val="both"/>
        <w:rPr>
          <w:rFonts w:hint="eastAsia" w:ascii="宋体" w:hAnsi="宋体" w:eastAsiaTheme="minorEastAsia"/>
          <w:b/>
          <w:color w:val="000000"/>
          <w:sz w:val="52"/>
          <w:szCs w:val="52"/>
          <w:lang w:val="en-US" w:eastAsia="zh-CN"/>
        </w:rPr>
      </w:pPr>
    </w:p>
    <w:p>
      <w:pPr>
        <w:jc w:val="center"/>
        <w:rPr>
          <w:rFonts w:hint="eastAsia" w:ascii="宋体" w:hAnsi="宋体" w:eastAsia="宋体"/>
          <w:b/>
          <w:color w:val="000000"/>
          <w:sz w:val="72"/>
          <w:szCs w:val="52"/>
          <w:lang w:eastAsia="zh-CN"/>
        </w:rPr>
      </w:pPr>
      <w:r>
        <w:rPr>
          <w:rFonts w:ascii="宋体" w:hAnsi="宋体"/>
          <w:b/>
          <w:color w:val="000000"/>
          <w:sz w:val="72"/>
          <w:szCs w:val="52"/>
        </w:rPr>
        <w:t>建设工程施工合同</w:t>
      </w:r>
    </w:p>
    <w:p>
      <w:pPr>
        <w:jc w:val="center"/>
        <w:rPr>
          <w:rFonts w:ascii="宋体" w:hAnsi="宋体"/>
          <w:b/>
          <w:color w:val="000000"/>
          <w:sz w:val="52"/>
          <w:szCs w:val="52"/>
        </w:rPr>
      </w:pPr>
      <w:r>
        <w:rPr>
          <w:rFonts w:ascii="宋体" w:hAnsi="宋体"/>
          <w:b/>
          <w:color w:val="000000"/>
          <w:sz w:val="52"/>
          <w:szCs w:val="52"/>
        </w:rPr>
        <w:t>（示范文本）</w:t>
      </w:r>
    </w:p>
    <w:p>
      <w:pPr>
        <w:jc w:val="center"/>
        <w:rPr>
          <w:rFonts w:ascii="宋体" w:hAnsi="宋体"/>
          <w:b/>
          <w:color w:val="000000"/>
          <w:sz w:val="52"/>
          <w:szCs w:val="52"/>
        </w:rPr>
      </w:pPr>
    </w:p>
    <w:p>
      <w:pPr>
        <w:jc w:val="center"/>
        <w:rPr>
          <w:rFonts w:ascii="宋体" w:hAnsi="宋体"/>
          <w:b/>
          <w:color w:val="000000"/>
          <w:sz w:val="72"/>
          <w:szCs w:val="72"/>
        </w:rPr>
      </w:pPr>
    </w:p>
    <w:p>
      <w:pPr>
        <w:jc w:val="center"/>
        <w:rPr>
          <w:rFonts w:ascii="宋体" w:hAnsi="宋体"/>
          <w:b/>
          <w:color w:val="000000"/>
          <w:sz w:val="72"/>
          <w:szCs w:val="72"/>
        </w:rPr>
      </w:pPr>
    </w:p>
    <w:p>
      <w:pPr>
        <w:jc w:val="center"/>
        <w:rPr>
          <w:rFonts w:ascii="宋体" w:hAnsi="宋体"/>
          <w:b/>
          <w:color w:val="000000"/>
          <w:sz w:val="52"/>
          <w:szCs w:val="52"/>
        </w:rPr>
      </w:pPr>
    </w:p>
    <w:p>
      <w:pPr>
        <w:ind w:right="2719" w:rightChars="1295" w:firstLine="2738" w:firstLineChars="1304"/>
        <w:jc w:val="distribute"/>
        <w:rPr>
          <w:rFonts w:ascii="宋体" w:hAnsi="宋体"/>
          <w:b/>
          <w:color w:val="000000"/>
          <w:sz w:val="32"/>
          <w:szCs w:val="28"/>
        </w:rPr>
      </w:pP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643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宋体" w:hAnsi="宋体"/>
          <w:b/>
          <w:color w:val="000000"/>
          <w:sz w:val="32"/>
          <w:szCs w:val="28"/>
        </w:rPr>
        <w:t>住房城乡建设部</w:t>
      </w:r>
    </w:p>
    <w:p>
      <w:pPr>
        <w:ind w:right="2719" w:rightChars="1295" w:firstLine="2750" w:firstLineChars="856"/>
        <w:jc w:val="distribute"/>
        <w:rPr>
          <w:rFonts w:ascii="宋体" w:hAnsi="宋体"/>
          <w:b/>
          <w:color w:val="000000"/>
          <w:sz w:val="32"/>
          <w:szCs w:val="28"/>
        </w:rPr>
      </w:pPr>
      <w:r>
        <w:rPr>
          <w:rFonts w:ascii="宋体" w:hAnsi="宋体"/>
          <w:b/>
          <w:color w:val="000000"/>
          <w:sz w:val="32"/>
          <w:szCs w:val="28"/>
        </w:rPr>
        <w:t>国家工商行政管理总局</w:t>
      </w:r>
    </w:p>
    <w:p>
      <w:pPr>
        <w:pStyle w:val="18"/>
        <w:rPr>
          <w:rFonts w:ascii="宋体" w:hAnsi="宋体"/>
          <w:b/>
          <w:color w:val="000000"/>
          <w:sz w:val="32"/>
          <w:szCs w:val="28"/>
        </w:rPr>
      </w:pPr>
    </w:p>
    <w:p>
      <w:pPr>
        <w:pStyle w:val="18"/>
        <w:rPr>
          <w:rFonts w:ascii="宋体" w:hAnsi="宋体"/>
          <w:b/>
          <w:color w:val="000000"/>
          <w:sz w:val="32"/>
          <w:szCs w:val="28"/>
        </w:rPr>
      </w:pPr>
    </w:p>
    <w:p>
      <w:pPr>
        <w:pStyle w:val="18"/>
        <w:rPr>
          <w:rFonts w:ascii="宋体" w:hAnsi="宋体"/>
          <w:b/>
          <w:color w:val="000000"/>
          <w:sz w:val="32"/>
          <w:szCs w:val="28"/>
        </w:rPr>
      </w:pPr>
    </w:p>
    <w:p>
      <w:pPr>
        <w:pStyle w:val="18"/>
        <w:rPr>
          <w:rFonts w:ascii="宋体" w:hAnsi="宋体"/>
          <w:b/>
          <w:color w:val="000000"/>
          <w:sz w:val="32"/>
          <w:szCs w:val="28"/>
        </w:rPr>
      </w:pPr>
    </w:p>
    <w:p>
      <w:pPr>
        <w:jc w:val="center"/>
        <w:rPr>
          <w:rFonts w:hint="eastAsia"/>
          <w:b/>
          <w:sz w:val="32"/>
          <w:szCs w:val="20"/>
        </w:rPr>
      </w:pPr>
      <w:r>
        <w:rPr>
          <w:rFonts w:hint="eastAsia"/>
          <w:b/>
          <w:sz w:val="32"/>
          <w:szCs w:val="20"/>
        </w:rPr>
        <w:t>说  明</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bCs/>
          <w:sz w:val="21"/>
          <w:szCs w:val="21"/>
        </w:rPr>
      </w:pPr>
      <w:r>
        <w:rPr>
          <w:rFonts w:hint="eastAsia" w:ascii="宋体" w:hAnsi="宋体" w:eastAsia="宋体" w:cs="宋体"/>
          <w:bCs/>
          <w:sz w:val="21"/>
          <w:szCs w:val="21"/>
        </w:rPr>
        <w:t>一、《示范文本》的组成</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《示范文本》由合同协议书、通用合同条款和专用合同条款三部分组成。</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（一）合同协议书</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（二）通用合同条款</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通用合同条款是合同当事人根据《中华人民共和国建筑法》、《中华人民共和国合同法》等法律法规的规定，就工程建设的实施及相关事项，对合同当事人的权利义务作出的原则性约定。</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46" w:firstLineChars="175"/>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（三）专用合同条款</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1.专用合同条款的编号应与相应的通用合同条款的编号一致；</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2.合同当事人可以通过对专用合同条款的修改，满足具体建设工程的特殊要求，避免直接修改通用合同条款；</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3.在专用合同条款中有横道线的地方，合同当事人可针对相应的通用合同条款进行细化、完善、补充、修改或另行约定；如无细化、完善、补充、修改或另行约定，则填写“无”或划“/”。</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二、《示范文本》的性质和适用范围</w:t>
      </w:r>
    </w:p>
    <w:p>
      <w:pPr>
        <w:pStyle w:val="36"/>
        <w:keepNext w:val="0"/>
        <w:keepLines w:val="0"/>
        <w:pageBreakBefore w:val="0"/>
        <w:widowControl w:val="0"/>
        <w:kinsoku/>
        <w:wordWrap/>
        <w:overflowPunct/>
        <w:topLinePunct w:val="0"/>
        <w:autoSpaceDE/>
        <w:autoSpaceDN/>
        <w:bidi w:val="0"/>
        <w:adjustRightInd w:val="0"/>
        <w:snapToGrid/>
        <w:spacing w:line="420" w:lineRule="exact"/>
        <w:ind w:left="0" w:leftChars="0" w:firstLine="367" w:firstLineChars="175"/>
        <w:textAlignment w:val="auto"/>
        <w:rPr>
          <w:rFonts w:hint="eastAsia" w:ascii="宋体" w:hAnsi="宋体" w:eastAsia="宋体" w:cs="宋体"/>
          <w:sz w:val="21"/>
          <w:szCs w:val="21"/>
        </w:rPr>
      </w:pPr>
      <w:r>
        <w:rPr>
          <w:rFonts w:hint="eastAsia" w:ascii="宋体" w:hAnsi="宋体" w:eastAsia="宋体" w:cs="宋体"/>
          <w:sz w:val="21"/>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18"/>
        <w:rPr>
          <w:rFonts w:ascii="宋体" w:hAnsi="宋体"/>
          <w:b/>
          <w:color w:val="000000"/>
          <w:sz w:val="32"/>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2"/>
        <w:pageBreakBefore w:val="0"/>
        <w:widowControl w:val="0"/>
        <w:numPr>
          <w:ilvl w:val="0"/>
          <w:numId w:val="0"/>
        </w:numPr>
        <w:kinsoku/>
        <w:wordWrap/>
        <w:overflowPunct/>
        <w:topLinePunct w:val="0"/>
        <w:bidi w:val="0"/>
        <w:snapToGrid/>
        <w:spacing w:line="400" w:lineRule="exact"/>
        <w:ind w:leftChars="0"/>
        <w:jc w:val="center"/>
        <w:textAlignment w:val="auto"/>
        <w:rPr>
          <w:rFonts w:hint="eastAsia" w:ascii="宋体" w:hAnsi="宋体" w:eastAsia="宋体" w:cs="宋体"/>
          <w:b w:val="0"/>
          <w:bCs w:val="0"/>
          <w:sz w:val="32"/>
          <w:szCs w:val="32"/>
        </w:rPr>
      </w:pPr>
      <w:bookmarkStart w:id="520" w:name="_Toc17860"/>
      <w:bookmarkStart w:id="521" w:name="_Toc31662"/>
      <w:r>
        <w:rPr>
          <w:rFonts w:hint="eastAsia" w:ascii="宋体" w:hAnsi="宋体" w:eastAsia="宋体" w:cs="宋体"/>
          <w:b w:val="0"/>
          <w:bCs w:val="0"/>
          <w:sz w:val="32"/>
          <w:szCs w:val="32"/>
        </w:rPr>
        <w:t xml:space="preserve">第一部分 </w:t>
      </w:r>
      <w:r>
        <w:rPr>
          <w:rFonts w:hint="eastAsia" w:eastAsia="宋体" w:cs="宋体"/>
          <w:b w:val="0"/>
          <w:bCs w:val="0"/>
          <w:sz w:val="32"/>
          <w:szCs w:val="32"/>
          <w:lang w:val="en-US" w:eastAsia="zh-CN"/>
        </w:rPr>
        <w:t xml:space="preserve">   </w:t>
      </w:r>
      <w:r>
        <w:rPr>
          <w:rFonts w:hint="eastAsia" w:ascii="宋体" w:hAnsi="宋体" w:eastAsia="宋体" w:cs="宋体"/>
          <w:b w:val="0"/>
          <w:bCs w:val="0"/>
          <w:sz w:val="32"/>
          <w:szCs w:val="32"/>
        </w:rPr>
        <w:t>合同协议书</w:t>
      </w:r>
      <w:bookmarkEnd w:id="520"/>
      <w:bookmarkEnd w:id="521"/>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u w:val="single"/>
          <w:lang w:val="en-US" w:eastAsia="zh-CN"/>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根据《中华人民共和国合同法》、《中华人民共和国建筑法》及有关法律规定，遵循平等、自愿、公平和诚实信用的原则，双方就</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工程施工及有关事项协商一致，共同达成如下协议：</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2" w:name="_Toc4762"/>
      <w:r>
        <w:rPr>
          <w:rFonts w:hint="eastAsia" w:ascii="宋体" w:hAnsi="宋体" w:eastAsia="宋体" w:cs="宋体"/>
          <w:b w:val="0"/>
          <w:color w:val="000000"/>
          <w:sz w:val="24"/>
          <w:szCs w:val="24"/>
          <w:u w:val="none"/>
        </w:rPr>
        <w:t>一、工程概况</w:t>
      </w:r>
      <w:bookmarkEnd w:id="522"/>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pPr>
        <w:pageBreakBefore w:val="0"/>
        <w:widowControl w:val="0"/>
        <w:kinsoku/>
        <w:wordWrap/>
        <w:overflowPunct/>
        <w:topLinePunct w:val="0"/>
        <w:bidi w:val="0"/>
        <w:snapToGrid/>
        <w:spacing w:line="400" w:lineRule="exact"/>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p>
    <w:p>
      <w:pPr>
        <w:pageBreakBefore w:val="0"/>
        <w:widowControl w:val="0"/>
        <w:kinsoku/>
        <w:wordWrap/>
        <w:overflowPunct/>
        <w:topLinePunct w:val="0"/>
        <w:bidi w:val="0"/>
        <w:snapToGrid/>
        <w:spacing w:line="400" w:lineRule="exact"/>
        <w:ind w:firstLine="465" w:firstLineChars="193"/>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3" w:name="_Toc24619"/>
      <w:r>
        <w:rPr>
          <w:rFonts w:hint="eastAsia" w:ascii="宋体" w:hAnsi="宋体" w:eastAsia="宋体" w:cs="宋体"/>
          <w:b w:val="0"/>
          <w:color w:val="000000"/>
          <w:sz w:val="24"/>
          <w:szCs w:val="24"/>
          <w:u w:val="none"/>
        </w:rPr>
        <w:t>二、合同工期</w:t>
      </w:r>
      <w:bookmarkEnd w:id="523"/>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天。工期总日历天数与根据前述计划开竣工日期计算的工期天数不一致的，以工期总日历天数为准。</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4" w:name="_Toc13041"/>
      <w:r>
        <w:rPr>
          <w:rFonts w:hint="eastAsia" w:ascii="宋体" w:hAnsi="宋体" w:eastAsia="宋体" w:cs="宋体"/>
          <w:b w:val="0"/>
          <w:color w:val="000000"/>
          <w:sz w:val="24"/>
          <w:szCs w:val="24"/>
          <w:u w:val="none"/>
        </w:rPr>
        <w:t>三、质量标准</w:t>
      </w:r>
      <w:bookmarkEnd w:id="524"/>
    </w:p>
    <w:p>
      <w:pPr>
        <w:pageBreakBefore w:val="0"/>
        <w:widowControl w:val="0"/>
        <w:kinsoku/>
        <w:wordWrap/>
        <w:overflowPunct/>
        <w:topLinePunct w:val="0"/>
        <w:bidi w:val="0"/>
        <w:snapToGrid/>
        <w:spacing w:line="400" w:lineRule="exact"/>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标准。</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5" w:name="_Toc16675"/>
      <w:r>
        <w:rPr>
          <w:rFonts w:hint="eastAsia" w:ascii="宋体" w:hAnsi="宋体" w:eastAsia="宋体" w:cs="宋体"/>
          <w:b w:val="0"/>
          <w:color w:val="000000"/>
          <w:sz w:val="24"/>
          <w:szCs w:val="24"/>
          <w:u w:val="none"/>
        </w:rPr>
        <w:t>四、签约合同价与合同价格形式</w:t>
      </w:r>
      <w:bookmarkEnd w:id="525"/>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pPr>
        <w:pageBreakBefore w:val="0"/>
        <w:widowControl w:val="0"/>
        <w:kinsoku/>
        <w:wordWrap/>
        <w:overflowPunct/>
        <w:topLinePunct w:val="0"/>
        <w:bidi w:val="0"/>
        <w:snapToGrid/>
        <w:spacing w:line="400" w:lineRule="exact"/>
        <w:ind w:firstLine="600" w:firstLineChars="2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pageBreakBefore w:val="0"/>
        <w:widowControl w:val="0"/>
        <w:kinsoku/>
        <w:wordWrap/>
        <w:overflowPunct/>
        <w:topLinePunct w:val="0"/>
        <w:bidi w:val="0"/>
        <w:snapToGrid/>
        <w:spacing w:line="400" w:lineRule="exact"/>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6" w:name="_Toc6194"/>
      <w:r>
        <w:rPr>
          <w:rFonts w:hint="eastAsia" w:ascii="宋体" w:hAnsi="宋体" w:eastAsia="宋体" w:cs="宋体"/>
          <w:b w:val="0"/>
          <w:color w:val="000000"/>
          <w:sz w:val="24"/>
          <w:szCs w:val="24"/>
          <w:u w:val="none"/>
        </w:rPr>
        <w:t>五、项目经理</w:t>
      </w:r>
      <w:bookmarkEnd w:id="526"/>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7" w:name="_Toc3716"/>
      <w:r>
        <w:rPr>
          <w:rFonts w:hint="eastAsia" w:ascii="宋体" w:hAnsi="宋体" w:eastAsia="宋体" w:cs="宋体"/>
          <w:b w:val="0"/>
          <w:color w:val="000000"/>
          <w:sz w:val="24"/>
          <w:szCs w:val="24"/>
          <w:u w:val="none"/>
        </w:rPr>
        <w:t>六、合同文件构成</w:t>
      </w:r>
      <w:bookmarkEnd w:id="527"/>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8" w:name="_Toc30653"/>
      <w:r>
        <w:rPr>
          <w:rFonts w:hint="eastAsia" w:ascii="宋体" w:hAnsi="宋体" w:eastAsia="宋体" w:cs="宋体"/>
          <w:b w:val="0"/>
          <w:color w:val="000000"/>
          <w:sz w:val="24"/>
          <w:szCs w:val="24"/>
          <w:u w:val="none"/>
        </w:rPr>
        <w:t>七、承诺</w:t>
      </w:r>
      <w:bookmarkEnd w:id="52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29" w:name="_Toc23410"/>
      <w:r>
        <w:rPr>
          <w:rFonts w:hint="eastAsia" w:ascii="宋体" w:hAnsi="宋体" w:eastAsia="宋体" w:cs="宋体"/>
          <w:b w:val="0"/>
          <w:color w:val="000000"/>
          <w:sz w:val="24"/>
          <w:szCs w:val="24"/>
          <w:u w:val="none"/>
        </w:rPr>
        <w:t>八、词语含义</w:t>
      </w:r>
      <w:bookmarkEnd w:id="529"/>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30" w:name="_Toc1638"/>
      <w:r>
        <w:rPr>
          <w:rFonts w:hint="eastAsia" w:ascii="宋体" w:hAnsi="宋体" w:eastAsia="宋体" w:cs="宋体"/>
          <w:b w:val="0"/>
          <w:color w:val="000000"/>
          <w:sz w:val="24"/>
          <w:szCs w:val="24"/>
          <w:u w:val="none"/>
        </w:rPr>
        <w:t>九、签订时间</w:t>
      </w:r>
      <w:bookmarkEnd w:id="530"/>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31" w:name="_Toc9924"/>
      <w:r>
        <w:rPr>
          <w:rFonts w:hint="eastAsia" w:ascii="宋体" w:hAnsi="宋体" w:eastAsia="宋体" w:cs="宋体"/>
          <w:b w:val="0"/>
          <w:color w:val="000000"/>
          <w:sz w:val="24"/>
          <w:szCs w:val="24"/>
          <w:u w:val="none"/>
        </w:rPr>
        <w:t>十、签订地点</w:t>
      </w:r>
      <w:bookmarkEnd w:id="531"/>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32" w:name="_Toc14252"/>
      <w:r>
        <w:rPr>
          <w:rFonts w:hint="eastAsia" w:ascii="宋体" w:hAnsi="宋体" w:eastAsia="宋体" w:cs="宋体"/>
          <w:b w:val="0"/>
          <w:color w:val="000000"/>
          <w:sz w:val="24"/>
          <w:szCs w:val="24"/>
          <w:u w:val="none"/>
        </w:rPr>
        <w:t>十一、补充协议</w:t>
      </w:r>
      <w:bookmarkEnd w:id="532"/>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33" w:name="_Toc28123"/>
      <w:r>
        <w:rPr>
          <w:rFonts w:hint="eastAsia" w:ascii="宋体" w:hAnsi="宋体" w:eastAsia="宋体" w:cs="宋体"/>
          <w:b w:val="0"/>
          <w:color w:val="000000"/>
          <w:sz w:val="24"/>
          <w:szCs w:val="24"/>
          <w:u w:val="none"/>
        </w:rPr>
        <w:t>十二、合同生效</w:t>
      </w:r>
      <w:bookmarkEnd w:id="533"/>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34" w:name="_Toc5065"/>
      <w:r>
        <w:rPr>
          <w:rFonts w:hint="eastAsia" w:ascii="宋体" w:hAnsi="宋体" w:eastAsia="宋体" w:cs="宋体"/>
          <w:b w:val="0"/>
          <w:color w:val="000000"/>
          <w:sz w:val="24"/>
          <w:szCs w:val="24"/>
          <w:u w:val="none"/>
        </w:rPr>
        <w:t>十三、合同份数</w:t>
      </w:r>
      <w:bookmarkEnd w:id="53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发包人：  (公章)             承包人：  (公章)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法定代表人或其委托代理人：</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pPr>
        <w:pageBreakBefore w:val="0"/>
        <w:widowControl w:val="0"/>
        <w:tabs>
          <w:tab w:val="left" w:pos="4410"/>
        </w:tabs>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法定代表人：</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电子信箱：</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pStyle w:val="18"/>
        <w:rPr>
          <w:rFonts w:hint="eastAsia" w:ascii="宋体" w:hAnsi="宋体" w:eastAsia="宋体" w:cs="宋体"/>
          <w:color w:val="000000"/>
          <w:sz w:val="24"/>
          <w:szCs w:val="24"/>
          <w:u w:val="single"/>
        </w:rPr>
      </w:pPr>
    </w:p>
    <w:p>
      <w:pPr>
        <w:pStyle w:val="18"/>
        <w:rPr>
          <w:rFonts w:hint="eastAsia" w:ascii="宋体" w:hAnsi="宋体" w:eastAsia="宋体" w:cs="宋体"/>
          <w:color w:val="000000"/>
          <w:sz w:val="24"/>
          <w:szCs w:val="24"/>
          <w:u w:val="single"/>
        </w:rPr>
      </w:pPr>
    </w:p>
    <w:p>
      <w:pPr>
        <w:pStyle w:val="18"/>
        <w:rPr>
          <w:rFonts w:hint="eastAsia" w:ascii="宋体" w:hAnsi="宋体" w:eastAsia="宋体" w:cs="宋体"/>
          <w:color w:val="000000"/>
          <w:sz w:val="24"/>
          <w:szCs w:val="24"/>
          <w:u w:val="single"/>
        </w:rPr>
      </w:pPr>
    </w:p>
    <w:p>
      <w:pPr>
        <w:pStyle w:val="18"/>
        <w:rPr>
          <w:rFonts w:hint="eastAsia" w:ascii="宋体" w:hAnsi="宋体" w:eastAsia="宋体" w:cs="宋体"/>
          <w:color w:val="000000"/>
          <w:sz w:val="24"/>
          <w:szCs w:val="24"/>
          <w:u w:val="single"/>
        </w:rPr>
      </w:pPr>
    </w:p>
    <w:p>
      <w:pPr>
        <w:pStyle w:val="18"/>
        <w:rPr>
          <w:rFonts w:hint="eastAsia" w:ascii="宋体" w:hAnsi="宋体" w:eastAsia="宋体" w:cs="宋体"/>
          <w:color w:val="000000"/>
          <w:sz w:val="24"/>
          <w:szCs w:val="24"/>
          <w:u w:val="single"/>
        </w:rPr>
      </w:pPr>
    </w:p>
    <w:p>
      <w:pPr>
        <w:pStyle w:val="2"/>
        <w:pageBreakBefore w:val="0"/>
        <w:widowControl w:val="0"/>
        <w:numPr>
          <w:ilvl w:val="0"/>
          <w:numId w:val="0"/>
        </w:numPr>
        <w:kinsoku/>
        <w:wordWrap/>
        <w:overflowPunct/>
        <w:topLinePunct w:val="0"/>
        <w:bidi w:val="0"/>
        <w:snapToGrid/>
        <w:spacing w:line="400" w:lineRule="exact"/>
        <w:ind w:leftChars="0"/>
        <w:jc w:val="center"/>
        <w:textAlignment w:val="auto"/>
        <w:rPr>
          <w:rFonts w:hint="eastAsia" w:ascii="宋体" w:hAnsi="宋体" w:eastAsia="宋体" w:cs="宋体"/>
          <w:b w:val="0"/>
          <w:bCs w:val="0"/>
          <w:sz w:val="28"/>
          <w:szCs w:val="28"/>
        </w:rPr>
      </w:pPr>
      <w:bookmarkStart w:id="535" w:name="_Toc1281"/>
      <w:bookmarkStart w:id="536" w:name="_Toc32509"/>
      <w:r>
        <w:rPr>
          <w:rFonts w:hint="eastAsia" w:ascii="宋体" w:hAnsi="宋体" w:eastAsia="宋体" w:cs="宋体"/>
          <w:b w:val="0"/>
          <w:bCs w:val="0"/>
          <w:sz w:val="28"/>
          <w:szCs w:val="28"/>
        </w:rPr>
        <w:t xml:space="preserve">第二部分 </w:t>
      </w:r>
      <w:r>
        <w:rPr>
          <w:rFonts w:hint="eastAsia" w:eastAsia="宋体" w:cs="宋体"/>
          <w:b w:val="0"/>
          <w:bCs w:val="0"/>
          <w:sz w:val="28"/>
          <w:szCs w:val="28"/>
          <w:lang w:val="en-US" w:eastAsia="zh-CN"/>
        </w:rPr>
        <w:t xml:space="preserve"> </w:t>
      </w:r>
      <w:r>
        <w:rPr>
          <w:rFonts w:hint="eastAsia" w:ascii="宋体" w:hAnsi="宋体" w:eastAsia="宋体" w:cs="宋体"/>
          <w:b w:val="0"/>
          <w:bCs w:val="0"/>
          <w:sz w:val="28"/>
          <w:szCs w:val="28"/>
        </w:rPr>
        <w:t>通用合同条款</w:t>
      </w:r>
      <w:bookmarkEnd w:id="535"/>
      <w:bookmarkEnd w:id="536"/>
      <w:bookmarkStart w:id="537" w:name="_Toc337558727"/>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38" w:name="_Toc17171"/>
      <w:r>
        <w:rPr>
          <w:rFonts w:hint="eastAsia" w:ascii="宋体" w:hAnsi="宋体" w:eastAsia="宋体" w:cs="宋体"/>
          <w:b w:val="0"/>
          <w:color w:val="000000"/>
          <w:sz w:val="24"/>
          <w:szCs w:val="24"/>
          <w:u w:val="none"/>
        </w:rPr>
        <w:t>1.</w:t>
      </w:r>
      <w:bookmarkStart w:id="539" w:name="_Toc303538973"/>
      <w:bookmarkEnd w:id="539"/>
      <w:bookmarkStart w:id="540" w:name="_Toc303538972"/>
      <w:bookmarkEnd w:id="540"/>
      <w:bookmarkStart w:id="541" w:name="_Toc303538974"/>
      <w:bookmarkEnd w:id="541"/>
      <w:bookmarkStart w:id="542" w:name="_Toc303538975"/>
      <w:bookmarkEnd w:id="542"/>
      <w:bookmarkStart w:id="543" w:name="_Toc303538976"/>
      <w:bookmarkEnd w:id="543"/>
      <w:bookmarkStart w:id="544" w:name="_Toc296503027"/>
      <w:bookmarkStart w:id="545" w:name="_Toc296346528"/>
      <w:r>
        <w:rPr>
          <w:rFonts w:hint="eastAsia" w:ascii="宋体" w:hAnsi="宋体" w:eastAsia="宋体" w:cs="宋体"/>
          <w:b w:val="0"/>
          <w:color w:val="000000"/>
          <w:sz w:val="24"/>
          <w:szCs w:val="24"/>
          <w:u w:val="none"/>
        </w:rPr>
        <w:t xml:space="preserve"> 一般约定</w:t>
      </w:r>
      <w:bookmarkEnd w:id="537"/>
      <w:bookmarkEnd w:id="538"/>
      <w:bookmarkEnd w:id="544"/>
      <w:bookmarkEnd w:id="545"/>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color w:val="000000"/>
          <w:sz w:val="24"/>
          <w:szCs w:val="24"/>
        </w:rPr>
      </w:pPr>
      <w:bookmarkStart w:id="546" w:name="_Toc296503028"/>
      <w:bookmarkStart w:id="547" w:name="_Toc296346529"/>
      <w:bookmarkStart w:id="548" w:name="_Toc337558728"/>
      <w:bookmarkStart w:id="549" w:name="_Toc20396"/>
      <w:r>
        <w:rPr>
          <w:rFonts w:hint="eastAsia" w:ascii="宋体" w:hAnsi="宋体" w:eastAsia="宋体" w:cs="宋体"/>
          <w:b w:val="0"/>
          <w:color w:val="000000"/>
          <w:sz w:val="24"/>
          <w:szCs w:val="24"/>
        </w:rPr>
        <w:t>1.1词语定义</w:t>
      </w:r>
      <w:bookmarkEnd w:id="546"/>
      <w:bookmarkEnd w:id="547"/>
      <w:bookmarkEnd w:id="548"/>
      <w:r>
        <w:rPr>
          <w:rFonts w:hint="eastAsia" w:ascii="宋体" w:hAnsi="宋体" w:eastAsia="宋体" w:cs="宋体"/>
          <w:b w:val="0"/>
          <w:color w:val="000000"/>
          <w:sz w:val="24"/>
          <w:szCs w:val="24"/>
        </w:rPr>
        <w:t>与解释</w:t>
      </w:r>
      <w:bookmarkEnd w:id="54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合同协议书、通用合同条款、专用合同条款中的下列词语具有本款所赋予的含义：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 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合同协议书：是指构成合同的由发包人和承包人共同签署的称为“合同协议书”的书面文件。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中标通知书：是指构成合同的由发包人通知承包人中标的书面文件。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投标函：是指构成合同的由承包人填写并签署的用于投标的称为“投标函”的文件。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1.1.1.5 投标函附录：是指构成合同的附在投标函后的称为“投标函附录”的文件。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1.1.1.6 技术标准和要求：是指构成合同的施工应当遵守的或指导施工的国家、行业或地方的技术标准和要求，以及合同约定的技术标准和要求。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pageBreakBefore w:val="0"/>
        <w:widowControl w:val="0"/>
        <w:kinsoku/>
        <w:wordWrap/>
        <w:overflowPunct/>
        <w:topLinePunct w:val="0"/>
        <w:autoSpaceDE w:val="0"/>
        <w:autoSpaceDN w:val="0"/>
        <w:bidi w:val="0"/>
        <w:adjustRightInd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1.1.1.8 已标价工程量清单：是指构成合同的由承包人按照规定的格式和要求填写并标明价格的工程量清单，包括说明和表格。</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 预算书：是指构成合同的由承包人按照发包人规定的格式和要求编制的工程预算文件。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 其他合同文件：是指经合同当事人约定的与工程施工有关的具有合同约束力的文件或书面协议。合同当事人可以在专用合同条款中进行约定。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 合同当事人及其他相关方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1.1.2.1 合同当事人：是指发包人和（或）承包人。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 发包人：是指与承包人签订合同协议书的当事人及取得该当事人资格的合法继承人。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1.1.2.3 承包人：是指与发包人签订合同协议书的，具有相应工程施工承包资质的当事人及取得该当事人资格的合法继承人。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1.1.2.4 监理人：是指在专用合同条款中指明的，受发包人委托按照法律规定进行工程监督管理的法人或其他组织。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1.1.2.5 设计人：是指在专用合同条款中指明的，受发包人委托负责工程设计并具备相应工程设计资质的法人或其他组织。</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1.1.2.6 分包人：</w:t>
      </w:r>
      <w:bookmarkStart w:id="550" w:name="#go5"/>
      <w:bookmarkEnd w:id="550"/>
      <w:r>
        <w:rPr>
          <w:rFonts w:hint="eastAsia" w:ascii="宋体" w:hAnsi="宋体" w:eastAsia="宋体" w:cs="宋体"/>
          <w:color w:val="000000"/>
          <w:kern w:val="0"/>
          <w:sz w:val="24"/>
          <w:szCs w:val="24"/>
        </w:rPr>
        <w:t>是指按照法律规定和合同约定，分包部分工程或工作，并与承包人签订分包合同的具有相应资质的法人。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1.1.2.7 发包人代表：是指由发包人任命并派驻施工现场在发包人授权范围内行使发包人权利的人。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1.1.2.8 项目经理：是指由承包人任命并派驻施工现场，在承包人授权范围内负责合同履行，且按照法律规定具有相应资格的项目负责人。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1.1.2.9 总监理工程师：是指由监理人任命并派驻施工现场进行工程监理的总负责人。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工程和设备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工程：是指与合同协议书中工程承包范围对应的永久工程和（或）临时工程。</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永久工程：是指按合同约定建造并移交给发包人的工程，包括工程设备。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临时工程：是指为完成合同约定的永久工程所修建的各类临时性工程，不包括施工设备。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单位工程：是指在合同协议书中指明的，具备独立施工条件并能形成独立使用功能的永久工程。</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1.1.3.5 工程设备：是指构成永久工程的机电设备、金属结构设备、仪器及其他类似的设备和装置。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1.1.3.6 施工设备：是指为完成合同约定的各项工作所需的设备、器具和其他物品，但不包括工程设备、临时工程和材料。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1.1.3.7 施工现场：是指用于工程施工的场所，以及在专用合同条款中指明作为施工场所组成部分的其他场所，包括永久占地和临时占地。</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1.1.3.8临时设施：是指为完成合同约定的各项工作所服务的临时性生产和生活设施。</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永久占地：是指专用合同条款中指明为实施工程需永久占用的土地。</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1.1.3.10 临时占地：是指专用合同条款中指明为实施工程需要临时占用的土地。</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 日期和期限</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pPr>
        <w:pageBreakBefore w:val="0"/>
        <w:widowControl w:val="0"/>
        <w:kinsoku/>
        <w:wordWrap/>
        <w:overflowPunct/>
        <w:topLinePunct w:val="0"/>
        <w:bidi w:val="0"/>
        <w:snapToGrid/>
        <w:spacing w:line="400" w:lineRule="exact"/>
        <w:ind w:firstLine="487" w:firstLineChars="203"/>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1.1.4.3 工期：是指在合同协议书约定的承包人完成工程所需的期限，包括按照合同约定所作的期限变更。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1.1.4.4 缺陷责任期：是指承包人按照合同约定承担缺陷修复义务，且发包人预留质量保证金（已缴纳履约保证金的除外）的期限，自工程实际竣工日期起计算。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1.1.4.5 保修期：是指承包人按照合同约定对工程承担保修责任的期限，从工程竣工验收合格之日起计算。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1.1.4.6 基准日期：招标发包的工程以投标截止日前28天的日期为基准日期，直接发包的工程以合同签订日前28天的日期为基准日期。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 天：除特别指明外，均指日历天。合同中按天计算时间的，开始当天不计入，从次日开始计算，期限最后一天的截止时间为当天24:00时。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 合同价格和费用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1.1.5.1 签约合同价：是指</w:t>
      </w:r>
      <w:r>
        <w:rPr>
          <w:rFonts w:hint="eastAsia" w:ascii="宋体" w:hAnsi="宋体" w:eastAsia="宋体" w:cs="宋体"/>
          <w:color w:val="000000"/>
          <w:sz w:val="24"/>
          <w:szCs w:val="24"/>
        </w:rPr>
        <w:t>发包人和承包人在合同协议书中确定的总金额，包括安全文明施工费、暂估价及暂列金额等。</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1.1.5.2 合同价格：是指发包人用于支付承包人按照合同约定完成承包范围内全部工作的金额，包括合同履行过程中按合同约定发生的价格变化。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1.1.5.3 费用：是指为履行合同所发生的或将要发生的所有必需的开支，包括管理费和应分摊的其他费用，但不包括利润。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1.1.5.6 计日工：是指合同履行过程中，承包人完成发包人提出的零星工作或需要采用计日工计价的变更工作时，按合同中约定的单价计价的一种方式。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1.1.5.7 质量保证金</w:t>
      </w:r>
      <w:bookmarkStart w:id="551" w:name="#go2"/>
      <w:bookmarkEnd w:id="551"/>
      <w:r>
        <w:rPr>
          <w:rFonts w:hint="eastAsia" w:ascii="宋体" w:hAnsi="宋体" w:eastAsia="宋体" w:cs="宋体"/>
          <w:color w:val="000000"/>
          <w:kern w:val="0"/>
          <w:sz w:val="24"/>
          <w:szCs w:val="24"/>
        </w:rPr>
        <w:t>：是指按照第15.3款〔质量保证金〕约定承包人用于保证其在缺陷责任期内履行缺陷修补义务的担保</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1.1.5.8 总价项目：是指在现行国家、行业以及地方的计量规则中无工程量计算规则，在已标价工程量清单或预算书中以总价或以费率形式计算的项目。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1.1.6 其他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1.1.6.1 书面形式：是指合同文件、信函、电报、传真等可以有形地表现所载内容的形式。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52" w:name="_Toc296503029"/>
      <w:bookmarkStart w:id="553" w:name="_Toc8577"/>
      <w:bookmarkStart w:id="554" w:name="_Toc296346530"/>
      <w:bookmarkStart w:id="555" w:name="_Toc337558729"/>
      <w:r>
        <w:rPr>
          <w:rFonts w:hint="eastAsia" w:ascii="宋体" w:hAnsi="宋体" w:eastAsia="宋体" w:cs="宋体"/>
          <w:b w:val="0"/>
          <w:bCs w:val="0"/>
          <w:color w:val="000000"/>
          <w:sz w:val="24"/>
          <w:szCs w:val="24"/>
        </w:rPr>
        <w:t>1.2语言文字</w:t>
      </w:r>
      <w:bookmarkEnd w:id="552"/>
      <w:bookmarkEnd w:id="553"/>
      <w:bookmarkEnd w:id="554"/>
      <w:bookmarkEnd w:id="55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合同以中国的汉语简体文字编写、解释和说明。合同当事人在专用合同条款中约定使用两种以上语言时，汉语为优先解释和说明合同的语言。</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56" w:name="_Toc296346531"/>
      <w:bookmarkStart w:id="557" w:name="_Toc32403"/>
      <w:bookmarkStart w:id="558" w:name="_Toc337558730"/>
      <w:bookmarkStart w:id="559" w:name="_Toc296503030"/>
      <w:r>
        <w:rPr>
          <w:rFonts w:hint="eastAsia" w:ascii="宋体" w:hAnsi="宋体" w:eastAsia="宋体" w:cs="宋体"/>
          <w:b w:val="0"/>
          <w:bCs w:val="0"/>
          <w:color w:val="000000"/>
          <w:sz w:val="24"/>
          <w:szCs w:val="24"/>
        </w:rPr>
        <w:t>1.3法律</w:t>
      </w:r>
      <w:bookmarkEnd w:id="556"/>
      <w:bookmarkEnd w:id="557"/>
      <w:bookmarkEnd w:id="558"/>
      <w:bookmarkEnd w:id="55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合同所称法律是指中华人民共和国法律、行政法规、部门规章，以及工程所在地的地方性法规、自治条例、单行条例和地方政府规章等。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合同当事人可以在专用合同条款中约定合同适用的其他规范性文件。</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60" w:name="_Toc859"/>
      <w:r>
        <w:rPr>
          <w:rFonts w:hint="eastAsia" w:ascii="宋体" w:hAnsi="宋体" w:eastAsia="宋体" w:cs="宋体"/>
          <w:b w:val="0"/>
          <w:bCs w:val="0"/>
          <w:color w:val="000000"/>
          <w:sz w:val="24"/>
          <w:szCs w:val="24"/>
        </w:rPr>
        <w:t>1.4 标准和规范</w:t>
      </w:r>
      <w:bookmarkEnd w:id="560"/>
    </w:p>
    <w:p>
      <w:pPr>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 适用于工程的国家标准、行业标准、工程所在地的地方性标准，以及相应的规范、规程等，合同当事人有特别要求的，应在专用合同条款中约定。</w:t>
      </w:r>
    </w:p>
    <w:p>
      <w:pPr>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发包人要求使用国外标准、规范的，发包人负责提供原文版本和中文译本，并在专用合同条款中约定提供标准规范的名称、份数和时间。</w:t>
      </w:r>
    </w:p>
    <w:p>
      <w:pPr>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61" w:name="_Toc9725"/>
      <w:r>
        <w:rPr>
          <w:rFonts w:hint="eastAsia" w:ascii="宋体" w:hAnsi="宋体" w:eastAsia="宋体" w:cs="宋体"/>
          <w:b w:val="0"/>
          <w:bCs w:val="0"/>
          <w:color w:val="000000"/>
          <w:sz w:val="24"/>
          <w:szCs w:val="24"/>
        </w:rPr>
        <w:t>1</w:t>
      </w:r>
      <w:bookmarkStart w:id="562" w:name="_Toc337558731"/>
      <w:bookmarkStart w:id="563" w:name="_Toc296503031"/>
      <w:bookmarkStart w:id="564" w:name="_Toc296346532"/>
      <w:r>
        <w:rPr>
          <w:rFonts w:hint="eastAsia" w:ascii="宋体" w:hAnsi="宋体" w:eastAsia="宋体" w:cs="宋体"/>
          <w:b w:val="0"/>
          <w:bCs w:val="0"/>
          <w:color w:val="000000"/>
          <w:sz w:val="24"/>
          <w:szCs w:val="24"/>
        </w:rPr>
        <w:t>.5 合同文件的优先顺序</w:t>
      </w:r>
      <w:bookmarkEnd w:id="561"/>
    </w:p>
    <w:bookmarkEnd w:id="562"/>
    <w:bookmarkEnd w:id="563"/>
    <w:bookmarkEnd w:id="56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组成合同的各项文件应互相解释，互为说明。除专用合同条款另有约定外，解释合同文件的优先顺序如下：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（1）合同协议书；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（2）中标通知书（如果有）；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（3）投标函及其附录（如果有）；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（5）通用合同条款；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（6）技术标准和要求；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（7）图纸；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（8）已标价工程量清单或预算书；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（9）其他合同文件。</w:t>
      </w:r>
    </w:p>
    <w:p>
      <w:pPr>
        <w:pageBreakBefore w:val="0"/>
        <w:widowControl w:val="0"/>
        <w:kinsoku/>
        <w:wordWrap/>
        <w:overflowPunct/>
        <w:topLinePunct w:val="0"/>
        <w:bidi w:val="0"/>
        <w:snapToGrid/>
        <w:spacing w:line="400" w:lineRule="exact"/>
        <w:ind w:firstLine="511" w:firstLineChars="21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w:t>
      </w:r>
    </w:p>
    <w:p>
      <w:pPr>
        <w:pageBreakBefore w:val="0"/>
        <w:widowControl w:val="0"/>
        <w:kinsoku/>
        <w:wordWrap/>
        <w:overflowPunct/>
        <w:topLinePunct w:val="0"/>
        <w:bidi w:val="0"/>
        <w:snapToGrid/>
        <w:spacing w:line="400" w:lineRule="exact"/>
        <w:ind w:firstLine="511" w:firstLineChars="21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在合同订立及履行过程中形成的与合同有关的文件均构成合同文件组成部分，并根据其性质确定优先解释顺序。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65" w:name="_Toc23638"/>
      <w:r>
        <w:rPr>
          <w:rFonts w:hint="eastAsia" w:ascii="宋体" w:hAnsi="宋体" w:eastAsia="宋体" w:cs="宋体"/>
          <w:b w:val="0"/>
          <w:bCs w:val="0"/>
          <w:color w:val="000000"/>
          <w:sz w:val="24"/>
          <w:szCs w:val="24"/>
        </w:rPr>
        <w:t>1</w:t>
      </w:r>
      <w:bookmarkStart w:id="566" w:name="_Toc296346533"/>
      <w:bookmarkStart w:id="567" w:name="_Toc337558732"/>
      <w:bookmarkStart w:id="568" w:name="_Toc296503032"/>
      <w:r>
        <w:rPr>
          <w:rFonts w:hint="eastAsia" w:ascii="宋体" w:hAnsi="宋体" w:eastAsia="宋体" w:cs="宋体"/>
          <w:b w:val="0"/>
          <w:bCs w:val="0"/>
          <w:color w:val="000000"/>
          <w:sz w:val="24"/>
          <w:szCs w:val="24"/>
        </w:rPr>
        <w:t>.6图纸和承包人文件</w:t>
      </w:r>
      <w:bookmarkEnd w:id="565"/>
    </w:p>
    <w:bookmarkEnd w:id="566"/>
    <w:bookmarkEnd w:id="567"/>
    <w:bookmarkEnd w:id="56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 图纸的提供和交底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因发包人未按合同约定提供图纸导致承包人费用增加和（或）工期延误的，按照第7.5.1项〔因发包人原因导致工期延误〕约定办理。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 图纸的错误</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 图纸的修改和补充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 承包人文件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 图纸和承包人文件的保管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除专用合同条款另有约定外，承包人应在施工现场另外保存一套完整的图纸和承包人文件，供发包人、监理人及有关人员进行工程检查时使用。</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69" w:name="_Toc2810"/>
      <w:r>
        <w:rPr>
          <w:rFonts w:hint="eastAsia" w:ascii="宋体" w:hAnsi="宋体" w:eastAsia="宋体" w:cs="宋体"/>
          <w:b w:val="0"/>
          <w:bCs w:val="0"/>
          <w:color w:val="000000"/>
          <w:sz w:val="24"/>
          <w:szCs w:val="24"/>
        </w:rPr>
        <w:t>1</w:t>
      </w:r>
      <w:bookmarkStart w:id="570" w:name="_Toc296346534"/>
      <w:bookmarkStart w:id="571" w:name="_Toc296503033"/>
      <w:bookmarkStart w:id="572" w:name="_Toc337558733"/>
      <w:r>
        <w:rPr>
          <w:rFonts w:hint="eastAsia" w:ascii="宋体" w:hAnsi="宋体" w:eastAsia="宋体" w:cs="宋体"/>
          <w:b w:val="0"/>
          <w:bCs w:val="0"/>
          <w:color w:val="000000"/>
          <w:sz w:val="24"/>
          <w:szCs w:val="24"/>
        </w:rPr>
        <w:t>.7联络</w:t>
      </w:r>
      <w:bookmarkEnd w:id="569"/>
    </w:p>
    <w:bookmarkEnd w:id="570"/>
    <w:bookmarkEnd w:id="571"/>
    <w:bookmarkEnd w:id="57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 与合同有关的通知、批准、证明、证书、指示、指令、要求、请求、同意、意见、确定和决定等，均应采用书面形式，并应在合同约定的期限内送达接收人和送达地点。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73" w:name="_Toc17585"/>
      <w:r>
        <w:rPr>
          <w:rFonts w:hint="eastAsia" w:ascii="宋体" w:hAnsi="宋体" w:eastAsia="宋体" w:cs="宋体"/>
          <w:b w:val="0"/>
          <w:bCs w:val="0"/>
          <w:color w:val="000000"/>
          <w:sz w:val="24"/>
          <w:szCs w:val="24"/>
        </w:rPr>
        <w:t>1</w:t>
      </w:r>
      <w:bookmarkStart w:id="574" w:name="_Toc337558734"/>
      <w:bookmarkStart w:id="575" w:name="_Toc296346536"/>
      <w:bookmarkStart w:id="576" w:name="_Toc296503035"/>
      <w:r>
        <w:rPr>
          <w:rFonts w:hint="eastAsia" w:ascii="宋体" w:hAnsi="宋体" w:eastAsia="宋体" w:cs="宋体"/>
          <w:b w:val="0"/>
          <w:bCs w:val="0"/>
          <w:color w:val="000000"/>
          <w:sz w:val="24"/>
          <w:szCs w:val="24"/>
        </w:rPr>
        <w:t>.8严禁贿赂</w:t>
      </w:r>
      <w:bookmarkEnd w:id="573"/>
    </w:p>
    <w:bookmarkEnd w:id="574"/>
    <w:bookmarkEnd w:id="575"/>
    <w:bookmarkEnd w:id="57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77" w:name="_Toc22164"/>
      <w:r>
        <w:rPr>
          <w:rFonts w:hint="eastAsia" w:ascii="宋体" w:hAnsi="宋体" w:eastAsia="宋体" w:cs="宋体"/>
          <w:b w:val="0"/>
          <w:bCs w:val="0"/>
          <w:color w:val="000000"/>
          <w:sz w:val="24"/>
          <w:szCs w:val="24"/>
        </w:rPr>
        <w:t>1</w:t>
      </w:r>
      <w:bookmarkStart w:id="578" w:name="_Toc296503036"/>
      <w:bookmarkStart w:id="579" w:name="_Toc296346537"/>
      <w:bookmarkStart w:id="580" w:name="_Toc337558735"/>
      <w:r>
        <w:rPr>
          <w:rFonts w:hint="eastAsia" w:ascii="宋体" w:hAnsi="宋体" w:eastAsia="宋体" w:cs="宋体"/>
          <w:b w:val="0"/>
          <w:bCs w:val="0"/>
          <w:color w:val="000000"/>
          <w:sz w:val="24"/>
          <w:szCs w:val="24"/>
        </w:rPr>
        <w:t>.9化石、文物</w:t>
      </w:r>
      <w:bookmarkEnd w:id="577"/>
    </w:p>
    <w:bookmarkEnd w:id="578"/>
    <w:bookmarkEnd w:id="579"/>
    <w:bookmarkEnd w:id="58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发包人、监理人和承包人应按有关政府行政管理部门要求采取妥善的保护措施，由此增加的费用和（或）延误的工期由发包人承担。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承包人发现文物后不及时报告或隐瞒不报，致使文物丢失或损坏的，应赔偿损失，并承担相应的法律责任。</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81" w:name="_Toc29705"/>
      <w:r>
        <w:rPr>
          <w:rFonts w:hint="eastAsia" w:ascii="宋体" w:hAnsi="宋体" w:eastAsia="宋体" w:cs="宋体"/>
          <w:b w:val="0"/>
          <w:bCs w:val="0"/>
          <w:color w:val="000000"/>
          <w:sz w:val="24"/>
          <w:szCs w:val="24"/>
        </w:rPr>
        <w:t>1</w:t>
      </w:r>
      <w:bookmarkStart w:id="582" w:name="_Toc337558736"/>
      <w:r>
        <w:rPr>
          <w:rFonts w:hint="eastAsia" w:ascii="宋体" w:hAnsi="宋体" w:eastAsia="宋体" w:cs="宋体"/>
          <w:b w:val="0"/>
          <w:bCs w:val="0"/>
          <w:color w:val="000000"/>
          <w:sz w:val="24"/>
          <w:szCs w:val="24"/>
        </w:rPr>
        <w:t>.10交通运输</w:t>
      </w:r>
      <w:bookmarkEnd w:id="581"/>
    </w:p>
    <w:bookmarkEnd w:id="582"/>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 出入现场的权利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 场外交通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1.10.3场内交通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场外交通和场内交通的边界由合同当事人在专用合同条款中约定。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1.10.4 超大件和超重件的运输</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1.10.5 道路和桥梁的损坏责任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因承包人运输造成施工场地内外公共道路和桥梁损坏的，由承包人承担修复损坏的全部费用和可能引起的赔偿。</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1.10.6 水路和航空运输</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83" w:name="_Toc12737"/>
      <w:r>
        <w:rPr>
          <w:rFonts w:hint="eastAsia" w:ascii="宋体" w:hAnsi="宋体" w:eastAsia="宋体" w:cs="宋体"/>
          <w:b w:val="0"/>
          <w:bCs w:val="0"/>
          <w:color w:val="000000"/>
          <w:sz w:val="24"/>
          <w:szCs w:val="24"/>
        </w:rPr>
        <w:t>1</w:t>
      </w:r>
      <w:bookmarkStart w:id="584" w:name="_Toc337558737"/>
      <w:bookmarkStart w:id="585" w:name="_Toc296346538"/>
      <w:bookmarkStart w:id="586" w:name="_Toc296503037"/>
      <w:r>
        <w:rPr>
          <w:rFonts w:hint="eastAsia" w:ascii="宋体" w:hAnsi="宋体" w:eastAsia="宋体" w:cs="宋体"/>
          <w:b w:val="0"/>
          <w:bCs w:val="0"/>
          <w:color w:val="000000"/>
          <w:sz w:val="24"/>
          <w:szCs w:val="24"/>
        </w:rPr>
        <w:t>.11知识产权</w:t>
      </w:r>
      <w:bookmarkEnd w:id="583"/>
      <w:r>
        <w:rPr>
          <w:rFonts w:hint="eastAsia" w:ascii="宋体" w:hAnsi="宋体" w:eastAsia="宋体" w:cs="宋体"/>
          <w:b w:val="0"/>
          <w:bCs w:val="0"/>
          <w:color w:val="000000"/>
          <w:sz w:val="24"/>
          <w:szCs w:val="24"/>
        </w:rPr>
        <w:t xml:space="preserve"> </w:t>
      </w:r>
      <w:bookmarkEnd w:id="584"/>
    </w:p>
    <w:bookmarkEnd w:id="585"/>
    <w:bookmarkEnd w:id="58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除专用合同条款另有约定外，承包人在合同签订前和签订时已确定采用的专利、专有技术、技术秘密的使用费已包含在签约合同价中。</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87" w:name="_Toc18430"/>
      <w:r>
        <w:rPr>
          <w:rFonts w:hint="eastAsia" w:ascii="宋体" w:hAnsi="宋体" w:eastAsia="宋体" w:cs="宋体"/>
          <w:b w:val="0"/>
          <w:bCs w:val="0"/>
          <w:color w:val="000000"/>
          <w:sz w:val="24"/>
          <w:szCs w:val="24"/>
        </w:rPr>
        <w:t>1</w:t>
      </w:r>
      <w:bookmarkStart w:id="588" w:name="_Toc337558738"/>
      <w:r>
        <w:rPr>
          <w:rFonts w:hint="eastAsia" w:ascii="宋体" w:hAnsi="宋体" w:eastAsia="宋体" w:cs="宋体"/>
          <w:b w:val="0"/>
          <w:bCs w:val="0"/>
          <w:color w:val="000000"/>
          <w:sz w:val="24"/>
          <w:szCs w:val="24"/>
        </w:rPr>
        <w:t>.12保密</w:t>
      </w:r>
      <w:bookmarkEnd w:id="587"/>
    </w:p>
    <w:bookmarkEnd w:id="58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除法律规定或合同另有约定外，未经发包人同意，承包人不得将发包人提供的图纸、文件以及声明需要保密的资料信息等商业秘密泄露给第三方。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除法律规定或合同另有约定外，未经承包人同意，发包人不得将承包人提供的技术秘密及声明需要保密的资料信息等商业秘密泄露给第三方。</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89" w:name="_Toc8709"/>
      <w:r>
        <w:rPr>
          <w:rFonts w:hint="eastAsia" w:ascii="宋体" w:hAnsi="宋体" w:eastAsia="宋体" w:cs="宋体"/>
          <w:b w:val="0"/>
          <w:bCs w:val="0"/>
          <w:color w:val="000000"/>
          <w:sz w:val="24"/>
          <w:szCs w:val="24"/>
        </w:rPr>
        <w:t>1.13工程量清单错误的修正</w:t>
      </w:r>
      <w:bookmarkEnd w:id="589"/>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除专用合同条款另有约定外，发包人提供的工程量清单，应被认为是准确的和完整的。出现下列情形之一时，发包人应予以修正，并相应调整合同价格：</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（1）工程量清单存在缺项、漏项的；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（2）工程量清单偏差超出专用合同条款约定的工程量偏差范围的；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（3）未按照国家现行计量规范强制性规定计量的。</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590" w:name="_Toc23783"/>
      <w:r>
        <w:rPr>
          <w:rFonts w:hint="eastAsia" w:ascii="宋体" w:hAnsi="宋体" w:eastAsia="宋体" w:cs="宋体"/>
          <w:b w:val="0"/>
          <w:color w:val="000000"/>
          <w:sz w:val="24"/>
          <w:szCs w:val="24"/>
          <w:u w:val="none"/>
        </w:rPr>
        <w:t>2</w:t>
      </w:r>
      <w:bookmarkStart w:id="591" w:name="_Toc296503038"/>
      <w:bookmarkStart w:id="592" w:name="_Toc296346539"/>
      <w:bookmarkStart w:id="593" w:name="_Toc337558739"/>
      <w:bookmarkStart w:id="594" w:name="OLE_LINK1"/>
      <w:bookmarkStart w:id="595" w:name="OLE_LINK2"/>
      <w:r>
        <w:rPr>
          <w:rFonts w:hint="eastAsia" w:ascii="宋体" w:hAnsi="宋体" w:eastAsia="宋体" w:cs="宋体"/>
          <w:b w:val="0"/>
          <w:color w:val="000000"/>
          <w:sz w:val="24"/>
          <w:szCs w:val="24"/>
          <w:u w:val="none"/>
        </w:rPr>
        <w:t>. 发包人</w:t>
      </w:r>
      <w:bookmarkEnd w:id="590"/>
    </w:p>
    <w:bookmarkEnd w:id="591"/>
    <w:bookmarkEnd w:id="592"/>
    <w:bookmarkEnd w:id="593"/>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596" w:name="_Toc13264"/>
      <w:r>
        <w:rPr>
          <w:rFonts w:hint="eastAsia" w:ascii="宋体" w:hAnsi="宋体" w:eastAsia="宋体" w:cs="宋体"/>
          <w:b w:val="0"/>
          <w:bCs w:val="0"/>
          <w:color w:val="000000"/>
          <w:sz w:val="24"/>
          <w:szCs w:val="24"/>
        </w:rPr>
        <w:t>2</w:t>
      </w:r>
      <w:bookmarkStart w:id="597" w:name="_Toc296346540"/>
      <w:bookmarkStart w:id="598" w:name="_Toc337558740"/>
      <w:bookmarkStart w:id="599" w:name="_Toc296503039"/>
      <w:r>
        <w:rPr>
          <w:rFonts w:hint="eastAsia" w:ascii="宋体" w:hAnsi="宋体" w:eastAsia="宋体" w:cs="宋体"/>
          <w:b w:val="0"/>
          <w:bCs w:val="0"/>
          <w:color w:val="000000"/>
          <w:sz w:val="24"/>
          <w:szCs w:val="24"/>
        </w:rPr>
        <w:t>.1 许可或批准</w:t>
      </w:r>
      <w:bookmarkEnd w:id="596"/>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因发包人原因未能及时办理完毕前述许可、批准或备案，由发包人承担由此增加的费用和（或）延误的工期，并支付承包人合理的利润。</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00" w:name="_Toc12570"/>
      <w:r>
        <w:rPr>
          <w:rFonts w:hint="eastAsia" w:ascii="宋体" w:hAnsi="宋体" w:eastAsia="宋体" w:cs="宋体"/>
          <w:b w:val="0"/>
          <w:bCs w:val="0"/>
          <w:color w:val="000000"/>
          <w:sz w:val="24"/>
          <w:szCs w:val="24"/>
        </w:rPr>
        <w:t>2.2 发包人代表</w:t>
      </w:r>
      <w:bookmarkEnd w:id="600"/>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发包人代表不能按照合同约定履行其职责及义务，并导致合同无法继续正常履行的，承包人可以要求发包人撤换发包人代表。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不属于法定必须监理的工程，监理人的职权可以由发包人代表或发包人指定的其他人员行使。</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01" w:name="_Toc10525"/>
      <w:r>
        <w:rPr>
          <w:rFonts w:hint="eastAsia" w:ascii="宋体" w:hAnsi="宋体" w:eastAsia="宋体" w:cs="宋体"/>
          <w:b w:val="0"/>
          <w:bCs w:val="0"/>
          <w:color w:val="000000"/>
          <w:sz w:val="24"/>
          <w:szCs w:val="24"/>
        </w:rPr>
        <w:t>2.3 发包人人员</w:t>
      </w:r>
      <w:bookmarkEnd w:id="601"/>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pageBreakBefore w:val="0"/>
        <w:widowControl w:val="0"/>
        <w:kinsoku/>
        <w:wordWrap/>
        <w:overflowPunct/>
        <w:topLinePunct w:val="0"/>
        <w:bidi w:val="0"/>
        <w:snapToGrid/>
        <w:spacing w:line="400" w:lineRule="exact"/>
        <w:ind w:firstLine="64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发包人人员包括发包人代表及其他由发包人派驻施工现场的人员。</w:t>
      </w:r>
      <w:bookmarkEnd w:id="597"/>
      <w:bookmarkEnd w:id="598"/>
      <w:bookmarkEnd w:id="599"/>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02" w:name="_Toc20381"/>
      <w:r>
        <w:rPr>
          <w:rFonts w:hint="eastAsia" w:ascii="宋体" w:hAnsi="宋体" w:eastAsia="宋体" w:cs="宋体"/>
          <w:b w:val="0"/>
          <w:bCs w:val="0"/>
          <w:color w:val="000000"/>
          <w:sz w:val="24"/>
          <w:szCs w:val="24"/>
        </w:rPr>
        <w:t>2</w:t>
      </w:r>
      <w:bookmarkStart w:id="603" w:name="_Toc296346541"/>
      <w:bookmarkStart w:id="604" w:name="_Toc337558741"/>
      <w:bookmarkStart w:id="605" w:name="_Toc296503040"/>
      <w:r>
        <w:rPr>
          <w:rFonts w:hint="eastAsia" w:ascii="宋体" w:hAnsi="宋体" w:eastAsia="宋体" w:cs="宋体"/>
          <w:b w:val="0"/>
          <w:bCs w:val="0"/>
          <w:color w:val="000000"/>
          <w:sz w:val="24"/>
          <w:szCs w:val="24"/>
        </w:rPr>
        <w:t>.4 施工现场、施工条件和基础资料的提供</w:t>
      </w:r>
      <w:bookmarkEnd w:id="602"/>
      <w:bookmarkEnd w:id="603"/>
      <w:bookmarkEnd w:id="604"/>
      <w:bookmarkEnd w:id="60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2.4.1 提供施工现场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w:t>
      </w:r>
      <w:bookmarkEnd w:id="594"/>
      <w:bookmarkEnd w:id="595"/>
      <w:r>
        <w:rPr>
          <w:rFonts w:hint="eastAsia" w:ascii="宋体" w:hAnsi="宋体" w:eastAsia="宋体" w:cs="宋体"/>
          <w:color w:val="000000"/>
          <w:kern w:val="0"/>
          <w:sz w:val="24"/>
          <w:szCs w:val="24"/>
        </w:rPr>
        <w:t>专用合同条款另有约定外，发包人应最迟于开工日期7天前向承包人移交施工现场。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 提供施工条件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除专用合同条款另有约定外，发包人应负责提供施工所需要的条件，包括：</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（1）将施工用水、电力、通讯线路等施工所必需的条件接至施工现场内；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（2）保证向承包人提供正常施工所需要的进入施工现场的交通条件；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（3）协调处理施工现场周围地下管线和邻近建筑物、构筑物、古树名木的保护工作，并承担相关费用；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（4）按照专用合同条款约定应提供的其他设施和条件。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2.4.3 提供基础资料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因发包人原因未能按合同约定及时向承包人提供施工现场、施工条件、基础资料的，由发包人承担由此增加的费用和（或）延误的工期。</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06" w:name="_Toc21998"/>
      <w:r>
        <w:rPr>
          <w:rFonts w:hint="eastAsia" w:ascii="宋体" w:hAnsi="宋体" w:eastAsia="宋体" w:cs="宋体"/>
          <w:b w:val="0"/>
          <w:bCs w:val="0"/>
          <w:color w:val="000000"/>
          <w:sz w:val="24"/>
          <w:szCs w:val="24"/>
        </w:rPr>
        <w:t>2</w:t>
      </w:r>
      <w:bookmarkStart w:id="607" w:name="_Toc296346543"/>
      <w:bookmarkStart w:id="608" w:name="_Toc296503042"/>
      <w:bookmarkStart w:id="609" w:name="_Toc337558745"/>
      <w:r>
        <w:rPr>
          <w:rFonts w:hint="eastAsia" w:ascii="宋体" w:hAnsi="宋体" w:eastAsia="宋体" w:cs="宋体"/>
          <w:b w:val="0"/>
          <w:bCs w:val="0"/>
          <w:color w:val="000000"/>
          <w:sz w:val="24"/>
          <w:szCs w:val="24"/>
        </w:rPr>
        <w:t>.5 资</w:t>
      </w:r>
      <w:bookmarkEnd w:id="607"/>
      <w:bookmarkEnd w:id="608"/>
      <w:bookmarkEnd w:id="609"/>
      <w:r>
        <w:rPr>
          <w:rFonts w:hint="eastAsia" w:ascii="宋体" w:hAnsi="宋体" w:eastAsia="宋体" w:cs="宋体"/>
          <w:b w:val="0"/>
          <w:bCs w:val="0"/>
          <w:color w:val="000000"/>
          <w:sz w:val="24"/>
          <w:szCs w:val="24"/>
        </w:rPr>
        <w:t>金来源证明及支付担保</w:t>
      </w:r>
      <w:bookmarkEnd w:id="606"/>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10" w:name="_Toc9533"/>
      <w:r>
        <w:rPr>
          <w:rFonts w:hint="eastAsia" w:ascii="宋体" w:hAnsi="宋体" w:eastAsia="宋体" w:cs="宋体"/>
          <w:b w:val="0"/>
          <w:bCs w:val="0"/>
          <w:color w:val="000000"/>
          <w:sz w:val="24"/>
          <w:szCs w:val="24"/>
        </w:rPr>
        <w:t>2.6 支付合同价款</w:t>
      </w:r>
      <w:bookmarkEnd w:id="610"/>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发包人应按合同约定向承包人及时支付合同价款。</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11" w:name="_Toc24961"/>
      <w:r>
        <w:rPr>
          <w:rFonts w:hint="eastAsia" w:ascii="宋体" w:hAnsi="宋体" w:eastAsia="宋体" w:cs="宋体"/>
          <w:b w:val="0"/>
          <w:bCs w:val="0"/>
          <w:color w:val="000000"/>
          <w:sz w:val="24"/>
          <w:szCs w:val="24"/>
        </w:rPr>
        <w:t>2.7 组织竣工验收</w:t>
      </w:r>
      <w:bookmarkEnd w:id="611"/>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发包人应按合同约定及时组织竣工验收。</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12" w:name="_Toc31566"/>
      <w:r>
        <w:rPr>
          <w:rFonts w:hint="eastAsia" w:ascii="宋体" w:hAnsi="宋体" w:eastAsia="宋体" w:cs="宋体"/>
          <w:b w:val="0"/>
          <w:bCs w:val="0"/>
          <w:color w:val="000000"/>
          <w:sz w:val="24"/>
          <w:szCs w:val="24"/>
        </w:rPr>
        <w:t>2.8 现场统一管理协议</w:t>
      </w:r>
      <w:bookmarkEnd w:id="612"/>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13" w:name="_Toc6790"/>
      <w:r>
        <w:rPr>
          <w:rFonts w:hint="eastAsia" w:ascii="宋体" w:hAnsi="宋体" w:eastAsia="宋体" w:cs="宋体"/>
          <w:b w:val="0"/>
          <w:color w:val="000000"/>
          <w:sz w:val="24"/>
          <w:szCs w:val="24"/>
          <w:u w:val="none"/>
        </w:rPr>
        <w:t>3</w:t>
      </w:r>
      <w:bookmarkStart w:id="614" w:name="_Toc337558746"/>
      <w:bookmarkStart w:id="615" w:name="_Toc296346546"/>
      <w:bookmarkStart w:id="616" w:name="_Toc296503045"/>
      <w:r>
        <w:rPr>
          <w:rFonts w:hint="eastAsia" w:ascii="宋体" w:hAnsi="宋体" w:eastAsia="宋体" w:cs="宋体"/>
          <w:b w:val="0"/>
          <w:color w:val="000000"/>
          <w:sz w:val="24"/>
          <w:szCs w:val="24"/>
          <w:u w:val="none"/>
        </w:rPr>
        <w:t>. 承包人</w:t>
      </w:r>
      <w:bookmarkEnd w:id="613"/>
    </w:p>
    <w:bookmarkEnd w:id="614"/>
    <w:bookmarkEnd w:id="615"/>
    <w:bookmarkEnd w:id="616"/>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17" w:name="_Toc11702"/>
      <w:r>
        <w:rPr>
          <w:rFonts w:hint="eastAsia" w:ascii="宋体" w:hAnsi="宋体" w:eastAsia="宋体" w:cs="宋体"/>
          <w:b w:val="0"/>
          <w:bCs w:val="0"/>
          <w:color w:val="000000"/>
          <w:sz w:val="24"/>
          <w:szCs w:val="24"/>
        </w:rPr>
        <w:t>3</w:t>
      </w:r>
      <w:bookmarkStart w:id="618" w:name="_Toc337558747"/>
      <w:bookmarkStart w:id="619" w:name="_Toc296346547"/>
      <w:bookmarkStart w:id="620" w:name="_Toc296503046"/>
      <w:r>
        <w:rPr>
          <w:rFonts w:hint="eastAsia" w:ascii="宋体" w:hAnsi="宋体" w:eastAsia="宋体" w:cs="宋体"/>
          <w:b w:val="0"/>
          <w:bCs w:val="0"/>
          <w:color w:val="000000"/>
          <w:sz w:val="24"/>
          <w:szCs w:val="24"/>
        </w:rPr>
        <w:t>.1 承包人的一般义务</w:t>
      </w:r>
      <w:bookmarkEnd w:id="617"/>
    </w:p>
    <w:bookmarkEnd w:id="618"/>
    <w:bookmarkEnd w:id="619"/>
    <w:bookmarkEnd w:id="62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承包人在履行合同过程中应遵守法律和工程建设标准规范，并履行以下义务：</w:t>
      </w:r>
    </w:p>
    <w:p>
      <w:pPr>
        <w:pageBreakBefore w:val="0"/>
        <w:widowControl w:val="0"/>
        <w:numPr>
          <w:ilvl w:val="0"/>
          <w:numId w:val="11"/>
        </w:numPr>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办理法律规定应由承包人办理的许可和批准，并将办理结果书面报送发包人留存；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（2）按法律规定和合同约定完成工程，并在保修期内承担保修义务；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（3）按法律规定和合同约定采取施工安全和环境保护措施，办理工伤保险，确保工程及人员、材料、设备和设施的安全；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（4）按合同约定的工作内容和施工进度要求，编制施工组织设计和施工措施计划，并对所有施工作业和施工方法的完备性和安全可靠性负责；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（6）按照第6.3款〔环境保护〕约定负责施工场地及其周边环境与生态的保护工作；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（7）按第6.1款〔安全文明施工〕约定采取施工安全措施，确保工程及其人员、材料、设备和设施的安全，防止因工程施工造成的人身伤害和财产损失；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（8）将发包人按合同约定支付的各项价款专用于合同工程，且应及时支付其雇用人员工资，并及时向分包人支付合同价款；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（9）按照法律规定和合同约定编制竣工资料，完成竣工资料立卷及归档，并按专用合同条款约定的竣工资料的套数、内容、时间等要求移交发包人；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（10）应履行的其他义务。</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21" w:name="_Toc15763"/>
      <w:r>
        <w:rPr>
          <w:rFonts w:hint="eastAsia" w:ascii="宋体" w:hAnsi="宋体" w:eastAsia="宋体" w:cs="宋体"/>
          <w:b w:val="0"/>
          <w:bCs w:val="0"/>
          <w:color w:val="000000"/>
          <w:sz w:val="24"/>
          <w:szCs w:val="24"/>
        </w:rPr>
        <w:t>3</w:t>
      </w:r>
      <w:bookmarkStart w:id="622" w:name="_Toc296503047"/>
      <w:bookmarkStart w:id="623" w:name="_Toc337558748"/>
      <w:bookmarkStart w:id="624" w:name="_Toc296346548"/>
      <w:r>
        <w:rPr>
          <w:rFonts w:hint="eastAsia" w:ascii="宋体" w:hAnsi="宋体" w:eastAsia="宋体" w:cs="宋体"/>
          <w:b w:val="0"/>
          <w:bCs w:val="0"/>
          <w:color w:val="000000"/>
          <w:sz w:val="24"/>
          <w:szCs w:val="24"/>
        </w:rPr>
        <w:t>.2 项目经理</w:t>
      </w:r>
      <w:bookmarkEnd w:id="621"/>
    </w:p>
    <w:bookmarkEnd w:id="622"/>
    <w:bookmarkEnd w:id="623"/>
    <w:bookmarkEnd w:id="62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承包人违反上述约定的，应按照专用合同条款的约定，承担违约责任。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25" w:name="_Toc7651"/>
      <w:r>
        <w:rPr>
          <w:rFonts w:hint="eastAsia" w:ascii="宋体" w:hAnsi="宋体" w:eastAsia="宋体" w:cs="宋体"/>
          <w:b w:val="0"/>
          <w:bCs w:val="0"/>
          <w:color w:val="000000"/>
          <w:sz w:val="24"/>
          <w:szCs w:val="24"/>
        </w:rPr>
        <w:t>3</w:t>
      </w:r>
      <w:bookmarkStart w:id="626" w:name="_Toc296503048"/>
      <w:bookmarkStart w:id="627" w:name="_Toc296346549"/>
      <w:bookmarkStart w:id="628" w:name="_Toc337558749"/>
      <w:r>
        <w:rPr>
          <w:rFonts w:hint="eastAsia" w:ascii="宋体" w:hAnsi="宋体" w:eastAsia="宋体" w:cs="宋体"/>
          <w:b w:val="0"/>
          <w:bCs w:val="0"/>
          <w:color w:val="000000"/>
          <w:sz w:val="24"/>
          <w:szCs w:val="24"/>
        </w:rPr>
        <w:t xml:space="preserve">.3 </w:t>
      </w:r>
      <w:bookmarkEnd w:id="626"/>
      <w:bookmarkEnd w:id="627"/>
      <w:r>
        <w:rPr>
          <w:rFonts w:hint="eastAsia" w:ascii="宋体" w:hAnsi="宋体" w:eastAsia="宋体" w:cs="宋体"/>
          <w:b w:val="0"/>
          <w:bCs w:val="0"/>
          <w:color w:val="000000"/>
          <w:sz w:val="24"/>
          <w:szCs w:val="24"/>
        </w:rPr>
        <w:t>承包人人员</w:t>
      </w:r>
      <w:bookmarkEnd w:id="625"/>
    </w:p>
    <w:bookmarkEnd w:id="628"/>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特殊工种作业人员均应持有相应的资格证明，监理人可以随时检查。</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 承包人擅自更换主要施工管理人员，或前述人员未经监理人或发包人同意擅自离开施工现场的，应按照专用合同条款约定承担违约责任。</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29" w:name="_Toc18602"/>
      <w:r>
        <w:rPr>
          <w:rFonts w:hint="eastAsia" w:ascii="宋体" w:hAnsi="宋体" w:eastAsia="宋体" w:cs="宋体"/>
          <w:b w:val="0"/>
          <w:bCs w:val="0"/>
          <w:color w:val="000000"/>
          <w:sz w:val="24"/>
          <w:szCs w:val="24"/>
        </w:rPr>
        <w:t>3</w:t>
      </w:r>
      <w:bookmarkStart w:id="630" w:name="_Toc296503050"/>
      <w:bookmarkStart w:id="631" w:name="_Toc337558750"/>
      <w:bookmarkStart w:id="632" w:name="_Toc296346551"/>
      <w:r>
        <w:rPr>
          <w:rFonts w:hint="eastAsia" w:ascii="宋体" w:hAnsi="宋体" w:eastAsia="宋体" w:cs="宋体"/>
          <w:b w:val="0"/>
          <w:bCs w:val="0"/>
          <w:color w:val="000000"/>
          <w:sz w:val="24"/>
          <w:szCs w:val="24"/>
        </w:rPr>
        <w:t>.4 承包人现场查勘</w:t>
      </w:r>
      <w:bookmarkEnd w:id="629"/>
    </w:p>
    <w:bookmarkEnd w:id="630"/>
    <w:bookmarkEnd w:id="631"/>
    <w:bookmarkEnd w:id="63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33" w:name="_Toc13023"/>
      <w:r>
        <w:rPr>
          <w:rFonts w:hint="eastAsia" w:ascii="宋体" w:hAnsi="宋体" w:eastAsia="宋体" w:cs="宋体"/>
          <w:b w:val="0"/>
          <w:bCs w:val="0"/>
          <w:color w:val="000000"/>
          <w:sz w:val="24"/>
          <w:szCs w:val="24"/>
        </w:rPr>
        <w:t>3</w:t>
      </w:r>
      <w:bookmarkStart w:id="634" w:name="_Toc296346552"/>
      <w:bookmarkStart w:id="635" w:name="_Toc296503051"/>
      <w:bookmarkStart w:id="636" w:name="_Toc337558751"/>
      <w:r>
        <w:rPr>
          <w:rFonts w:hint="eastAsia" w:ascii="宋体" w:hAnsi="宋体" w:eastAsia="宋体" w:cs="宋体"/>
          <w:b w:val="0"/>
          <w:bCs w:val="0"/>
          <w:color w:val="000000"/>
          <w:sz w:val="24"/>
          <w:szCs w:val="24"/>
        </w:rPr>
        <w:t>.5 分包</w:t>
      </w:r>
      <w:bookmarkEnd w:id="633"/>
    </w:p>
    <w:bookmarkEnd w:id="634"/>
    <w:bookmarkEnd w:id="635"/>
    <w:bookmarkEnd w:id="63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分包的一般约定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承包人不得以劳务分包的名义转包或违法分包工程。</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 分包的确定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 分包管理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 分包合同价款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（1）除本项第（2）目约定的情况或专用合同条款另有约定外，分包合同价款由承包人与分包人结算，未经承包人同意，发包人不得向分包人支付分包工程价款；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（2）生效法律文书要求发包人向分包人支付分包合同价款的，发包人有权从应付承包人工程款中扣除该部分款项。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3.5.5 分包合同权益的转让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37" w:name="_Toc2965"/>
      <w:r>
        <w:rPr>
          <w:rFonts w:hint="eastAsia" w:ascii="宋体" w:hAnsi="宋体" w:eastAsia="宋体" w:cs="宋体"/>
          <w:b w:val="0"/>
          <w:bCs w:val="0"/>
          <w:color w:val="000000"/>
          <w:sz w:val="24"/>
          <w:szCs w:val="24"/>
        </w:rPr>
        <w:t>3.6 工程照管与成品、半成品保护</w:t>
      </w:r>
      <w:bookmarkEnd w:id="637"/>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（2）在承包人负责照管期间，因承包人原因造成工程、材料、工程设备损坏的，由承包人负责修复或更换，并承担由此增加的费用和（或）延误的工期。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38" w:name="_Toc30371"/>
      <w:r>
        <w:rPr>
          <w:rFonts w:hint="eastAsia" w:ascii="宋体" w:hAnsi="宋体" w:eastAsia="宋体" w:cs="宋体"/>
          <w:b w:val="0"/>
          <w:bCs w:val="0"/>
          <w:color w:val="000000"/>
          <w:sz w:val="24"/>
          <w:szCs w:val="24"/>
        </w:rPr>
        <w:t>3</w:t>
      </w:r>
      <w:bookmarkStart w:id="639" w:name="_Toc337558752"/>
      <w:bookmarkStart w:id="640" w:name="_Toc296503052"/>
      <w:bookmarkStart w:id="641" w:name="_Toc296346553"/>
      <w:r>
        <w:rPr>
          <w:rFonts w:hint="eastAsia" w:ascii="宋体" w:hAnsi="宋体" w:eastAsia="宋体" w:cs="宋体"/>
          <w:b w:val="0"/>
          <w:bCs w:val="0"/>
          <w:color w:val="000000"/>
          <w:sz w:val="24"/>
          <w:szCs w:val="24"/>
        </w:rPr>
        <w:t>.7 履约担保</w:t>
      </w:r>
      <w:bookmarkEnd w:id="638"/>
    </w:p>
    <w:bookmarkEnd w:id="639"/>
    <w:bookmarkEnd w:id="640"/>
    <w:bookmarkEnd w:id="64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42" w:name="_Toc25688"/>
      <w:r>
        <w:rPr>
          <w:rFonts w:hint="eastAsia" w:ascii="宋体" w:hAnsi="宋体" w:eastAsia="宋体" w:cs="宋体"/>
          <w:b w:val="0"/>
          <w:bCs w:val="0"/>
          <w:color w:val="000000"/>
          <w:sz w:val="24"/>
          <w:szCs w:val="24"/>
        </w:rPr>
        <w:t>3.8 联合体</w:t>
      </w:r>
      <w:bookmarkEnd w:id="642"/>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 联合体各方应共同与发包人签订合同协议书。联合体各方应为履行合同向发包人承担连带责任。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 联合体协议经发包人确认后作为合同附件。在履行合同过程中，未经发包人同意，不得修改联合体协议。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3.8.3 联合体牵头人负责与发包人和监理人联系，并接受指示，负责组织联合体各成员全面履行合同。</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43" w:name="_Toc9040"/>
      <w:r>
        <w:rPr>
          <w:rFonts w:hint="eastAsia" w:ascii="宋体" w:hAnsi="宋体" w:eastAsia="宋体" w:cs="宋体"/>
          <w:b w:val="0"/>
          <w:color w:val="000000"/>
          <w:sz w:val="24"/>
          <w:szCs w:val="24"/>
          <w:u w:val="none"/>
        </w:rPr>
        <w:t>4</w:t>
      </w:r>
      <w:bookmarkStart w:id="644" w:name="_Toc296503053"/>
      <w:bookmarkStart w:id="645" w:name="_Toc296346554"/>
      <w:bookmarkStart w:id="646" w:name="_Toc337558753"/>
      <w:r>
        <w:rPr>
          <w:rFonts w:hint="eastAsia" w:ascii="宋体" w:hAnsi="宋体" w:eastAsia="宋体" w:cs="宋体"/>
          <w:b w:val="0"/>
          <w:color w:val="000000"/>
          <w:sz w:val="24"/>
          <w:szCs w:val="24"/>
          <w:u w:val="none"/>
        </w:rPr>
        <w:t>. 监</w:t>
      </w:r>
      <w:bookmarkEnd w:id="644"/>
      <w:bookmarkEnd w:id="645"/>
      <w:r>
        <w:rPr>
          <w:rFonts w:hint="eastAsia" w:ascii="宋体" w:hAnsi="宋体" w:eastAsia="宋体" w:cs="宋体"/>
          <w:b w:val="0"/>
          <w:color w:val="000000"/>
          <w:sz w:val="24"/>
          <w:szCs w:val="24"/>
          <w:u w:val="none"/>
        </w:rPr>
        <w:t>理人</w:t>
      </w:r>
      <w:bookmarkEnd w:id="643"/>
    </w:p>
    <w:bookmarkEnd w:id="646"/>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47" w:name="_Toc20497"/>
      <w:r>
        <w:rPr>
          <w:rFonts w:hint="eastAsia" w:ascii="宋体" w:hAnsi="宋体" w:eastAsia="宋体" w:cs="宋体"/>
          <w:b w:val="0"/>
          <w:bCs w:val="0"/>
          <w:color w:val="000000"/>
          <w:sz w:val="24"/>
          <w:szCs w:val="24"/>
        </w:rPr>
        <w:t>4</w:t>
      </w:r>
      <w:bookmarkStart w:id="648" w:name="_Toc337558754"/>
      <w:bookmarkStart w:id="649" w:name="_Toc296503054"/>
      <w:bookmarkStart w:id="650" w:name="_Toc296346555"/>
      <w:r>
        <w:rPr>
          <w:rFonts w:hint="eastAsia" w:ascii="宋体" w:hAnsi="宋体" w:eastAsia="宋体" w:cs="宋体"/>
          <w:b w:val="0"/>
          <w:bCs w:val="0"/>
          <w:color w:val="000000"/>
          <w:sz w:val="24"/>
          <w:szCs w:val="24"/>
        </w:rPr>
        <w:t>.1监理人的一般规定</w:t>
      </w:r>
      <w:bookmarkEnd w:id="647"/>
    </w:p>
    <w:bookmarkEnd w:id="648"/>
    <w:bookmarkEnd w:id="649"/>
    <w:bookmarkEnd w:id="65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除专用合同条款另有约定外，监理人在施工现场的办公场所、生活场所由承包人提供，所发生的费用由发包人承担。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51" w:name="_Toc18179"/>
      <w:r>
        <w:rPr>
          <w:rFonts w:hint="eastAsia" w:ascii="宋体" w:hAnsi="宋体" w:eastAsia="宋体" w:cs="宋体"/>
          <w:b w:val="0"/>
          <w:bCs w:val="0"/>
          <w:color w:val="000000"/>
          <w:sz w:val="24"/>
          <w:szCs w:val="24"/>
        </w:rPr>
        <w:t>4</w:t>
      </w:r>
      <w:bookmarkStart w:id="652" w:name="_Toc337558755"/>
      <w:r>
        <w:rPr>
          <w:rFonts w:hint="eastAsia" w:ascii="宋体" w:hAnsi="宋体" w:eastAsia="宋体" w:cs="宋体"/>
          <w:b w:val="0"/>
          <w:bCs w:val="0"/>
          <w:color w:val="000000"/>
          <w:sz w:val="24"/>
          <w:szCs w:val="24"/>
        </w:rPr>
        <w:t>.2监理人员</w:t>
      </w:r>
      <w:bookmarkEnd w:id="651"/>
    </w:p>
    <w:bookmarkEnd w:id="65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53" w:name="_Toc31740"/>
      <w:r>
        <w:rPr>
          <w:rFonts w:hint="eastAsia" w:ascii="宋体" w:hAnsi="宋体" w:eastAsia="宋体" w:cs="宋体"/>
          <w:b w:val="0"/>
          <w:bCs w:val="0"/>
          <w:color w:val="000000"/>
          <w:sz w:val="24"/>
          <w:szCs w:val="24"/>
        </w:rPr>
        <w:t>4</w:t>
      </w:r>
      <w:bookmarkStart w:id="654" w:name="_Toc296346556"/>
      <w:bookmarkStart w:id="655" w:name="_Toc296503055"/>
      <w:bookmarkStart w:id="656" w:name="_Toc337558756"/>
      <w:r>
        <w:rPr>
          <w:rFonts w:hint="eastAsia" w:ascii="宋体" w:hAnsi="宋体" w:eastAsia="宋体" w:cs="宋体"/>
          <w:b w:val="0"/>
          <w:bCs w:val="0"/>
          <w:color w:val="000000"/>
          <w:sz w:val="24"/>
          <w:szCs w:val="24"/>
        </w:rPr>
        <w:t>.3</w:t>
      </w:r>
      <w:bookmarkEnd w:id="654"/>
      <w:bookmarkEnd w:id="655"/>
      <w:r>
        <w:rPr>
          <w:rFonts w:hint="eastAsia" w:ascii="宋体" w:hAnsi="宋体" w:eastAsia="宋体" w:cs="宋体"/>
          <w:b w:val="0"/>
          <w:bCs w:val="0"/>
          <w:color w:val="000000"/>
          <w:sz w:val="24"/>
          <w:szCs w:val="24"/>
        </w:rPr>
        <w:t>监理人的指</w:t>
      </w:r>
      <w:bookmarkEnd w:id="656"/>
      <w:r>
        <w:rPr>
          <w:rFonts w:hint="eastAsia" w:ascii="宋体" w:hAnsi="宋体" w:eastAsia="宋体" w:cs="宋体"/>
          <w:b w:val="0"/>
          <w:bCs w:val="0"/>
          <w:color w:val="000000"/>
          <w:sz w:val="24"/>
          <w:szCs w:val="24"/>
        </w:rPr>
        <w:t>示</w:t>
      </w:r>
      <w:bookmarkEnd w:id="653"/>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57" w:name="_Toc6995"/>
      <w:r>
        <w:rPr>
          <w:rFonts w:hint="eastAsia" w:ascii="宋体" w:hAnsi="宋体" w:eastAsia="宋体" w:cs="宋体"/>
          <w:b w:val="0"/>
          <w:bCs w:val="0"/>
          <w:color w:val="000000"/>
          <w:sz w:val="24"/>
          <w:szCs w:val="24"/>
        </w:rPr>
        <w:t>4</w:t>
      </w:r>
      <w:bookmarkStart w:id="658" w:name="_Toc296503057"/>
      <w:bookmarkStart w:id="659" w:name="_Toc337558757"/>
      <w:bookmarkStart w:id="660" w:name="_Toc296346558"/>
      <w:r>
        <w:rPr>
          <w:rFonts w:hint="eastAsia" w:ascii="宋体" w:hAnsi="宋体" w:eastAsia="宋体" w:cs="宋体"/>
          <w:b w:val="0"/>
          <w:bCs w:val="0"/>
          <w:color w:val="000000"/>
          <w:sz w:val="24"/>
          <w:szCs w:val="24"/>
        </w:rPr>
        <w:t>.4 商定或确定</w:t>
      </w:r>
      <w:bookmarkEnd w:id="657"/>
    </w:p>
    <w:bookmarkEnd w:id="658"/>
    <w:bookmarkEnd w:id="659"/>
    <w:bookmarkEnd w:id="66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61" w:name="_Toc8056"/>
      <w:r>
        <w:rPr>
          <w:rFonts w:hint="eastAsia" w:ascii="宋体" w:hAnsi="宋体" w:eastAsia="宋体" w:cs="宋体"/>
          <w:b w:val="0"/>
          <w:color w:val="000000"/>
          <w:sz w:val="24"/>
          <w:szCs w:val="24"/>
          <w:u w:val="none"/>
        </w:rPr>
        <w:t>5</w:t>
      </w:r>
      <w:bookmarkStart w:id="662" w:name="_Toc337558758"/>
      <w:r>
        <w:rPr>
          <w:rFonts w:hint="eastAsia" w:ascii="宋体" w:hAnsi="宋体" w:eastAsia="宋体" w:cs="宋体"/>
          <w:b w:val="0"/>
          <w:color w:val="000000"/>
          <w:sz w:val="24"/>
          <w:szCs w:val="24"/>
          <w:u w:val="none"/>
        </w:rPr>
        <w:t>. 工程质量</w:t>
      </w:r>
      <w:bookmarkEnd w:id="661"/>
    </w:p>
    <w:bookmarkEnd w:id="662"/>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63" w:name="_Toc21951"/>
      <w:r>
        <w:rPr>
          <w:rFonts w:hint="eastAsia" w:ascii="宋体" w:hAnsi="宋体" w:eastAsia="宋体" w:cs="宋体"/>
          <w:b w:val="0"/>
          <w:bCs w:val="0"/>
          <w:color w:val="000000"/>
          <w:sz w:val="24"/>
          <w:szCs w:val="24"/>
        </w:rPr>
        <w:t>5</w:t>
      </w:r>
      <w:bookmarkStart w:id="664" w:name="_Toc337558759"/>
      <w:r>
        <w:rPr>
          <w:rFonts w:hint="eastAsia" w:ascii="宋体" w:hAnsi="宋体" w:eastAsia="宋体" w:cs="宋体"/>
          <w:b w:val="0"/>
          <w:bCs w:val="0"/>
          <w:color w:val="000000"/>
          <w:sz w:val="24"/>
          <w:szCs w:val="24"/>
        </w:rPr>
        <w:t>.1质量要求</w:t>
      </w:r>
      <w:bookmarkEnd w:id="663"/>
    </w:p>
    <w:bookmarkEnd w:id="66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 因发包人原因造成工程质量未达到合同约定标准的，由发包人承担由此增加的费用和（或）延误的工期，并支付承包人合理的利润。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65" w:name="_Toc28471"/>
      <w:r>
        <w:rPr>
          <w:rFonts w:hint="eastAsia" w:ascii="宋体" w:hAnsi="宋体" w:eastAsia="宋体" w:cs="宋体"/>
          <w:b w:val="0"/>
          <w:bCs w:val="0"/>
          <w:color w:val="000000"/>
          <w:sz w:val="24"/>
          <w:szCs w:val="24"/>
        </w:rPr>
        <w:t>5</w:t>
      </w:r>
      <w:bookmarkStart w:id="666" w:name="_Toc337558760"/>
      <w:r>
        <w:rPr>
          <w:rFonts w:hint="eastAsia" w:ascii="宋体" w:hAnsi="宋体" w:eastAsia="宋体" w:cs="宋体"/>
          <w:b w:val="0"/>
          <w:bCs w:val="0"/>
          <w:color w:val="000000"/>
          <w:sz w:val="24"/>
          <w:szCs w:val="24"/>
        </w:rPr>
        <w:t>.2质量保证措施</w:t>
      </w:r>
      <w:bookmarkEnd w:id="665"/>
    </w:p>
    <w:bookmarkEnd w:id="66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5.2.1 发包人的质量管理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发包人应按照法律规定及合同约定完成与工程质量有关的各项工作。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 承包人的质量管理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承包人应对施工人员进行质量教育和技术培训，定期考核施工人员的劳动技能，严格执行施工规范和操作规程。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5.2.3 监理人的质量检查和检验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67" w:name="_Toc8344"/>
      <w:r>
        <w:rPr>
          <w:rFonts w:hint="eastAsia" w:ascii="宋体" w:hAnsi="宋体" w:eastAsia="宋体" w:cs="宋体"/>
          <w:b w:val="0"/>
          <w:bCs w:val="0"/>
          <w:color w:val="000000"/>
          <w:sz w:val="24"/>
          <w:szCs w:val="24"/>
        </w:rPr>
        <w:t>5</w:t>
      </w:r>
      <w:bookmarkStart w:id="668" w:name="_Toc337558761"/>
      <w:r>
        <w:rPr>
          <w:rFonts w:hint="eastAsia" w:ascii="宋体" w:hAnsi="宋体" w:eastAsia="宋体" w:cs="宋体"/>
          <w:b w:val="0"/>
          <w:bCs w:val="0"/>
          <w:color w:val="000000"/>
          <w:sz w:val="24"/>
          <w:szCs w:val="24"/>
        </w:rPr>
        <w:t>.3 隐蔽工程检查</w:t>
      </w:r>
      <w:bookmarkEnd w:id="667"/>
    </w:p>
    <w:bookmarkEnd w:id="66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5.3.1承包人自检</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承包人应当对工程隐蔽部位进行自检，并经自检确认是否具备覆盖条件。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5.3.2检查程序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 重新检查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5.3.4 承包人私自覆盖</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69" w:name="_Toc15113"/>
      <w:r>
        <w:rPr>
          <w:rFonts w:hint="eastAsia" w:ascii="宋体" w:hAnsi="宋体" w:eastAsia="宋体" w:cs="宋体"/>
          <w:b w:val="0"/>
          <w:bCs w:val="0"/>
          <w:color w:val="000000"/>
          <w:sz w:val="24"/>
          <w:szCs w:val="24"/>
        </w:rPr>
        <w:t>5</w:t>
      </w:r>
      <w:bookmarkStart w:id="670" w:name="_Toc337558762"/>
      <w:r>
        <w:rPr>
          <w:rFonts w:hint="eastAsia" w:ascii="宋体" w:hAnsi="宋体" w:eastAsia="宋体" w:cs="宋体"/>
          <w:b w:val="0"/>
          <w:bCs w:val="0"/>
          <w:color w:val="000000"/>
          <w:sz w:val="24"/>
          <w:szCs w:val="24"/>
        </w:rPr>
        <w:t>.4不合格工程的处理</w:t>
      </w:r>
      <w:bookmarkEnd w:id="669"/>
    </w:p>
    <w:bookmarkEnd w:id="67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 因发包人原因造成工程不合格的，由此增加的费用和（或）延误的工期由发包人承担，并支付承包人合理的利润。</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71" w:name="_Toc10281"/>
      <w:r>
        <w:rPr>
          <w:rFonts w:hint="eastAsia" w:ascii="宋体" w:hAnsi="宋体" w:eastAsia="宋体" w:cs="宋体"/>
          <w:b w:val="0"/>
          <w:bCs w:val="0"/>
          <w:color w:val="000000"/>
          <w:sz w:val="24"/>
          <w:szCs w:val="24"/>
        </w:rPr>
        <w:t>5.5 质量争议检测</w:t>
      </w:r>
      <w:bookmarkEnd w:id="671"/>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合同当事人对工程质量有争议的，由双方协商确定的工程质量检测机构鉴定，由此产生的费用及因此造成的损失，由责任方承担。</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合同当事人均有责任的，由双方根据其责任分别承担。合同当事人无法达成一致的，按照第4.4款〔商定或确定〕执行。</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72" w:name="_Toc4831"/>
      <w:r>
        <w:rPr>
          <w:rFonts w:hint="eastAsia" w:ascii="宋体" w:hAnsi="宋体" w:eastAsia="宋体" w:cs="宋体"/>
          <w:b w:val="0"/>
          <w:color w:val="000000"/>
          <w:sz w:val="24"/>
          <w:szCs w:val="24"/>
          <w:u w:val="none"/>
        </w:rPr>
        <w:t>6</w:t>
      </w:r>
      <w:bookmarkStart w:id="673" w:name="_Toc337558763"/>
      <w:r>
        <w:rPr>
          <w:rFonts w:hint="eastAsia" w:ascii="宋体" w:hAnsi="宋体" w:eastAsia="宋体" w:cs="宋体"/>
          <w:b w:val="0"/>
          <w:color w:val="000000"/>
          <w:sz w:val="24"/>
          <w:szCs w:val="24"/>
          <w:u w:val="none"/>
        </w:rPr>
        <w:t>. 安全文明施工与环境保护</w:t>
      </w:r>
      <w:bookmarkEnd w:id="672"/>
    </w:p>
    <w:bookmarkEnd w:id="673"/>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74" w:name="_Toc17962"/>
      <w:r>
        <w:rPr>
          <w:rFonts w:hint="eastAsia" w:ascii="宋体" w:hAnsi="宋体" w:eastAsia="宋体" w:cs="宋体"/>
          <w:b w:val="0"/>
          <w:bCs w:val="0"/>
          <w:color w:val="000000"/>
          <w:sz w:val="24"/>
          <w:szCs w:val="24"/>
        </w:rPr>
        <w:t>6</w:t>
      </w:r>
      <w:bookmarkStart w:id="675" w:name="_Toc337558764"/>
      <w:r>
        <w:rPr>
          <w:rFonts w:hint="eastAsia" w:ascii="宋体" w:hAnsi="宋体" w:eastAsia="宋体" w:cs="宋体"/>
          <w:b w:val="0"/>
          <w:bCs w:val="0"/>
          <w:color w:val="000000"/>
          <w:sz w:val="24"/>
          <w:szCs w:val="24"/>
        </w:rPr>
        <w:t>.1安全文明施工</w:t>
      </w:r>
      <w:bookmarkEnd w:id="674"/>
    </w:p>
    <w:bookmarkEnd w:id="675"/>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6.1.1安全生产要求</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rPr>
        <w:t>政府有关行政管理部门</w:t>
      </w:r>
      <w:r>
        <w:rPr>
          <w:rFonts w:hint="eastAsia" w:ascii="宋体" w:hAnsi="宋体" w:eastAsia="宋体" w:cs="宋体"/>
          <w:color w:val="000000"/>
          <w:sz w:val="24"/>
          <w:szCs w:val="24"/>
        </w:rPr>
        <w:t>采取应急措施。</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因安全生产需要暂停施工的，按照第7.8款〔暂停施工〕的约定执行。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6.1.2 安全生产保证措施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承包人应当按照有关</w:t>
      </w:r>
      <w:r>
        <w:rPr>
          <w:rFonts w:hint="eastAsia" w:ascii="宋体" w:hAnsi="宋体" w:eastAsia="宋体" w:cs="宋体"/>
          <w:color w:val="000000"/>
          <w:kern w:val="0"/>
          <w:sz w:val="24"/>
          <w:szCs w:val="24"/>
        </w:rPr>
        <w:t>规定编制安全技术措施或者专项施工方案，</w:t>
      </w:r>
      <w:r>
        <w:rPr>
          <w:rFonts w:hint="eastAsia" w:ascii="宋体" w:hAnsi="宋体" w:eastAsia="宋体" w:cs="宋体"/>
          <w:color w:val="000000"/>
          <w:sz w:val="24"/>
          <w:szCs w:val="24"/>
        </w:rPr>
        <w:t>建立安全生产责任制度、治安保卫制度及安全生产教育培训制度，并</w:t>
      </w:r>
      <w:r>
        <w:rPr>
          <w:rFonts w:hint="eastAsia" w:ascii="宋体" w:hAnsi="宋体" w:eastAsia="宋体" w:cs="宋体"/>
          <w:color w:val="000000"/>
          <w:kern w:val="0"/>
          <w:sz w:val="24"/>
          <w:szCs w:val="24"/>
        </w:rPr>
        <w:t>按安全生产法律规定及合同约定履行安全职责，如实</w:t>
      </w:r>
      <w:r>
        <w:rPr>
          <w:rFonts w:hint="eastAsia" w:ascii="宋体" w:hAnsi="宋体" w:eastAsia="宋体" w:cs="宋体"/>
          <w:color w:val="000000"/>
          <w:sz w:val="24"/>
          <w:szCs w:val="24"/>
        </w:rPr>
        <w:t>编制工程安全生产的有关记录，</w:t>
      </w:r>
      <w:r>
        <w:rPr>
          <w:rFonts w:hint="eastAsia" w:ascii="宋体" w:hAnsi="宋体" w:eastAsia="宋体" w:cs="宋体"/>
          <w:color w:val="000000"/>
          <w:kern w:val="0"/>
          <w:sz w:val="24"/>
          <w:szCs w:val="24"/>
        </w:rPr>
        <w:t>接受发包人、监理人及政府安全监督部门的检查与监督。</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6.1.3特别安全生产事项</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需单独编制危险性较大分部分项专项工程施工方案的，及要求进行专家论证的超过一定规模的危险性较大的分部分项工程，承包人应及时编制和组织论证。</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6.1.4 治安保卫</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发包人和承包人除应协助现场治安管理机构或联防组织维护施工场地的社会治安外，还应做好包括生活区在内的各自管辖区的治安保卫工作。</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6.1.5 文明施工</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6.1.6 安全文明施工费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6.1.7 紧急情况处理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 事故处理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 安全生产责任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6.1.9.1 发包人的安全责任</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发包人应负责赔偿以下各种情况造成的损失：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（1）工程或工程的任何部分对土地的占用所造成的第三者财产损失；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（2）由于发包人原因在施工场地及其毗邻地带造成的第三者人身伤亡和财产损失；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（3）由于发包人原因对承包人、监理人造成的人员人身伤亡和财产损失；</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（4）由于发包人原因造成的发包人自身人员的人身伤害以及财产损失。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6.1.9.2 承包人的安全责任</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由于承包人原因在施工场地内及其毗邻地带造成的发包人、监理人以及第三者人员伤亡和财产损失，由承包人负责赔偿。</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76" w:name="_Toc29940"/>
      <w:r>
        <w:rPr>
          <w:rFonts w:hint="eastAsia" w:ascii="宋体" w:hAnsi="宋体" w:eastAsia="宋体" w:cs="宋体"/>
          <w:b w:val="0"/>
          <w:bCs w:val="0"/>
          <w:color w:val="000000"/>
          <w:sz w:val="24"/>
          <w:szCs w:val="24"/>
        </w:rPr>
        <w:t>6</w:t>
      </w:r>
      <w:bookmarkStart w:id="677" w:name="_Toc337558765"/>
      <w:r>
        <w:rPr>
          <w:rFonts w:hint="eastAsia" w:ascii="宋体" w:hAnsi="宋体" w:eastAsia="宋体" w:cs="宋体"/>
          <w:b w:val="0"/>
          <w:bCs w:val="0"/>
          <w:color w:val="000000"/>
          <w:sz w:val="24"/>
          <w:szCs w:val="24"/>
        </w:rPr>
        <w:t>.2 职业健康</w:t>
      </w:r>
      <w:bookmarkEnd w:id="676"/>
    </w:p>
    <w:bookmarkEnd w:id="67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6.2.1 劳动保护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6.2.2 生活条件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78" w:name="_Toc26049"/>
      <w:r>
        <w:rPr>
          <w:rFonts w:hint="eastAsia" w:ascii="宋体" w:hAnsi="宋体" w:eastAsia="宋体" w:cs="宋体"/>
          <w:b w:val="0"/>
          <w:bCs w:val="0"/>
          <w:color w:val="000000"/>
          <w:sz w:val="24"/>
          <w:szCs w:val="24"/>
        </w:rPr>
        <w:t>6</w:t>
      </w:r>
      <w:bookmarkStart w:id="679" w:name="_Toc337558766"/>
      <w:r>
        <w:rPr>
          <w:rFonts w:hint="eastAsia" w:ascii="宋体" w:hAnsi="宋体" w:eastAsia="宋体" w:cs="宋体"/>
          <w:b w:val="0"/>
          <w:bCs w:val="0"/>
          <w:color w:val="000000"/>
          <w:sz w:val="24"/>
          <w:szCs w:val="24"/>
        </w:rPr>
        <w:t>.3 环境保护</w:t>
      </w:r>
      <w:bookmarkEnd w:id="678"/>
    </w:p>
    <w:bookmarkEnd w:id="67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680" w:name="_Toc22087"/>
      <w:r>
        <w:rPr>
          <w:rFonts w:hint="eastAsia" w:ascii="宋体" w:hAnsi="宋体" w:eastAsia="宋体" w:cs="宋体"/>
          <w:b w:val="0"/>
          <w:color w:val="000000"/>
          <w:sz w:val="24"/>
          <w:szCs w:val="24"/>
          <w:u w:val="none"/>
        </w:rPr>
        <w:t>7</w:t>
      </w:r>
      <w:bookmarkStart w:id="681" w:name="_Toc337558767"/>
      <w:r>
        <w:rPr>
          <w:rFonts w:hint="eastAsia" w:ascii="宋体" w:hAnsi="宋体" w:eastAsia="宋体" w:cs="宋体"/>
          <w:b w:val="0"/>
          <w:color w:val="000000"/>
          <w:sz w:val="24"/>
          <w:szCs w:val="24"/>
          <w:u w:val="none"/>
        </w:rPr>
        <w:t>. 工期和进度</w:t>
      </w:r>
      <w:bookmarkEnd w:id="680"/>
    </w:p>
    <w:bookmarkEnd w:id="681"/>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82" w:name="_Toc19618"/>
      <w:r>
        <w:rPr>
          <w:rFonts w:hint="eastAsia" w:ascii="宋体" w:hAnsi="宋体" w:eastAsia="宋体" w:cs="宋体"/>
          <w:b w:val="0"/>
          <w:bCs w:val="0"/>
          <w:color w:val="000000"/>
          <w:sz w:val="24"/>
          <w:szCs w:val="24"/>
        </w:rPr>
        <w:t>7</w:t>
      </w:r>
      <w:bookmarkStart w:id="683" w:name="_Toc337558768"/>
      <w:bookmarkStart w:id="684" w:name="_Toc296503066"/>
      <w:bookmarkStart w:id="685" w:name="_Toc296346567"/>
      <w:r>
        <w:rPr>
          <w:rFonts w:hint="eastAsia" w:ascii="宋体" w:hAnsi="宋体" w:eastAsia="宋体" w:cs="宋体"/>
          <w:b w:val="0"/>
          <w:bCs w:val="0"/>
          <w:color w:val="000000"/>
          <w:sz w:val="24"/>
          <w:szCs w:val="24"/>
        </w:rPr>
        <w:t>.1施工组织设计</w:t>
      </w:r>
      <w:bookmarkEnd w:id="682"/>
    </w:p>
    <w:bookmarkEnd w:id="68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7.1.1</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施工组织设计应包含以下内容：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（1）施工方案；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（2）施工现场平面布置图；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（3）施工进度计划和保证措施；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（4）劳动力及材料供应计划；</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（5）施工机械设备的选用；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（7）安全生产、文明施工措施；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（8）环境保护、成本控制措施；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（9）合同当事人约定的其他内容。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施工进度计划的编制和修改按照第7.2款〔施工进度计划〕执行。</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86" w:name="_Toc8128"/>
      <w:r>
        <w:rPr>
          <w:rFonts w:hint="eastAsia" w:ascii="宋体" w:hAnsi="宋体" w:eastAsia="宋体" w:cs="宋体"/>
          <w:b w:val="0"/>
          <w:bCs w:val="0"/>
          <w:color w:val="000000"/>
          <w:sz w:val="24"/>
          <w:szCs w:val="24"/>
        </w:rPr>
        <w:t>7</w:t>
      </w:r>
      <w:bookmarkStart w:id="687" w:name="_Toc337558769"/>
      <w:r>
        <w:rPr>
          <w:rFonts w:hint="eastAsia" w:ascii="宋体" w:hAnsi="宋体" w:eastAsia="宋体" w:cs="宋体"/>
          <w:b w:val="0"/>
          <w:bCs w:val="0"/>
          <w:color w:val="000000"/>
          <w:sz w:val="24"/>
          <w:szCs w:val="24"/>
        </w:rPr>
        <w:t>.2 施工进度计划</w:t>
      </w:r>
      <w:bookmarkEnd w:id="686"/>
    </w:p>
    <w:bookmarkEnd w:id="68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7.2.1 施工进度计划的编制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7.2.2 施工进度计划的修订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88" w:name="_Toc6663"/>
      <w:r>
        <w:rPr>
          <w:rFonts w:hint="eastAsia" w:ascii="宋体" w:hAnsi="宋体" w:eastAsia="宋体" w:cs="宋体"/>
          <w:b w:val="0"/>
          <w:bCs w:val="0"/>
          <w:color w:val="000000"/>
          <w:sz w:val="24"/>
          <w:szCs w:val="24"/>
        </w:rPr>
        <w:t>7</w:t>
      </w:r>
      <w:bookmarkStart w:id="689" w:name="_Toc337558770"/>
      <w:r>
        <w:rPr>
          <w:rFonts w:hint="eastAsia" w:ascii="宋体" w:hAnsi="宋体" w:eastAsia="宋体" w:cs="宋体"/>
          <w:b w:val="0"/>
          <w:bCs w:val="0"/>
          <w:color w:val="000000"/>
          <w:sz w:val="24"/>
          <w:szCs w:val="24"/>
        </w:rPr>
        <w:t>.3 开工</w:t>
      </w:r>
      <w:bookmarkEnd w:id="68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7.3.1 开工准备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除专用合同条款另有约定外，合同当事人应按约定完成开工准备工作。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开工通知</w:t>
      </w:r>
    </w:p>
    <w:bookmarkEnd w:id="68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90" w:name="_Toc19904"/>
      <w:r>
        <w:rPr>
          <w:rFonts w:hint="eastAsia" w:ascii="宋体" w:hAnsi="宋体" w:eastAsia="宋体" w:cs="宋体"/>
          <w:b w:val="0"/>
          <w:bCs w:val="0"/>
          <w:color w:val="000000"/>
          <w:sz w:val="24"/>
          <w:szCs w:val="24"/>
        </w:rPr>
        <w:t>7.4测量放线</w:t>
      </w:r>
      <w:bookmarkEnd w:id="690"/>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施工过程中对施工现场内水准点等测量标志物的保护工作由承包人负责。</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91" w:name="_Toc4763"/>
      <w:r>
        <w:rPr>
          <w:rFonts w:hint="eastAsia" w:ascii="宋体" w:hAnsi="宋体" w:eastAsia="宋体" w:cs="宋体"/>
          <w:b w:val="0"/>
          <w:bCs w:val="0"/>
          <w:color w:val="000000"/>
          <w:sz w:val="24"/>
          <w:szCs w:val="24"/>
        </w:rPr>
        <w:t>7</w:t>
      </w:r>
      <w:bookmarkEnd w:id="684"/>
      <w:bookmarkEnd w:id="685"/>
      <w:bookmarkStart w:id="692" w:name="_Toc296346574"/>
      <w:bookmarkStart w:id="693" w:name="_Toc296503073"/>
      <w:bookmarkStart w:id="694" w:name="_Toc337558772"/>
      <w:r>
        <w:rPr>
          <w:rFonts w:hint="eastAsia" w:ascii="宋体" w:hAnsi="宋体" w:eastAsia="宋体" w:cs="宋体"/>
          <w:b w:val="0"/>
          <w:bCs w:val="0"/>
          <w:color w:val="000000"/>
          <w:sz w:val="24"/>
          <w:szCs w:val="24"/>
        </w:rPr>
        <w:t>.5 工期延误</w:t>
      </w:r>
      <w:bookmarkEnd w:id="691"/>
    </w:p>
    <w:bookmarkEnd w:id="692"/>
    <w:bookmarkEnd w:id="693"/>
    <w:bookmarkEnd w:id="69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 因发包人原因导致工期延误</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（1）发包人未能按合同约定提供图纸或所提供图纸不符合合同约定的；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（2）发包人未能按合同约定提供施工现场、施工条件、基础资料、许可、批准等开工条件的；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（3）发包人提供的测量基准点、基准线和水准点及其书面资料存在错误或疏漏的；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（4）发包人未能在计划开工日期之日起7天内同意下达开工通知的；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（5）发包人未能按合同约定日期支付工程预付款、进度款或竣工结算款的；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（6）监理人未按合同约定发出指示、批准等文件的；</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（7）专用合同条款中约定的其他情形。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7.5.2 因承包人原因导致工期延误</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bookmarkStart w:id="695" w:name="_Toc296346577"/>
      <w:bookmarkStart w:id="696" w:name="_Toc296503076"/>
      <w:r>
        <w:rPr>
          <w:rFonts w:hint="eastAsia" w:ascii="宋体" w:hAnsi="宋体" w:eastAsia="宋体" w:cs="宋体"/>
          <w:color w:val="000000"/>
          <w:kern w:val="0"/>
          <w:sz w:val="24"/>
          <w:szCs w:val="24"/>
        </w:rPr>
        <w:t>因</w:t>
      </w:r>
      <w:bookmarkEnd w:id="695"/>
      <w:bookmarkEnd w:id="696"/>
      <w:r>
        <w:rPr>
          <w:rFonts w:hint="eastAsia" w:ascii="宋体" w:hAnsi="宋体" w:eastAsia="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697" w:name="_Toc3306"/>
      <w:r>
        <w:rPr>
          <w:rFonts w:hint="eastAsia" w:ascii="宋体" w:hAnsi="宋体" w:eastAsia="宋体" w:cs="宋体"/>
          <w:b w:val="0"/>
          <w:bCs w:val="0"/>
          <w:color w:val="000000"/>
          <w:sz w:val="24"/>
          <w:szCs w:val="24"/>
        </w:rPr>
        <w:t>7</w:t>
      </w:r>
      <w:bookmarkStart w:id="698" w:name="_Toc296503074"/>
      <w:bookmarkStart w:id="699" w:name="_Toc296346575"/>
      <w:bookmarkStart w:id="700" w:name="_Toc337558773"/>
      <w:bookmarkStart w:id="701" w:name="_Toc296346578"/>
      <w:bookmarkStart w:id="702" w:name="_Toc296503077"/>
      <w:r>
        <w:rPr>
          <w:rFonts w:hint="eastAsia" w:ascii="宋体" w:hAnsi="宋体" w:eastAsia="宋体" w:cs="宋体"/>
          <w:b w:val="0"/>
          <w:bCs w:val="0"/>
          <w:color w:val="000000"/>
          <w:sz w:val="24"/>
          <w:szCs w:val="24"/>
        </w:rPr>
        <w:t>.6 不利物质条件</w:t>
      </w:r>
      <w:bookmarkEnd w:id="697"/>
    </w:p>
    <w:bookmarkEnd w:id="698"/>
    <w:bookmarkEnd w:id="699"/>
    <w:bookmarkEnd w:id="70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03" w:name="_Toc18573"/>
      <w:r>
        <w:rPr>
          <w:rFonts w:hint="eastAsia" w:ascii="宋体" w:hAnsi="宋体" w:eastAsia="宋体" w:cs="宋体"/>
          <w:b w:val="0"/>
          <w:bCs w:val="0"/>
          <w:color w:val="000000"/>
          <w:sz w:val="24"/>
          <w:szCs w:val="24"/>
        </w:rPr>
        <w:t>7</w:t>
      </w:r>
      <w:bookmarkStart w:id="704" w:name="_Toc296346576"/>
      <w:bookmarkStart w:id="705" w:name="_Toc337558774"/>
      <w:bookmarkStart w:id="706" w:name="_Toc296503075"/>
      <w:r>
        <w:rPr>
          <w:rFonts w:hint="eastAsia" w:ascii="宋体" w:hAnsi="宋体" w:eastAsia="宋体" w:cs="宋体"/>
          <w:b w:val="0"/>
          <w:bCs w:val="0"/>
          <w:color w:val="000000"/>
          <w:sz w:val="24"/>
          <w:szCs w:val="24"/>
        </w:rPr>
        <w:t>.7 异常恶劣的气候条件</w:t>
      </w:r>
      <w:bookmarkEnd w:id="703"/>
    </w:p>
    <w:bookmarkEnd w:id="704"/>
    <w:bookmarkEnd w:id="705"/>
    <w:bookmarkEnd w:id="70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07" w:name="_Toc18015"/>
      <w:r>
        <w:rPr>
          <w:rFonts w:hint="eastAsia" w:ascii="宋体" w:hAnsi="宋体" w:eastAsia="宋体" w:cs="宋体"/>
          <w:b w:val="0"/>
          <w:bCs w:val="0"/>
          <w:color w:val="000000"/>
          <w:sz w:val="24"/>
          <w:szCs w:val="24"/>
        </w:rPr>
        <w:t>7</w:t>
      </w:r>
      <w:bookmarkStart w:id="708" w:name="_Toc337558775"/>
      <w:r>
        <w:rPr>
          <w:rFonts w:hint="eastAsia" w:ascii="宋体" w:hAnsi="宋体" w:eastAsia="宋体" w:cs="宋体"/>
          <w:b w:val="0"/>
          <w:bCs w:val="0"/>
          <w:color w:val="000000"/>
          <w:sz w:val="24"/>
          <w:szCs w:val="24"/>
        </w:rPr>
        <w:t>.8 暂停施工</w:t>
      </w:r>
      <w:bookmarkEnd w:id="707"/>
    </w:p>
    <w:bookmarkEnd w:id="701"/>
    <w:bookmarkEnd w:id="702"/>
    <w:bookmarkEnd w:id="70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7.8.1发包人原因引起的暂停施工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因发包人原因引起的暂停施工，发包人应承担由此增加的费用和（或）延误的工期，</w:t>
      </w:r>
      <w:r>
        <w:rPr>
          <w:rFonts w:hint="eastAsia" w:ascii="宋体" w:hAnsi="宋体" w:eastAsia="宋体" w:cs="宋体"/>
          <w:kern w:val="0"/>
          <w:sz w:val="24"/>
          <w:szCs w:val="24"/>
        </w:rPr>
        <w:t>并支付承包人</w:t>
      </w:r>
      <w:r>
        <w:rPr>
          <w:rFonts w:hint="eastAsia" w:ascii="宋体" w:hAnsi="宋体" w:eastAsia="宋体" w:cs="宋体"/>
          <w:color w:val="000000"/>
          <w:kern w:val="0"/>
          <w:sz w:val="24"/>
          <w:szCs w:val="24"/>
        </w:rPr>
        <w:t>合理的利润。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7.8.2 承包人原因引起的暂停施工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7.8.3 指示暂停施工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监理人认为有必要时，并经发包人批准后，可向承包人作出暂停施工的指示，承包人应按监理人指示暂停施工。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7.8.4 紧急情况下的暂停施工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 暂停施工后的复工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7.8.6 暂停施工持续56天以上</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pageBreakBefore w:val="0"/>
        <w:widowControl w:val="0"/>
        <w:kinsoku/>
        <w:wordWrap/>
        <w:overflowPunct/>
        <w:topLinePunct w:val="0"/>
        <w:bidi w:val="0"/>
        <w:snapToGrid/>
        <w:spacing w:line="400" w:lineRule="exact"/>
        <w:ind w:left="16" w:firstLine="468" w:firstLineChars="195"/>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7.8.7 暂停施工期间的工程照管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暂停施工期间，承包人应负责妥善照管工程并提供安全保障，由此增加的费用由责任方承担。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7.8.8 暂停施工的措施</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暂停施工期间，发包人和承包人均应采取必要的措施确保工程质量及安全，防止因暂停施工扩大损失。</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09" w:name="_Toc26981"/>
      <w:r>
        <w:rPr>
          <w:rFonts w:hint="eastAsia" w:ascii="宋体" w:hAnsi="宋体" w:eastAsia="宋体" w:cs="宋体"/>
          <w:b w:val="0"/>
          <w:bCs w:val="0"/>
          <w:color w:val="000000"/>
          <w:sz w:val="24"/>
          <w:szCs w:val="24"/>
        </w:rPr>
        <w:t>7.9提前竣工</w:t>
      </w:r>
      <w:bookmarkEnd w:id="709"/>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7.9.2 发包人要求承包人提前竣工，或承包人提出提前竣工的建议能够给发包人带来效益的，合同当事人可以在专用合同条款中约定提前竣工的奖励。</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10" w:name="_Toc24271"/>
      <w:r>
        <w:rPr>
          <w:rFonts w:hint="eastAsia" w:ascii="宋体" w:hAnsi="宋体" w:eastAsia="宋体" w:cs="宋体"/>
          <w:b w:val="0"/>
          <w:color w:val="000000"/>
          <w:sz w:val="24"/>
          <w:szCs w:val="24"/>
          <w:u w:val="none"/>
        </w:rPr>
        <w:t>8</w:t>
      </w:r>
      <w:bookmarkStart w:id="711" w:name="_Toc296503058"/>
      <w:bookmarkStart w:id="712" w:name="_Toc337558776"/>
      <w:bookmarkStart w:id="713" w:name="_Toc296346559"/>
      <w:r>
        <w:rPr>
          <w:rFonts w:hint="eastAsia" w:ascii="宋体" w:hAnsi="宋体" w:eastAsia="宋体" w:cs="宋体"/>
          <w:b w:val="0"/>
          <w:color w:val="000000"/>
          <w:sz w:val="24"/>
          <w:szCs w:val="24"/>
          <w:u w:val="none"/>
        </w:rPr>
        <w:t>. 材料与设备</w:t>
      </w:r>
      <w:bookmarkEnd w:id="710"/>
    </w:p>
    <w:bookmarkEnd w:id="711"/>
    <w:bookmarkEnd w:id="712"/>
    <w:bookmarkEnd w:id="713"/>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14" w:name="_Toc1872"/>
      <w:r>
        <w:rPr>
          <w:rFonts w:hint="eastAsia" w:ascii="宋体" w:hAnsi="宋体" w:eastAsia="宋体" w:cs="宋体"/>
          <w:b w:val="0"/>
          <w:bCs w:val="0"/>
          <w:color w:val="000000"/>
          <w:sz w:val="24"/>
          <w:szCs w:val="24"/>
        </w:rPr>
        <w:t>8</w:t>
      </w:r>
      <w:bookmarkStart w:id="715" w:name="_Toc337558777"/>
      <w:bookmarkStart w:id="716" w:name="_Toc296503059"/>
      <w:bookmarkStart w:id="717" w:name="_Toc296346560"/>
      <w:bookmarkStart w:id="718" w:name="_Toc468936960"/>
      <w:r>
        <w:rPr>
          <w:rFonts w:hint="eastAsia" w:ascii="宋体" w:hAnsi="宋体" w:eastAsia="宋体" w:cs="宋体"/>
          <w:b w:val="0"/>
          <w:bCs w:val="0"/>
          <w:color w:val="000000"/>
          <w:sz w:val="24"/>
          <w:szCs w:val="24"/>
        </w:rPr>
        <w:t>.1发包人供应材料与工程设备</w:t>
      </w:r>
      <w:bookmarkEnd w:id="714"/>
    </w:p>
    <w:bookmarkEnd w:id="715"/>
    <w:bookmarkEnd w:id="716"/>
    <w:bookmarkEnd w:id="71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19" w:name="_Toc18177"/>
      <w:r>
        <w:rPr>
          <w:rFonts w:hint="eastAsia" w:ascii="宋体" w:hAnsi="宋体" w:eastAsia="宋体" w:cs="宋体"/>
          <w:b w:val="0"/>
          <w:bCs w:val="0"/>
          <w:color w:val="000000"/>
          <w:sz w:val="24"/>
          <w:szCs w:val="24"/>
        </w:rPr>
        <w:t>8</w:t>
      </w:r>
      <w:bookmarkStart w:id="720" w:name="_Toc296503060"/>
      <w:bookmarkStart w:id="721" w:name="_Toc337558778"/>
      <w:bookmarkStart w:id="722" w:name="_Toc296346561"/>
      <w:r>
        <w:rPr>
          <w:rFonts w:hint="eastAsia" w:ascii="宋体" w:hAnsi="宋体" w:eastAsia="宋体" w:cs="宋体"/>
          <w:b w:val="0"/>
          <w:bCs w:val="0"/>
          <w:color w:val="000000"/>
          <w:sz w:val="24"/>
          <w:szCs w:val="24"/>
        </w:rPr>
        <w:t>.2承包人采购材料与工程设备</w:t>
      </w:r>
      <w:bookmarkEnd w:id="719"/>
    </w:p>
    <w:bookmarkEnd w:id="720"/>
    <w:bookmarkEnd w:id="721"/>
    <w:bookmarkEnd w:id="72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23" w:name="_Toc8702"/>
      <w:r>
        <w:rPr>
          <w:rFonts w:hint="eastAsia" w:ascii="宋体" w:hAnsi="宋体" w:eastAsia="宋体" w:cs="宋体"/>
          <w:b w:val="0"/>
          <w:bCs w:val="0"/>
          <w:color w:val="000000"/>
          <w:sz w:val="24"/>
          <w:szCs w:val="24"/>
        </w:rPr>
        <w:t>8</w:t>
      </w:r>
      <w:bookmarkStart w:id="724" w:name="_Toc337558779"/>
      <w:bookmarkStart w:id="725" w:name="_Toc296346562"/>
      <w:bookmarkStart w:id="726" w:name="_Toc296503061"/>
      <w:r>
        <w:rPr>
          <w:rFonts w:hint="eastAsia" w:ascii="宋体" w:hAnsi="宋体" w:eastAsia="宋体" w:cs="宋体"/>
          <w:b w:val="0"/>
          <w:bCs w:val="0"/>
          <w:color w:val="000000"/>
          <w:sz w:val="24"/>
          <w:szCs w:val="24"/>
        </w:rPr>
        <w:t>.3材料与工程设备的接收与拒收</w:t>
      </w:r>
      <w:bookmarkEnd w:id="723"/>
    </w:p>
    <w:bookmarkEnd w:id="724"/>
    <w:bookmarkEnd w:id="725"/>
    <w:bookmarkEnd w:id="72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8.3.2 承包人采购的材料和工程设备，应保证产品质量合格，承包人应在材料和工程设备到货前24小时通知监理人检验。承</w:t>
      </w:r>
      <w:bookmarkStart w:id="727" w:name="_Toc250655469"/>
      <w:r>
        <w:rPr>
          <w:rFonts w:hint="eastAsia" w:ascii="宋体" w:hAnsi="宋体" w:eastAsia="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727"/>
    <w:p>
      <w:pPr>
        <w:pageBreakBefore w:val="0"/>
        <w:widowControl w:val="0"/>
        <w:kinsoku/>
        <w:wordWrap/>
        <w:overflowPunct/>
        <w:topLinePunct w:val="0"/>
        <w:autoSpaceDE w:val="0"/>
        <w:autoSpaceDN w:val="0"/>
        <w:bidi w:val="0"/>
        <w:adjustRightInd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28" w:name="_Toc12747"/>
      <w:r>
        <w:rPr>
          <w:rFonts w:hint="eastAsia" w:ascii="宋体" w:hAnsi="宋体" w:eastAsia="宋体" w:cs="宋体"/>
          <w:b w:val="0"/>
          <w:bCs w:val="0"/>
          <w:color w:val="000000"/>
          <w:sz w:val="24"/>
          <w:szCs w:val="24"/>
        </w:rPr>
        <w:t>8</w:t>
      </w:r>
      <w:bookmarkStart w:id="729" w:name="_Toc296503062"/>
      <w:bookmarkStart w:id="730" w:name="_Toc337558780"/>
      <w:bookmarkStart w:id="731" w:name="_Toc296346563"/>
      <w:r>
        <w:rPr>
          <w:rFonts w:hint="eastAsia" w:ascii="宋体" w:hAnsi="宋体" w:eastAsia="宋体" w:cs="宋体"/>
          <w:b w:val="0"/>
          <w:bCs w:val="0"/>
          <w:color w:val="000000"/>
          <w:sz w:val="24"/>
          <w:szCs w:val="24"/>
        </w:rPr>
        <w:t>.4材料与工程设备的保管与使用</w:t>
      </w:r>
      <w:bookmarkEnd w:id="728"/>
    </w:p>
    <w:bookmarkEnd w:id="729"/>
    <w:bookmarkEnd w:id="730"/>
    <w:bookmarkEnd w:id="73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8.4.1 发包人供应</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发包人供应的材料和工程设备使用前，由承包人负责检验，检验费用由发包人承担，不合格的不得使用。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8.4.2 承包人采购</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32" w:name="_Toc4936"/>
      <w:r>
        <w:rPr>
          <w:rFonts w:hint="eastAsia" w:ascii="宋体" w:hAnsi="宋体" w:eastAsia="宋体" w:cs="宋体"/>
          <w:b w:val="0"/>
          <w:bCs w:val="0"/>
          <w:color w:val="000000"/>
          <w:sz w:val="24"/>
          <w:szCs w:val="24"/>
        </w:rPr>
        <w:t>8.5禁止使用不合格的材料和工程设备</w:t>
      </w:r>
      <w:bookmarkEnd w:id="732"/>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8.5.2 监理人发现承包人使用了不合格的材料和工程设备，承包人应按照监理人的指示立即改正，并禁止在工程中继续使用不合格的材料和工程设备。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33" w:name="_Toc8845"/>
      <w:r>
        <w:rPr>
          <w:rFonts w:hint="eastAsia" w:ascii="宋体" w:hAnsi="宋体" w:eastAsia="宋体" w:cs="宋体"/>
          <w:b w:val="0"/>
          <w:bCs w:val="0"/>
          <w:color w:val="000000"/>
          <w:sz w:val="24"/>
          <w:szCs w:val="24"/>
        </w:rPr>
        <w:t>8.6 样品</w:t>
      </w:r>
      <w:bookmarkEnd w:id="733"/>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需要承包人报送样品的材料或工程设备，样品的种类、名称、规格、数量等要求均应在专用合同条款中约定。样品的报送程序如下：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8.6.2 样品的保管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经批准的样品应由监理人负责封存于现场，承包人应在现场为保存样品提供适当和固定的场所并保持适当和良好的存储环境条件。</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34" w:name="_Toc26173"/>
      <w:r>
        <w:rPr>
          <w:rFonts w:hint="eastAsia" w:ascii="宋体" w:hAnsi="宋体" w:eastAsia="宋体" w:cs="宋体"/>
          <w:b w:val="0"/>
          <w:bCs w:val="0"/>
          <w:color w:val="000000"/>
          <w:sz w:val="24"/>
          <w:szCs w:val="24"/>
        </w:rPr>
        <w:t>8.7材料与工程设备的替代</w:t>
      </w:r>
      <w:bookmarkEnd w:id="734"/>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8.7.1 出现下列情况需要使用替代材料和工程设备的，承包人应按照第8.7.2项约定的程序执行：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（1）基准日期后生效的法律规定禁止使用的；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（2）发包人要求使用替代品的；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（3）因其他原因必须使用替代品的。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8.7.2 承包人应在使用替代材料和工程设备28天前书面通知监理人，并附下列文件：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（1）被替代的材料和工程设备的名称、数量、规格、型号、品牌、性能、价格及其他相关资料；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（2）替代品的名称、数量、规格、型号、品牌、性能、价格及其他相关资料；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（3）替代品与被替代产品之间的差异以及使用替代品可能对工程产生的影响；</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（4）替代品与被替代产品的价格差异；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（5）使用替代品的理由和原因说明；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（6）监理人要求的其他文件。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监理人应在收到通知后14天内向承包人发出经发包人签认的书面指示；监理人逾期发出书面指示的，视为发包人和监理人同意使用替代品。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35" w:name="_Toc24739"/>
      <w:r>
        <w:rPr>
          <w:rFonts w:hint="eastAsia" w:ascii="宋体" w:hAnsi="宋体" w:eastAsia="宋体" w:cs="宋体"/>
          <w:b w:val="0"/>
          <w:bCs w:val="0"/>
          <w:color w:val="000000"/>
          <w:sz w:val="24"/>
          <w:szCs w:val="24"/>
        </w:rPr>
        <w:t>8.8施工设备和临时设施</w:t>
      </w:r>
      <w:bookmarkEnd w:id="73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8.8.1 承包人提供的施工设备和临时设施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除专用合同条款另有约定外，承包人应自行承担修建临时设施的费用，需要临时占地的，应由发包人办理申请手续并承担相应费用。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8.8.2发包人提供的施工设备和临时设施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发包人提供的施工设备或临时设施在专用合同条款中约定。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8.8.3要求承包人增加或更换施工设备</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36" w:name="_Toc4926"/>
      <w:r>
        <w:rPr>
          <w:rFonts w:hint="eastAsia" w:ascii="宋体" w:hAnsi="宋体" w:eastAsia="宋体" w:cs="宋体"/>
          <w:b w:val="0"/>
          <w:bCs w:val="0"/>
          <w:color w:val="000000"/>
          <w:sz w:val="24"/>
          <w:szCs w:val="24"/>
        </w:rPr>
        <w:t>8</w:t>
      </w:r>
      <w:bookmarkStart w:id="737" w:name="_Toc296503063"/>
      <w:bookmarkStart w:id="738" w:name="_Toc337558781"/>
      <w:bookmarkStart w:id="739" w:name="_Toc296346564"/>
      <w:r>
        <w:rPr>
          <w:rFonts w:hint="eastAsia" w:ascii="宋体" w:hAnsi="宋体" w:eastAsia="宋体" w:cs="宋体"/>
          <w:b w:val="0"/>
          <w:bCs w:val="0"/>
          <w:color w:val="000000"/>
          <w:sz w:val="24"/>
          <w:szCs w:val="24"/>
        </w:rPr>
        <w:t>.9材料与设备专用要求</w:t>
      </w:r>
      <w:bookmarkEnd w:id="736"/>
    </w:p>
    <w:bookmarkEnd w:id="737"/>
    <w:bookmarkEnd w:id="738"/>
    <w:bookmarkEnd w:id="73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718"/>
      <w:r>
        <w:rPr>
          <w:rFonts w:hint="eastAsia" w:ascii="宋体" w:hAnsi="宋体" w:eastAsia="宋体" w:cs="宋体"/>
          <w:color w:val="000000"/>
          <w:kern w:val="0"/>
          <w:sz w:val="24"/>
          <w:szCs w:val="24"/>
        </w:rPr>
        <w:t>经发包人批准，承包人可以根据施工进度计划撤走闲置的施工设备和其他物品。</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40" w:name="_Toc32633"/>
      <w:r>
        <w:rPr>
          <w:rFonts w:hint="eastAsia" w:ascii="宋体" w:hAnsi="宋体" w:eastAsia="宋体" w:cs="宋体"/>
          <w:b w:val="0"/>
          <w:color w:val="000000"/>
          <w:sz w:val="24"/>
          <w:szCs w:val="24"/>
          <w:u w:val="none"/>
        </w:rPr>
        <w:t>9</w:t>
      </w:r>
      <w:bookmarkStart w:id="741" w:name="_Toc337558782"/>
      <w:bookmarkStart w:id="742" w:name="_Toc296503083"/>
      <w:bookmarkStart w:id="743" w:name="_Toc296346584"/>
      <w:r>
        <w:rPr>
          <w:rFonts w:hint="eastAsia" w:ascii="宋体" w:hAnsi="宋体" w:eastAsia="宋体" w:cs="宋体"/>
          <w:b w:val="0"/>
          <w:color w:val="000000"/>
          <w:sz w:val="24"/>
          <w:szCs w:val="24"/>
          <w:u w:val="none"/>
        </w:rPr>
        <w:t>. 试验与检验</w:t>
      </w:r>
      <w:bookmarkEnd w:id="740"/>
    </w:p>
    <w:bookmarkEnd w:id="741"/>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44" w:name="_Toc12881"/>
      <w:r>
        <w:rPr>
          <w:rFonts w:hint="eastAsia" w:ascii="宋体" w:hAnsi="宋体" w:eastAsia="宋体" w:cs="宋体"/>
          <w:b w:val="0"/>
          <w:bCs w:val="0"/>
          <w:color w:val="000000"/>
          <w:sz w:val="24"/>
          <w:szCs w:val="24"/>
        </w:rPr>
        <w:t>9</w:t>
      </w:r>
      <w:bookmarkStart w:id="745" w:name="_Toc337558783"/>
      <w:r>
        <w:rPr>
          <w:rFonts w:hint="eastAsia" w:ascii="宋体" w:hAnsi="宋体" w:eastAsia="宋体" w:cs="宋体"/>
          <w:b w:val="0"/>
          <w:bCs w:val="0"/>
          <w:color w:val="000000"/>
          <w:sz w:val="24"/>
          <w:szCs w:val="24"/>
        </w:rPr>
        <w:t>.1试验设备与试验人员</w:t>
      </w:r>
      <w:bookmarkEnd w:id="744"/>
    </w:p>
    <w:bookmarkEnd w:id="74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9.1.2 承包人应按专用合同条款的约定提供试验设备、取样装置、试验场所和试验条件，并向监理人提交相应进场计划表。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46" w:name="_Toc26656"/>
      <w:r>
        <w:rPr>
          <w:rFonts w:hint="eastAsia" w:ascii="宋体" w:hAnsi="宋体" w:eastAsia="宋体" w:cs="宋体"/>
          <w:b w:val="0"/>
          <w:bCs w:val="0"/>
          <w:color w:val="000000"/>
          <w:sz w:val="24"/>
          <w:szCs w:val="24"/>
        </w:rPr>
        <w:t>9</w:t>
      </w:r>
      <w:bookmarkStart w:id="747" w:name="_Toc337558784"/>
      <w:r>
        <w:rPr>
          <w:rFonts w:hint="eastAsia" w:ascii="宋体" w:hAnsi="宋体" w:eastAsia="宋体" w:cs="宋体"/>
          <w:b w:val="0"/>
          <w:bCs w:val="0"/>
          <w:color w:val="000000"/>
          <w:sz w:val="24"/>
          <w:szCs w:val="24"/>
        </w:rPr>
        <w:t>.2取样</w:t>
      </w:r>
      <w:bookmarkEnd w:id="746"/>
    </w:p>
    <w:bookmarkEnd w:id="74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试验属于自检性质的，承包人可以单独取样。试验属于监理人抽检性质的，可由监理人取样，也可由承包人的试验人员在监理人的监督下取样。</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48" w:name="_Toc31966"/>
      <w:r>
        <w:rPr>
          <w:rFonts w:hint="eastAsia" w:ascii="宋体" w:hAnsi="宋体" w:eastAsia="宋体" w:cs="宋体"/>
          <w:b w:val="0"/>
          <w:bCs w:val="0"/>
          <w:color w:val="000000"/>
          <w:sz w:val="24"/>
          <w:szCs w:val="24"/>
        </w:rPr>
        <w:t>9</w:t>
      </w:r>
      <w:bookmarkStart w:id="749" w:name="_Toc337558785"/>
      <w:r>
        <w:rPr>
          <w:rFonts w:hint="eastAsia" w:ascii="宋体" w:hAnsi="宋体" w:eastAsia="宋体" w:cs="宋体"/>
          <w:b w:val="0"/>
          <w:bCs w:val="0"/>
          <w:color w:val="000000"/>
          <w:sz w:val="24"/>
          <w:szCs w:val="24"/>
        </w:rPr>
        <w:t>.3材料、工程设备和工程的试验和检验</w:t>
      </w:r>
      <w:bookmarkEnd w:id="748"/>
    </w:p>
    <w:bookmarkEnd w:id="74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50" w:name="_Toc30864"/>
      <w:r>
        <w:rPr>
          <w:rFonts w:hint="eastAsia" w:ascii="宋体" w:hAnsi="宋体" w:eastAsia="宋体" w:cs="宋体"/>
          <w:b w:val="0"/>
          <w:bCs w:val="0"/>
          <w:color w:val="000000"/>
          <w:sz w:val="24"/>
          <w:szCs w:val="24"/>
        </w:rPr>
        <w:t>9</w:t>
      </w:r>
      <w:bookmarkStart w:id="751" w:name="_Toc337558786"/>
      <w:r>
        <w:rPr>
          <w:rFonts w:hint="eastAsia" w:ascii="宋体" w:hAnsi="宋体" w:eastAsia="宋体" w:cs="宋体"/>
          <w:b w:val="0"/>
          <w:bCs w:val="0"/>
          <w:color w:val="000000"/>
          <w:sz w:val="24"/>
          <w:szCs w:val="24"/>
        </w:rPr>
        <w:t>.4现场工艺试验</w:t>
      </w:r>
      <w:bookmarkEnd w:id="750"/>
    </w:p>
    <w:bookmarkEnd w:id="751"/>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52" w:name="_Toc618"/>
      <w:r>
        <w:rPr>
          <w:rFonts w:hint="eastAsia" w:ascii="宋体" w:hAnsi="宋体" w:eastAsia="宋体" w:cs="宋体"/>
          <w:b w:val="0"/>
          <w:color w:val="000000"/>
          <w:sz w:val="24"/>
          <w:szCs w:val="24"/>
          <w:u w:val="none"/>
        </w:rPr>
        <w:t>1</w:t>
      </w:r>
      <w:bookmarkStart w:id="753" w:name="_Toc337558787"/>
      <w:r>
        <w:rPr>
          <w:rFonts w:hint="eastAsia" w:ascii="宋体" w:hAnsi="宋体" w:eastAsia="宋体" w:cs="宋体"/>
          <w:b w:val="0"/>
          <w:color w:val="000000"/>
          <w:sz w:val="24"/>
          <w:szCs w:val="24"/>
          <w:u w:val="none"/>
        </w:rPr>
        <w:t>0. 变更</w:t>
      </w:r>
      <w:bookmarkEnd w:id="742"/>
      <w:bookmarkEnd w:id="743"/>
      <w:bookmarkEnd w:id="752"/>
    </w:p>
    <w:bookmarkEnd w:id="753"/>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54" w:name="_Toc11773"/>
      <w:r>
        <w:rPr>
          <w:rFonts w:hint="eastAsia" w:ascii="宋体" w:hAnsi="宋体" w:eastAsia="宋体" w:cs="宋体"/>
          <w:b w:val="0"/>
          <w:bCs w:val="0"/>
          <w:color w:val="000000"/>
          <w:sz w:val="24"/>
          <w:szCs w:val="24"/>
        </w:rPr>
        <w:t>1</w:t>
      </w:r>
      <w:bookmarkStart w:id="755" w:name="_Toc337558788"/>
      <w:bookmarkStart w:id="756" w:name="_Toc296346585"/>
      <w:bookmarkStart w:id="757" w:name="_Toc296503084"/>
      <w:r>
        <w:rPr>
          <w:rFonts w:hint="eastAsia" w:ascii="宋体" w:hAnsi="宋体" w:eastAsia="宋体" w:cs="宋体"/>
          <w:b w:val="0"/>
          <w:bCs w:val="0"/>
          <w:color w:val="000000"/>
          <w:sz w:val="24"/>
          <w:szCs w:val="24"/>
        </w:rPr>
        <w:t>0.1变更的范围</w:t>
      </w:r>
      <w:bookmarkEnd w:id="754"/>
    </w:p>
    <w:bookmarkEnd w:id="755"/>
    <w:bookmarkEnd w:id="756"/>
    <w:bookmarkEnd w:id="75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除专用合同条款另有约定外，合同履行过程中发生以下情形的，应按照本条约定进行变更：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（1）增加或减少合同中任何工作，或追加额外的工作；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（2）取消合同中任何工作，但转由他人实施的工作除外；</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（3）改变合同中任何工作的质量标准或其他特性；</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（4）改变工程的基线、标高、位置和尺寸；</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（5）改变工程的时间安排或实施顺序。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58" w:name="_Toc20493"/>
      <w:r>
        <w:rPr>
          <w:rFonts w:hint="eastAsia" w:ascii="宋体" w:hAnsi="宋体" w:eastAsia="宋体" w:cs="宋体"/>
          <w:b w:val="0"/>
          <w:bCs w:val="0"/>
          <w:color w:val="000000"/>
          <w:sz w:val="24"/>
          <w:szCs w:val="24"/>
        </w:rPr>
        <w:t>1</w:t>
      </w:r>
      <w:bookmarkStart w:id="759" w:name="_Toc296503085"/>
      <w:bookmarkStart w:id="760" w:name="_Toc296346586"/>
      <w:bookmarkStart w:id="761" w:name="_Toc337558789"/>
      <w:r>
        <w:rPr>
          <w:rFonts w:hint="eastAsia" w:ascii="宋体" w:hAnsi="宋体" w:eastAsia="宋体" w:cs="宋体"/>
          <w:b w:val="0"/>
          <w:bCs w:val="0"/>
          <w:color w:val="000000"/>
          <w:sz w:val="24"/>
          <w:szCs w:val="24"/>
        </w:rPr>
        <w:t>0.2变更权</w:t>
      </w:r>
      <w:bookmarkEnd w:id="758"/>
    </w:p>
    <w:bookmarkEnd w:id="759"/>
    <w:bookmarkEnd w:id="760"/>
    <w:bookmarkEnd w:id="76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涉及设计变更的，应由设计人提供变更后的图纸和说明。如变更超过原设计标准或批准的建设规模时，发包人应及时办理规划、设计变更等审批手续。</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62" w:name="_Toc15090"/>
      <w:r>
        <w:rPr>
          <w:rFonts w:hint="eastAsia" w:ascii="宋体" w:hAnsi="宋体" w:eastAsia="宋体" w:cs="宋体"/>
          <w:b w:val="0"/>
          <w:bCs w:val="0"/>
          <w:color w:val="000000"/>
          <w:sz w:val="24"/>
          <w:szCs w:val="24"/>
        </w:rPr>
        <w:t>1</w:t>
      </w:r>
      <w:bookmarkStart w:id="763" w:name="_Toc296503086"/>
      <w:bookmarkStart w:id="764" w:name="_Toc337558790"/>
      <w:bookmarkStart w:id="765" w:name="_Toc296346587"/>
      <w:r>
        <w:rPr>
          <w:rFonts w:hint="eastAsia" w:ascii="宋体" w:hAnsi="宋体" w:eastAsia="宋体" w:cs="宋体"/>
          <w:b w:val="0"/>
          <w:bCs w:val="0"/>
          <w:color w:val="000000"/>
          <w:sz w:val="24"/>
          <w:szCs w:val="24"/>
        </w:rPr>
        <w:t>0.3变更程序</w:t>
      </w:r>
      <w:bookmarkEnd w:id="762"/>
    </w:p>
    <w:bookmarkEnd w:id="763"/>
    <w:bookmarkEnd w:id="764"/>
    <w:bookmarkEnd w:id="76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.3.1 发包人提出变更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发包人提出变更的，应通过监理人向承包人发出变更指示，变更指示应说明计划变更的工程范围和变更的内容。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.3.2 监理人提出变更建议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10.3.3 变更执行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66" w:name="_Toc2230"/>
      <w:r>
        <w:rPr>
          <w:rFonts w:hint="eastAsia" w:ascii="宋体" w:hAnsi="宋体" w:eastAsia="宋体" w:cs="宋体"/>
          <w:b w:val="0"/>
          <w:bCs w:val="0"/>
          <w:color w:val="000000"/>
          <w:sz w:val="24"/>
          <w:szCs w:val="24"/>
        </w:rPr>
        <w:t>1</w:t>
      </w:r>
      <w:bookmarkStart w:id="767" w:name="_Toc296346588"/>
      <w:bookmarkStart w:id="768" w:name="_Toc296503087"/>
      <w:bookmarkStart w:id="769" w:name="_Toc337558791"/>
      <w:r>
        <w:rPr>
          <w:rFonts w:hint="eastAsia" w:ascii="宋体" w:hAnsi="宋体" w:eastAsia="宋体" w:cs="宋体"/>
          <w:b w:val="0"/>
          <w:bCs w:val="0"/>
          <w:color w:val="000000"/>
          <w:sz w:val="24"/>
          <w:szCs w:val="24"/>
        </w:rPr>
        <w:t>0.4变更估价</w:t>
      </w:r>
      <w:bookmarkEnd w:id="766"/>
    </w:p>
    <w:bookmarkEnd w:id="767"/>
    <w:bookmarkEnd w:id="768"/>
    <w:bookmarkEnd w:id="76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10.4.1 变更估价原则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除专用合同条款另有约定外，变更估价按照本款约定处理：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（1）已标价工程量清单或预算书有相同项目的，按照相同项目单价认定；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（2）已标价工程量清单或预算书中无相同项目，但有类似项目的，参照类似项目的单价认定；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10.4.2 变更估价程序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因变更引起的价格调整应计入最近一期的进度款中支付。</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70" w:name="_Toc12036"/>
      <w:r>
        <w:rPr>
          <w:rFonts w:hint="eastAsia" w:ascii="宋体" w:hAnsi="宋体" w:eastAsia="宋体" w:cs="宋体"/>
          <w:b w:val="0"/>
          <w:bCs w:val="0"/>
          <w:color w:val="000000"/>
          <w:sz w:val="24"/>
          <w:szCs w:val="24"/>
        </w:rPr>
        <w:t>1</w:t>
      </w:r>
      <w:bookmarkStart w:id="771" w:name="_Toc296503094"/>
      <w:bookmarkStart w:id="772" w:name="_Toc296346595"/>
      <w:bookmarkStart w:id="773" w:name="_Toc337558792"/>
      <w:r>
        <w:rPr>
          <w:rFonts w:hint="eastAsia" w:ascii="宋体" w:hAnsi="宋体" w:eastAsia="宋体" w:cs="宋体"/>
          <w:b w:val="0"/>
          <w:bCs w:val="0"/>
          <w:color w:val="000000"/>
          <w:sz w:val="24"/>
          <w:szCs w:val="24"/>
        </w:rPr>
        <w:t>0.5承包人的合理化建议</w:t>
      </w:r>
      <w:bookmarkEnd w:id="770"/>
    </w:p>
    <w:bookmarkEnd w:id="771"/>
    <w:bookmarkEnd w:id="772"/>
    <w:bookmarkEnd w:id="77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承包人提出合理化建议的，应向监理人提交合理化建议说明，说明建议的内容和理由，以及实施该建议对合同价格和工期的影响。</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合理化建议降低了合同价格或者提高了工程经济效益的，发包人可对承包人给予奖励，奖励的方法和金额在专用合同条款中约定。</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74" w:name="_Toc7293"/>
      <w:r>
        <w:rPr>
          <w:rFonts w:hint="eastAsia" w:ascii="宋体" w:hAnsi="宋体" w:eastAsia="宋体" w:cs="宋体"/>
          <w:b w:val="0"/>
          <w:bCs w:val="0"/>
          <w:color w:val="000000"/>
          <w:sz w:val="24"/>
          <w:szCs w:val="24"/>
        </w:rPr>
        <w:t>1</w:t>
      </w:r>
      <w:bookmarkStart w:id="775" w:name="_Toc337558793"/>
      <w:r>
        <w:rPr>
          <w:rFonts w:hint="eastAsia" w:ascii="宋体" w:hAnsi="宋体" w:eastAsia="宋体" w:cs="宋体"/>
          <w:b w:val="0"/>
          <w:bCs w:val="0"/>
          <w:color w:val="000000"/>
          <w:sz w:val="24"/>
          <w:szCs w:val="24"/>
        </w:rPr>
        <w:t>0.6变更引起的工期调整</w:t>
      </w:r>
      <w:bookmarkEnd w:id="774"/>
      <w:bookmarkEnd w:id="775"/>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76" w:name="_Toc17756"/>
      <w:r>
        <w:rPr>
          <w:rFonts w:hint="eastAsia" w:ascii="宋体" w:hAnsi="宋体" w:eastAsia="宋体" w:cs="宋体"/>
          <w:b w:val="0"/>
          <w:bCs w:val="0"/>
          <w:color w:val="000000"/>
          <w:sz w:val="24"/>
          <w:szCs w:val="24"/>
        </w:rPr>
        <w:t>10.7暂估价</w:t>
      </w:r>
      <w:bookmarkEnd w:id="776"/>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暂估价专业分包工程、服务、材料和工程设备的明细由合同当事人在专用合同条款中约定。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10.7.1</w:t>
      </w:r>
      <w:r>
        <w:rPr>
          <w:rFonts w:hint="eastAsia" w:ascii="宋体" w:hAnsi="宋体" w:eastAsia="宋体" w:cs="宋体"/>
          <w:color w:val="000000"/>
          <w:kern w:val="0"/>
          <w:sz w:val="24"/>
          <w:szCs w:val="24"/>
        </w:rPr>
        <w:t xml:space="preserve"> 依法必须招标的暂估价项目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对于依法必须招标的暂估价项目，采取以下第1种方式确定。合同当事人也可以在专用合同条款中选择其他招标方式。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第1种方式：对于依法必须招标的暂估价项目，由承包人招标，对该暂估价项目的确认和批准按照以下约定执行：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10.7.2</w:t>
      </w:r>
      <w:r>
        <w:rPr>
          <w:rFonts w:hint="eastAsia" w:ascii="宋体" w:hAnsi="宋体" w:eastAsia="宋体" w:cs="宋体"/>
          <w:color w:val="000000"/>
          <w:kern w:val="0"/>
          <w:sz w:val="24"/>
          <w:szCs w:val="24"/>
        </w:rPr>
        <w:t>不属于依法必须招标的暂估价项目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除专用合同条款另有约定外，对于不属于依法必须招标的暂估价项目，采取以下第1种方式确定：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第1种方式：对于不属于依法必须招标的暂估价项目，按本项约定确认和批准：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（2）发包人认为承包人确定的供应商、分包人无法满足工程质量或合同要求的，发包人可以要求承包人重新确定暂估价项目的供应商、分包人;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（3）承包人应当在签订暂估价合同后7天内，将暂估价合同副本报送发包人留存。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第2种方式：承包人按照第10.7.1项〔依法必须招标的暂估价项目〕约定的第1种方式确定暂估价项目。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bookmarkStart w:id="777" w:name="_Toc337558794"/>
      <w:bookmarkStart w:id="778" w:name="_Toc322522561"/>
      <w:bookmarkStart w:id="779" w:name="_Toc296346591"/>
      <w:bookmarkStart w:id="780" w:name="_Toc296503090"/>
      <w:r>
        <w:rPr>
          <w:rFonts w:hint="eastAsia" w:ascii="宋体" w:hAnsi="宋体" w:eastAsia="宋体" w:cs="宋体"/>
          <w:b w:val="0"/>
          <w:bCs w:val="0"/>
          <w:color w:val="000000"/>
          <w:sz w:val="24"/>
          <w:szCs w:val="24"/>
        </w:rPr>
        <w:t>0.8暂列金额</w:t>
      </w:r>
    </w:p>
    <w:bookmarkEnd w:id="77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暂列金额应按照发包人的要求使用，发包人的要求应通过监理人发出。合同当事人可以在专用合同条款中协商确定有关事项。</w:t>
      </w:r>
    </w:p>
    <w:bookmarkEnd w:id="778"/>
    <w:bookmarkEnd w:id="779"/>
    <w:bookmarkEnd w:id="780"/>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81" w:name="_Toc22643"/>
      <w:r>
        <w:rPr>
          <w:rFonts w:hint="eastAsia" w:ascii="宋体" w:hAnsi="宋体" w:eastAsia="宋体" w:cs="宋体"/>
          <w:b w:val="0"/>
          <w:bCs w:val="0"/>
          <w:color w:val="000000"/>
          <w:sz w:val="24"/>
          <w:szCs w:val="24"/>
        </w:rPr>
        <w:t>1</w:t>
      </w:r>
      <w:bookmarkStart w:id="782" w:name="_Toc296346592"/>
      <w:bookmarkStart w:id="783" w:name="_Toc337558796"/>
      <w:bookmarkStart w:id="784" w:name="_Toc296503091"/>
      <w:r>
        <w:rPr>
          <w:rFonts w:hint="eastAsia" w:ascii="宋体" w:hAnsi="宋体" w:eastAsia="宋体" w:cs="宋体"/>
          <w:b w:val="0"/>
          <w:bCs w:val="0"/>
          <w:color w:val="000000"/>
          <w:sz w:val="24"/>
          <w:szCs w:val="24"/>
        </w:rPr>
        <w:t>0.9计日工</w:t>
      </w:r>
      <w:bookmarkEnd w:id="781"/>
      <w:bookmarkEnd w:id="782"/>
      <w:bookmarkEnd w:id="783"/>
      <w:bookmarkEnd w:id="784"/>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采用计日工计价的任何一项工作，承包人应在该项工作实施过程中，每天提交以下报表和有关凭证报送监理人审查：</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（1）工作名称、内容和数量；</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（2）投入该工作的所有人员的姓名、专业、工种、级别和耗用工时；</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（3）投入该工作的材料类别和数量；</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（4）投入该工作的施工设备型号、台数和耗用台时；</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（5）其他有关资料和凭证。</w:t>
      </w:r>
    </w:p>
    <w:p>
      <w:pPr>
        <w:pageBreakBefore w:val="0"/>
        <w:widowControl w:val="0"/>
        <w:kinsoku/>
        <w:wordWrap/>
        <w:overflowPunct/>
        <w:topLinePunct w:val="0"/>
        <w:bidi w:val="0"/>
        <w:snapToGrid/>
        <w:spacing w:line="400" w:lineRule="exact"/>
        <w:ind w:firstLine="360" w:firstLineChars="15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计日工由承包人汇总后，列入最近一期进度付款申请单，由监理人审查并经发包人批准后列入进度付款。</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85" w:name="_Toc1406"/>
      <w:r>
        <w:rPr>
          <w:rFonts w:hint="eastAsia" w:ascii="宋体" w:hAnsi="宋体" w:eastAsia="宋体" w:cs="宋体"/>
          <w:b w:val="0"/>
          <w:color w:val="000000"/>
          <w:sz w:val="24"/>
          <w:szCs w:val="24"/>
          <w:u w:val="none"/>
        </w:rPr>
        <w:t>11. 价格调整</w:t>
      </w:r>
      <w:bookmarkEnd w:id="785"/>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86" w:name="_Toc11433"/>
      <w:bookmarkStart w:id="787" w:name="_Toc296346593"/>
      <w:bookmarkStart w:id="788" w:name="_Toc337558797"/>
      <w:bookmarkStart w:id="789" w:name="_Toc296503092"/>
      <w:r>
        <w:rPr>
          <w:rFonts w:hint="eastAsia" w:ascii="宋体" w:hAnsi="宋体" w:eastAsia="宋体" w:cs="宋体"/>
          <w:b w:val="0"/>
          <w:bCs w:val="0"/>
          <w:color w:val="000000"/>
          <w:sz w:val="24"/>
          <w:szCs w:val="24"/>
        </w:rPr>
        <w:t>11.1市场价格波动引起的调整</w:t>
      </w:r>
      <w:bookmarkEnd w:id="786"/>
    </w:p>
    <w:bookmarkEnd w:id="787"/>
    <w:bookmarkEnd w:id="788"/>
    <w:bookmarkEnd w:id="78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（1）价格调整公式</w:t>
      </w:r>
    </w:p>
    <w:p>
      <w:pPr>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因人工、材料和设备等价格波动影响合同价格时，根据专用合同条款中约定的数据，按以下公式计算差额并调整合同价格：</w:t>
      </w:r>
    </w:p>
    <w:p>
      <w:pPr>
        <w:pageBreakBefore w:val="0"/>
        <w:widowControl w:val="0"/>
        <w:tabs>
          <w:tab w:val="left" w:pos="0"/>
          <w:tab w:val="left" w:pos="360"/>
          <w:tab w:val="left" w:pos="540"/>
        </w:tabs>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3.9pt;width:359.85pt;" o:ole="t" filled="f" stroked="f" coordsize="21600,21600">
            <v:path/>
            <v:fill on="f" focussize="0,0"/>
            <v:stroke on="f"/>
            <v:imagedata r:id="rId13" o:title=""/>
            <o:lock v:ext="edit" grouping="f" rotation="f" text="f" aspectratio="t"/>
            <w10:wrap type="none"/>
            <w10:anchorlock/>
          </v:shape>
          <o:OLEObject Type="Embed" ProgID="Equation.KSEE3" ShapeID="_x0000_i1025" DrawAspect="Content" ObjectID="_1468075725" r:id="rId12">
            <o:LockedField>false</o:LockedField>
          </o:OLEObject>
        </w:object>
      </w:r>
    </w:p>
    <w:p>
      <w:pPr>
        <w:pageBreakBefore w:val="0"/>
        <w:widowControl w:val="0"/>
        <w:tabs>
          <w:tab w:val="left" w:pos="0"/>
          <w:tab w:val="left" w:pos="360"/>
          <w:tab w:val="left" w:pos="540"/>
        </w:tabs>
        <w:kinsoku/>
        <w:wordWrap/>
        <w:overflowPunct/>
        <w:topLinePunct w:val="0"/>
        <w:bidi w:val="0"/>
        <w:snapToGrid/>
        <w:spacing w:line="400" w:lineRule="exact"/>
        <w:ind w:firstLine="64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公式中：ΔP——需调整的价格差额；</w:t>
      </w:r>
    </w:p>
    <w:p>
      <w:pPr>
        <w:pageBreakBefore w:val="0"/>
        <w:widowControl w:val="0"/>
        <w:tabs>
          <w:tab w:val="left" w:pos="0"/>
          <w:tab w:val="left" w:pos="360"/>
          <w:tab w:val="left" w:pos="540"/>
        </w:tabs>
        <w:kinsoku/>
        <w:wordWrap/>
        <w:overflowPunct/>
        <w:topLinePunct w:val="0"/>
        <w:bidi w:val="0"/>
        <w:snapToGrid/>
        <w:spacing w:line="400" w:lineRule="exact"/>
        <w:ind w:firstLine="1440" w:firstLineChars="600"/>
        <w:textAlignment w:val="auto"/>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7.95pt;width:17.95pt;" o:ole="t" filled="f" stroked="f" coordsize="21600,21600">
            <v:path/>
            <v:fill on="f" focussize="0,0"/>
            <v:stroke on="f"/>
            <v:imagedata r:id="rId15" o:title=""/>
            <o:lock v:ext="edit" grouping="f" rotation="f" text="f" aspectratio="t"/>
            <w10:wrap type="none"/>
            <w10:anchorlock/>
          </v:shape>
          <o:OLEObject Type="Embed" ProgID="Equation.KSEE3" ShapeID="_x0000_i1026" DrawAspect="Content" ObjectID="_1468075726" r:id="rId14">
            <o:LockedField>false</o:LockedField>
          </o:OLEObject>
        </w:object>
      </w:r>
      <w:r>
        <w:rPr>
          <w:rFonts w:hint="eastAsia" w:ascii="宋体" w:hAnsi="宋体" w:eastAsia="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A——定值权重（即不调部分的权重）；</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05pt;width:101pt;" o:ole="t" filled="f" stroked="f" coordsize="21600,21600">
            <v:path/>
            <v:fill on="f" focussize="0,0"/>
            <v:stroke on="f"/>
            <v:imagedata r:id="rId17" o:title=""/>
            <o:lock v:ext="edit" grouping="f" rotation="f" text="f" aspectratio="t"/>
            <w10:wrap type="none"/>
            <w10:anchorlock/>
          </v:shape>
          <o:OLEObject Type="Embed" ProgID="Equation.KSEE3" ShapeID="_x0000_i1027" DrawAspect="Content" ObjectID="_1468075727" r:id="rId16">
            <o:LockedField>false</o:LockedField>
          </o:OLEObject>
        </w:object>
      </w:r>
      <w:r>
        <w:rPr>
          <w:rFonts w:hint="eastAsia" w:ascii="宋体" w:hAnsi="宋体" w:eastAsia="宋体" w:cs="宋体"/>
          <w:color w:val="000000"/>
          <w:sz w:val="24"/>
          <w:szCs w:val="24"/>
        </w:rPr>
        <w:t>——各可调因子的变值权重（即可调部分的权重），为各可调因子在签约合同价中所占的比例；</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0.6pt;width:102.05pt;" o:ole="t" filled="f" stroked="f" coordsize="21600,21600">
            <v:path/>
            <v:fill on="f" focussize="0,0"/>
            <v:stroke on="f"/>
            <v:imagedata r:id="rId19" o:title=""/>
            <o:lock v:ext="edit" grouping="f" rotation="f" text="f" aspectratio="t"/>
            <w10:wrap type="none"/>
            <w10:anchorlock/>
          </v:shape>
          <o:OLEObject Type="Embed" ProgID="Equation.KSEE3" ShapeID="_x0000_i1028" DrawAspect="Content" ObjectID="_1468075728" r:id="rId18">
            <o:LockedField>false</o:LockedField>
          </o:OLEObject>
        </w:object>
      </w:r>
      <w:r>
        <w:rPr>
          <w:rFonts w:hint="eastAsia" w:ascii="宋体" w:hAnsi="宋体" w:eastAsia="宋体" w:cs="宋体"/>
          <w:color w:val="000000"/>
          <w:sz w:val="24"/>
          <w:szCs w:val="24"/>
        </w:rPr>
        <w:t>——各可调因子的现行价格指数，指约定的付款证书相关周期最后一天的前42天的各可调因子的价格指数；</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20.2pt;width:108pt;" o:ole="t" filled="f" stroked="f" coordsize="21600,21600">
            <v:path/>
            <v:fill on="f" focussize="0,0"/>
            <v:stroke on="f"/>
            <v:imagedata r:id="rId21" o:title=""/>
            <o:lock v:ext="edit" grouping="f" rotation="f" text="f" aspectratio="t"/>
            <w10:wrap type="none"/>
            <w10:anchorlock/>
          </v:shape>
          <o:OLEObject Type="Embed" ProgID="Equation.KSEE3" ShapeID="_x0000_i1029" DrawAspect="Content" ObjectID="_1468075729" r:id="rId20">
            <o:LockedField>false</o:LockedField>
          </o:OLEObject>
        </w:object>
      </w:r>
      <w:r>
        <w:rPr>
          <w:rFonts w:hint="eastAsia" w:ascii="宋体" w:hAnsi="宋体" w:eastAsia="宋体" w:cs="宋体"/>
          <w:color w:val="000000"/>
          <w:sz w:val="24"/>
          <w:szCs w:val="24"/>
        </w:rPr>
        <w:t>——各可调因子的基本价格指数，指基准日期的各可调因子的价格指数。</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（2）暂时确定调整差额</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在计算调整差额时无现行价格指数的，合同当事人同意暂用前次价格指数计算。实际价格指数有调整的，合同当事人进行相应调整。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（3）权重的调整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因变更导致合同约定的权重不合理时，按照第4.4款〔商定或确定〕执行。</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（4）因承包人原因工期延误后的价格调整</w:t>
      </w:r>
    </w:p>
    <w:p>
      <w:pPr>
        <w:pageBreakBefore w:val="0"/>
        <w:widowControl w:val="0"/>
        <w:tabs>
          <w:tab w:val="left" w:pos="0"/>
          <w:tab w:val="left" w:pos="360"/>
          <w:tab w:val="left" w:pos="540"/>
        </w:tabs>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（2）材料、工程设备价格变化的价款调整按照发包人提供的基准价格，按以下风险范围规定执行: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bookmarkStart w:id="790" w:name="OLE_LINK3"/>
      <w:r>
        <w:rPr>
          <w:rFonts w:hint="eastAsia" w:ascii="宋体" w:hAnsi="宋体" w:eastAsia="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（3）施工机械台班单价或施工机械使用费发生变化超过省级或行业建设主管部门或其授权的工程造价管理机构规定的范围时，按规定调整合同价格。</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第3种方式：专用合同条款约定的其他方式。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91" w:name="_Toc27635"/>
      <w:bookmarkStart w:id="792" w:name="_Toc296346594"/>
      <w:bookmarkStart w:id="793" w:name="_Toc337558798"/>
      <w:bookmarkStart w:id="794" w:name="_Toc296503093"/>
      <w:r>
        <w:rPr>
          <w:rFonts w:hint="eastAsia" w:ascii="宋体" w:hAnsi="宋体" w:eastAsia="宋体" w:cs="宋体"/>
          <w:b w:val="0"/>
          <w:bCs w:val="0"/>
          <w:color w:val="000000"/>
          <w:sz w:val="24"/>
          <w:szCs w:val="24"/>
        </w:rPr>
        <w:t>11.2法律变化引起的调整</w:t>
      </w:r>
      <w:bookmarkEnd w:id="791"/>
    </w:p>
    <w:bookmarkEnd w:id="792"/>
    <w:bookmarkEnd w:id="793"/>
    <w:bookmarkEnd w:id="794"/>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因法律变化引起的合同价格和工期调整，合同当事人无法达成一致的，由总监理工程师按第4.4款〔商定或确定〕的约定处理。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因承包人原因造成工期延误，在工期延误期间出现法律变化的，由此增加的费用和（或）延误的工期由承包人承担。</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795" w:name="_Toc4260"/>
      <w:bookmarkStart w:id="796" w:name="_Toc337558799"/>
      <w:bookmarkStart w:id="797" w:name="_Toc296346597"/>
      <w:bookmarkStart w:id="798" w:name="_Toc296503096"/>
      <w:r>
        <w:rPr>
          <w:rFonts w:hint="eastAsia" w:ascii="宋体" w:hAnsi="宋体" w:eastAsia="宋体" w:cs="宋体"/>
          <w:b w:val="0"/>
          <w:color w:val="000000"/>
          <w:sz w:val="24"/>
          <w:szCs w:val="24"/>
          <w:u w:val="none"/>
        </w:rPr>
        <w:t>12. 合同价格、计量与支付</w:t>
      </w:r>
      <w:bookmarkEnd w:id="795"/>
    </w:p>
    <w:bookmarkEnd w:id="796"/>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799" w:name="_Toc14359"/>
      <w:bookmarkStart w:id="800" w:name="_Toc337558800"/>
      <w:r>
        <w:rPr>
          <w:rFonts w:hint="eastAsia" w:ascii="宋体" w:hAnsi="宋体" w:eastAsia="宋体" w:cs="宋体"/>
          <w:b w:val="0"/>
          <w:bCs w:val="0"/>
          <w:color w:val="000000"/>
          <w:sz w:val="24"/>
          <w:szCs w:val="24"/>
        </w:rPr>
        <w:t>12.1 合同价</w:t>
      </w:r>
      <w:bookmarkEnd w:id="797"/>
      <w:bookmarkEnd w:id="798"/>
      <w:r>
        <w:rPr>
          <w:rFonts w:hint="eastAsia" w:ascii="宋体" w:hAnsi="宋体" w:eastAsia="宋体" w:cs="宋体"/>
          <w:b w:val="0"/>
          <w:bCs w:val="0"/>
          <w:color w:val="000000"/>
          <w:sz w:val="24"/>
          <w:szCs w:val="24"/>
        </w:rPr>
        <w:t>格形式</w:t>
      </w:r>
      <w:bookmarkEnd w:id="799"/>
    </w:p>
    <w:bookmarkEnd w:id="80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发包人和承包人应在合同协议书中选择下列一种合同价格形式：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eastAsia="宋体" w:cs="宋体"/>
          <w:sz w:val="24"/>
          <w:szCs w:val="24"/>
        </w:rPr>
        <w:t>在约定的范围内合同单价不作调整</w:t>
      </w:r>
      <w:r>
        <w:rPr>
          <w:rFonts w:hint="eastAsia" w:ascii="宋体" w:hAnsi="宋体" w:eastAsia="宋体" w:cs="宋体"/>
          <w:color w:val="000000"/>
          <w:kern w:val="0"/>
          <w:sz w:val="24"/>
          <w:szCs w:val="24"/>
        </w:rPr>
        <w:t>。合同当事人应在专用合同条款中约定综合单价包含的风险范围和风险费用的计算方法</w:t>
      </w:r>
      <w:r>
        <w:rPr>
          <w:rFonts w:hint="eastAsia" w:ascii="宋体" w:hAnsi="宋体" w:eastAsia="宋体" w:cs="宋体"/>
          <w:sz w:val="24"/>
          <w:szCs w:val="24"/>
        </w:rPr>
        <w:t>，</w:t>
      </w:r>
      <w:r>
        <w:rPr>
          <w:rFonts w:hint="eastAsia" w:ascii="宋体" w:hAnsi="宋体" w:eastAsia="宋体" w:cs="宋体"/>
          <w:color w:val="000000"/>
          <w:kern w:val="0"/>
          <w:sz w:val="24"/>
          <w:szCs w:val="24"/>
        </w:rPr>
        <w:t>并约定风险范围以外的合同价格的调整方法，其中因市场价格波动引起的调整按第11.1款〔市场价格波动引起的调整〕约定执行。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rPr>
        <w:t>在约定的范围内合同总价不作调整</w:t>
      </w:r>
      <w:r>
        <w:rPr>
          <w:rFonts w:hint="eastAsia" w:ascii="宋体" w:hAnsi="宋体" w:eastAsia="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3.其它价格形式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合同当事人可在专用合同条款中约定其他合同价格形式。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01" w:name="_Toc296346598"/>
      <w:bookmarkStart w:id="802" w:name="_Toc296503097"/>
      <w:bookmarkStart w:id="803" w:name="_Toc337558801"/>
      <w:r>
        <w:rPr>
          <w:rFonts w:hint="eastAsia" w:ascii="宋体" w:hAnsi="宋体" w:eastAsia="宋体" w:cs="宋体"/>
          <w:b w:val="0"/>
          <w:bCs w:val="0"/>
          <w:color w:val="000000"/>
          <w:sz w:val="24"/>
          <w:szCs w:val="24"/>
        </w:rPr>
        <w:t>12.2预</w:t>
      </w:r>
      <w:bookmarkEnd w:id="801"/>
      <w:bookmarkEnd w:id="802"/>
      <w:bookmarkStart w:id="804" w:name="_Toc296503100"/>
      <w:bookmarkStart w:id="805" w:name="_Toc296346601"/>
      <w:r>
        <w:rPr>
          <w:rFonts w:hint="eastAsia" w:ascii="宋体" w:hAnsi="宋体" w:eastAsia="宋体" w:cs="宋体"/>
          <w:b w:val="0"/>
          <w:bCs w:val="0"/>
          <w:color w:val="000000"/>
          <w:sz w:val="24"/>
          <w:szCs w:val="24"/>
        </w:rPr>
        <w:t>付款</w:t>
      </w:r>
    </w:p>
    <w:bookmarkEnd w:id="803"/>
    <w:bookmarkEnd w:id="804"/>
    <w:bookmarkEnd w:id="80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12.2.</w:t>
      </w:r>
      <w:r>
        <w:rPr>
          <w:rFonts w:hint="eastAsia" w:ascii="宋体" w:hAnsi="宋体" w:eastAsia="宋体" w:cs="宋体"/>
          <w:color w:val="000000"/>
          <w:kern w:val="0"/>
          <w:sz w:val="24"/>
          <w:szCs w:val="24"/>
        </w:rPr>
        <w:t>1预付款的支付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除专用合同条款另有约定外，预付款在进度付款中同比例扣回。</w:t>
      </w:r>
      <w:bookmarkEnd w:id="790"/>
      <w:r>
        <w:rPr>
          <w:rFonts w:hint="eastAsia" w:ascii="宋体" w:hAnsi="宋体" w:eastAsia="宋体" w:cs="宋体"/>
          <w:color w:val="000000"/>
          <w:kern w:val="0"/>
          <w:sz w:val="24"/>
          <w:szCs w:val="24"/>
        </w:rPr>
        <w:t>在颁发工程接收证书前，提前解除合同的，尚未扣完的预付款应与合同价款一并结算。</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发包人在工程款中逐期扣回预付款后，预付款担保额度应相应减少，但剩余的预付款担保金额不得低于未被扣回的预付款金额。</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06" w:name="_Toc25652"/>
      <w:bookmarkStart w:id="807" w:name="_Toc337558802"/>
      <w:r>
        <w:rPr>
          <w:rFonts w:hint="eastAsia" w:ascii="宋体" w:hAnsi="宋体" w:eastAsia="宋体" w:cs="宋体"/>
          <w:b w:val="0"/>
          <w:bCs w:val="0"/>
          <w:color w:val="000000"/>
          <w:sz w:val="24"/>
          <w:szCs w:val="24"/>
        </w:rPr>
        <w:t>12.3计量</w:t>
      </w:r>
      <w:bookmarkEnd w:id="806"/>
    </w:p>
    <w:bookmarkEnd w:id="80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12.3.1 计量原则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12.3.2 计量周期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除专用合同条款另有约定外，工程量的计量按月进行。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12.3.3 单价合同的计量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除专用合同条款另有约定外，单价合同的计量按照本项约定执行：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12.3.4 总价合同的计量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除专用合同条款另有约定外，按月计量支付的总价合同，按照本项约定执行：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（3）监理人未在收到承包人提交的工程量报表后的7天内完成复核的，承包人提交的工程量报告中的工程量视为承包人实际完成的工程量。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12.3.5 总价合同采用支付分解表计量支付的，可以按照第12.3.4项〔总价合同的计量〕约定进行计量，但合同价款按照支付分解表进行支付。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12.3.6 其他价格形式合同的计量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合同当事人可在专用合同条款中约定其他价格形式合同的计量方式和程序。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08" w:name="_Toc296346602"/>
      <w:bookmarkStart w:id="809" w:name="_Toc296503101"/>
      <w:bookmarkStart w:id="810" w:name="_Toc13037"/>
      <w:bookmarkStart w:id="811" w:name="_Toc337558803"/>
      <w:r>
        <w:rPr>
          <w:rFonts w:hint="eastAsia" w:ascii="宋体" w:hAnsi="宋体" w:eastAsia="宋体" w:cs="宋体"/>
          <w:b w:val="0"/>
          <w:bCs w:val="0"/>
          <w:color w:val="000000"/>
          <w:sz w:val="24"/>
          <w:szCs w:val="24"/>
        </w:rPr>
        <w:t>12.4工程进度款支</w:t>
      </w:r>
      <w:bookmarkEnd w:id="808"/>
      <w:bookmarkEnd w:id="809"/>
      <w:r>
        <w:rPr>
          <w:rFonts w:hint="eastAsia" w:ascii="宋体" w:hAnsi="宋体" w:eastAsia="宋体" w:cs="宋体"/>
          <w:b w:val="0"/>
          <w:bCs w:val="0"/>
          <w:color w:val="000000"/>
          <w:sz w:val="24"/>
          <w:szCs w:val="24"/>
        </w:rPr>
        <w:t>付</w:t>
      </w:r>
      <w:bookmarkEnd w:id="810"/>
    </w:p>
    <w:bookmarkEnd w:id="81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.1 付款周期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除专用合同条款另有约定外，付款周期应按照第12.3.2项〔计量周期〕的约定与计量周期保持一致。</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.2 进度付款申请单的编制</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除专用合同条款另有约定外，进度付款申请单应包括下列内容：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（1）截至本次付款周期已完成工作对应的金额；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（2）根据第10条〔变更〕应增加和扣减的变更金额；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（3）根据第12.2款〔预付款〕约定应支付的预付款和扣减的返还预付款；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（4）根据第15.3款〔质量保证金〕约定应扣减的质量保证金；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（5）根据第19条〔索赔〕应增加和扣减的索赔金额；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（6）对已签发的进度款支付证书中出现错误的修正，应在本次进度付款中支付或扣除的金额；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（7）根据合同约定应增加和扣减的其他金额。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12.4.3 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总价合同按月计量支付的，承包人按照第12.3.4项〔总价合同的计量〕约定的时间按月向监理人提交进度付款申请单，并附上已完成工程量报表和有关资料。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总价合同按支付分解表支付的，承包人应按照第12.4.6项〔支付分解表〕及第12.4.2项〔进度付款申请单的编制〕的约定向监理人提交进度付款申请单。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（3）其他价格形式合同的进度付款申请单的提交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合同当事人可在专用合同条款中约定其他价格形式合同的进度付款申请单的编制和提交程序。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.4 进度款审核和支付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（3）发包人签发进度款支付证书或临时进度款支付证书，不表明发包人已同意、批准或接受了承包人完成的相应部分的工作。</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12.4.5 进度付款的修正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12.4.6 支付分解表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1.支付分解表的编制要求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（1）支付分解表中所列的每期付款金额，应为第12.4.2项〔进度付款申请单的编制〕第（1）目的估算金额；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（2）实际进度与施工进度计划不一致的，合同当事人可按照第4.4款〔商定或确定〕修改支付分解表；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（3）不采用支付分解表的，承包人应向发包人和监理人提交按季度编制的支付估算分解表，用于支付参考。</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2.总价合同支付分解表的编制与审批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（3）发包人逾期未完成支付分解表审批的，也未及时要求承包人进行修正和提供补充资料的，则承包人提交的支付分解表视为已经获得发包人批准。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3.单价合同的总价项目支付分解表的编制与审批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12" w:name="_Toc1877"/>
      <w:r>
        <w:rPr>
          <w:rFonts w:hint="eastAsia" w:ascii="宋体" w:hAnsi="宋体" w:eastAsia="宋体" w:cs="宋体"/>
          <w:b w:val="0"/>
          <w:bCs w:val="0"/>
          <w:color w:val="000000"/>
          <w:sz w:val="24"/>
          <w:szCs w:val="24"/>
        </w:rPr>
        <w:t>12.5支付账户</w:t>
      </w:r>
      <w:bookmarkEnd w:id="812"/>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发包人应将合同价款支付至合同协议书中约定的承包人账户。</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13" w:name="_Toc29650"/>
      <w:bookmarkStart w:id="814" w:name="_Toc296346607"/>
      <w:bookmarkStart w:id="815" w:name="_Toc322522574"/>
      <w:bookmarkStart w:id="816" w:name="_Toc337558804"/>
      <w:bookmarkStart w:id="817" w:name="_Toc296503106"/>
      <w:r>
        <w:rPr>
          <w:rFonts w:hint="eastAsia" w:ascii="宋体" w:hAnsi="宋体" w:eastAsia="宋体" w:cs="宋体"/>
          <w:b w:val="0"/>
          <w:color w:val="000000"/>
          <w:sz w:val="24"/>
          <w:szCs w:val="24"/>
          <w:u w:val="none"/>
        </w:rPr>
        <w:t>13. 验收和工程试车</w:t>
      </w:r>
      <w:bookmarkEnd w:id="813"/>
    </w:p>
    <w:bookmarkEnd w:id="814"/>
    <w:bookmarkEnd w:id="815"/>
    <w:bookmarkEnd w:id="816"/>
    <w:bookmarkEnd w:id="817"/>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18" w:name="_Toc12016"/>
      <w:bookmarkStart w:id="819" w:name="_Toc337558805"/>
      <w:bookmarkStart w:id="820" w:name="_Toc296346611"/>
      <w:bookmarkStart w:id="821" w:name="_Toc296503110"/>
      <w:r>
        <w:rPr>
          <w:rFonts w:hint="eastAsia" w:ascii="宋体" w:hAnsi="宋体" w:eastAsia="宋体" w:cs="宋体"/>
          <w:b w:val="0"/>
          <w:bCs w:val="0"/>
          <w:color w:val="000000"/>
          <w:sz w:val="24"/>
          <w:szCs w:val="24"/>
        </w:rPr>
        <w:t>13.1分部分项工程验收</w:t>
      </w:r>
      <w:bookmarkEnd w:id="818"/>
    </w:p>
    <w:bookmarkEnd w:id="819"/>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13.1.1 分部分项工程质量应符合国家有关工程施工验收规范、标准及合同约定，承包人应按照施工组织设计的要求完成分部分项工程施工。</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rPr>
        <w:t>分部分项工程未经验收的，不得进入下一道工序施工。</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分部分项工程的验收资料应当作为竣工资料的组成部分。</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22" w:name="_Toc710"/>
      <w:bookmarkStart w:id="823" w:name="_Toc337558806"/>
      <w:r>
        <w:rPr>
          <w:rFonts w:hint="eastAsia" w:ascii="宋体" w:hAnsi="宋体" w:eastAsia="宋体" w:cs="宋体"/>
          <w:b w:val="0"/>
          <w:bCs w:val="0"/>
          <w:color w:val="000000"/>
          <w:sz w:val="24"/>
          <w:szCs w:val="24"/>
        </w:rPr>
        <w:t>13.2竣工验收</w:t>
      </w:r>
      <w:bookmarkEnd w:id="822"/>
    </w:p>
    <w:bookmarkEnd w:id="820"/>
    <w:bookmarkEnd w:id="821"/>
    <w:bookmarkEnd w:id="82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13.2.1竣工验收条件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工程具备以下条件的，承包人可以申请竣工验收：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（1）除发包人同意的甩项工作和缺陷修补工作外，合同范围内的全部工程以及有关工作，包括合同要求的试验、试运行以及检验均已完成，并符合合同要求；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（2）已按合同约定编制了甩项工作和缺陷修补工作清单以及相应的施工计划；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（3）已按合同约定的内容和份数备齐竣工资料。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13.2.2竣工验收程序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除专用合同条款另有约定外，承包人申请竣工验收的，应当按照以下程序进行：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13.2.3竣工日期</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24" w:name="#go14"/>
      <w:bookmarkEnd w:id="824"/>
      <w:r>
        <w:rPr>
          <w:rFonts w:hint="eastAsia" w:ascii="宋体" w:hAnsi="宋体" w:eastAsia="宋体" w:cs="宋体"/>
          <w:color w:val="000000"/>
          <w:kern w:val="0"/>
          <w:sz w:val="24"/>
          <w:szCs w:val="24"/>
        </w:rPr>
        <w:t>收申请报告的日期为实际竣工日期；工程未经竣工验收，发包人擅自使用的，以转移占有工程之日为实际竣工日期。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 拒绝接收全部或部分工程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 移交、接收全部与部分工程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除专用合同条款另有约定外，合同当事人应当在颁发工程接收证书后7天内完成工程的移交。</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25" w:name="_Toc8931"/>
      <w:bookmarkStart w:id="826" w:name="_Toc296346612"/>
      <w:bookmarkStart w:id="827" w:name="_Toc296503111"/>
      <w:bookmarkStart w:id="828" w:name="_Toc337558807"/>
      <w:r>
        <w:rPr>
          <w:rFonts w:hint="eastAsia" w:ascii="宋体" w:hAnsi="宋体" w:eastAsia="宋体" w:cs="宋体"/>
          <w:b w:val="0"/>
          <w:bCs w:val="0"/>
          <w:color w:val="000000"/>
          <w:sz w:val="24"/>
          <w:szCs w:val="24"/>
        </w:rPr>
        <w:t>13.3工程试车</w:t>
      </w:r>
      <w:bookmarkEnd w:id="825"/>
    </w:p>
    <w:bookmarkEnd w:id="826"/>
    <w:bookmarkEnd w:id="827"/>
    <w:bookmarkEnd w:id="82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13.3.1试车程序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工程需要试车的，除专用合同条款另有约定外，试车内容应与承包人承包范围相一致，试车费用由承包人承担。工程试车应按如下程序进行：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13.3.2 试车中的责任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29" w:name="_Toc11812"/>
      <w:bookmarkStart w:id="830" w:name="_Toc337558808"/>
      <w:r>
        <w:rPr>
          <w:rFonts w:hint="eastAsia" w:ascii="宋体" w:hAnsi="宋体" w:eastAsia="宋体" w:cs="宋体"/>
          <w:b w:val="0"/>
          <w:bCs w:val="0"/>
          <w:color w:val="000000"/>
          <w:sz w:val="24"/>
          <w:szCs w:val="24"/>
        </w:rPr>
        <w:t>13.4提前交付单位工程的验收</w:t>
      </w:r>
      <w:bookmarkEnd w:id="829"/>
    </w:p>
    <w:bookmarkEnd w:id="830"/>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31" w:name="_Toc20036"/>
      <w:r>
        <w:rPr>
          <w:rFonts w:hint="eastAsia" w:ascii="宋体" w:hAnsi="宋体" w:eastAsia="宋体" w:cs="宋体"/>
          <w:b w:val="0"/>
          <w:bCs w:val="0"/>
          <w:color w:val="000000"/>
          <w:sz w:val="24"/>
          <w:szCs w:val="24"/>
        </w:rPr>
        <w:t>13.5 施工期运行</w:t>
      </w:r>
      <w:bookmarkEnd w:id="831"/>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13.5.2 在施工期运行中发现工程或工程设备损坏或存在缺陷的，由承包人按第15.2款〔缺陷责任期〕约定进行修复。</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32" w:name="_Toc296346613"/>
      <w:bookmarkStart w:id="833" w:name="_Toc296503112"/>
      <w:bookmarkStart w:id="834" w:name="_Toc23081"/>
      <w:bookmarkStart w:id="835" w:name="_Toc337558809"/>
      <w:r>
        <w:rPr>
          <w:rFonts w:hint="eastAsia" w:ascii="宋体" w:hAnsi="宋体" w:eastAsia="宋体" w:cs="宋体"/>
          <w:b w:val="0"/>
          <w:bCs w:val="0"/>
          <w:color w:val="000000"/>
          <w:sz w:val="24"/>
          <w:szCs w:val="24"/>
        </w:rPr>
        <w:t>13.6 竣工退</w:t>
      </w:r>
      <w:bookmarkEnd w:id="832"/>
      <w:bookmarkEnd w:id="833"/>
      <w:r>
        <w:rPr>
          <w:rFonts w:hint="eastAsia" w:ascii="宋体" w:hAnsi="宋体" w:eastAsia="宋体" w:cs="宋体"/>
          <w:b w:val="0"/>
          <w:bCs w:val="0"/>
          <w:color w:val="000000"/>
          <w:sz w:val="24"/>
          <w:szCs w:val="24"/>
        </w:rPr>
        <w:t>场</w:t>
      </w:r>
      <w:bookmarkEnd w:id="834"/>
    </w:p>
    <w:bookmarkEnd w:id="83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颁发工程接收证书后，承包人应按以下要求对施工现场进行清理：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（1）施工现场内残留的垃圾已全部清除出场；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（2）临时工程已拆除，场地已进行清理、平整或复原；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（3）按合同约定应撤离的人员、承包人施工设备和剩余的材料，包括废弃的施工设备和材料，已按计划撤离施工现场；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（4）施工现场周边及其附近道路、河道的施工堆积物，已全部清理；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（5）施工现场其他场地清理工作已全部完成。</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13.6.2 地表还原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36" w:name="_Toc7131"/>
      <w:bookmarkStart w:id="837" w:name="_Toc337558810"/>
      <w:bookmarkStart w:id="838" w:name="_Toc296346614"/>
      <w:bookmarkStart w:id="839" w:name="_Toc296503113"/>
      <w:r>
        <w:rPr>
          <w:rFonts w:hint="eastAsia" w:ascii="宋体" w:hAnsi="宋体" w:eastAsia="宋体" w:cs="宋体"/>
          <w:b w:val="0"/>
          <w:color w:val="000000"/>
          <w:sz w:val="24"/>
          <w:szCs w:val="24"/>
          <w:u w:val="none"/>
        </w:rPr>
        <w:t>14. 竣工结算</w:t>
      </w:r>
      <w:bookmarkEnd w:id="836"/>
    </w:p>
    <w:bookmarkEnd w:id="837"/>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40" w:name="_Toc26641"/>
      <w:bookmarkStart w:id="841" w:name="_Toc337558811"/>
      <w:r>
        <w:rPr>
          <w:rFonts w:hint="eastAsia" w:ascii="宋体" w:hAnsi="宋体" w:eastAsia="宋体" w:cs="宋体"/>
          <w:b w:val="0"/>
          <w:bCs w:val="0"/>
          <w:color w:val="000000"/>
          <w:sz w:val="24"/>
          <w:szCs w:val="24"/>
        </w:rPr>
        <w:t>14.1 竣工结算申请</w:t>
      </w:r>
      <w:bookmarkEnd w:id="840"/>
    </w:p>
    <w:bookmarkEnd w:id="84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除专用合同条款另有约定外，</w:t>
      </w:r>
      <w:r>
        <w:rPr>
          <w:rFonts w:hint="eastAsia" w:ascii="宋体" w:hAnsi="宋体" w:eastAsia="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除专用合同条款另有约定外，竣工结算申请单应包括以下内容：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（1）竣工结算合同价格；</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（2）发包人已支付承包人的款项；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（3）应扣留的质量保证金。已缴纳履约保证金的或提供其他工程质量担保方式的除外；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（4）发包人应支付承包人的合同价款。</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42" w:name="_Toc19261"/>
      <w:bookmarkStart w:id="843" w:name="_Toc337558812"/>
      <w:r>
        <w:rPr>
          <w:rFonts w:hint="eastAsia" w:ascii="宋体" w:hAnsi="宋体" w:eastAsia="宋体" w:cs="宋体"/>
          <w:b w:val="0"/>
          <w:bCs w:val="0"/>
          <w:color w:val="000000"/>
          <w:sz w:val="24"/>
          <w:szCs w:val="24"/>
        </w:rPr>
        <w:t>14.2 竣工结算审核</w:t>
      </w:r>
      <w:bookmarkEnd w:id="842"/>
    </w:p>
    <w:bookmarkEnd w:id="84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rPr>
        <w:t>发包人对竣工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申请单有异议的，有权要求承包人进行修正和提供补充资料，承包人应提交修正后的竣工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44" w:name="_Toc5951"/>
      <w:bookmarkStart w:id="845" w:name="_Toc337558813"/>
      <w:r>
        <w:rPr>
          <w:rFonts w:hint="eastAsia" w:ascii="宋体" w:hAnsi="宋体" w:eastAsia="宋体" w:cs="宋体"/>
          <w:b w:val="0"/>
          <w:bCs w:val="0"/>
          <w:color w:val="000000"/>
          <w:sz w:val="24"/>
          <w:szCs w:val="24"/>
        </w:rPr>
        <w:t>14.3 甩项竣工协议</w:t>
      </w:r>
      <w:bookmarkEnd w:id="844"/>
    </w:p>
    <w:bookmarkEnd w:id="845"/>
    <w:p>
      <w:pPr>
        <w:pageBreakBefore w:val="0"/>
        <w:widowControl w:val="0"/>
        <w:kinsoku/>
        <w:wordWrap/>
        <w:overflowPunct/>
        <w:topLinePunct w:val="0"/>
        <w:autoSpaceDE w:val="0"/>
        <w:autoSpaceDN w:val="0"/>
        <w:bidi w:val="0"/>
        <w:adjustRightInd w:val="0"/>
        <w:snapToGrid/>
        <w:spacing w:line="400" w:lineRule="exact"/>
        <w:ind w:firstLine="470" w:firstLineChars="196"/>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46" w:name="_Toc11228"/>
      <w:bookmarkStart w:id="847" w:name="_Toc337558814"/>
      <w:r>
        <w:rPr>
          <w:rFonts w:hint="eastAsia" w:ascii="宋体" w:hAnsi="宋体" w:eastAsia="宋体" w:cs="宋体"/>
          <w:b w:val="0"/>
          <w:bCs w:val="0"/>
          <w:color w:val="000000"/>
          <w:sz w:val="24"/>
          <w:szCs w:val="24"/>
        </w:rPr>
        <w:t>14.4 最终结清</w:t>
      </w:r>
      <w:bookmarkEnd w:id="846"/>
    </w:p>
    <w:bookmarkEnd w:id="84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w:t>
      </w:r>
      <w:r>
        <w:rPr>
          <w:rFonts w:hint="eastAsia" w:ascii="宋体" w:hAnsi="宋体" w:eastAsia="宋体" w:cs="宋体"/>
          <w:color w:val="000000"/>
          <w:kern w:val="0"/>
          <w:sz w:val="24"/>
          <w:szCs w:val="24"/>
        </w:rPr>
        <w:t>最终结清申请单</w:t>
      </w:r>
      <w:r>
        <w:rPr>
          <w:rFonts w:hint="eastAsia" w:ascii="宋体" w:hAnsi="宋体" w:eastAsia="宋体" w:cs="宋体"/>
          <w:color w:val="000000"/>
          <w:sz w:val="24"/>
          <w:szCs w:val="24"/>
        </w:rPr>
        <w:t>应列明质量保证金、应扣除的质量保证金、缺陷责任期内发生的增减费用。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（2）发包人对最终结清申请单内容有异议的，有权要求承包人进行修正和提供补充资料，承包人应向发包人提交修正后的最终结清申请单。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14.4.2 最终结清证书和支付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（3）承包人对发包人颁发的最终结清证书有异议的，按第20条〔争议解决〕的约定办理。</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48" w:name="_Toc14477"/>
      <w:bookmarkStart w:id="849" w:name="_Toc337558815"/>
      <w:r>
        <w:rPr>
          <w:rFonts w:hint="eastAsia" w:ascii="宋体" w:hAnsi="宋体" w:eastAsia="宋体" w:cs="宋体"/>
          <w:b w:val="0"/>
          <w:color w:val="000000"/>
          <w:sz w:val="24"/>
          <w:szCs w:val="24"/>
          <w:u w:val="none"/>
        </w:rPr>
        <w:t>15. 缺陷责任与保修</w:t>
      </w:r>
      <w:bookmarkEnd w:id="848"/>
    </w:p>
    <w:bookmarkEnd w:id="838"/>
    <w:bookmarkEnd w:id="839"/>
    <w:bookmarkEnd w:id="849"/>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50" w:name="_Toc21903"/>
      <w:bookmarkStart w:id="851" w:name="_Toc337558816"/>
      <w:bookmarkStart w:id="852" w:name="_Toc296503114"/>
      <w:bookmarkStart w:id="853" w:name="_Toc296346615"/>
      <w:r>
        <w:rPr>
          <w:rFonts w:hint="eastAsia" w:ascii="宋体" w:hAnsi="宋体" w:eastAsia="宋体" w:cs="宋体"/>
          <w:b w:val="0"/>
          <w:bCs w:val="0"/>
          <w:color w:val="000000"/>
          <w:sz w:val="24"/>
          <w:szCs w:val="24"/>
        </w:rPr>
        <w:t>15.1 工程保修的原则</w:t>
      </w:r>
      <w:bookmarkEnd w:id="850"/>
    </w:p>
    <w:bookmarkEnd w:id="85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54" w:name="_Toc3384"/>
      <w:bookmarkStart w:id="855" w:name="_Toc337558817"/>
      <w:r>
        <w:rPr>
          <w:rFonts w:hint="eastAsia" w:ascii="宋体" w:hAnsi="宋体" w:eastAsia="宋体" w:cs="宋体"/>
          <w:b w:val="0"/>
          <w:bCs w:val="0"/>
          <w:color w:val="000000"/>
          <w:sz w:val="24"/>
          <w:szCs w:val="24"/>
        </w:rPr>
        <w:t>15.2 缺陷责任期</w:t>
      </w:r>
      <w:bookmarkEnd w:id="852"/>
      <w:bookmarkEnd w:id="853"/>
      <w:bookmarkEnd w:id="854"/>
    </w:p>
    <w:bookmarkEnd w:id="85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15.2.1 缺陷责任期从工程通过竣工验收之日起计算，合同当事人应在专用合同条款约定缺陷责任期的具体期限，但该期限最长不超过24个月。</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rPr>
        <w:t>包人延长缺陷责任期，</w:t>
      </w:r>
      <w:r>
        <w:rPr>
          <w:rFonts w:hint="eastAsia" w:ascii="宋体" w:hAnsi="宋体" w:eastAsia="宋体" w:cs="宋体"/>
          <w:color w:val="000000"/>
          <w:kern w:val="0"/>
          <w:sz w:val="24"/>
          <w:szCs w:val="24"/>
        </w:rPr>
        <w:t>并应在原缺陷责任期届满前发出延长通知。</w:t>
      </w:r>
      <w:r>
        <w:rPr>
          <w:rFonts w:hint="eastAsia" w:ascii="宋体" w:hAnsi="宋体" w:eastAsia="宋体" w:cs="宋体"/>
          <w:bCs/>
          <w:color w:val="000000"/>
          <w:sz w:val="24"/>
          <w:szCs w:val="24"/>
        </w:rPr>
        <w:t>但缺陷责任期（含延长部分）最长</w:t>
      </w:r>
      <w:r>
        <w:rPr>
          <w:rFonts w:hint="eastAsia" w:ascii="宋体" w:hAnsi="宋体" w:eastAsia="宋体" w:cs="宋体"/>
          <w:color w:val="000000"/>
          <w:kern w:val="0"/>
          <w:sz w:val="24"/>
          <w:szCs w:val="24"/>
        </w:rPr>
        <w:t>不能超过24个月。</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由他人原因造成的缺陷，发包人负责组织维修，承包人不承担费用，且发包人不得从保证金中扣除费用。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56" w:name="_Toc29277"/>
      <w:bookmarkStart w:id="857" w:name="_Toc337558818"/>
      <w:bookmarkStart w:id="858" w:name="_Toc296503115"/>
      <w:bookmarkStart w:id="859" w:name="_Toc296346616"/>
      <w:r>
        <w:rPr>
          <w:rFonts w:hint="eastAsia" w:ascii="宋体" w:hAnsi="宋体" w:eastAsia="宋体" w:cs="宋体"/>
          <w:b w:val="0"/>
          <w:bCs w:val="0"/>
          <w:color w:val="000000"/>
          <w:sz w:val="24"/>
          <w:szCs w:val="24"/>
        </w:rPr>
        <w:t>15.3 质量保证金</w:t>
      </w:r>
      <w:bookmarkEnd w:id="856"/>
    </w:p>
    <w:bookmarkEnd w:id="85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经合同当事人协商一致扣留质量保证金的，应在专用合同条款中予以明确。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在工程项目竣工前，承包人已经提供履约担保的，发包人不得同时预留工程质量保证金。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15.3.1 承包人提供质量保证金的方式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承包人提供质量保证金有以下三种方式：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（2）相应比例的工程款；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除专用合同条款另有约定外，质量保证金原则上采用上述第（1）种方式。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15.3.2 质量保证金的扣留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质量保证金的扣留有以下三种方式：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w:t>
      </w:r>
      <w:bookmarkStart w:id="860" w:name="#go6"/>
      <w:bookmarkEnd w:id="860"/>
      <w:r>
        <w:rPr>
          <w:rFonts w:hint="eastAsia" w:ascii="宋体" w:hAnsi="宋体" w:eastAsia="宋体" w:cs="宋体"/>
          <w:color w:val="000000"/>
          <w:kern w:val="0"/>
          <w:sz w:val="24"/>
          <w:szCs w:val="24"/>
        </w:rPr>
        <w:t>程竣工结算时一次性扣留质量保证金；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（3）双方约定的其他扣留方式。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除专用合同条款另有约定外，质量保证金的扣留原则上采用上述第（1）种方式。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w:t>
      </w:r>
      <w:bookmarkStart w:id="861" w:name="#go4"/>
      <w:bookmarkEnd w:id="861"/>
      <w:r>
        <w:rPr>
          <w:rFonts w:hint="eastAsia" w:ascii="宋体" w:hAnsi="宋体" w:eastAsia="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发包人在退还质量保证金的同时按照中国人民银行发布的同期同类贷款基准利率支付利息。</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15.3.3 </w:t>
      </w:r>
      <w:r>
        <w:rPr>
          <w:rFonts w:hint="eastAsia" w:ascii="宋体" w:hAnsi="宋体" w:eastAsia="宋体" w:cs="宋体"/>
          <w:color w:val="000000"/>
          <w:sz w:val="24"/>
          <w:szCs w:val="24"/>
        </w:rPr>
        <w:t>质量保证金</w:t>
      </w:r>
      <w:r>
        <w:rPr>
          <w:rFonts w:hint="eastAsia" w:ascii="宋体" w:hAnsi="宋体" w:eastAsia="宋体" w:cs="宋体"/>
          <w:color w:val="000000"/>
          <w:kern w:val="0"/>
          <w:sz w:val="24"/>
          <w:szCs w:val="24"/>
        </w:rPr>
        <w:t>的退还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缺陷责任期内，承包人认真履行合同约定的责任，到期后，承包人可向发包人申请返还保证金。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发包人和承包人对保证金预留、返还以及工程维修质量、费用有争议的，按本合同第20条约定的争议和纠纷解决程序处理。</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62" w:name="_Toc2954"/>
      <w:bookmarkStart w:id="863" w:name="_Toc337558819"/>
      <w:r>
        <w:rPr>
          <w:rFonts w:hint="eastAsia" w:ascii="宋体" w:hAnsi="宋体" w:eastAsia="宋体" w:cs="宋体"/>
          <w:b w:val="0"/>
          <w:bCs w:val="0"/>
          <w:color w:val="000000"/>
          <w:sz w:val="24"/>
          <w:szCs w:val="24"/>
        </w:rPr>
        <w:t>15.4 保修</w:t>
      </w:r>
      <w:bookmarkEnd w:id="862"/>
    </w:p>
    <w:bookmarkEnd w:id="858"/>
    <w:bookmarkEnd w:id="859"/>
    <w:bookmarkEnd w:id="86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15.4.1保修责任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发包人未经竣工验收擅自使用工程的，保修期自</w:t>
      </w:r>
      <w:r>
        <w:rPr>
          <w:rFonts w:hint="eastAsia" w:ascii="宋体" w:hAnsi="宋体" w:eastAsia="宋体" w:cs="宋体"/>
          <w:color w:val="000000"/>
          <w:kern w:val="0"/>
          <w:sz w:val="24"/>
          <w:szCs w:val="24"/>
        </w:rPr>
        <w:t>转移占有之日起算</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15.4.2 修复费用</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保修期内，修复的费用按照以下约定处理：</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（1）保修期内，因承包人原因造成工程的缺陷、损坏，承包人应负责修复，并承担修复的费用以及因工程的缺陷、损坏造成的人身伤害和财产损失；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（2）保修期内，因发包人使用不当造成工程的缺陷、损坏，可以委托承包人修复，但发包人应承担修复的费用，并支付承包人合理利润；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15.4.3 修复通知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15.4.4 未能修复</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15.4.5 承包人出入权</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64" w:name="_Toc31866"/>
      <w:bookmarkStart w:id="865" w:name="_Toc337558820"/>
      <w:r>
        <w:rPr>
          <w:rFonts w:hint="eastAsia" w:ascii="宋体" w:hAnsi="宋体" w:eastAsia="宋体" w:cs="宋体"/>
          <w:b w:val="0"/>
          <w:color w:val="000000"/>
          <w:sz w:val="24"/>
          <w:szCs w:val="24"/>
          <w:u w:val="none"/>
        </w:rPr>
        <w:t>16. 违约</w:t>
      </w:r>
      <w:bookmarkEnd w:id="864"/>
    </w:p>
    <w:bookmarkEnd w:id="865"/>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66" w:name="_Toc296503129"/>
      <w:bookmarkStart w:id="867" w:name="_Toc296346630"/>
      <w:bookmarkStart w:id="868" w:name="_Toc7232"/>
      <w:bookmarkStart w:id="869" w:name="_Toc337558821"/>
      <w:r>
        <w:rPr>
          <w:rFonts w:hint="eastAsia" w:ascii="宋体" w:hAnsi="宋体" w:eastAsia="宋体" w:cs="宋体"/>
          <w:b w:val="0"/>
          <w:bCs w:val="0"/>
          <w:color w:val="000000"/>
          <w:sz w:val="24"/>
          <w:szCs w:val="24"/>
        </w:rPr>
        <w:t>16.1 发</w:t>
      </w:r>
      <w:bookmarkEnd w:id="866"/>
      <w:bookmarkEnd w:id="867"/>
      <w:r>
        <w:rPr>
          <w:rFonts w:hint="eastAsia" w:ascii="宋体" w:hAnsi="宋体" w:eastAsia="宋体" w:cs="宋体"/>
          <w:b w:val="0"/>
          <w:bCs w:val="0"/>
          <w:color w:val="000000"/>
          <w:sz w:val="24"/>
          <w:szCs w:val="24"/>
        </w:rPr>
        <w:t>包人违约</w:t>
      </w:r>
      <w:bookmarkEnd w:id="868"/>
    </w:p>
    <w:bookmarkEnd w:id="86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16.1.1 发包人违约的情形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在合同履行过程中发生的下列情形，属于发包人违约：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（1）因发包人原因未能在计划开工日期前7天内下达开工通知的；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（7）发包人明确表示或者以其行为表明不履行合同主要义务的；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（8）发包人未能按照合同约定履行其他义务的。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16.1.3 因发包人违约解除合同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16.1.4 因发包人违约解除合同后的付款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承包人按照本款约定解除合同的，发包人应在解除合同后28天内支付下列款项，并解除履约担保：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（1）合同解除前所完成工作的价款；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（2）承包人为工程施工订购并已付款的材料、工程设备和其他物品的价款；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（3）承包人撤离施工现场以及遣散承包人人员的款项；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（4）按照合同约定在合同解除前应支付的违约金；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（5）按照合同约定应当支付给承包人的其他款项；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（6）按照合同约定应退还的质量保证金；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（7）因解除合同给承包人造成的损失。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合同当事人未能就解除合同后的结清达成一致的，按照第20条〔争议解决〕的约定处理。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70" w:name="_Toc20375"/>
      <w:bookmarkStart w:id="871" w:name="_Toc337558822"/>
      <w:bookmarkStart w:id="872" w:name="_Toc296346632"/>
      <w:bookmarkStart w:id="873" w:name="_Toc296503131"/>
      <w:r>
        <w:rPr>
          <w:rFonts w:hint="eastAsia" w:ascii="宋体" w:hAnsi="宋体" w:eastAsia="宋体" w:cs="宋体"/>
          <w:b w:val="0"/>
          <w:bCs w:val="0"/>
          <w:color w:val="000000"/>
          <w:sz w:val="24"/>
          <w:szCs w:val="24"/>
        </w:rPr>
        <w:t>16.2 承包人违约</w:t>
      </w:r>
      <w:bookmarkEnd w:id="870"/>
    </w:p>
    <w:bookmarkEnd w:id="871"/>
    <w:bookmarkEnd w:id="872"/>
    <w:bookmarkEnd w:id="87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在合同履行过程中发生的下列情形，属于承包人违约：</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（1）承包人违反合同约定进行转包或违法分包的；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（2）承包人违反合同约定采购和使用不合格的材料和工程设备的；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（3）因承包人原因导致工程质量不符合合同要求的；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（4）承包人违反第8.9款〔材料与设备专用要求〕的约定，未经批准，私自将已按照合同约定进入施工现场的材料或设备撤离施工现场的；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（5）承包人未能按施工进度计划及时完成合同约定的工作，造成工期延误的；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（6）承包人在缺陷责任期及保修期内，未能在合理期限对工程缺陷进行修复，或拒绝按发包人要求进行修复的；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（7）承包人明确表示或者以其行为表明不履行合同主要义务的；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（8）承包人未能按照合同约定履行其他义务的。</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承包人发生除本项第（7）目约定以外的其他违约情况时，监理人可向承包人发出整改通知，要求其在指定的期限内改正。</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 承包人违约的责任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承包人应承担因其违约行为而增加的费用和（或）延误的工期。此外，合同当事人可在专用合同条款中另行约定承包人违约责任的承担方式和计算方法。</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16.2.3 因承包人违约解除合同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16.2.4因承包人违约解除合同后的处理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因承包人原因导致合同解除的，则合同当事人应在合同解除后28天内完成估价、付款和清算，并按以下约定执行：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（2）合同解除后，承包人应支付的违约金；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（3）合同解除后，因解除合同给发包人造成的损失；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（4）合同解除后，承包人应按照发包人要求和监理人的指示完成现场的清理和撤离；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（5）发包人和承包人应在合同解除后进行清算，出具最终结清付款证书，结清全部款项。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16.2.5采购合同权益转让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74" w:name="_Toc32329"/>
      <w:r>
        <w:rPr>
          <w:rFonts w:hint="eastAsia" w:ascii="宋体" w:hAnsi="宋体" w:eastAsia="宋体" w:cs="宋体"/>
          <w:b w:val="0"/>
          <w:bCs w:val="0"/>
          <w:color w:val="000000"/>
          <w:sz w:val="24"/>
          <w:szCs w:val="24"/>
        </w:rPr>
        <w:t>16.3 第三人造成的违约</w:t>
      </w:r>
      <w:bookmarkEnd w:id="874"/>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75" w:name="_Toc22015"/>
      <w:bookmarkStart w:id="876" w:name="_Toc296503116"/>
      <w:bookmarkStart w:id="877" w:name="_Toc337558823"/>
      <w:bookmarkStart w:id="878" w:name="_Toc296346617"/>
      <w:r>
        <w:rPr>
          <w:rFonts w:hint="eastAsia" w:ascii="宋体" w:hAnsi="宋体" w:eastAsia="宋体" w:cs="宋体"/>
          <w:b w:val="0"/>
          <w:color w:val="000000"/>
          <w:sz w:val="24"/>
          <w:szCs w:val="24"/>
          <w:u w:val="none"/>
        </w:rPr>
        <w:t>17. 不可抗力</w:t>
      </w:r>
      <w:bookmarkEnd w:id="875"/>
      <w:r>
        <w:rPr>
          <w:rFonts w:hint="eastAsia" w:ascii="宋体" w:hAnsi="宋体" w:eastAsia="宋体" w:cs="宋体"/>
          <w:b w:val="0"/>
          <w:color w:val="000000"/>
          <w:sz w:val="24"/>
          <w:szCs w:val="24"/>
          <w:u w:val="none"/>
        </w:rPr>
        <w:t xml:space="preserve"> </w:t>
      </w:r>
      <w:bookmarkEnd w:id="876"/>
      <w:bookmarkEnd w:id="877"/>
      <w:bookmarkEnd w:id="878"/>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79" w:name="_Toc10666"/>
      <w:bookmarkStart w:id="880" w:name="_Toc296346618"/>
      <w:bookmarkStart w:id="881" w:name="_Toc296503117"/>
      <w:bookmarkStart w:id="882" w:name="_Toc337558824"/>
      <w:r>
        <w:rPr>
          <w:rFonts w:hint="eastAsia" w:ascii="宋体" w:hAnsi="宋体" w:eastAsia="宋体" w:cs="宋体"/>
          <w:b w:val="0"/>
          <w:bCs w:val="0"/>
          <w:color w:val="000000"/>
          <w:sz w:val="24"/>
          <w:szCs w:val="24"/>
        </w:rPr>
        <w:t>17.1 不可抗力的确认</w:t>
      </w:r>
      <w:bookmarkEnd w:id="879"/>
    </w:p>
    <w:bookmarkEnd w:id="880"/>
    <w:bookmarkEnd w:id="881"/>
    <w:bookmarkEnd w:id="882"/>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83" w:name="_Toc19378"/>
      <w:bookmarkStart w:id="884" w:name="_Toc296503118"/>
      <w:bookmarkStart w:id="885" w:name="_Toc296346619"/>
      <w:bookmarkStart w:id="886" w:name="_Toc337558825"/>
      <w:r>
        <w:rPr>
          <w:rFonts w:hint="eastAsia" w:ascii="宋体" w:hAnsi="宋体" w:eastAsia="宋体" w:cs="宋体"/>
          <w:b w:val="0"/>
          <w:bCs w:val="0"/>
          <w:color w:val="000000"/>
          <w:sz w:val="24"/>
          <w:szCs w:val="24"/>
        </w:rPr>
        <w:t>17.2 不可抗力的通知</w:t>
      </w:r>
      <w:bookmarkEnd w:id="883"/>
    </w:p>
    <w:bookmarkEnd w:id="884"/>
    <w:bookmarkEnd w:id="885"/>
    <w:bookmarkEnd w:id="886"/>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87" w:name="_Toc17965"/>
      <w:bookmarkStart w:id="888" w:name="_Toc296346620"/>
      <w:bookmarkStart w:id="889" w:name="_Toc337558826"/>
      <w:bookmarkStart w:id="890" w:name="_Toc296503119"/>
      <w:r>
        <w:rPr>
          <w:rFonts w:hint="eastAsia" w:ascii="宋体" w:hAnsi="宋体" w:eastAsia="宋体" w:cs="宋体"/>
          <w:b w:val="0"/>
          <w:bCs w:val="0"/>
          <w:color w:val="000000"/>
          <w:sz w:val="24"/>
          <w:szCs w:val="24"/>
        </w:rPr>
        <w:t>17.3 不可抗力后果的承担</w:t>
      </w:r>
      <w:bookmarkEnd w:id="887"/>
    </w:p>
    <w:bookmarkEnd w:id="888"/>
    <w:bookmarkEnd w:id="889"/>
    <w:bookmarkEnd w:id="89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17.3.2 不可抗力导致的人员伤亡、财产损失、费用增加和（或）工期延误等后果，由合同当事人按以下原则承担：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（1）永久工程、已运至施工现场的材料和工程设备的损坏，以及因工程损坏造成的第三人人员伤亡和财产损失由发包人承担；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（2）承包人施工设备的损坏由承包人承担；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（3）发包人和承包人承担各自人员伤亡和财产的损失；</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（5）因不可抗力引起或将引起工期延误，发包人要求赶工的，由此增加的赶工费用由发包人承担；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（6）承包人在停工期间按照发包人要求照管、清理和修复工程的费用由发包人承担。</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因合同一方迟延履行合同义务，在迟延履行期间遭遇不可抗力的，不免除其违约责任。</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91" w:name="_Toc19960"/>
      <w:bookmarkStart w:id="892" w:name="_Toc337558827"/>
      <w:r>
        <w:rPr>
          <w:rFonts w:hint="eastAsia" w:ascii="宋体" w:hAnsi="宋体" w:eastAsia="宋体" w:cs="宋体"/>
          <w:b w:val="0"/>
          <w:bCs w:val="0"/>
          <w:color w:val="000000"/>
          <w:sz w:val="24"/>
          <w:szCs w:val="24"/>
        </w:rPr>
        <w:t>17.4 因不可抗力解除合同</w:t>
      </w:r>
      <w:bookmarkEnd w:id="891"/>
    </w:p>
    <w:bookmarkEnd w:id="892"/>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（1）合同解除前承包人已完成工作的价款；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（2）承包人为工程订购的并已交付给承包人，或承包人有责任接受交付的材料、工程设备和其他物品的价款；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（3）发包人要求承包人退货或解除订货合同而产生的费用，或因不能退货或解除合同而产生的损失；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（4）承包人撤离施工现场以及遣散承包人人员的费用；</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（5）按照合同约定在合同解除前应支付给承包人的其他款项；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（6）扣减承包人按照合同约定应向发包人支付的款项；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（7）双方商定或确定的其他款项。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除专用合同条款另有约定外，合同解除后，发包人应在商定或确定上述款项后28天内完成上述款项的支付。</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893" w:name="_Toc17939"/>
      <w:bookmarkStart w:id="894" w:name="_Toc296346621"/>
      <w:bookmarkStart w:id="895" w:name="_Toc296503120"/>
      <w:bookmarkStart w:id="896" w:name="_Toc337558828"/>
      <w:r>
        <w:rPr>
          <w:rFonts w:hint="eastAsia" w:ascii="宋体" w:hAnsi="宋体" w:eastAsia="宋体" w:cs="宋体"/>
          <w:b w:val="0"/>
          <w:color w:val="000000"/>
          <w:sz w:val="24"/>
          <w:szCs w:val="24"/>
          <w:u w:val="none"/>
        </w:rPr>
        <w:t>18. 保险</w:t>
      </w:r>
      <w:bookmarkEnd w:id="893"/>
    </w:p>
    <w:bookmarkEnd w:id="894"/>
    <w:bookmarkEnd w:id="895"/>
    <w:bookmarkEnd w:id="896"/>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897" w:name="_Toc4027"/>
      <w:bookmarkStart w:id="898" w:name="_Toc296503121"/>
      <w:bookmarkStart w:id="899" w:name="_Toc337558829"/>
      <w:bookmarkStart w:id="900" w:name="_Toc296346622"/>
      <w:r>
        <w:rPr>
          <w:rFonts w:hint="eastAsia" w:ascii="宋体" w:hAnsi="宋体" w:eastAsia="宋体" w:cs="宋体"/>
          <w:b w:val="0"/>
          <w:bCs w:val="0"/>
          <w:color w:val="000000"/>
          <w:sz w:val="24"/>
          <w:szCs w:val="24"/>
        </w:rPr>
        <w:t>18.1 工程保险</w:t>
      </w:r>
      <w:bookmarkEnd w:id="897"/>
    </w:p>
    <w:bookmarkEnd w:id="898"/>
    <w:bookmarkEnd w:id="899"/>
    <w:bookmarkEnd w:id="900"/>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除专用合同条款另有约定外，发包人应投保建筑工程一切险或安装工程一切险；发包人委托承包人投保的，因投保产生的保险费和其他相关费用由发包人承担。</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01" w:name="_Toc15242"/>
      <w:bookmarkStart w:id="902" w:name="_Toc296346623"/>
      <w:bookmarkStart w:id="903" w:name="_Toc337558830"/>
      <w:bookmarkStart w:id="904" w:name="_Toc296503122"/>
      <w:r>
        <w:rPr>
          <w:rFonts w:hint="eastAsia" w:ascii="宋体" w:hAnsi="宋体" w:eastAsia="宋体" w:cs="宋体"/>
          <w:b w:val="0"/>
          <w:bCs w:val="0"/>
          <w:color w:val="000000"/>
          <w:sz w:val="24"/>
          <w:szCs w:val="24"/>
        </w:rPr>
        <w:t>18.2 工伤保险</w:t>
      </w:r>
      <w:bookmarkEnd w:id="901"/>
    </w:p>
    <w:bookmarkEnd w:id="902"/>
    <w:bookmarkEnd w:id="903"/>
    <w:bookmarkEnd w:id="904"/>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05" w:name="_Toc439"/>
      <w:bookmarkStart w:id="906" w:name="_Toc296503125"/>
      <w:bookmarkStart w:id="907" w:name="_Toc296346626"/>
      <w:bookmarkStart w:id="908" w:name="_Toc337558831"/>
      <w:r>
        <w:rPr>
          <w:rFonts w:hint="eastAsia" w:ascii="宋体" w:hAnsi="宋体" w:eastAsia="宋体" w:cs="宋体"/>
          <w:b w:val="0"/>
          <w:bCs w:val="0"/>
          <w:color w:val="000000"/>
          <w:sz w:val="24"/>
          <w:szCs w:val="24"/>
        </w:rPr>
        <w:t>18.3其他保险</w:t>
      </w:r>
      <w:bookmarkEnd w:id="905"/>
    </w:p>
    <w:bookmarkEnd w:id="906"/>
    <w:bookmarkEnd w:id="907"/>
    <w:bookmarkEnd w:id="90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除专用合同条款另有约定外，承包人应为其施工设备等办理财产保险。</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09" w:name="_Toc26265"/>
      <w:r>
        <w:rPr>
          <w:rFonts w:hint="eastAsia" w:ascii="宋体" w:hAnsi="宋体" w:eastAsia="宋体" w:cs="宋体"/>
          <w:b w:val="0"/>
          <w:bCs w:val="0"/>
          <w:color w:val="000000"/>
          <w:sz w:val="24"/>
          <w:szCs w:val="24"/>
        </w:rPr>
        <w:t>18.4持续保险</w:t>
      </w:r>
      <w:bookmarkEnd w:id="909"/>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合同当事人应与保险人保持联系，使保险人能够随时了解工程实施中的变动，并确保按保险合同条款要求持续保险。</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10" w:name="_Toc5412"/>
      <w:bookmarkStart w:id="911" w:name="_Toc337558832"/>
      <w:bookmarkStart w:id="912" w:name="_Toc296503126"/>
      <w:bookmarkStart w:id="913" w:name="_Toc296346627"/>
      <w:r>
        <w:rPr>
          <w:rFonts w:hint="eastAsia" w:ascii="宋体" w:hAnsi="宋体" w:eastAsia="宋体" w:cs="宋体"/>
          <w:b w:val="0"/>
          <w:bCs w:val="0"/>
          <w:color w:val="000000"/>
          <w:sz w:val="24"/>
          <w:szCs w:val="24"/>
        </w:rPr>
        <w:t>18.5 保险凭证</w:t>
      </w:r>
      <w:bookmarkEnd w:id="910"/>
    </w:p>
    <w:bookmarkEnd w:id="911"/>
    <w:bookmarkEnd w:id="912"/>
    <w:bookmarkEnd w:id="91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合同当事人应及时向另一方当事人提交其已投保的各项保险的凭证和保险单复印件。</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14" w:name="_Toc10143"/>
      <w:bookmarkStart w:id="915" w:name="_Toc337558833"/>
      <w:bookmarkStart w:id="916" w:name="_Toc296346628"/>
      <w:bookmarkStart w:id="917" w:name="_Toc296503127"/>
      <w:r>
        <w:rPr>
          <w:rFonts w:hint="eastAsia" w:ascii="宋体" w:hAnsi="宋体" w:eastAsia="宋体" w:cs="宋体"/>
          <w:b w:val="0"/>
          <w:bCs w:val="0"/>
          <w:color w:val="000000"/>
          <w:sz w:val="24"/>
          <w:szCs w:val="24"/>
        </w:rPr>
        <w:t>18.6 未按约定投保的补救</w:t>
      </w:r>
      <w:bookmarkEnd w:id="914"/>
    </w:p>
    <w:bookmarkEnd w:id="915"/>
    <w:bookmarkEnd w:id="916"/>
    <w:bookmarkEnd w:id="91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18" w:name="_Toc13515"/>
      <w:bookmarkStart w:id="919" w:name="_Toc337558834"/>
      <w:r>
        <w:rPr>
          <w:rFonts w:hint="eastAsia" w:ascii="宋体" w:hAnsi="宋体" w:eastAsia="宋体" w:cs="宋体"/>
          <w:b w:val="0"/>
          <w:bCs w:val="0"/>
          <w:color w:val="000000"/>
          <w:sz w:val="24"/>
          <w:szCs w:val="24"/>
        </w:rPr>
        <w:t>18.7 通知义务</w:t>
      </w:r>
      <w:bookmarkEnd w:id="918"/>
    </w:p>
    <w:bookmarkEnd w:id="91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保险事故发生时，投保人应按照保险合同规定的条件和期限及时向保险人报告。发包人和承包人应当在知道保险事故发生后及时通知对方。</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20" w:name="_Toc8858"/>
      <w:bookmarkStart w:id="921" w:name="_Toc296346641"/>
      <w:bookmarkStart w:id="922" w:name="_Toc296503140"/>
      <w:bookmarkStart w:id="923" w:name="_Toc337558835"/>
      <w:r>
        <w:rPr>
          <w:rFonts w:hint="eastAsia" w:ascii="宋体" w:hAnsi="宋体" w:eastAsia="宋体" w:cs="宋体"/>
          <w:b w:val="0"/>
          <w:color w:val="000000"/>
          <w:sz w:val="24"/>
          <w:szCs w:val="24"/>
          <w:u w:val="none"/>
        </w:rPr>
        <w:t>19. 索赔</w:t>
      </w:r>
      <w:bookmarkEnd w:id="920"/>
    </w:p>
    <w:bookmarkEnd w:id="921"/>
    <w:bookmarkEnd w:id="922"/>
    <w:bookmarkEnd w:id="923"/>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24" w:name="_Toc12198"/>
      <w:bookmarkStart w:id="925" w:name="_Toc296346642"/>
      <w:bookmarkStart w:id="926" w:name="_Toc337558836"/>
      <w:bookmarkStart w:id="927" w:name="_Toc296503141"/>
      <w:r>
        <w:rPr>
          <w:rFonts w:hint="eastAsia" w:ascii="宋体" w:hAnsi="宋体" w:eastAsia="宋体" w:cs="宋体"/>
          <w:b w:val="0"/>
          <w:bCs w:val="0"/>
          <w:color w:val="000000"/>
          <w:sz w:val="24"/>
          <w:szCs w:val="24"/>
        </w:rPr>
        <w:t>19.1承包人的索赔</w:t>
      </w:r>
      <w:bookmarkEnd w:id="924"/>
    </w:p>
    <w:bookmarkEnd w:id="925"/>
    <w:bookmarkEnd w:id="926"/>
    <w:bookmarkEnd w:id="92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根据合同约定，承包人认为有权得到追加付款和（或）延长工期的，应按以下程序向发包人提出索赔：</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28" w:name="_Toc460"/>
      <w:bookmarkStart w:id="929" w:name="_Toc296346643"/>
      <w:bookmarkStart w:id="930" w:name="_Toc296503142"/>
      <w:bookmarkStart w:id="931" w:name="_Toc337558837"/>
      <w:r>
        <w:rPr>
          <w:rFonts w:hint="eastAsia" w:ascii="宋体" w:hAnsi="宋体" w:eastAsia="宋体" w:cs="宋体"/>
          <w:b w:val="0"/>
          <w:bCs w:val="0"/>
          <w:color w:val="000000"/>
          <w:sz w:val="24"/>
          <w:szCs w:val="24"/>
        </w:rPr>
        <w:t>19.2 对承包人索赔的处理</w:t>
      </w:r>
      <w:bookmarkEnd w:id="928"/>
    </w:p>
    <w:bookmarkEnd w:id="929"/>
    <w:bookmarkEnd w:id="930"/>
    <w:bookmarkEnd w:id="93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对承包人索赔的处理如下：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（1）监理人应在收到索赔报告后14天内完成审查并报送发包人。监理人对索赔报告存在异议的，有权要求承包人提交全部原始记录副本；</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（3）承包人接受索赔处理结果的，索赔款项在当期进度款中进行支付；承包人不接受索赔处理结果的，按照第20条〔争议解决〕约定处理。</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32" w:name="_Toc26989"/>
      <w:bookmarkStart w:id="933" w:name="_Toc337558838"/>
      <w:bookmarkStart w:id="934" w:name="_Toc296346644"/>
      <w:bookmarkStart w:id="935" w:name="_Toc296503143"/>
      <w:r>
        <w:rPr>
          <w:rFonts w:hint="eastAsia" w:ascii="宋体" w:hAnsi="宋体" w:eastAsia="宋体" w:cs="宋体"/>
          <w:b w:val="0"/>
          <w:bCs w:val="0"/>
          <w:color w:val="000000"/>
          <w:sz w:val="24"/>
          <w:szCs w:val="24"/>
        </w:rPr>
        <w:t>19.3发包人的索赔</w:t>
      </w:r>
      <w:bookmarkEnd w:id="932"/>
    </w:p>
    <w:bookmarkEnd w:id="933"/>
    <w:bookmarkEnd w:id="934"/>
    <w:bookmarkEnd w:id="93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根据合同约定，发包人认为有权得到赔付金额和（或）延长缺陷责任期的，监理人应向承包人发出通知并附有详细的证明。</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36" w:name="_Toc31361"/>
      <w:bookmarkStart w:id="937" w:name="_Toc296346645"/>
      <w:bookmarkStart w:id="938" w:name="_Toc337558839"/>
      <w:bookmarkStart w:id="939" w:name="_Toc296503144"/>
      <w:r>
        <w:rPr>
          <w:rFonts w:hint="eastAsia" w:ascii="宋体" w:hAnsi="宋体" w:eastAsia="宋体" w:cs="宋体"/>
          <w:b w:val="0"/>
          <w:bCs w:val="0"/>
          <w:color w:val="000000"/>
          <w:sz w:val="24"/>
          <w:szCs w:val="24"/>
        </w:rPr>
        <w:t>19.4 对发包人索赔的处理</w:t>
      </w:r>
      <w:bookmarkEnd w:id="936"/>
    </w:p>
    <w:bookmarkEnd w:id="937"/>
    <w:bookmarkEnd w:id="938"/>
    <w:bookmarkEnd w:id="93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对发包人索赔的处理如下：</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（1）承包人收到发包人提交的索赔报告后，应及时审查索赔报告的内容、查验发包人证明材料；</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40" w:name="_Toc2253"/>
      <w:r>
        <w:rPr>
          <w:rFonts w:hint="eastAsia" w:ascii="宋体" w:hAnsi="宋体" w:eastAsia="宋体" w:cs="宋体"/>
          <w:b w:val="0"/>
          <w:bCs w:val="0"/>
          <w:color w:val="000000"/>
          <w:sz w:val="24"/>
          <w:szCs w:val="24"/>
        </w:rPr>
        <w:t>19.5 提出索赔的期限</w:t>
      </w:r>
      <w:bookmarkEnd w:id="940"/>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（1）承包人按第14.2款〔竣工结算审核〕约定接收竣工付款证书后，应被视为已无权再提出在工程接收证书颁发前所发生的任何索赔。</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（2）承包人按第14.4款〔最终结清〕提交的最终结清申请单中，只限于提出工程接收证书颁发后发生的索赔。提出索赔的期限自接受最终结清证书时终止。</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41" w:name="_Toc3327"/>
      <w:r>
        <w:rPr>
          <w:rFonts w:hint="eastAsia" w:ascii="宋体" w:hAnsi="宋体" w:eastAsia="宋体" w:cs="宋体"/>
          <w:b w:val="0"/>
          <w:color w:val="000000"/>
          <w:sz w:val="24"/>
          <w:szCs w:val="24"/>
          <w:u w:val="none"/>
        </w:rPr>
        <w:t>20</w:t>
      </w:r>
      <w:bookmarkStart w:id="942" w:name="_Toc296503146"/>
      <w:bookmarkStart w:id="943" w:name="_Toc337558840"/>
      <w:bookmarkStart w:id="944" w:name="_Toc296346647"/>
      <w:r>
        <w:rPr>
          <w:rFonts w:hint="eastAsia" w:ascii="宋体" w:hAnsi="宋体" w:eastAsia="宋体" w:cs="宋体"/>
          <w:b w:val="0"/>
          <w:color w:val="000000"/>
          <w:sz w:val="24"/>
          <w:szCs w:val="24"/>
          <w:u w:val="none"/>
        </w:rPr>
        <w:t>. 争议解决</w:t>
      </w:r>
      <w:bookmarkEnd w:id="941"/>
    </w:p>
    <w:bookmarkEnd w:id="942"/>
    <w:bookmarkEnd w:id="943"/>
    <w:bookmarkEnd w:id="944"/>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45" w:name="_Toc296503147"/>
      <w:bookmarkStart w:id="946" w:name="_Toc296346648"/>
      <w:bookmarkStart w:id="947" w:name="_Toc337558841"/>
      <w:r>
        <w:rPr>
          <w:rFonts w:hint="eastAsia" w:ascii="宋体" w:hAnsi="宋体" w:eastAsia="宋体" w:cs="宋体"/>
          <w:b w:val="0"/>
          <w:bCs w:val="0"/>
          <w:color w:val="000000"/>
          <w:sz w:val="24"/>
          <w:szCs w:val="24"/>
        </w:rPr>
        <w:t>20.1和解</w:t>
      </w:r>
    </w:p>
    <w:bookmarkEnd w:id="945"/>
    <w:bookmarkEnd w:id="946"/>
    <w:bookmarkEnd w:id="947"/>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合同当事人可以就争议自行和解，自行和解达成协议的经双方签字并盖章后作为合同补充文件，双方均应遵照执行。</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48" w:name="_Toc224"/>
      <w:r>
        <w:rPr>
          <w:rFonts w:hint="eastAsia" w:ascii="宋体" w:hAnsi="宋体" w:eastAsia="宋体" w:cs="宋体"/>
          <w:b w:val="0"/>
          <w:bCs w:val="0"/>
          <w:color w:val="000000"/>
          <w:sz w:val="24"/>
          <w:szCs w:val="24"/>
        </w:rPr>
        <w:t>20</w:t>
      </w:r>
      <w:bookmarkStart w:id="949" w:name="_Toc337558842"/>
      <w:bookmarkStart w:id="950" w:name="_Toc296503148"/>
      <w:bookmarkStart w:id="951" w:name="_Toc296346649"/>
      <w:r>
        <w:rPr>
          <w:rFonts w:hint="eastAsia" w:ascii="宋体" w:hAnsi="宋体" w:eastAsia="宋体" w:cs="宋体"/>
          <w:b w:val="0"/>
          <w:bCs w:val="0"/>
          <w:color w:val="000000"/>
          <w:sz w:val="24"/>
          <w:szCs w:val="24"/>
        </w:rPr>
        <w:t>.2调解</w:t>
      </w:r>
      <w:bookmarkEnd w:id="948"/>
    </w:p>
    <w:bookmarkEnd w:id="949"/>
    <w:bookmarkEnd w:id="950"/>
    <w:bookmarkEnd w:id="951"/>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52" w:name="_Toc29878"/>
      <w:bookmarkStart w:id="953" w:name="_Toc296503149"/>
      <w:bookmarkStart w:id="954" w:name="_Toc337558843"/>
      <w:bookmarkStart w:id="955" w:name="_Toc296346650"/>
      <w:r>
        <w:rPr>
          <w:rFonts w:hint="eastAsia" w:ascii="宋体" w:hAnsi="宋体" w:eastAsia="宋体" w:cs="宋体"/>
          <w:b w:val="0"/>
          <w:bCs w:val="0"/>
          <w:color w:val="000000"/>
          <w:sz w:val="24"/>
          <w:szCs w:val="24"/>
        </w:rPr>
        <w:t>20.3争议评审</w:t>
      </w:r>
      <w:bookmarkEnd w:id="952"/>
    </w:p>
    <w:bookmarkEnd w:id="953"/>
    <w:bookmarkEnd w:id="954"/>
    <w:bookmarkEnd w:id="955"/>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合同当事人在专用合同条款中约定采取争议评审方式解决争议以及评审规则，并按下列约定执行：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20.3.1 争议评审小组的确定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除专用合同条款另有约定外，评审员报酬由发包人和承包人各承担一半。</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20.3.3 争议评审小组决定的效力</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争议评审小组作出的书面决定经合同当事人签字确认后，对双方具有约束力，双方应遵照执行。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任何一方当事人不接受争议评审小组决定或不履行争议评审小组决定的，双方可选择采用其他争议解决方式。</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56" w:name="_Toc26992"/>
      <w:bookmarkStart w:id="957" w:name="_Toc296346651"/>
      <w:bookmarkStart w:id="958" w:name="_Toc296503150"/>
      <w:bookmarkStart w:id="959" w:name="_Toc337558844"/>
      <w:r>
        <w:rPr>
          <w:rFonts w:hint="eastAsia" w:ascii="宋体" w:hAnsi="宋体" w:eastAsia="宋体" w:cs="宋体"/>
          <w:b w:val="0"/>
          <w:bCs w:val="0"/>
          <w:color w:val="000000"/>
          <w:sz w:val="24"/>
          <w:szCs w:val="24"/>
        </w:rPr>
        <w:t>20.4仲裁或诉讼</w:t>
      </w:r>
      <w:bookmarkEnd w:id="956"/>
    </w:p>
    <w:bookmarkEnd w:id="957"/>
    <w:bookmarkEnd w:id="958"/>
    <w:bookmarkEnd w:id="959"/>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因合同及合同有关事项产生的争议，合同当事人可以在专用合同条款中约定以下一种方式解决争议：</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（1）向约定的仲裁委员会申请仲裁；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（2）向有管辖权的人民法院起诉。</w:t>
      </w:r>
    </w:p>
    <w:p>
      <w:pPr>
        <w:pStyle w:val="7"/>
        <w:pageBreakBefore w:val="0"/>
        <w:widowControl w:val="0"/>
        <w:kinsoku/>
        <w:wordWrap/>
        <w:overflowPunct/>
        <w:topLinePunct w:val="0"/>
        <w:bidi w:val="0"/>
        <w:snapToGrid/>
        <w:spacing w:before="120" w:after="120" w:line="400" w:lineRule="exact"/>
        <w:ind w:left="0" w:leftChars="0" w:firstLine="0" w:firstLineChars="0"/>
        <w:textAlignment w:val="auto"/>
        <w:rPr>
          <w:rFonts w:hint="eastAsia" w:ascii="宋体" w:hAnsi="宋体" w:eastAsia="宋体" w:cs="宋体"/>
          <w:b w:val="0"/>
          <w:bCs w:val="0"/>
          <w:color w:val="000000"/>
          <w:sz w:val="24"/>
          <w:szCs w:val="24"/>
        </w:rPr>
      </w:pPr>
      <w:bookmarkStart w:id="960" w:name="_Toc2690"/>
      <w:bookmarkStart w:id="961" w:name="_Toc296346653"/>
      <w:bookmarkStart w:id="962" w:name="_Toc296503152"/>
      <w:bookmarkStart w:id="963" w:name="_Toc337558845"/>
      <w:r>
        <w:rPr>
          <w:rFonts w:hint="eastAsia" w:ascii="宋体" w:hAnsi="宋体" w:eastAsia="宋体" w:cs="宋体"/>
          <w:b w:val="0"/>
          <w:bCs w:val="0"/>
          <w:color w:val="000000"/>
          <w:sz w:val="24"/>
          <w:szCs w:val="24"/>
        </w:rPr>
        <w:t>20.5争议解决条款效力</w:t>
      </w:r>
      <w:bookmarkEnd w:id="960"/>
    </w:p>
    <w:bookmarkEnd w:id="961"/>
    <w:bookmarkEnd w:id="962"/>
    <w:bookmarkEnd w:id="963"/>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合同有关争议解决的条款独立存在，合同的变更、解除、终止、无效或者被撤销均不影响其效力。 </w:t>
      </w:r>
    </w:p>
    <w:p>
      <w:pPr>
        <w:pStyle w:val="2"/>
        <w:pageBreakBefore w:val="0"/>
        <w:widowControl w:val="0"/>
        <w:numPr>
          <w:ilvl w:val="0"/>
          <w:numId w:val="0"/>
        </w:numPr>
        <w:kinsoku/>
        <w:wordWrap/>
        <w:overflowPunct/>
        <w:topLinePunct w:val="0"/>
        <w:bidi w:val="0"/>
        <w:snapToGrid/>
        <w:spacing w:line="400" w:lineRule="exact"/>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br w:type="page"/>
      </w:r>
      <w:bookmarkStart w:id="964" w:name="_Toc6592"/>
      <w:bookmarkStart w:id="965" w:name="_Toc19042"/>
      <w:r>
        <w:rPr>
          <w:rFonts w:hint="eastAsia" w:ascii="宋体" w:hAnsi="宋体" w:eastAsia="宋体" w:cs="宋体"/>
          <w:b/>
          <w:bCs/>
          <w:sz w:val="24"/>
          <w:szCs w:val="24"/>
        </w:rPr>
        <w:t>第三部分 专用合同条款</w:t>
      </w:r>
      <w:bookmarkEnd w:id="964"/>
      <w:bookmarkEnd w:id="965"/>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66" w:name="_Toc1048"/>
      <w:r>
        <w:rPr>
          <w:rFonts w:hint="eastAsia" w:ascii="宋体" w:hAnsi="宋体" w:eastAsia="宋体" w:cs="宋体"/>
          <w:b w:val="0"/>
          <w:color w:val="000000"/>
          <w:sz w:val="24"/>
          <w:szCs w:val="24"/>
          <w:u w:val="none"/>
        </w:rPr>
        <w:t>1</w:t>
      </w:r>
      <w:bookmarkStart w:id="967" w:name="_Toc296944495"/>
      <w:bookmarkStart w:id="968" w:name="_Toc296347155"/>
      <w:bookmarkStart w:id="969" w:name="_Toc297048342"/>
      <w:bookmarkStart w:id="970" w:name="_Toc296890984"/>
      <w:bookmarkStart w:id="971" w:name="_Toc292559361"/>
      <w:bookmarkStart w:id="972" w:name="_Toc296891196"/>
      <w:bookmarkStart w:id="973" w:name="_Toc296346657"/>
      <w:bookmarkStart w:id="974" w:name="_Toc297120456"/>
      <w:bookmarkStart w:id="975" w:name="_Toc296503156"/>
      <w:bookmarkStart w:id="976" w:name="_Toc292559866"/>
      <w:r>
        <w:rPr>
          <w:rFonts w:hint="eastAsia" w:ascii="宋体" w:hAnsi="宋体" w:eastAsia="宋体" w:cs="宋体"/>
          <w:b w:val="0"/>
          <w:color w:val="000000"/>
          <w:sz w:val="24"/>
          <w:szCs w:val="24"/>
          <w:u w:val="none"/>
        </w:rPr>
        <w:t>. 一般约定</w:t>
      </w:r>
      <w:bookmarkEnd w:id="966"/>
    </w:p>
    <w:bookmarkEnd w:id="967"/>
    <w:bookmarkEnd w:id="968"/>
    <w:bookmarkEnd w:id="969"/>
    <w:bookmarkEnd w:id="970"/>
    <w:bookmarkEnd w:id="971"/>
    <w:bookmarkEnd w:id="972"/>
    <w:bookmarkEnd w:id="973"/>
    <w:bookmarkEnd w:id="974"/>
    <w:bookmarkEnd w:id="975"/>
    <w:bookmarkEnd w:id="976"/>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pageBreakBefore w:val="0"/>
        <w:widowControl w:val="0"/>
        <w:kinsoku/>
        <w:wordWrap/>
        <w:overflowPunct/>
        <w:topLinePunct w:val="0"/>
        <w:autoSpaceDE w:val="0"/>
        <w:autoSpaceDN w:val="0"/>
        <w:bidi w:val="0"/>
        <w:adjustRightInd w:val="0"/>
        <w:snapToGrid/>
        <w:spacing w:line="400" w:lineRule="exact"/>
        <w:ind w:left="596" w:leftChars="284"/>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kern w:val="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pPr>
        <w:pageBreakBefore w:val="0"/>
        <w:widowControl w:val="0"/>
        <w:kinsoku/>
        <w:wordWrap/>
        <w:overflowPunct/>
        <w:topLinePunct w:val="0"/>
        <w:bidi w:val="0"/>
        <w:snapToGrid/>
        <w:spacing w:line="400" w:lineRule="exact"/>
        <w:ind w:left="596" w:leftChars="284"/>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1320" w:hanging="1320" w:hangingChars="5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1.10 交通运输</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bookmarkStart w:id="977" w:name="_Toc312677986"/>
      <w:bookmarkStart w:id="978" w:name="_Toc300934943"/>
      <w:bookmarkStart w:id="979" w:name="_Toc318581155"/>
      <w:bookmarkStart w:id="980" w:name="_Toc304295521"/>
      <w:bookmarkStart w:id="981" w:name="_Toc303539100"/>
      <w:r>
        <w:rPr>
          <w:rFonts w:hint="eastAsia" w:ascii="宋体" w:hAnsi="宋体" w:eastAsia="宋体" w:cs="宋体"/>
          <w:sz w:val="24"/>
          <w:szCs w:val="24"/>
        </w:rPr>
        <w:t>.10.1 出入现场的权利</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bookmarkEnd w:id="977"/>
    <w:bookmarkEnd w:id="978"/>
    <w:bookmarkEnd w:id="979"/>
    <w:bookmarkEnd w:id="980"/>
    <w:bookmarkEnd w:id="981"/>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982" w:name="_Toc303539101"/>
      <w:bookmarkStart w:id="983" w:name="_Toc304295522"/>
      <w:bookmarkStart w:id="984" w:name="_Toc312677987"/>
      <w:bookmarkStart w:id="985" w:name="_Toc300934944"/>
      <w:bookmarkStart w:id="986" w:name="_Toc318581156"/>
      <w:r>
        <w:rPr>
          <w:rFonts w:hint="eastAsia" w:ascii="宋体" w:hAnsi="宋体" w:eastAsia="宋体" w:cs="宋体"/>
          <w:sz w:val="24"/>
          <w:szCs w:val="24"/>
        </w:rPr>
        <w:t>.10.3 场内交通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w:t>
      </w:r>
    </w:p>
    <w:bookmarkEnd w:id="982"/>
    <w:bookmarkEnd w:id="983"/>
    <w:bookmarkEnd w:id="984"/>
    <w:bookmarkEnd w:id="985"/>
    <w:bookmarkEnd w:id="98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bookmarkStart w:id="987" w:name="_Toc318581157"/>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1.10.4超大件和超重件的运输</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98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 知识产权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left="596" w:leftChars="284"/>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88" w:name="_Toc28302"/>
      <w:r>
        <w:rPr>
          <w:rFonts w:hint="eastAsia" w:ascii="宋体" w:hAnsi="宋体" w:eastAsia="宋体" w:cs="宋体"/>
          <w:b w:val="0"/>
          <w:color w:val="000000"/>
          <w:sz w:val="24"/>
          <w:szCs w:val="24"/>
          <w:u w:val="none"/>
        </w:rPr>
        <w:t>2</w:t>
      </w:r>
      <w:bookmarkStart w:id="989" w:name="_Toc292559362"/>
      <w:bookmarkStart w:id="990" w:name="_Toc296890985"/>
      <w:bookmarkStart w:id="991" w:name="_Toc297048343"/>
      <w:bookmarkStart w:id="992" w:name="_Toc297120457"/>
      <w:bookmarkStart w:id="993" w:name="_Toc296891197"/>
      <w:bookmarkStart w:id="994" w:name="_Toc296347156"/>
      <w:bookmarkStart w:id="995" w:name="_Toc292559867"/>
      <w:bookmarkStart w:id="996" w:name="_Toc296346658"/>
      <w:bookmarkStart w:id="997" w:name="_Toc296944496"/>
      <w:bookmarkStart w:id="998" w:name="_Toc296503157"/>
      <w:r>
        <w:rPr>
          <w:rFonts w:hint="eastAsia" w:ascii="宋体" w:hAnsi="宋体" w:eastAsia="宋体" w:cs="宋体"/>
          <w:b w:val="0"/>
          <w:color w:val="000000"/>
          <w:sz w:val="24"/>
          <w:szCs w:val="24"/>
          <w:u w:val="none"/>
        </w:rPr>
        <w:t>. 发包人</w:t>
      </w:r>
      <w:bookmarkEnd w:id="988"/>
    </w:p>
    <w:bookmarkEnd w:id="989"/>
    <w:bookmarkEnd w:id="990"/>
    <w:bookmarkEnd w:id="991"/>
    <w:bookmarkEnd w:id="992"/>
    <w:bookmarkEnd w:id="993"/>
    <w:bookmarkEnd w:id="994"/>
    <w:bookmarkEnd w:id="995"/>
    <w:bookmarkEnd w:id="996"/>
    <w:bookmarkEnd w:id="997"/>
    <w:bookmarkEnd w:id="998"/>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999" w:name="_Toc7585"/>
      <w:r>
        <w:rPr>
          <w:rFonts w:hint="eastAsia" w:ascii="宋体" w:hAnsi="宋体" w:eastAsia="宋体" w:cs="宋体"/>
          <w:b w:val="0"/>
          <w:color w:val="000000"/>
          <w:sz w:val="24"/>
          <w:szCs w:val="24"/>
          <w:u w:val="none"/>
        </w:rPr>
        <w:t>3</w:t>
      </w:r>
      <w:bookmarkStart w:id="1000" w:name="_Toc296503158"/>
      <w:bookmarkStart w:id="1001" w:name="_Toc296890986"/>
      <w:bookmarkStart w:id="1002" w:name="_Toc292559363"/>
      <w:bookmarkStart w:id="1003" w:name="_Toc296944497"/>
      <w:bookmarkStart w:id="1004" w:name="_Toc297120458"/>
      <w:bookmarkStart w:id="1005" w:name="_Toc296891198"/>
      <w:bookmarkStart w:id="1006" w:name="_Toc297048344"/>
      <w:bookmarkStart w:id="1007" w:name="_Toc296346659"/>
      <w:bookmarkStart w:id="1008" w:name="_Toc292559868"/>
      <w:bookmarkStart w:id="1009" w:name="_Toc296347157"/>
      <w:r>
        <w:rPr>
          <w:rFonts w:hint="eastAsia" w:ascii="宋体" w:hAnsi="宋体" w:eastAsia="宋体" w:cs="宋体"/>
          <w:b w:val="0"/>
          <w:color w:val="000000"/>
          <w:sz w:val="24"/>
          <w:szCs w:val="24"/>
          <w:u w:val="none"/>
        </w:rPr>
        <w:t>. 承包人</w:t>
      </w:r>
      <w:bookmarkEnd w:id="999"/>
    </w:p>
    <w:bookmarkEnd w:id="1000"/>
    <w:bookmarkEnd w:id="1001"/>
    <w:bookmarkEnd w:id="1002"/>
    <w:bookmarkEnd w:id="1003"/>
    <w:bookmarkEnd w:id="1004"/>
    <w:bookmarkEnd w:id="1005"/>
    <w:bookmarkEnd w:id="1006"/>
    <w:bookmarkEnd w:id="1007"/>
    <w:bookmarkEnd w:id="1008"/>
    <w:bookmarkEnd w:id="1009"/>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638" w:leftChars="304"/>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638" w:leftChars="304"/>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kern w:val="0"/>
          <w:sz w:val="24"/>
          <w:szCs w:val="24"/>
        </w:rPr>
        <w:t>（10）承包人应履行的其他义务：</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1010" w:name="_Toc304295523"/>
      <w:bookmarkStart w:id="1011" w:name="_Toc312677988"/>
      <w:bookmarkStart w:id="1012" w:name="_Toc296891199"/>
      <w:bookmarkStart w:id="1013" w:name="_Toc300934945"/>
      <w:bookmarkStart w:id="1014" w:name="_Toc292559364"/>
      <w:bookmarkStart w:id="1015" w:name="_Toc296890987"/>
      <w:bookmarkStart w:id="1016" w:name="_Toc303539102"/>
      <w:bookmarkStart w:id="1017" w:name="_Toc296347158"/>
      <w:bookmarkStart w:id="1018" w:name="_Toc296346660"/>
      <w:bookmarkStart w:id="1019" w:name="_Toc297123492"/>
      <w:bookmarkStart w:id="1020" w:name="_Toc297048345"/>
      <w:bookmarkStart w:id="1021" w:name="_Toc292559869"/>
      <w:bookmarkStart w:id="1022" w:name="_Toc297120459"/>
      <w:bookmarkStart w:id="1023" w:name="_Toc297216151"/>
      <w:bookmarkStart w:id="1024" w:name="_Toc296503159"/>
      <w:bookmarkStart w:id="1025" w:name="_Toc296944498"/>
      <w:r>
        <w:rPr>
          <w:rFonts w:hint="eastAsia" w:ascii="宋体" w:hAnsi="宋体" w:eastAsia="宋体" w:cs="宋体"/>
          <w:color w:val="000000"/>
          <w:sz w:val="24"/>
          <w:szCs w:val="24"/>
        </w:rPr>
        <w:t>.5 分包</w:t>
      </w:r>
    </w:p>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bookmarkStart w:id="1026" w:name="_Toc296503160"/>
      <w:bookmarkStart w:id="1027" w:name="_Toc296347159"/>
      <w:bookmarkStart w:id="1028" w:name="_Toc303539103"/>
      <w:bookmarkStart w:id="1029" w:name="_Toc297120460"/>
      <w:bookmarkStart w:id="1030" w:name="_Toc304295524"/>
      <w:bookmarkStart w:id="1031" w:name="_Toc296944499"/>
      <w:bookmarkStart w:id="1032" w:name="_Toc297216152"/>
      <w:bookmarkStart w:id="1033" w:name="_Toc300934946"/>
      <w:bookmarkStart w:id="1034" w:name="_Toc296890988"/>
      <w:bookmarkStart w:id="1035" w:name="_Toc297048346"/>
      <w:bookmarkStart w:id="1036" w:name="_Toc296346661"/>
      <w:bookmarkStart w:id="1037" w:name="_Toc297123493"/>
      <w:bookmarkStart w:id="1038" w:name="_Toc296891200"/>
      <w:bookmarkStart w:id="1039" w:name="_Toc292559870"/>
      <w:bookmarkStart w:id="1040" w:name="_Toc292559365"/>
      <w:bookmarkStart w:id="1041" w:name="_Toc318581158"/>
      <w:bookmarkStart w:id="1042" w:name="_Toc312677989"/>
      <w:r>
        <w:rPr>
          <w:rFonts w:hint="eastAsia" w:ascii="宋体" w:hAnsi="宋体" w:eastAsia="宋体" w:cs="宋体"/>
          <w:sz w:val="24"/>
          <w:szCs w:val="24"/>
        </w:rPr>
        <w:t>.5.1 分包的一般约定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Start w:id="1043" w:name="_Toc297048347"/>
      <w:bookmarkStart w:id="1044" w:name="_Toc297123494"/>
      <w:bookmarkStart w:id="1045" w:name="_Toc296890989"/>
      <w:bookmarkStart w:id="1046" w:name="_Toc296346662"/>
      <w:bookmarkStart w:id="1047" w:name="_Toc296347160"/>
      <w:bookmarkStart w:id="1048" w:name="_Toc296503161"/>
      <w:bookmarkStart w:id="1049" w:name="_Toc296891201"/>
      <w:bookmarkStart w:id="1050" w:name="_Toc297120461"/>
      <w:bookmarkStart w:id="1051" w:name="_Toc304295525"/>
      <w:bookmarkStart w:id="1052" w:name="_Toc300934947"/>
      <w:bookmarkStart w:id="1053" w:name="_Toc303539104"/>
      <w:bookmarkStart w:id="1054" w:name="_Toc296944500"/>
      <w:bookmarkStart w:id="1055" w:name="_Toc297216153"/>
    </w:p>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bookmarkStart w:id="1056" w:name="_Toc312677990"/>
      <w:bookmarkStart w:id="1057" w:name="_Toc318581159"/>
      <w:r>
        <w:rPr>
          <w:rFonts w:hint="eastAsia" w:ascii="宋体" w:hAnsi="宋体" w:eastAsia="宋体" w:cs="宋体"/>
          <w:sz w:val="24"/>
          <w:szCs w:val="24"/>
        </w:rPr>
        <w:t>.5.2分包的确定</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56"/>
    <w:bookmarkEnd w:id="105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pageBreakBefore w:val="0"/>
        <w:widowControl w:val="0"/>
        <w:kinsoku/>
        <w:wordWrap/>
        <w:overflowPunct/>
        <w:topLinePunct w:val="0"/>
        <w:bidi w:val="0"/>
        <w:snapToGrid/>
        <w:spacing w:before="120" w:after="120" w:line="400" w:lineRule="exact"/>
        <w:ind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58" w:name="_Toc17461"/>
      <w:r>
        <w:rPr>
          <w:rFonts w:hint="eastAsia" w:ascii="宋体" w:hAnsi="宋体" w:eastAsia="宋体" w:cs="宋体"/>
          <w:b w:val="0"/>
          <w:color w:val="000000"/>
          <w:sz w:val="24"/>
          <w:szCs w:val="24"/>
          <w:u w:val="none"/>
        </w:rPr>
        <w:t>4</w:t>
      </w:r>
      <w:bookmarkStart w:id="1059" w:name="_Toc296890990"/>
      <w:bookmarkStart w:id="1060" w:name="_Toc296346663"/>
      <w:bookmarkStart w:id="1061" w:name="_Toc296503162"/>
      <w:bookmarkStart w:id="1062" w:name="_Toc267251413"/>
      <w:bookmarkStart w:id="1063" w:name="_Toc296347161"/>
      <w:bookmarkStart w:id="1064" w:name="_Toc292559871"/>
      <w:bookmarkStart w:id="1065" w:name="_Toc297120462"/>
      <w:bookmarkStart w:id="1066" w:name="_Toc292559366"/>
      <w:bookmarkStart w:id="1067" w:name="_Toc297048348"/>
      <w:bookmarkStart w:id="1068" w:name="_Toc296891202"/>
      <w:bookmarkStart w:id="1069" w:name="_Toc296944501"/>
      <w:r>
        <w:rPr>
          <w:rFonts w:hint="eastAsia" w:ascii="宋体" w:hAnsi="宋体" w:eastAsia="宋体" w:cs="宋体"/>
          <w:b w:val="0"/>
          <w:color w:val="000000"/>
          <w:sz w:val="24"/>
          <w:szCs w:val="24"/>
          <w:u w:val="none"/>
        </w:rPr>
        <w:t>. 监</w:t>
      </w:r>
      <w:bookmarkEnd w:id="1059"/>
      <w:bookmarkEnd w:id="1060"/>
      <w:bookmarkEnd w:id="1061"/>
      <w:bookmarkEnd w:id="1062"/>
      <w:bookmarkEnd w:id="1063"/>
      <w:bookmarkEnd w:id="1064"/>
      <w:bookmarkEnd w:id="1065"/>
      <w:bookmarkEnd w:id="1066"/>
      <w:bookmarkEnd w:id="1067"/>
      <w:bookmarkEnd w:id="1068"/>
      <w:bookmarkEnd w:id="1069"/>
      <w:r>
        <w:rPr>
          <w:rFonts w:hint="eastAsia" w:ascii="宋体" w:hAnsi="宋体" w:eastAsia="宋体" w:cs="宋体"/>
          <w:b w:val="0"/>
          <w:color w:val="000000"/>
          <w:sz w:val="24"/>
          <w:szCs w:val="24"/>
          <w:u w:val="none"/>
        </w:rPr>
        <w:t>理人</w:t>
      </w:r>
      <w:bookmarkEnd w:id="1058"/>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bookmarkStart w:id="1070" w:name="_Toc267251418"/>
      <w:r>
        <w:rPr>
          <w:rFonts w:hint="eastAsia" w:ascii="宋体" w:hAnsi="宋体" w:eastAsia="宋体" w:cs="宋体"/>
          <w:color w:val="000000"/>
          <w:sz w:val="24"/>
          <w:szCs w:val="24"/>
        </w:rPr>
        <w:t>在发包人和承包人不能通过协商达成一致意见时，发包人授权监理人对以下事项进行确定：</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71" w:name="_Toc30593"/>
      <w:r>
        <w:rPr>
          <w:rFonts w:hint="eastAsia" w:ascii="宋体" w:hAnsi="宋体" w:eastAsia="宋体" w:cs="宋体"/>
          <w:b w:val="0"/>
          <w:color w:val="000000"/>
          <w:sz w:val="24"/>
          <w:szCs w:val="24"/>
          <w:u w:val="none"/>
        </w:rPr>
        <w:t>5</w:t>
      </w:r>
      <w:bookmarkEnd w:id="1070"/>
      <w:bookmarkStart w:id="1072" w:name="_Toc296944502"/>
      <w:bookmarkStart w:id="1073" w:name="_Toc296346664"/>
      <w:bookmarkStart w:id="1074" w:name="_Toc296347162"/>
      <w:bookmarkStart w:id="1075" w:name="_Toc296891203"/>
      <w:bookmarkStart w:id="1076" w:name="_Toc292559872"/>
      <w:bookmarkStart w:id="1077" w:name="_Toc296503163"/>
      <w:bookmarkStart w:id="1078" w:name="_Toc296890991"/>
      <w:bookmarkStart w:id="1079" w:name="_Toc297048349"/>
      <w:bookmarkStart w:id="1080" w:name="_Toc297120463"/>
      <w:bookmarkStart w:id="1081" w:name="_Toc292559367"/>
      <w:r>
        <w:rPr>
          <w:rFonts w:hint="eastAsia" w:ascii="宋体" w:hAnsi="宋体" w:eastAsia="宋体" w:cs="宋体"/>
          <w:b w:val="0"/>
          <w:color w:val="000000"/>
          <w:sz w:val="24"/>
          <w:szCs w:val="24"/>
          <w:u w:val="none"/>
        </w:rPr>
        <w:t>. 工程质量</w:t>
      </w:r>
      <w:bookmarkEnd w:id="1071"/>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5</w:t>
      </w:r>
      <w:bookmarkStart w:id="1082" w:name="_Toc297216155"/>
      <w:bookmarkStart w:id="1083" w:name="_Toc312677997"/>
      <w:bookmarkStart w:id="1084" w:name="_Toc303539106"/>
      <w:bookmarkStart w:id="1085" w:name="_Toc304295527"/>
      <w:bookmarkStart w:id="1086" w:name="_Toc318581164"/>
      <w:bookmarkStart w:id="1087" w:name="_Toc300934949"/>
      <w:bookmarkStart w:id="1088" w:name="_Toc297123496"/>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89" w:name="_Toc24888"/>
      <w:r>
        <w:rPr>
          <w:rFonts w:hint="eastAsia" w:ascii="宋体" w:hAnsi="宋体" w:eastAsia="宋体" w:cs="宋体"/>
          <w:b w:val="0"/>
          <w:color w:val="000000"/>
          <w:sz w:val="24"/>
          <w:szCs w:val="24"/>
          <w:u w:val="none"/>
        </w:rPr>
        <w:t>6. 安全文明施工与环境保护</w:t>
      </w:r>
      <w:bookmarkEnd w:id="1089"/>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082"/>
    <w:bookmarkEnd w:id="1083"/>
    <w:bookmarkEnd w:id="1084"/>
    <w:bookmarkEnd w:id="1085"/>
    <w:bookmarkEnd w:id="1086"/>
    <w:bookmarkEnd w:id="1087"/>
    <w:bookmarkEnd w:id="1088"/>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090" w:name="_Toc28460"/>
      <w:r>
        <w:rPr>
          <w:rFonts w:hint="eastAsia" w:ascii="宋体" w:hAnsi="宋体" w:eastAsia="宋体" w:cs="宋体"/>
          <w:b w:val="0"/>
          <w:color w:val="000000"/>
          <w:sz w:val="24"/>
          <w:szCs w:val="24"/>
          <w:u w:val="none"/>
        </w:rPr>
        <w:t>7. 工期和进度</w:t>
      </w:r>
      <w:bookmarkEnd w:id="1090"/>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091" w:name="_Toc304295541"/>
      <w:bookmarkStart w:id="1092" w:name="_Toc297216173"/>
      <w:bookmarkStart w:id="1093" w:name="_Toc312678005"/>
      <w:bookmarkStart w:id="1094" w:name="_Toc312677479"/>
      <w:bookmarkStart w:id="1095" w:name="_Toc297123514"/>
      <w:bookmarkStart w:id="1096" w:name="_Toc303539123"/>
      <w:bookmarkStart w:id="1097" w:name="_Toc300934966"/>
      <w:r>
        <w:rPr>
          <w:rFonts w:hint="eastAsia" w:ascii="宋体" w:hAnsi="宋体" w:eastAsia="宋体" w:cs="宋体"/>
          <w:color w:val="000000"/>
          <w:sz w:val="24"/>
          <w:szCs w:val="24"/>
        </w:rPr>
        <w:t>.2 施工进度计划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1091"/>
    <w:bookmarkEnd w:id="1092"/>
    <w:bookmarkEnd w:id="1093"/>
    <w:bookmarkEnd w:id="1094"/>
    <w:bookmarkEnd w:id="1095"/>
    <w:bookmarkEnd w:id="1096"/>
    <w:bookmarkEnd w:id="109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098" w:name="_Toc297123516"/>
      <w:bookmarkStart w:id="1099" w:name="_Toc300934968"/>
      <w:bookmarkStart w:id="1100" w:name="_Toc312678010"/>
      <w:bookmarkStart w:id="1101" w:name="_Toc312677484"/>
      <w:bookmarkStart w:id="1102" w:name="_Toc297216175"/>
      <w:bookmarkStart w:id="1103" w:name="_Toc303539125"/>
      <w:bookmarkStart w:id="1104" w:name="_Toc304295546"/>
      <w:r>
        <w:rPr>
          <w:rFonts w:hint="eastAsia" w:ascii="宋体" w:hAnsi="宋体" w:eastAsia="宋体" w:cs="宋体"/>
          <w:color w:val="000000"/>
          <w:sz w:val="24"/>
          <w:szCs w:val="24"/>
        </w:rPr>
        <w:t>.5 工期延误</w:t>
      </w:r>
    </w:p>
    <w:bookmarkEnd w:id="1098"/>
    <w:bookmarkEnd w:id="1099"/>
    <w:bookmarkEnd w:id="1100"/>
    <w:bookmarkEnd w:id="1101"/>
    <w:bookmarkEnd w:id="1102"/>
    <w:bookmarkEnd w:id="1103"/>
    <w:bookmarkEnd w:id="110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bookmarkStart w:id="1105" w:name="_Toc312678012"/>
      <w:bookmarkStart w:id="1106" w:name="_Toc318581169"/>
      <w:bookmarkStart w:id="1107" w:name="_Toc312677486"/>
      <w:bookmarkStart w:id="1108" w:name="_Toc300934970"/>
      <w:bookmarkStart w:id="1109" w:name="_Toc304295548"/>
      <w:bookmarkStart w:id="1110" w:name="_Toc297123518"/>
      <w:bookmarkStart w:id="1111" w:name="_Toc297216177"/>
      <w:bookmarkStart w:id="1112" w:name="_Toc303539127"/>
      <w:r>
        <w:rPr>
          <w:rFonts w:hint="eastAsia" w:ascii="宋体" w:hAnsi="宋体" w:eastAsia="宋体" w:cs="宋体"/>
          <w:sz w:val="24"/>
          <w:szCs w:val="24"/>
        </w:rPr>
        <w:t>.5.2 因承包人原因导致工期延误</w:t>
      </w:r>
    </w:p>
    <w:bookmarkEnd w:id="1105"/>
    <w:bookmarkEnd w:id="1106"/>
    <w:bookmarkEnd w:id="1107"/>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因</w:t>
      </w:r>
      <w:bookmarkStart w:id="1113" w:name="_Toc312678013"/>
      <w:bookmarkStart w:id="1114" w:name="_Toc312677487"/>
      <w:bookmarkStart w:id="1115" w:name="_Toc318581170"/>
      <w:r>
        <w:rPr>
          <w:rFonts w:hint="eastAsia" w:ascii="宋体" w:hAnsi="宋体" w:eastAsia="宋体" w:cs="宋体"/>
          <w:sz w:val="24"/>
          <w:szCs w:val="24"/>
        </w:rPr>
        <w:t>承包人原因造成工期延误，逾期竣工违约金的计算方法为：</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108"/>
      <w:bookmarkEnd w:id="1109"/>
      <w:bookmarkEnd w:id="1110"/>
      <w:bookmarkEnd w:id="1111"/>
      <w:bookmarkEnd w:id="1112"/>
      <w:bookmarkEnd w:id="1113"/>
      <w:bookmarkEnd w:id="1114"/>
    </w:p>
    <w:bookmarkEnd w:id="111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1116" w:name="_Toc318581171"/>
      <w:bookmarkStart w:id="1117" w:name="_Toc312678014"/>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116"/>
    <w:bookmarkEnd w:id="1117"/>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118" w:name="_Toc300934971"/>
      <w:bookmarkStart w:id="1119" w:name="_Toc297123519"/>
      <w:bookmarkStart w:id="1120" w:name="_Toc312678015"/>
      <w:bookmarkStart w:id="1121" w:name="_Toc303539128"/>
      <w:bookmarkStart w:id="1122" w:name="_Toc297216178"/>
      <w:bookmarkStart w:id="1123" w:name="_Toc304295549"/>
      <w:r>
        <w:rPr>
          <w:rFonts w:hint="eastAsia" w:ascii="宋体" w:hAnsi="宋体" w:eastAsia="宋体" w:cs="宋体"/>
          <w:color w:val="000000"/>
          <w:sz w:val="24"/>
          <w:szCs w:val="24"/>
        </w:rPr>
        <w:t>.6 不</w:t>
      </w:r>
      <w:bookmarkEnd w:id="1118"/>
      <w:bookmarkEnd w:id="1119"/>
      <w:bookmarkEnd w:id="1120"/>
      <w:bookmarkEnd w:id="1121"/>
      <w:bookmarkEnd w:id="1122"/>
      <w:bookmarkEnd w:id="1123"/>
      <w:r>
        <w:rPr>
          <w:rFonts w:hint="eastAsia" w:ascii="宋体" w:hAnsi="宋体" w:eastAsia="宋体" w:cs="宋体"/>
          <w:color w:val="000000"/>
          <w:sz w:val="24"/>
          <w:szCs w:val="24"/>
        </w:rPr>
        <w:t>利物质条件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bookmarkStart w:id="1124" w:name="_Toc300934972"/>
      <w:bookmarkStart w:id="1125" w:name="_Toc303539129"/>
      <w:bookmarkStart w:id="1126" w:name="_Toc312678016"/>
      <w:bookmarkStart w:id="1127" w:name="_Toc304295550"/>
      <w:bookmarkStart w:id="1128" w:name="_Toc318581172"/>
      <w:bookmarkStart w:id="1129" w:name="_Toc297216179"/>
      <w:bookmarkStart w:id="1130" w:name="_Toc297123520"/>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124"/>
    <w:bookmarkEnd w:id="1125"/>
    <w:bookmarkEnd w:id="1126"/>
    <w:bookmarkEnd w:id="1127"/>
    <w:bookmarkEnd w:id="1128"/>
    <w:bookmarkEnd w:id="1129"/>
    <w:bookmarkEnd w:id="1130"/>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131" w:name="_Toc312678017"/>
      <w:bookmarkStart w:id="1132" w:name="_Toc300934973"/>
      <w:bookmarkStart w:id="1133" w:name="_Toc297123521"/>
      <w:bookmarkStart w:id="1134" w:name="_Toc304295551"/>
      <w:bookmarkStart w:id="1135" w:name="_Toc303539130"/>
      <w:bookmarkStart w:id="1136" w:name="_Toc297216180"/>
      <w:r>
        <w:rPr>
          <w:rFonts w:hint="eastAsia" w:ascii="宋体" w:hAnsi="宋体" w:eastAsia="宋体" w:cs="宋体"/>
          <w:color w:val="000000"/>
          <w:sz w:val="24"/>
          <w:szCs w:val="24"/>
        </w:rPr>
        <w:t>.7异常恶劣的气候条件</w:t>
      </w:r>
    </w:p>
    <w:bookmarkEnd w:id="1131"/>
    <w:bookmarkEnd w:id="1132"/>
    <w:bookmarkEnd w:id="1133"/>
    <w:bookmarkEnd w:id="1134"/>
    <w:bookmarkEnd w:id="1135"/>
    <w:bookmarkEnd w:id="113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7.9 提前竣工的奖励</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137" w:name="_Toc8757"/>
      <w:r>
        <w:rPr>
          <w:rFonts w:hint="eastAsia" w:ascii="宋体" w:hAnsi="宋体" w:eastAsia="宋体" w:cs="宋体"/>
          <w:b w:val="0"/>
          <w:color w:val="000000"/>
          <w:sz w:val="24"/>
          <w:szCs w:val="24"/>
          <w:u w:val="none"/>
        </w:rPr>
        <w:t>8. 材料与设备</w:t>
      </w:r>
      <w:bookmarkEnd w:id="1137"/>
    </w:p>
    <w:bookmarkEnd w:id="1072"/>
    <w:bookmarkEnd w:id="1073"/>
    <w:bookmarkEnd w:id="1074"/>
    <w:bookmarkEnd w:id="1075"/>
    <w:bookmarkEnd w:id="1076"/>
    <w:bookmarkEnd w:id="1077"/>
    <w:bookmarkEnd w:id="1078"/>
    <w:bookmarkEnd w:id="1079"/>
    <w:bookmarkEnd w:id="1080"/>
    <w:bookmarkEnd w:id="1081"/>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1138" w:name="_Toc297120467"/>
      <w:bookmarkStart w:id="1139" w:name="_Toc280868654"/>
      <w:bookmarkStart w:id="1140" w:name="_Toc297048353"/>
      <w:bookmarkStart w:id="1141" w:name="_Toc296346668"/>
      <w:bookmarkStart w:id="1142" w:name="_Toc296347166"/>
      <w:bookmarkStart w:id="1143" w:name="_Toc296891207"/>
      <w:bookmarkStart w:id="1144" w:name="_Toc304295556"/>
      <w:bookmarkStart w:id="1145" w:name="_Toc300934979"/>
      <w:bookmarkStart w:id="1146" w:name="_Toc292559877"/>
      <w:bookmarkStart w:id="1147" w:name="_Toc296944506"/>
      <w:bookmarkStart w:id="1148" w:name="_Toc296890995"/>
      <w:bookmarkStart w:id="1149" w:name="_Toc297216186"/>
      <w:bookmarkStart w:id="1150" w:name="_Toc303539136"/>
      <w:bookmarkStart w:id="1151" w:name="_Toc297123527"/>
      <w:bookmarkStart w:id="1152" w:name="_Toc292559372"/>
      <w:bookmarkStart w:id="1153" w:name="_Toc296503167"/>
      <w:bookmarkStart w:id="1154" w:name="_Toc312678019"/>
      <w:bookmarkStart w:id="1155" w:name="_Toc312677493"/>
      <w:bookmarkStart w:id="1156" w:name="_Toc267251424"/>
      <w:bookmarkStart w:id="1157" w:name="_Toc280868656"/>
      <w:bookmarkStart w:id="1158" w:name="_Toc280868655"/>
      <w:r>
        <w:rPr>
          <w:rFonts w:hint="eastAsia" w:ascii="宋体" w:hAnsi="宋体" w:eastAsia="宋体" w:cs="宋体"/>
          <w:color w:val="000000"/>
          <w:sz w:val="24"/>
          <w:szCs w:val="24"/>
        </w:rPr>
        <w:t>.4材料与工程设备的保管与使用</w:t>
      </w:r>
    </w:p>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8</w:t>
      </w:r>
      <w:bookmarkStart w:id="1159" w:name="_Toc292559373"/>
      <w:bookmarkStart w:id="1160" w:name="_Toc292559878"/>
      <w:bookmarkStart w:id="1161" w:name="_Toc296346669"/>
      <w:bookmarkStart w:id="1162" w:name="_Toc297216187"/>
      <w:bookmarkStart w:id="1163" w:name="_Toc318581173"/>
      <w:bookmarkStart w:id="1164" w:name="_Toc312677494"/>
      <w:bookmarkStart w:id="1165" w:name="_Toc296890996"/>
      <w:bookmarkStart w:id="1166" w:name="_Toc312678020"/>
      <w:bookmarkStart w:id="1167" w:name="_Toc296944507"/>
      <w:bookmarkStart w:id="1168" w:name="_Toc296347167"/>
      <w:bookmarkStart w:id="1169" w:name="_Toc297048354"/>
      <w:bookmarkStart w:id="1170" w:name="_Toc296503168"/>
      <w:bookmarkStart w:id="1171" w:name="_Toc303539137"/>
      <w:bookmarkStart w:id="1172" w:name="_Toc297123528"/>
      <w:bookmarkStart w:id="1173" w:name="_Toc296891208"/>
      <w:bookmarkStart w:id="1174" w:name="_Toc297120468"/>
      <w:bookmarkStart w:id="1175" w:name="_Toc304295557"/>
      <w:bookmarkStart w:id="1176" w:name="_Toc300934980"/>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159"/>
      <w:bookmarkEnd w:id="1160"/>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177" w:name="_Toc30690"/>
      <w:r>
        <w:rPr>
          <w:rFonts w:hint="eastAsia" w:ascii="宋体" w:hAnsi="宋体" w:eastAsia="宋体" w:cs="宋体"/>
          <w:b w:val="0"/>
          <w:color w:val="000000"/>
          <w:sz w:val="24"/>
          <w:szCs w:val="24"/>
          <w:u w:val="none"/>
        </w:rPr>
        <w:t>9</w:t>
      </w:r>
      <w:bookmarkEnd w:id="1156"/>
      <w:bookmarkEnd w:id="1157"/>
      <w:bookmarkEnd w:id="1158"/>
      <w:bookmarkStart w:id="1178" w:name="_Toc300934982"/>
      <w:bookmarkStart w:id="1179" w:name="_Toc303539139"/>
      <w:bookmarkStart w:id="1180" w:name="_Toc297216192"/>
      <w:bookmarkStart w:id="1181" w:name="_Toc304295559"/>
      <w:bookmarkStart w:id="1182" w:name="_Toc312678021"/>
      <w:bookmarkStart w:id="1183" w:name="_Toc297123533"/>
      <w:bookmarkStart w:id="1184" w:name="_Toc312677495"/>
      <w:bookmarkStart w:id="1185" w:name="_Toc296503173"/>
      <w:bookmarkStart w:id="1186" w:name="_Toc297120473"/>
      <w:bookmarkStart w:id="1187" w:name="_Toc267251427"/>
      <w:bookmarkStart w:id="1188" w:name="_Toc296891213"/>
      <w:bookmarkStart w:id="1189" w:name="_Toc296347172"/>
      <w:bookmarkStart w:id="1190" w:name="_Toc292559378"/>
      <w:bookmarkStart w:id="1191" w:name="_Toc297048359"/>
      <w:bookmarkStart w:id="1192" w:name="_Toc267251428"/>
      <w:bookmarkStart w:id="1193" w:name="_Toc296891001"/>
      <w:bookmarkStart w:id="1194" w:name="_Toc296944512"/>
      <w:bookmarkStart w:id="1195" w:name="_Toc296346674"/>
      <w:bookmarkStart w:id="1196" w:name="_Toc292559883"/>
      <w:r>
        <w:rPr>
          <w:rFonts w:hint="eastAsia" w:ascii="宋体" w:hAnsi="宋体" w:eastAsia="宋体" w:cs="宋体"/>
          <w:b w:val="0"/>
          <w:color w:val="000000"/>
          <w:sz w:val="24"/>
          <w:szCs w:val="24"/>
          <w:u w:val="none"/>
        </w:rPr>
        <w:t>. 试验与检验</w:t>
      </w:r>
      <w:bookmarkEnd w:id="1177"/>
    </w:p>
    <w:bookmarkEnd w:id="1178"/>
    <w:bookmarkEnd w:id="1179"/>
    <w:bookmarkEnd w:id="1180"/>
    <w:bookmarkEnd w:id="1181"/>
    <w:bookmarkEnd w:id="1182"/>
    <w:bookmarkEnd w:id="1183"/>
    <w:bookmarkEnd w:id="1184"/>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1197" w:name="_Toc297123534"/>
      <w:bookmarkStart w:id="1198" w:name="_Toc304295560"/>
      <w:bookmarkStart w:id="1199" w:name="_Toc300934983"/>
      <w:bookmarkStart w:id="1200" w:name="_Toc312678022"/>
      <w:bookmarkStart w:id="1201" w:name="_Toc312677496"/>
      <w:bookmarkStart w:id="1202" w:name="_Toc297216193"/>
      <w:bookmarkStart w:id="1203" w:name="_Toc303539140"/>
      <w:r>
        <w:rPr>
          <w:rFonts w:hint="eastAsia" w:ascii="宋体" w:hAnsi="宋体" w:eastAsia="宋体" w:cs="宋体"/>
          <w:color w:val="000000"/>
          <w:sz w:val="24"/>
          <w:szCs w:val="24"/>
        </w:rPr>
        <w:t>.1试验设备与试验人员</w:t>
      </w:r>
    </w:p>
    <w:bookmarkEnd w:id="1197"/>
    <w:bookmarkEnd w:id="1198"/>
    <w:bookmarkEnd w:id="1199"/>
    <w:bookmarkEnd w:id="1200"/>
    <w:bookmarkEnd w:id="1201"/>
    <w:bookmarkEnd w:id="1202"/>
    <w:bookmarkEnd w:id="120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bookmarkStart w:id="1204" w:name="_Toc300934984"/>
      <w:bookmarkStart w:id="1205" w:name="_Toc312677497"/>
      <w:bookmarkStart w:id="1206" w:name="_Toc303539141"/>
      <w:bookmarkStart w:id="1207" w:name="_Toc304295561"/>
      <w:bookmarkStart w:id="1208" w:name="_Toc312678023"/>
      <w:bookmarkStart w:id="1209" w:name="_Toc297216194"/>
      <w:bookmarkStart w:id="1210" w:name="_Toc297123535"/>
      <w:bookmarkStart w:id="1211" w:name="_Toc318581174"/>
      <w:r>
        <w:rPr>
          <w:rFonts w:hint="eastAsia" w:ascii="宋体" w:hAnsi="宋体" w:eastAsia="宋体" w:cs="宋体"/>
          <w:sz w:val="24"/>
          <w:szCs w:val="24"/>
        </w:rPr>
        <w:t>.1.2 试验设备</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施工现场需要配置的试验场所：</w:t>
      </w:r>
      <w:bookmarkEnd w:id="1204"/>
      <w:bookmarkEnd w:id="1205"/>
      <w:bookmarkEnd w:id="1206"/>
      <w:bookmarkEnd w:id="1207"/>
      <w:bookmarkEnd w:id="1208"/>
      <w:bookmarkEnd w:id="1209"/>
      <w:bookmarkEnd w:id="1210"/>
      <w:bookmarkStart w:id="1212" w:name="_Toc304295562"/>
      <w:bookmarkStart w:id="1213" w:name="_Toc312677498"/>
      <w:bookmarkStart w:id="1214" w:name="_Toc303539142"/>
      <w:bookmarkStart w:id="1215" w:name="_Toc300934985"/>
      <w:bookmarkStart w:id="1216" w:name="_Toc297216195"/>
      <w:bookmarkStart w:id="1217" w:name="_Toc297123536"/>
      <w:bookmarkStart w:id="1218" w:name="_Toc312678024"/>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211"/>
    <w:bookmarkEnd w:id="1212"/>
    <w:bookmarkEnd w:id="1213"/>
    <w:bookmarkEnd w:id="1214"/>
    <w:bookmarkEnd w:id="1215"/>
    <w:bookmarkEnd w:id="1216"/>
    <w:bookmarkEnd w:id="1217"/>
    <w:bookmarkEnd w:id="1218"/>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219" w:name="_Toc23089"/>
      <w:r>
        <w:rPr>
          <w:rFonts w:hint="eastAsia" w:ascii="宋体" w:hAnsi="宋体" w:eastAsia="宋体" w:cs="宋体"/>
          <w:b w:val="0"/>
          <w:color w:val="000000"/>
          <w:sz w:val="24"/>
          <w:szCs w:val="24"/>
          <w:u w:val="none"/>
        </w:rPr>
        <w:t>1</w:t>
      </w:r>
      <w:bookmarkEnd w:id="1185"/>
      <w:bookmarkEnd w:id="1186"/>
      <w:bookmarkEnd w:id="1187"/>
      <w:bookmarkEnd w:id="1188"/>
      <w:bookmarkEnd w:id="1189"/>
      <w:bookmarkEnd w:id="1190"/>
      <w:bookmarkEnd w:id="1191"/>
      <w:bookmarkEnd w:id="1192"/>
      <w:bookmarkEnd w:id="1193"/>
      <w:bookmarkEnd w:id="1194"/>
      <w:bookmarkEnd w:id="1195"/>
      <w:bookmarkEnd w:id="1196"/>
      <w:bookmarkStart w:id="1220" w:name="_Toc297123540"/>
      <w:bookmarkStart w:id="1221" w:name="_Toc296503193"/>
      <w:bookmarkStart w:id="1222" w:name="_Toc296346694"/>
      <w:bookmarkStart w:id="1223" w:name="_Toc300934989"/>
      <w:bookmarkStart w:id="1224" w:name="_Toc297120493"/>
      <w:bookmarkStart w:id="1225" w:name="_Toc303539146"/>
      <w:bookmarkStart w:id="1226" w:name="_Toc296347192"/>
      <w:bookmarkStart w:id="1227" w:name="_Toc292559398"/>
      <w:bookmarkStart w:id="1228" w:name="_Toc296891233"/>
      <w:bookmarkStart w:id="1229" w:name="_Toc297048379"/>
      <w:bookmarkStart w:id="1230" w:name="_Toc296944532"/>
      <w:bookmarkStart w:id="1231" w:name="_Toc297216199"/>
      <w:bookmarkStart w:id="1232" w:name="_Toc292559903"/>
      <w:bookmarkStart w:id="1233" w:name="_Toc296891021"/>
      <w:bookmarkStart w:id="1234" w:name="_Toc304295566"/>
      <w:bookmarkStart w:id="1235" w:name="_Toc312677499"/>
      <w:bookmarkStart w:id="1236" w:name="_Toc312678025"/>
      <w:bookmarkStart w:id="1237" w:name="_Toc267251441"/>
      <w:bookmarkStart w:id="1238" w:name="_Toc267251437"/>
      <w:bookmarkStart w:id="1239" w:name="_Toc267251440"/>
      <w:bookmarkStart w:id="1240" w:name="_Toc267251439"/>
      <w:bookmarkStart w:id="1241" w:name="_Toc267251435"/>
      <w:bookmarkStart w:id="1242" w:name="_Toc267251433"/>
      <w:bookmarkStart w:id="1243" w:name="_Toc267251442"/>
      <w:r>
        <w:rPr>
          <w:rFonts w:hint="eastAsia" w:ascii="宋体" w:hAnsi="宋体" w:eastAsia="宋体" w:cs="宋体"/>
          <w:b w:val="0"/>
          <w:color w:val="000000"/>
          <w:sz w:val="24"/>
          <w:szCs w:val="24"/>
          <w:u w:val="none"/>
        </w:rPr>
        <w:t>0. 变更</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bookmarkEnd w:id="1235"/>
    <w:bookmarkEnd w:id="1236"/>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1244" w:name="_Toc296346695"/>
      <w:bookmarkStart w:id="1245" w:name="_Toc296891022"/>
      <w:bookmarkStart w:id="1246" w:name="_Toc303539147"/>
      <w:bookmarkStart w:id="1247" w:name="_Toc296503194"/>
      <w:bookmarkStart w:id="1248" w:name="_Toc296891234"/>
      <w:bookmarkStart w:id="1249" w:name="_Toc292559399"/>
      <w:bookmarkStart w:id="1250" w:name="_Toc312678026"/>
      <w:bookmarkStart w:id="1251" w:name="_Toc312677500"/>
      <w:bookmarkStart w:id="1252" w:name="_Toc297120494"/>
      <w:bookmarkStart w:id="1253" w:name="_Toc292559904"/>
      <w:bookmarkStart w:id="1254" w:name="_Toc304295567"/>
      <w:bookmarkStart w:id="1255" w:name="_Toc296944533"/>
      <w:bookmarkStart w:id="1256" w:name="_Toc297123541"/>
      <w:bookmarkStart w:id="1257" w:name="_Toc300934990"/>
      <w:bookmarkStart w:id="1258" w:name="_Toc297048380"/>
      <w:bookmarkStart w:id="1259" w:name="_Toc296347193"/>
      <w:bookmarkStart w:id="1260" w:name="_Toc297216200"/>
      <w:r>
        <w:rPr>
          <w:rFonts w:hint="eastAsia" w:ascii="宋体" w:hAnsi="宋体" w:eastAsia="宋体" w:cs="宋体"/>
          <w:color w:val="000000"/>
          <w:sz w:val="24"/>
          <w:szCs w:val="24"/>
        </w:rPr>
        <w:t>0.1变更的范围</w:t>
      </w:r>
    </w:p>
    <w:p>
      <w:pPr>
        <w:pageBreakBefore w:val="0"/>
        <w:widowControl w:val="0"/>
        <w:kinsoku/>
        <w:wordWrap/>
        <w:overflowPunct/>
        <w:topLinePunct w:val="0"/>
        <w:bidi w:val="0"/>
        <w:snapToGrid/>
        <w:spacing w:line="400" w:lineRule="exact"/>
        <w:ind w:firstLine="6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10.4.1 变更估价原则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Start w:id="1261" w:name="_Toc296891237"/>
      <w:bookmarkStart w:id="1262" w:name="_Toc292559907"/>
      <w:bookmarkStart w:id="1263" w:name="_Toc297123544"/>
      <w:bookmarkStart w:id="1264" w:name="_Toc297216203"/>
      <w:bookmarkStart w:id="1265" w:name="_Toc296944536"/>
      <w:bookmarkStart w:id="1266" w:name="_Toc296346698"/>
      <w:bookmarkStart w:id="1267" w:name="_Toc300934993"/>
      <w:bookmarkStart w:id="1268" w:name="_Toc296891025"/>
      <w:bookmarkStart w:id="1269" w:name="_Toc297120497"/>
      <w:bookmarkStart w:id="1270" w:name="_Toc297048383"/>
      <w:bookmarkStart w:id="1271" w:name="_Toc296347196"/>
      <w:bookmarkStart w:id="1272" w:name="_Toc292559402"/>
      <w:bookmarkStart w:id="1273" w:name="_Toc296503197"/>
      <w:bookmarkStart w:id="1274" w:name="_Toc303539150"/>
      <w:bookmarkStart w:id="1275" w:name="_Toc312678029"/>
      <w:bookmarkStart w:id="1276" w:name="_Toc312677503"/>
      <w:bookmarkStart w:id="1277" w:name="_Toc304295570"/>
      <w:r>
        <w:rPr>
          <w:rFonts w:hint="eastAsia" w:ascii="宋体" w:hAnsi="宋体" w:eastAsia="宋体" w:cs="宋体"/>
          <w:color w:val="000000"/>
          <w:sz w:val="24"/>
          <w:szCs w:val="24"/>
        </w:rPr>
        <w:t>0.5承</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Start w:id="1278" w:name="_Toc292559408"/>
      <w:bookmarkStart w:id="1279" w:name="_Toc296891031"/>
      <w:bookmarkStart w:id="1280" w:name="_Toc296891243"/>
      <w:bookmarkStart w:id="1281" w:name="_Toc296503203"/>
      <w:bookmarkStart w:id="1282" w:name="_Toc303539151"/>
      <w:bookmarkStart w:id="1283" w:name="_Toc296944542"/>
      <w:bookmarkStart w:id="1284" w:name="_Toc292559913"/>
      <w:bookmarkStart w:id="1285" w:name="_Toc297216204"/>
      <w:bookmarkStart w:id="1286" w:name="_Toc297048389"/>
      <w:bookmarkStart w:id="1287" w:name="_Toc297123545"/>
      <w:bookmarkStart w:id="1288" w:name="_Toc300934994"/>
      <w:bookmarkStart w:id="1289" w:name="_Toc297120503"/>
      <w:bookmarkStart w:id="1290" w:name="_Toc296346704"/>
      <w:bookmarkStart w:id="1291" w:name="_Toc296347202"/>
      <w:r>
        <w:rPr>
          <w:rFonts w:hint="eastAsia" w:ascii="宋体" w:hAnsi="宋体" w:eastAsia="宋体" w:cs="宋体"/>
          <w:color w:val="000000"/>
          <w:sz w:val="24"/>
          <w:szCs w:val="24"/>
        </w:rPr>
        <w:t>包人的合理化建议</w:t>
      </w:r>
    </w:p>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w:t>
      </w:r>
      <w:bookmarkStart w:id="1292" w:name="_Toc296891244"/>
      <w:bookmarkStart w:id="1293" w:name="_Toc304295571"/>
      <w:bookmarkStart w:id="1294" w:name="_Toc296346705"/>
      <w:bookmarkStart w:id="1295" w:name="_Toc292559914"/>
      <w:bookmarkStart w:id="1296" w:name="_Toc297123546"/>
      <w:bookmarkStart w:id="1297" w:name="_Toc296503204"/>
      <w:bookmarkStart w:id="1298" w:name="_Toc318581175"/>
      <w:bookmarkStart w:id="1299" w:name="_Toc312677504"/>
      <w:bookmarkStart w:id="1300" w:name="_Toc296891032"/>
      <w:bookmarkStart w:id="1301" w:name="_Toc292559409"/>
      <w:bookmarkStart w:id="1302" w:name="_Toc303539152"/>
      <w:bookmarkStart w:id="1303" w:name="_Toc297120504"/>
      <w:bookmarkStart w:id="1304" w:name="_Toc300934995"/>
      <w:bookmarkStart w:id="1305" w:name="_Toc296944543"/>
      <w:bookmarkStart w:id="1306" w:name="_Toc296347203"/>
      <w:bookmarkStart w:id="1307" w:name="_Toc312678030"/>
      <w:bookmarkStart w:id="1308" w:name="_Toc297216205"/>
      <w:bookmarkStart w:id="1309" w:name="_Toc297048390"/>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1310" w:name="_Toc296891027"/>
      <w:bookmarkStart w:id="1311" w:name="_Toc297216207"/>
      <w:bookmarkStart w:id="1312" w:name="_Toc296891239"/>
      <w:bookmarkStart w:id="1313" w:name="_Toc292559404"/>
      <w:bookmarkStart w:id="1314" w:name="_Toc304295574"/>
      <w:bookmarkStart w:id="1315" w:name="_Toc296347198"/>
      <w:bookmarkStart w:id="1316" w:name="_Toc296503199"/>
      <w:bookmarkStart w:id="1317" w:name="_Toc297120499"/>
      <w:bookmarkStart w:id="1318" w:name="_Toc297123548"/>
      <w:bookmarkStart w:id="1319" w:name="_Toc312677507"/>
      <w:bookmarkStart w:id="1320" w:name="_Toc296944538"/>
      <w:bookmarkStart w:id="1321" w:name="_Toc300934997"/>
      <w:bookmarkStart w:id="1322" w:name="_Toc297048385"/>
      <w:bookmarkStart w:id="1323" w:name="_Toc292559909"/>
      <w:bookmarkStart w:id="1324" w:name="_Toc303539154"/>
      <w:bookmarkStart w:id="1325" w:name="_Toc312678033"/>
      <w:bookmarkStart w:id="1326" w:name="_Toc296346700"/>
      <w:r>
        <w:rPr>
          <w:rFonts w:hint="eastAsia" w:ascii="宋体" w:hAnsi="宋体" w:eastAsia="宋体" w:cs="宋体"/>
          <w:color w:val="000000"/>
          <w:sz w:val="24"/>
          <w:szCs w:val="24"/>
        </w:rPr>
        <w:t>0.7 暂估价</w:t>
      </w:r>
    </w:p>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暂</w:t>
      </w:r>
      <w:bookmarkStart w:id="1327" w:name="_Toc318581176"/>
      <w:bookmarkStart w:id="1328" w:name="_Toc312678034"/>
      <w:bookmarkStart w:id="1329" w:name="_Toc312677508"/>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1327"/>
    <w:bookmarkEnd w:id="1328"/>
    <w:bookmarkEnd w:id="132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1330" w:name="_Toc312677509"/>
      <w:bookmarkStart w:id="1331" w:name="_Toc312678035"/>
      <w:bookmarkStart w:id="1332" w:name="_Toc318581177"/>
      <w:r>
        <w:rPr>
          <w:rFonts w:hint="eastAsia" w:ascii="宋体" w:hAnsi="宋体" w:eastAsia="宋体" w:cs="宋体"/>
          <w:sz w:val="24"/>
          <w:szCs w:val="24"/>
        </w:rPr>
        <w:t>0.7.1 依法必须招标的暂估价项目</w:t>
      </w:r>
    </w:p>
    <w:bookmarkEnd w:id="1330"/>
    <w:bookmarkEnd w:id="1331"/>
    <w:bookmarkEnd w:id="1332"/>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333" w:name="_Toc14894"/>
      <w:r>
        <w:rPr>
          <w:rFonts w:hint="eastAsia" w:ascii="宋体" w:hAnsi="宋体" w:eastAsia="宋体" w:cs="宋体"/>
          <w:b w:val="0"/>
          <w:color w:val="000000"/>
          <w:sz w:val="24"/>
          <w:szCs w:val="24"/>
          <w:u w:val="none"/>
        </w:rPr>
        <w:t>11. 价格调整</w:t>
      </w:r>
      <w:bookmarkEnd w:id="1333"/>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1334" w:name="_Toc297048387"/>
      <w:bookmarkStart w:id="1335" w:name="_Toc296347200"/>
      <w:bookmarkStart w:id="1336" w:name="_Toc292559406"/>
      <w:bookmarkStart w:id="1337" w:name="_Toc303539157"/>
      <w:bookmarkStart w:id="1338" w:name="_Toc297123550"/>
      <w:bookmarkStart w:id="1339" w:name="_Toc292559911"/>
      <w:bookmarkStart w:id="1340" w:name="_Toc300935000"/>
      <w:bookmarkStart w:id="1341" w:name="_Toc297120501"/>
      <w:bookmarkStart w:id="1342" w:name="_Toc296944540"/>
      <w:bookmarkStart w:id="1343" w:name="_Toc296503201"/>
      <w:bookmarkStart w:id="1344" w:name="_Toc304295577"/>
      <w:bookmarkStart w:id="1345" w:name="_Toc296891029"/>
      <w:bookmarkStart w:id="1346" w:name="_Toc297216209"/>
      <w:bookmarkStart w:id="1347" w:name="_Toc296346702"/>
      <w:bookmarkStart w:id="1348" w:name="_Toc312678039"/>
      <w:bookmarkStart w:id="1349" w:name="_Toc296891241"/>
      <w:r>
        <w:rPr>
          <w:rFonts w:hint="eastAsia" w:ascii="宋体" w:hAnsi="宋体" w:eastAsia="宋体" w:cs="宋体"/>
          <w:color w:val="000000"/>
          <w:sz w:val="24"/>
          <w:szCs w:val="24"/>
        </w:rPr>
        <w:t>11.1 市场价格波动引起的调整</w:t>
      </w:r>
    </w:p>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w:t>
      </w: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种方式对合同价格进行调整：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00" w:lineRule="exact"/>
        <w:ind w:firstLine="645"/>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237"/>
    <w:bookmarkEnd w:id="1238"/>
    <w:bookmarkEnd w:id="1239"/>
    <w:bookmarkEnd w:id="1240"/>
    <w:bookmarkEnd w:id="1241"/>
    <w:bookmarkEnd w:id="1242"/>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350" w:name="_Toc297120505"/>
      <w:bookmarkStart w:id="1351" w:name="_Toc297048391"/>
      <w:bookmarkStart w:id="1352" w:name="_Toc296891033"/>
      <w:bookmarkStart w:id="1353" w:name="_Toc296503205"/>
      <w:bookmarkStart w:id="1354" w:name="_Toc296891245"/>
      <w:bookmarkStart w:id="1355" w:name="_Toc296944544"/>
      <w:bookmarkStart w:id="1356" w:name="_Toc292559915"/>
      <w:bookmarkStart w:id="1357" w:name="_Toc296347204"/>
      <w:bookmarkStart w:id="1358" w:name="_Toc292559410"/>
      <w:bookmarkStart w:id="1359" w:name="_Toc296346706"/>
      <w:bookmarkStart w:id="1360" w:name="_Toc12969"/>
      <w:bookmarkStart w:id="1361" w:name="_Toc300935002"/>
      <w:bookmarkStart w:id="1362" w:name="_Toc312678040"/>
      <w:bookmarkStart w:id="1363" w:name="_Toc303539159"/>
      <w:bookmarkStart w:id="1364" w:name="_Toc297123552"/>
      <w:bookmarkStart w:id="1365" w:name="_Toc304295579"/>
      <w:bookmarkStart w:id="1366" w:name="_Toc297216211"/>
      <w:r>
        <w:rPr>
          <w:rFonts w:hint="eastAsia" w:ascii="宋体" w:hAnsi="宋体" w:eastAsia="宋体" w:cs="宋体"/>
          <w:b w:val="0"/>
          <w:color w:val="000000"/>
          <w:sz w:val="24"/>
          <w:szCs w:val="24"/>
          <w:u w:val="none"/>
        </w:rPr>
        <w:t xml:space="preserve">12. </w:t>
      </w:r>
      <w:bookmarkEnd w:id="1350"/>
      <w:bookmarkEnd w:id="1351"/>
      <w:bookmarkEnd w:id="1352"/>
      <w:bookmarkEnd w:id="1353"/>
      <w:bookmarkEnd w:id="1354"/>
      <w:bookmarkEnd w:id="1355"/>
      <w:bookmarkEnd w:id="1356"/>
      <w:bookmarkEnd w:id="1357"/>
      <w:bookmarkEnd w:id="1358"/>
      <w:bookmarkEnd w:id="1359"/>
      <w:r>
        <w:rPr>
          <w:rFonts w:hint="eastAsia" w:ascii="宋体" w:hAnsi="宋体" w:eastAsia="宋体" w:cs="宋体"/>
          <w:b w:val="0"/>
          <w:color w:val="000000"/>
          <w:sz w:val="24"/>
          <w:szCs w:val="24"/>
          <w:u w:val="none"/>
        </w:rPr>
        <w:t>合同价格、计量与支付</w:t>
      </w:r>
      <w:bookmarkEnd w:id="1360"/>
    </w:p>
    <w:bookmarkEnd w:id="1361"/>
    <w:bookmarkEnd w:id="1362"/>
    <w:bookmarkEnd w:id="1363"/>
    <w:bookmarkEnd w:id="1364"/>
    <w:bookmarkEnd w:id="1365"/>
    <w:bookmarkEnd w:id="1366"/>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1367" w:name="_Toc292559916"/>
      <w:bookmarkStart w:id="1368" w:name="_Toc267251461"/>
      <w:bookmarkStart w:id="1369" w:name="_Toc292559411"/>
      <w:bookmarkStart w:id="1370" w:name="_Toc296503206"/>
      <w:bookmarkStart w:id="1371" w:name="_Toc297120506"/>
      <w:bookmarkStart w:id="1372" w:name="_Toc297048392"/>
      <w:bookmarkStart w:id="1373" w:name="_Toc296944545"/>
      <w:bookmarkStart w:id="1374" w:name="_Toc296891034"/>
      <w:bookmarkStart w:id="1375" w:name="_Toc296347205"/>
      <w:bookmarkStart w:id="1376" w:name="_Toc296346707"/>
      <w:bookmarkStart w:id="1377" w:name="_Toc296891246"/>
      <w:bookmarkStart w:id="1378" w:name="_Toc297216212"/>
      <w:bookmarkStart w:id="1379" w:name="_Toc304295580"/>
      <w:bookmarkStart w:id="1380" w:name="_Toc303539160"/>
      <w:bookmarkStart w:id="1381" w:name="_Toc300935003"/>
      <w:bookmarkStart w:id="1382" w:name="_Toc312678041"/>
      <w:bookmarkStart w:id="1383" w:name="_Toc297123553"/>
      <w:r>
        <w:rPr>
          <w:rFonts w:hint="eastAsia" w:ascii="宋体" w:hAnsi="宋体" w:eastAsia="宋体" w:cs="宋体"/>
          <w:color w:val="000000"/>
          <w:sz w:val="24"/>
          <w:szCs w:val="24"/>
        </w:rPr>
        <w:t>12.1 合</w:t>
      </w:r>
      <w:bookmarkEnd w:id="1367"/>
      <w:bookmarkEnd w:id="1368"/>
      <w:bookmarkEnd w:id="1369"/>
      <w:r>
        <w:rPr>
          <w:rFonts w:hint="eastAsia" w:ascii="宋体" w:hAnsi="宋体" w:eastAsia="宋体" w:cs="宋体"/>
          <w:color w:val="000000"/>
          <w:sz w:val="24"/>
          <w:szCs w:val="24"/>
        </w:rPr>
        <w:t>同价</w:t>
      </w:r>
      <w:bookmarkEnd w:id="1370"/>
      <w:bookmarkEnd w:id="1371"/>
      <w:bookmarkEnd w:id="1372"/>
      <w:bookmarkEnd w:id="1373"/>
      <w:bookmarkEnd w:id="1374"/>
      <w:bookmarkEnd w:id="1375"/>
      <w:bookmarkEnd w:id="1376"/>
      <w:bookmarkEnd w:id="1377"/>
      <w:r>
        <w:rPr>
          <w:rFonts w:hint="eastAsia" w:ascii="宋体" w:hAnsi="宋体" w:eastAsia="宋体" w:cs="宋体"/>
          <w:color w:val="000000"/>
          <w:sz w:val="24"/>
          <w:szCs w:val="24"/>
        </w:rPr>
        <w:t>格形式</w:t>
      </w:r>
    </w:p>
    <w:bookmarkEnd w:id="1378"/>
    <w:bookmarkEnd w:id="1379"/>
    <w:bookmarkEnd w:id="1380"/>
    <w:bookmarkEnd w:id="1381"/>
    <w:bookmarkEnd w:id="1382"/>
    <w:bookmarkEnd w:id="1383"/>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1384" w:name="_Toc297216213"/>
      <w:bookmarkStart w:id="1385" w:name="_Toc297123554"/>
      <w:bookmarkStart w:id="1386" w:name="_Toc312678042"/>
      <w:bookmarkStart w:id="1387" w:name="_Toc303539161"/>
      <w:bookmarkStart w:id="1388" w:name="_Toc304295581"/>
      <w:bookmarkStart w:id="1389" w:name="_Toc300935004"/>
      <w:bookmarkStart w:id="1390" w:name="_Toc296944546"/>
      <w:bookmarkStart w:id="1391" w:name="_Toc296346708"/>
      <w:bookmarkStart w:id="1392" w:name="_Toc296891035"/>
      <w:bookmarkStart w:id="1393" w:name="_Toc292559412"/>
      <w:bookmarkStart w:id="1394" w:name="_Toc297048393"/>
      <w:bookmarkStart w:id="1395" w:name="_Toc296347206"/>
      <w:bookmarkStart w:id="1396" w:name="_Toc296503207"/>
      <w:bookmarkStart w:id="1397" w:name="_Toc296891247"/>
      <w:bookmarkStart w:id="1398" w:name="_Toc292559917"/>
      <w:bookmarkStart w:id="1399" w:name="_Toc297120507"/>
      <w:r>
        <w:rPr>
          <w:rFonts w:hint="eastAsia" w:ascii="宋体" w:hAnsi="宋体" w:eastAsia="宋体" w:cs="宋体"/>
          <w:color w:val="000000"/>
          <w:sz w:val="24"/>
          <w:szCs w:val="24"/>
        </w:rPr>
        <w:t>12.2 预付款</w:t>
      </w:r>
    </w:p>
    <w:bookmarkEnd w:id="1384"/>
    <w:bookmarkEnd w:id="1385"/>
    <w:bookmarkEnd w:id="1386"/>
    <w:bookmarkEnd w:id="1387"/>
    <w:bookmarkEnd w:id="1388"/>
    <w:bookmarkEnd w:id="1389"/>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390"/>
    <w:bookmarkEnd w:id="1391"/>
    <w:bookmarkEnd w:id="1392"/>
    <w:bookmarkEnd w:id="1393"/>
    <w:bookmarkEnd w:id="1394"/>
    <w:bookmarkEnd w:id="1395"/>
    <w:bookmarkEnd w:id="1396"/>
    <w:bookmarkEnd w:id="1397"/>
    <w:bookmarkEnd w:id="1398"/>
    <w:bookmarkEnd w:id="1399"/>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bookmarkStart w:id="1400" w:name="_Toc296347210"/>
      <w:bookmarkStart w:id="1401" w:name="_Toc297120511"/>
      <w:bookmarkStart w:id="1402" w:name="_Toc297048397"/>
      <w:bookmarkStart w:id="1403" w:name="_Toc300935006"/>
      <w:bookmarkStart w:id="1404" w:name="_Toc296346712"/>
      <w:bookmarkStart w:id="1405" w:name="_Toc292559921"/>
      <w:bookmarkStart w:id="1406" w:name="_Toc303539163"/>
      <w:bookmarkStart w:id="1407" w:name="_Toc297123556"/>
      <w:bookmarkStart w:id="1408" w:name="_Toc296944550"/>
      <w:bookmarkStart w:id="1409" w:name="_Toc296503211"/>
      <w:bookmarkStart w:id="1410" w:name="_Toc296891251"/>
      <w:bookmarkStart w:id="1411" w:name="_Toc292559416"/>
      <w:bookmarkStart w:id="1412" w:name="_Toc296891039"/>
      <w:bookmarkStart w:id="1413" w:name="_Toc297216215"/>
      <w:r>
        <w:rPr>
          <w:rFonts w:hint="eastAsia" w:ascii="宋体" w:hAnsi="宋体" w:eastAsia="宋体" w:cs="宋体"/>
          <w:color w:val="000000"/>
          <w:sz w:val="24"/>
          <w:szCs w:val="24"/>
        </w:rPr>
        <w:t>12.4.1 付款周期</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r>
        <w:rPr>
          <w:rFonts w:hint="eastAsia" w:ascii="宋体" w:hAnsi="宋体" w:eastAsia="宋体" w:cs="宋体"/>
          <w:color w:val="000000"/>
          <w:sz w:val="24"/>
          <w:szCs w:val="24"/>
        </w:rPr>
        <w:t>2.4.3 进度付款申请单的提交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600" w:firstLineChars="25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600" w:firstLineChars="2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4800" w:hanging="4800" w:hangingChars="20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243"/>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14" w:name="_Toc14414"/>
      <w:bookmarkStart w:id="1415" w:name="_Toc297216223"/>
      <w:bookmarkStart w:id="1416" w:name="_Toc296944558"/>
      <w:bookmarkStart w:id="1417" w:name="_Toc297048405"/>
      <w:bookmarkStart w:id="1418" w:name="_Toc296503219"/>
      <w:bookmarkStart w:id="1419" w:name="_Toc296891047"/>
      <w:bookmarkStart w:id="1420" w:name="_Toc303539172"/>
      <w:bookmarkStart w:id="1421" w:name="_Toc296891259"/>
      <w:bookmarkStart w:id="1422" w:name="_Toc300935015"/>
      <w:bookmarkStart w:id="1423" w:name="_Toc304295593"/>
      <w:bookmarkStart w:id="1424" w:name="_Toc292559424"/>
      <w:bookmarkStart w:id="1425" w:name="_Toc292559929"/>
      <w:bookmarkStart w:id="1426" w:name="_Toc297120519"/>
      <w:bookmarkStart w:id="1427" w:name="_Toc297123564"/>
      <w:bookmarkStart w:id="1428" w:name="_Toc296347218"/>
      <w:bookmarkStart w:id="1429" w:name="_Toc296346720"/>
      <w:bookmarkStart w:id="1430" w:name="_Toc312678053"/>
      <w:r>
        <w:rPr>
          <w:rFonts w:hint="eastAsia" w:ascii="宋体" w:hAnsi="宋体" w:eastAsia="宋体" w:cs="宋体"/>
          <w:b w:val="0"/>
          <w:color w:val="000000"/>
          <w:sz w:val="24"/>
          <w:szCs w:val="24"/>
          <w:u w:val="none"/>
        </w:rPr>
        <w:t>13. 验收和工程试车</w:t>
      </w:r>
      <w:bookmarkEnd w:id="1414"/>
    </w:p>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bookmarkStart w:id="1431" w:name="_Toc303539173"/>
      <w:bookmarkStart w:id="1432" w:name="_Toc297216224"/>
      <w:bookmarkStart w:id="1433" w:name="_Toc292559933"/>
      <w:bookmarkStart w:id="1434" w:name="_Toc297048409"/>
      <w:bookmarkStart w:id="1435" w:name="_Toc300935016"/>
      <w:bookmarkStart w:id="1436" w:name="_Toc296347222"/>
      <w:bookmarkStart w:id="1437" w:name="_Toc304295596"/>
      <w:bookmarkStart w:id="1438" w:name="_Toc296891051"/>
      <w:bookmarkStart w:id="1439" w:name="_Toc296503223"/>
      <w:bookmarkStart w:id="1440" w:name="_Toc297120523"/>
      <w:bookmarkStart w:id="1441" w:name="_Toc296944562"/>
      <w:bookmarkStart w:id="1442" w:name="_Toc296346724"/>
      <w:bookmarkStart w:id="1443" w:name="_Toc312678056"/>
      <w:bookmarkStart w:id="1444" w:name="_Toc296891263"/>
      <w:bookmarkStart w:id="1445" w:name="_Toc292559428"/>
      <w:bookmarkStart w:id="1446" w:name="_Toc297123565"/>
      <w:bookmarkStart w:id="1447" w:name="_Toc267251472"/>
      <w:bookmarkStart w:id="1448" w:name="_Toc267251471"/>
      <w:bookmarkStart w:id="1449" w:name="_Toc267251470"/>
      <w:bookmarkStart w:id="1450" w:name="_Toc267251474"/>
      <w:bookmarkStart w:id="1451" w:name="_Toc267251476"/>
      <w:bookmarkStart w:id="1452" w:name="_Toc267251475"/>
      <w:bookmarkStart w:id="1453" w:name="_Toc267251473"/>
      <w:r>
        <w:rPr>
          <w:rFonts w:hint="eastAsia" w:ascii="宋体" w:hAnsi="宋体" w:eastAsia="宋体" w:cs="宋体"/>
          <w:color w:val="000000"/>
          <w:sz w:val="24"/>
          <w:szCs w:val="24"/>
        </w:rPr>
        <w:t>13.2 竣工验收</w:t>
      </w:r>
    </w:p>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bookmarkStart w:id="1454" w:name="_Toc280868704"/>
      <w:bookmarkStart w:id="1455" w:name="_Toc280868705"/>
      <w:bookmarkStart w:id="1456" w:name="_Toc280868706"/>
      <w:bookmarkStart w:id="1457" w:name="_Toc280868707"/>
      <w:bookmarkStart w:id="1458" w:name="_Toc280868708"/>
      <w:bookmarkStart w:id="1459" w:name="_Toc280868709"/>
      <w:r>
        <w:rPr>
          <w:rFonts w:hint="eastAsia" w:ascii="宋体" w:hAnsi="宋体" w:eastAsia="宋体" w:cs="宋体"/>
          <w:color w:val="000000"/>
          <w:sz w:val="24"/>
          <w:szCs w:val="24"/>
        </w:rPr>
        <w:t>13.2.2竣工验收程序</w:t>
      </w:r>
    </w:p>
    <w:bookmarkEnd w:id="1454"/>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4800" w:hanging="4800" w:hangingChars="20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455"/>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456"/>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bookmarkEnd w:id="1457"/>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458"/>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13.6 竣工退场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60" w:name="_Toc28878"/>
      <w:r>
        <w:rPr>
          <w:rFonts w:hint="eastAsia" w:ascii="宋体" w:hAnsi="宋体" w:eastAsia="宋体" w:cs="宋体"/>
          <w:b w:val="0"/>
          <w:color w:val="000000"/>
          <w:sz w:val="24"/>
          <w:szCs w:val="24"/>
          <w:u w:val="none"/>
        </w:rPr>
        <w:t>14. 竣工结算</w:t>
      </w:r>
      <w:bookmarkEnd w:id="1460"/>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14.4.2 最终结清证书和支付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447"/>
    <w:bookmarkEnd w:id="1448"/>
    <w:bookmarkEnd w:id="1449"/>
    <w:bookmarkEnd w:id="1450"/>
    <w:bookmarkEnd w:id="1451"/>
    <w:bookmarkEnd w:id="1452"/>
    <w:bookmarkEnd w:id="1453"/>
    <w:bookmarkEnd w:id="1459"/>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61" w:name="_Toc26355"/>
      <w:bookmarkStart w:id="1462" w:name="_Toc267251483"/>
      <w:bookmarkStart w:id="1463" w:name="_Toc267251484"/>
      <w:bookmarkStart w:id="1464" w:name="_Toc267251482"/>
      <w:bookmarkStart w:id="1465" w:name="_Toc267251485"/>
      <w:bookmarkStart w:id="1466" w:name="_Toc267251489"/>
      <w:bookmarkStart w:id="1467" w:name="_Toc267251486"/>
      <w:bookmarkStart w:id="1468" w:name="_Toc267251488"/>
      <w:bookmarkStart w:id="1469" w:name="_Toc267251490"/>
      <w:bookmarkStart w:id="1470" w:name="_Toc267251493"/>
      <w:bookmarkStart w:id="1471" w:name="_Toc267251502"/>
      <w:bookmarkStart w:id="1472" w:name="_Toc267251496"/>
      <w:bookmarkStart w:id="1473" w:name="_Toc267251501"/>
      <w:bookmarkStart w:id="1474" w:name="_Toc267251499"/>
      <w:bookmarkStart w:id="1475" w:name="_Toc267251495"/>
      <w:bookmarkStart w:id="1476" w:name="_Toc267251498"/>
      <w:bookmarkStart w:id="1477" w:name="_Toc267251492"/>
      <w:bookmarkStart w:id="1478" w:name="_Toc267251494"/>
      <w:bookmarkStart w:id="1479" w:name="_Toc267251497"/>
      <w:bookmarkStart w:id="1480" w:name="_Toc267251491"/>
      <w:bookmarkStart w:id="1481" w:name="_Toc267251503"/>
      <w:bookmarkStart w:id="1482" w:name="_Toc267251506"/>
      <w:bookmarkStart w:id="1483" w:name="_Toc267251504"/>
      <w:bookmarkStart w:id="1484" w:name="_Toc267251507"/>
      <w:bookmarkStart w:id="1485" w:name="_Toc267251508"/>
      <w:bookmarkStart w:id="1486" w:name="_Toc267251513"/>
      <w:bookmarkStart w:id="1487" w:name="_Toc267251514"/>
      <w:bookmarkStart w:id="1488" w:name="_Toc267251510"/>
      <w:bookmarkStart w:id="1489" w:name="_Toc267251511"/>
      <w:bookmarkStart w:id="1490" w:name="_Toc267251509"/>
      <w:bookmarkStart w:id="1491" w:name="_Toc267251515"/>
      <w:r>
        <w:rPr>
          <w:rFonts w:hint="eastAsia" w:ascii="宋体" w:hAnsi="宋体" w:eastAsia="宋体" w:cs="宋体"/>
          <w:b w:val="0"/>
          <w:color w:val="000000"/>
          <w:sz w:val="24"/>
          <w:szCs w:val="24"/>
          <w:u w:val="none"/>
        </w:rPr>
        <w:t>15. 缺陷责任期与保修</w:t>
      </w:r>
      <w:bookmarkEnd w:id="1461"/>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462"/>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463"/>
    <w:bookmarkEnd w:id="1464"/>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465"/>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pPr>
        <w:pageBreakBefore w:val="0"/>
        <w:widowControl w:val="0"/>
        <w:kinsoku/>
        <w:wordWrap/>
        <w:overflowPunct/>
        <w:topLinePunct w:val="0"/>
        <w:bidi w:val="0"/>
        <w:snapToGrid/>
        <w:spacing w:line="400" w:lineRule="exact"/>
        <w:ind w:firstLine="468" w:firstLineChars="195"/>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466"/>
    <w:bookmarkEnd w:id="1467"/>
    <w:bookmarkEnd w:id="1468"/>
    <w:bookmarkEnd w:id="1469"/>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92" w:name="_Toc29125"/>
      <w:bookmarkStart w:id="1493" w:name="_Toc280868717"/>
      <w:bookmarkStart w:id="1494" w:name="_Toc280868718"/>
      <w:r>
        <w:rPr>
          <w:rFonts w:hint="eastAsia" w:ascii="宋体" w:hAnsi="宋体" w:eastAsia="宋体" w:cs="宋体"/>
          <w:b w:val="0"/>
          <w:color w:val="000000"/>
          <w:sz w:val="24"/>
          <w:szCs w:val="24"/>
          <w:u w:val="none"/>
        </w:rPr>
        <w:t>16. 违约</w:t>
      </w:r>
      <w:bookmarkEnd w:id="1492"/>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ind w:left="1200" w:hanging="1200" w:hangingChars="5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left="1200" w:hanging="1200" w:hangingChars="5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pPr>
        <w:pageBreakBefore w:val="0"/>
        <w:widowControl w:val="0"/>
        <w:numPr>
          <w:ilvl w:val="0"/>
          <w:numId w:val="12"/>
        </w:numPr>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因发包人原因未能在计划开工日期前7天内下达开工通知的违约责任：</w:t>
      </w:r>
      <w:r>
        <w:rPr>
          <w:rFonts w:hint="eastAsia" w:ascii="宋体" w:hAnsi="宋体" w:eastAsia="宋体" w:cs="宋体"/>
          <w:color w:val="000000"/>
          <w:kern w:val="0"/>
          <w:sz w:val="24"/>
          <w:szCs w:val="24"/>
          <w:u w:val="single"/>
        </w:rPr>
        <w:t xml:space="preserve">     </w:t>
      </w:r>
    </w:p>
    <w:p>
      <w:pPr>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numPr>
          <w:ilvl w:val="0"/>
          <w:numId w:val="12"/>
        </w:numPr>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因发包人原因未能按合同约定支付合同价款的违约责任：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numPr>
          <w:ilvl w:val="0"/>
          <w:numId w:val="0"/>
        </w:numPr>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numPr>
          <w:ilvl w:val="0"/>
          <w:numId w:val="12"/>
        </w:numPr>
        <w:kinsoku/>
        <w:wordWrap/>
        <w:overflowPunct/>
        <w:topLinePunct w:val="0"/>
        <w:bidi w:val="0"/>
        <w:snapToGrid/>
        <w:spacing w:line="400" w:lineRule="exact"/>
        <w:ind w:left="0" w:lef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numPr>
          <w:ilvl w:val="0"/>
          <w:numId w:val="0"/>
        </w:numPr>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00" w:lineRule="exact"/>
        <w:ind w:left="1200" w:hanging="1200" w:hangingChars="5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pageBreakBefore w:val="0"/>
        <w:widowControl w:val="0"/>
        <w:kinsoku/>
        <w:wordWrap/>
        <w:overflowPunct/>
        <w:topLinePunct w:val="0"/>
        <w:bidi w:val="0"/>
        <w:snapToGrid/>
        <w:spacing w:before="120" w:after="120" w:line="400" w:lineRule="exact"/>
        <w:ind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before="120" w:after="120" w:line="4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before="120" w:after="120"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95" w:name="_Toc25855"/>
      <w:r>
        <w:rPr>
          <w:rFonts w:hint="eastAsia" w:ascii="宋体" w:hAnsi="宋体" w:eastAsia="宋体" w:cs="宋体"/>
          <w:b w:val="0"/>
          <w:color w:val="000000"/>
          <w:sz w:val="24"/>
          <w:szCs w:val="24"/>
          <w:u w:val="none"/>
        </w:rPr>
        <w:t>17. 不可抗力</w:t>
      </w:r>
      <w:bookmarkEnd w:id="1495"/>
      <w:r>
        <w:rPr>
          <w:rFonts w:hint="eastAsia" w:ascii="宋体" w:hAnsi="宋体" w:eastAsia="宋体" w:cs="宋体"/>
          <w:b w:val="0"/>
          <w:color w:val="000000"/>
          <w:sz w:val="24"/>
          <w:szCs w:val="24"/>
          <w:u w:val="none"/>
        </w:rPr>
        <w:t xml:space="preserve"> </w:t>
      </w:r>
      <w:bookmarkEnd w:id="1493"/>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before="120" w:after="120" w:line="4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天内完成款项的支付。</w:t>
      </w:r>
    </w:p>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96" w:name="_Toc32242"/>
      <w:r>
        <w:rPr>
          <w:rFonts w:hint="eastAsia" w:ascii="宋体" w:hAnsi="宋体" w:eastAsia="宋体" w:cs="宋体"/>
          <w:b w:val="0"/>
          <w:color w:val="000000"/>
          <w:sz w:val="24"/>
          <w:szCs w:val="24"/>
          <w:u w:val="none"/>
        </w:rPr>
        <w:t>18. 保险</w:t>
      </w:r>
      <w:bookmarkEnd w:id="1496"/>
    </w:p>
    <w:bookmarkEnd w:id="1494"/>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18.3 其他保险</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470"/>
    <w:bookmarkEnd w:id="1471"/>
    <w:bookmarkEnd w:id="1472"/>
    <w:bookmarkEnd w:id="1473"/>
    <w:bookmarkEnd w:id="1474"/>
    <w:bookmarkEnd w:id="1475"/>
    <w:bookmarkEnd w:id="1476"/>
    <w:bookmarkEnd w:id="1477"/>
    <w:bookmarkEnd w:id="1478"/>
    <w:bookmarkEnd w:id="1479"/>
    <w:bookmarkEnd w:id="1480"/>
    <w:bookmarkEnd w:id="1481"/>
    <w:p>
      <w:pPr>
        <w:pStyle w:val="6"/>
        <w:pageBreakBefore w:val="0"/>
        <w:widowControl w:val="0"/>
        <w:numPr>
          <w:ilvl w:val="0"/>
          <w:numId w:val="0"/>
        </w:numPr>
        <w:kinsoku/>
        <w:wordWrap/>
        <w:overflowPunct/>
        <w:topLinePunct w:val="0"/>
        <w:bidi w:val="0"/>
        <w:snapToGrid/>
        <w:spacing w:before="120" w:after="120" w:line="400" w:lineRule="exact"/>
        <w:ind w:leftChars="0"/>
        <w:textAlignment w:val="auto"/>
        <w:rPr>
          <w:rFonts w:hint="eastAsia" w:ascii="宋体" w:hAnsi="宋体" w:eastAsia="宋体" w:cs="宋体"/>
          <w:b w:val="0"/>
          <w:color w:val="000000"/>
          <w:sz w:val="24"/>
          <w:szCs w:val="24"/>
          <w:u w:val="none"/>
        </w:rPr>
      </w:pPr>
      <w:bookmarkStart w:id="1497" w:name="_Toc4645"/>
      <w:r>
        <w:rPr>
          <w:rFonts w:hint="eastAsia" w:ascii="宋体" w:hAnsi="宋体" w:eastAsia="宋体" w:cs="宋体"/>
          <w:b w:val="0"/>
          <w:color w:val="000000"/>
          <w:sz w:val="24"/>
          <w:szCs w:val="24"/>
          <w:u w:val="none"/>
        </w:rPr>
        <w:t>20. 争议解决</w:t>
      </w:r>
      <w:bookmarkEnd w:id="1497"/>
    </w:p>
    <w:bookmarkEnd w:id="1482"/>
    <w:bookmarkEnd w:id="1483"/>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484"/>
      <w:r>
        <w:rPr>
          <w:rFonts w:hint="eastAsia" w:ascii="宋体" w:hAnsi="宋体" w:eastAsia="宋体" w:cs="宋体"/>
          <w:color w:val="000000"/>
          <w:sz w:val="24"/>
          <w:szCs w:val="24"/>
        </w:rPr>
        <w:t>议评审</w:t>
      </w:r>
    </w:p>
    <w:p>
      <w:pPr>
        <w:pageBreakBefore w:val="0"/>
        <w:widowControl w:val="0"/>
        <w:kinsoku/>
        <w:wordWrap/>
        <w:overflowPunct/>
        <w:topLinePunct w:val="0"/>
        <w:bidi w:val="0"/>
        <w:snapToGrid/>
        <w:spacing w:line="400" w:lineRule="exact"/>
        <w:ind w:left="149" w:leftChars="71" w:firstLine="360" w:firstLineChars="15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485"/>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pageBreakBefore w:val="0"/>
        <w:widowControl w:val="0"/>
        <w:numPr>
          <w:ilvl w:val="0"/>
          <w:numId w:val="13"/>
        </w:numPr>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pageBreakBefore w:val="0"/>
        <w:widowControl w:val="0"/>
        <w:numPr>
          <w:ilvl w:val="0"/>
          <w:numId w:val="0"/>
        </w:numPr>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bookmarkEnd w:id="1486"/>
      <w:bookmarkEnd w:id="1487"/>
      <w:bookmarkEnd w:id="1488"/>
      <w:bookmarkEnd w:id="1489"/>
      <w:bookmarkEnd w:id="1490"/>
      <w:bookmarkEnd w:id="1491"/>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p>
    <w:p>
      <w:pPr>
        <w:pStyle w:val="18"/>
        <w:rPr>
          <w:rFonts w:hint="eastAsia" w:ascii="宋体" w:hAnsi="宋体" w:eastAsia="宋体" w:cs="宋体"/>
          <w:sz w:val="24"/>
          <w:szCs w:val="24"/>
        </w:rPr>
      </w:pPr>
    </w:p>
    <w:p>
      <w:pPr>
        <w:pStyle w:val="18"/>
        <w:rPr>
          <w:rFonts w:hint="eastAsia" w:ascii="宋体" w:hAnsi="宋体" w:eastAsia="宋体" w:cs="宋体"/>
          <w:sz w:val="24"/>
          <w:szCs w:val="24"/>
        </w:rPr>
      </w:pPr>
    </w:p>
    <w:p>
      <w:pPr>
        <w:pStyle w:val="18"/>
        <w:rPr>
          <w:rFonts w:hint="eastAsia" w:ascii="宋体" w:hAnsi="宋体" w:eastAsia="宋体" w:cs="宋体"/>
          <w:sz w:val="24"/>
          <w:szCs w:val="24"/>
        </w:rPr>
      </w:pP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附件</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协议书附件：</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附件8：履约担保格式</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附件9：预付款担保格式</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附件10：支付担保格式</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sectPr>
          <w:footerReference r:id="rId10" w:type="first"/>
          <w:footerReference r:id="rId9" w:type="default"/>
          <w:pgSz w:w="11906" w:h="16838"/>
          <w:pgMar w:top="1417" w:right="1418" w:bottom="1417" w:left="1418" w:header="851" w:footer="992" w:gutter="0"/>
          <w:pgNumType w:fmt="decimal"/>
          <w:cols w:space="720" w:num="1"/>
          <w:titlePg/>
          <w:docGrid w:type="lines" w:linePitch="312" w:charSpace="0"/>
        </w:sectPr>
      </w:pPr>
      <w:r>
        <w:rPr>
          <w:rFonts w:hint="eastAsia" w:ascii="宋体" w:hAnsi="宋体" w:eastAsia="宋体" w:cs="宋体"/>
          <w:color w:val="000000"/>
          <w:sz w:val="24"/>
          <w:szCs w:val="24"/>
        </w:rPr>
        <w:t>附件11：暂估价一览表</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承包人承揽工程项目一览表</w:t>
      </w:r>
    </w:p>
    <w:tbl>
      <w:tblPr>
        <w:tblStyle w:val="2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单位工程名称</w:t>
            </w:r>
          </w:p>
        </w:tc>
        <w:tc>
          <w:tcPr>
            <w:tcW w:w="1843"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建设规模</w:t>
            </w:r>
          </w:p>
        </w:tc>
        <w:tc>
          <w:tcPr>
            <w:tcW w:w="1417"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建筑面积(平方米)</w:t>
            </w:r>
          </w:p>
        </w:tc>
        <w:tc>
          <w:tcPr>
            <w:tcW w:w="2410"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结构形式</w:t>
            </w:r>
          </w:p>
        </w:tc>
        <w:tc>
          <w:tcPr>
            <w:tcW w:w="850"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层数</w:t>
            </w:r>
          </w:p>
        </w:tc>
        <w:tc>
          <w:tcPr>
            <w:tcW w:w="1560"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2126"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设备安装内容</w:t>
            </w:r>
          </w:p>
        </w:tc>
        <w:tc>
          <w:tcPr>
            <w:tcW w:w="1417"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合同价格（元）</w:t>
            </w:r>
          </w:p>
        </w:tc>
        <w:tc>
          <w:tcPr>
            <w:tcW w:w="851"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开工日期</w:t>
            </w:r>
          </w:p>
        </w:tc>
        <w:tc>
          <w:tcPr>
            <w:tcW w:w="850"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8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41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56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2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Style w:val="18"/>
        <w:rPr>
          <w:rFonts w:hint="eastAsia"/>
        </w:rPr>
        <w:sectPr>
          <w:pgSz w:w="16838" w:h="11906" w:orient="landscape"/>
          <w:pgMar w:top="1417" w:right="1417" w:bottom="1417" w:left="1417" w:header="851" w:footer="992" w:gutter="0"/>
          <w:pgNumType w:fmt="decimal"/>
          <w:cols w:space="0" w:num="1"/>
          <w:titlePg/>
          <w:rtlGutter w:val="0"/>
          <w:docGrid w:type="lines" w:linePitch="312" w:charSpace="0"/>
        </w:sect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498" w:name="_Toc296347224"/>
      <w:bookmarkStart w:id="1499" w:name="_Toc296346726"/>
      <w:bookmarkStart w:id="1500" w:name="_Toc267261692"/>
      <w:bookmarkStart w:id="1501" w:name="_Toc296503225"/>
      <w:bookmarkStart w:id="1502" w:name="_Toc296891265"/>
      <w:bookmarkStart w:id="1503" w:name="_Toc296891053"/>
      <w:bookmarkStart w:id="1504" w:name="_Toc296944564"/>
      <w:r>
        <w:rPr>
          <w:rFonts w:hint="eastAsia" w:ascii="宋体" w:hAnsi="宋体" w:eastAsia="宋体" w:cs="宋体"/>
          <w:color w:val="000000"/>
          <w:sz w:val="24"/>
          <w:szCs w:val="24"/>
        </w:rPr>
        <w:t>件2：</w:t>
      </w:r>
    </w:p>
    <w:bookmarkEnd w:id="1498"/>
    <w:bookmarkEnd w:id="1499"/>
    <w:bookmarkEnd w:id="1500"/>
    <w:bookmarkEnd w:id="1501"/>
    <w:bookmarkEnd w:id="1502"/>
    <w:bookmarkEnd w:id="1503"/>
    <w:bookmarkEnd w:id="1504"/>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发包人供应材料设备一览表</w:t>
      </w:r>
    </w:p>
    <w:tbl>
      <w:tblPr>
        <w:tblStyle w:val="22"/>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21"/>
        <w:gridCol w:w="1087"/>
        <w:gridCol w:w="1208"/>
        <w:gridCol w:w="801"/>
        <w:gridCol w:w="724"/>
        <w:gridCol w:w="902"/>
        <w:gridCol w:w="844"/>
        <w:gridCol w:w="724"/>
        <w:gridCol w:w="1266"/>
        <w:gridCol w:w="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6"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96"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材料、</w:t>
            </w:r>
          </w:p>
          <w:p>
            <w:pPr>
              <w:pStyle w:val="8"/>
              <w:keepNext/>
              <w:pageBreakBefore w:val="0"/>
              <w:widowControl w:val="0"/>
              <w:kinsoku/>
              <w:wordWrap/>
              <w:overflowPunct/>
              <w:topLinePunct w:val="0"/>
              <w:bidi w:val="0"/>
              <w:snapToGrid/>
              <w:spacing w:line="400" w:lineRule="exact"/>
              <w:ind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设备品种</w:t>
            </w:r>
          </w:p>
        </w:tc>
        <w:tc>
          <w:tcPr>
            <w:tcW w:w="662"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439"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397"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488"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463"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质量等级</w:t>
            </w:r>
          </w:p>
        </w:tc>
        <w:tc>
          <w:tcPr>
            <w:tcW w:w="397"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供应时间</w:t>
            </w:r>
          </w:p>
        </w:tc>
        <w:tc>
          <w:tcPr>
            <w:tcW w:w="694"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送达地点</w:t>
            </w:r>
          </w:p>
        </w:tc>
        <w:tc>
          <w:tcPr>
            <w:tcW w:w="463"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96"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6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8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39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69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596"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62"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39"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88"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397"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694"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c>
          <w:tcPr>
            <w:tcW w:w="463" w:type="pct"/>
            <w:noWrap w:val="0"/>
            <w:vAlign w:val="center"/>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505" w:name="_Toc296347225"/>
      <w:bookmarkStart w:id="1506" w:name="_Toc296891266"/>
      <w:bookmarkStart w:id="1507" w:name="_Toc296891054"/>
      <w:bookmarkStart w:id="1508" w:name="_Toc296346727"/>
      <w:bookmarkStart w:id="1509" w:name="_Toc267261693"/>
      <w:bookmarkStart w:id="1510" w:name="_Toc296944565"/>
      <w:bookmarkStart w:id="1511" w:name="_Toc296503226"/>
      <w:r>
        <w:rPr>
          <w:rFonts w:hint="eastAsia" w:ascii="宋体" w:hAnsi="宋体" w:eastAsia="宋体" w:cs="宋体"/>
          <w:color w:val="000000"/>
          <w:sz w:val="24"/>
          <w:szCs w:val="24"/>
        </w:rPr>
        <w:t>件3：</w:t>
      </w:r>
      <w:bookmarkEnd w:id="1505"/>
      <w:bookmarkEnd w:id="1506"/>
      <w:bookmarkEnd w:id="1507"/>
      <w:bookmarkEnd w:id="1508"/>
      <w:bookmarkEnd w:id="1509"/>
      <w:bookmarkEnd w:id="1510"/>
      <w:bookmarkEnd w:id="1511"/>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发包人和承包人根据《中华人民共和国建筑法》和《建设工程质量管理条例》，经协商一致就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（工程全称）签订工程质量保修书。</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一、工程质量保修范围和内容</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承包人在质量保修期内，按照有关法律规定和合同约定，承担工程质量保修责任。</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二、质量保修期</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地基基础工程和主体结构工程为设计文件规定的工程合理使用年限；</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pageBreakBefore w:val="0"/>
        <w:widowControl w:val="0"/>
        <w:numPr>
          <w:ilvl w:val="0"/>
          <w:numId w:val="0"/>
        </w:numPr>
        <w:kinsoku/>
        <w:wordWrap/>
        <w:overflowPunct/>
        <w:topLinePunct w:val="0"/>
        <w:bidi w:val="0"/>
        <w:snapToGrid/>
        <w:spacing w:line="400" w:lineRule="exact"/>
        <w:ind w:left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质量保修期自工程竣工验收合格之日起计算。</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四、质量保修责任</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widowControl w:val="0"/>
        <w:kinsoku/>
        <w:wordWrap/>
        <w:overflowPunct/>
        <w:topLinePunct w:val="0"/>
        <w:bidi w:val="0"/>
        <w:snapToGrid/>
        <w:spacing w:line="400" w:lineRule="exact"/>
        <w:ind w:left="105" w:leftChars="50" w:firstLine="491" w:firstLineChars="20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五、保修费用</w:t>
      </w:r>
    </w:p>
    <w:p>
      <w:pPr>
        <w:pageBreakBefore w:val="0"/>
        <w:widowControl w:val="0"/>
        <w:kinsoku/>
        <w:wordWrap/>
        <w:overflowPunct/>
        <w:topLinePunct w:val="0"/>
        <w:bidi w:val="0"/>
        <w:snapToGrid/>
        <w:spacing w:line="400" w:lineRule="exact"/>
        <w:ind w:left="0" w:leftChars="0" w:firstLine="420" w:firstLineChars="1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保修费用由造成质量缺陷的责任方承担。</w:t>
      </w:r>
    </w:p>
    <w:p>
      <w:pPr>
        <w:pageBreakBefore w:val="0"/>
        <w:widowControl w:val="0"/>
        <w:kinsoku/>
        <w:wordWrap/>
        <w:overflowPunct/>
        <w:topLinePunct w:val="0"/>
        <w:bidi w:val="0"/>
        <w:snapToGrid/>
        <w:spacing w:line="400" w:lineRule="exact"/>
        <w:ind w:firstLine="600"/>
        <w:jc w:val="left"/>
        <w:textAlignment w:val="auto"/>
        <w:rPr>
          <w:rFonts w:hint="eastAsia"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56" w:firstLineChars="19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pageBreakBefore w:val="0"/>
        <w:widowControl w:val="0"/>
        <w:kinsoku/>
        <w:wordWrap/>
        <w:overflowPunct/>
        <w:topLinePunct w:val="0"/>
        <w:bidi w:val="0"/>
        <w:snapToGrid/>
        <w:spacing w:line="400" w:lineRule="exact"/>
        <w:ind w:firstLine="420"/>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承包人(公章)：</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附件4：</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主要建设工程文件目录</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文件名称</w:t>
            </w:r>
          </w:p>
        </w:tc>
        <w:tc>
          <w:tcPr>
            <w:tcW w:w="1276"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套数</w:t>
            </w:r>
          </w:p>
        </w:tc>
        <w:tc>
          <w:tcPr>
            <w:tcW w:w="1450"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费用（元）</w:t>
            </w:r>
          </w:p>
        </w:tc>
        <w:tc>
          <w:tcPr>
            <w:tcW w:w="1243" w:type="dxa"/>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w:t>
            </w:r>
          </w:p>
        </w:tc>
        <w:tc>
          <w:tcPr>
            <w:tcW w:w="1450" w:type="dxa"/>
            <w:tcBorders>
              <w:top w:val="single" w:color="auto" w:sz="12" w:space="0"/>
              <w:bottom w:val="double" w:color="auto" w:sz="6" w:space="0"/>
            </w:tcBorders>
            <w:noWrap w:val="0"/>
            <w:vAlign w:val="top"/>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noWrap w:val="0"/>
            <w:vAlign w:val="top"/>
          </w:tcPr>
          <w:p>
            <w:pPr>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76"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243"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50"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667" w:type="dxa"/>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76"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243"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450"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1667" w:type="dxa"/>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512" w:name="_Toc296891267"/>
      <w:bookmarkStart w:id="1513" w:name="_Toc296346728"/>
      <w:bookmarkStart w:id="1514" w:name="_Toc296944566"/>
      <w:bookmarkStart w:id="1515" w:name="_Toc267261698"/>
      <w:bookmarkStart w:id="1516" w:name="_Toc296891055"/>
      <w:bookmarkStart w:id="1517" w:name="_Toc296347226"/>
      <w:bookmarkStart w:id="1518" w:name="_Toc296503227"/>
      <w:r>
        <w:rPr>
          <w:rFonts w:hint="eastAsia" w:ascii="宋体" w:hAnsi="宋体" w:eastAsia="宋体" w:cs="宋体"/>
          <w:color w:val="000000"/>
          <w:sz w:val="24"/>
          <w:szCs w:val="24"/>
        </w:rPr>
        <w:t>件5：</w:t>
      </w:r>
    </w:p>
    <w:bookmarkEnd w:id="1512"/>
    <w:bookmarkEnd w:id="1513"/>
    <w:bookmarkEnd w:id="1514"/>
    <w:bookmarkEnd w:id="1515"/>
    <w:bookmarkEnd w:id="1516"/>
    <w:bookmarkEnd w:id="1517"/>
    <w:bookmarkEnd w:id="1518"/>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承包人用于本工程施工的机械设备表</w:t>
      </w:r>
    </w:p>
    <w:tbl>
      <w:tblPr>
        <w:tblStyle w:val="22"/>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1318"/>
        <w:gridCol w:w="791"/>
        <w:gridCol w:w="984"/>
        <w:gridCol w:w="818"/>
        <w:gridCol w:w="948"/>
        <w:gridCol w:w="1377"/>
        <w:gridCol w:w="948"/>
        <w:gridCol w:w="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722"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机械或设备名称</w:t>
            </w:r>
          </w:p>
        </w:tc>
        <w:tc>
          <w:tcPr>
            <w:tcW w:w="433"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539"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448"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519"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制造年份</w:t>
            </w:r>
          </w:p>
        </w:tc>
        <w:tc>
          <w:tcPr>
            <w:tcW w:w="754"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额定功率(kW)</w:t>
            </w:r>
          </w:p>
        </w:tc>
        <w:tc>
          <w:tcPr>
            <w:tcW w:w="519"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生产能力</w:t>
            </w:r>
          </w:p>
        </w:tc>
        <w:tc>
          <w:tcPr>
            <w:tcW w:w="469"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33"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3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4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54"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1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9"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22"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33"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3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48"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754"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51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c>
          <w:tcPr>
            <w:tcW w:w="469" w:type="pct"/>
            <w:noWrap w:val="0"/>
            <w:vAlign w:val="top"/>
          </w:tcPr>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Style w:val="18"/>
        <w:rPr>
          <w:rFonts w:hint="eastAsia" w:ascii="宋体" w:hAnsi="宋体" w:eastAsia="宋体" w:cs="宋体"/>
          <w:color w:val="000000"/>
          <w:sz w:val="24"/>
          <w:szCs w:val="24"/>
        </w:rPr>
      </w:pPr>
    </w:p>
    <w:p>
      <w:pPr>
        <w:pStyle w:val="18"/>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519" w:name="_Toc296346729"/>
      <w:bookmarkStart w:id="1520" w:name="_Toc296503228"/>
      <w:bookmarkStart w:id="1521" w:name="_Toc296891056"/>
      <w:bookmarkStart w:id="1522" w:name="_Toc296944567"/>
      <w:bookmarkStart w:id="1523" w:name="_Toc296347227"/>
      <w:bookmarkStart w:id="1524" w:name="_Toc267261699"/>
      <w:bookmarkStart w:id="1525" w:name="_Toc296891268"/>
      <w:r>
        <w:rPr>
          <w:rFonts w:hint="eastAsia" w:ascii="宋体" w:hAnsi="宋体" w:eastAsia="宋体" w:cs="宋体"/>
          <w:color w:val="000000"/>
          <w:sz w:val="24"/>
          <w:szCs w:val="24"/>
        </w:rPr>
        <w:t>件6：</w:t>
      </w:r>
    </w:p>
    <w:bookmarkEnd w:id="1519"/>
    <w:bookmarkEnd w:id="1520"/>
    <w:bookmarkEnd w:id="1521"/>
    <w:bookmarkEnd w:id="1522"/>
    <w:bookmarkEnd w:id="1523"/>
    <w:bookmarkEnd w:id="1524"/>
    <w:bookmarkEnd w:id="1525"/>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8"/>
        <w:gridCol w:w="1055"/>
        <w:gridCol w:w="1055"/>
        <w:gridCol w:w="3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722"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578"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578"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2167"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722"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526" w:name="_Toc296891057"/>
      <w:bookmarkStart w:id="1527" w:name="_Toc296503229"/>
      <w:bookmarkStart w:id="1528" w:name="_Toc296346730"/>
      <w:bookmarkStart w:id="1529" w:name="_Toc296347228"/>
      <w:bookmarkStart w:id="1530" w:name="_Toc296944568"/>
      <w:bookmarkStart w:id="1531" w:name="_Toc296891269"/>
      <w:r>
        <w:rPr>
          <w:rFonts w:hint="eastAsia" w:ascii="宋体" w:hAnsi="宋体" w:eastAsia="宋体" w:cs="宋体"/>
          <w:color w:val="000000"/>
          <w:sz w:val="24"/>
          <w:szCs w:val="24"/>
        </w:rPr>
        <w:t>件7：</w:t>
      </w:r>
    </w:p>
    <w:bookmarkEnd w:id="1526"/>
    <w:bookmarkEnd w:id="1527"/>
    <w:bookmarkEnd w:id="1528"/>
    <w:bookmarkEnd w:id="1529"/>
    <w:bookmarkEnd w:id="1530"/>
    <w:bookmarkEnd w:id="1531"/>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分包人主要施工管理人员表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8"/>
        <w:gridCol w:w="1055"/>
        <w:gridCol w:w="1055"/>
        <w:gridCol w:w="3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722"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578"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578"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2167" w:type="pct"/>
            <w:tcBorders>
              <w:top w:val="single" w:color="auto" w:sz="12" w:space="0"/>
              <w:bottom w:val="doub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722"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top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nil"/>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2"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578"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167" w:type="pct"/>
            <w:tcBorders>
              <w:bottom w:val="single" w:color="auto" w:sz="12" w:space="0"/>
            </w:tcBorders>
            <w:noWrap w:val="0"/>
            <w:vAlign w:val="center"/>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bookmarkStart w:id="1532" w:name="_Toc267261701"/>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533" w:name="_Toc296347230"/>
      <w:bookmarkStart w:id="1534" w:name="_Toc296346732"/>
      <w:bookmarkStart w:id="1535" w:name="_Toc296503231"/>
      <w:bookmarkStart w:id="1536" w:name="_Toc296891059"/>
      <w:bookmarkStart w:id="1537" w:name="_Toc296944570"/>
      <w:bookmarkStart w:id="1538" w:name="_Toc296891271"/>
      <w:r>
        <w:rPr>
          <w:rFonts w:hint="eastAsia" w:ascii="宋体" w:hAnsi="宋体" w:eastAsia="宋体" w:cs="宋体"/>
          <w:color w:val="000000"/>
          <w:sz w:val="24"/>
          <w:szCs w:val="24"/>
        </w:rPr>
        <w:t>件8：</w:t>
      </w:r>
    </w:p>
    <w:bookmarkEnd w:id="1532"/>
    <w:bookmarkEnd w:id="1533"/>
    <w:bookmarkEnd w:id="1534"/>
    <w:bookmarkEnd w:id="1535"/>
    <w:bookmarkEnd w:id="1536"/>
    <w:bookmarkEnd w:id="1537"/>
    <w:bookmarkEnd w:id="1538"/>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履约担保</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（发包人名称，以下简称“发包人”）与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（工程名称）施工及有关事项协商一致共同签订《建设工程施工合同》。我方愿意无条件地、不可撤销地就承包人履行与你方签订的合同，向你方提供连带责任担保。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担保有效期自你方与承包人签订的合同生效之日起至你方签发或应签发工程接收证书之日止。</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在本担保有效期内，因承包人违反合同约定的义务给你方造成经济损失时，我方在收到你方以书面形式提出的在担保金额内的赔偿要求后，在7天内无条件支付。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你方和承包人按合同约定变更合同时，我方承担本担保规定的义务不变。</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担 保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left="0" w:leftChars="0" w:firstLine="1058" w:firstLineChars="441"/>
        <w:jc w:val="lef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ind w:left="0" w:leftChars="0" w:firstLine="1058" w:firstLineChars="44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left="1519" w:hanging="1519" w:hangingChars="633"/>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539" w:name="_Toc296347231"/>
      <w:bookmarkStart w:id="1540" w:name="_Toc267261702"/>
      <w:bookmarkStart w:id="1541" w:name="_Toc296891272"/>
      <w:bookmarkStart w:id="1542" w:name="_Toc296944571"/>
      <w:bookmarkStart w:id="1543" w:name="_Toc296891060"/>
      <w:bookmarkStart w:id="1544" w:name="_Toc296346733"/>
      <w:bookmarkStart w:id="1545" w:name="_Toc296503232"/>
      <w:r>
        <w:rPr>
          <w:rFonts w:hint="eastAsia" w:ascii="宋体" w:hAnsi="宋体" w:eastAsia="宋体" w:cs="宋体"/>
          <w:color w:val="000000"/>
          <w:sz w:val="24"/>
          <w:szCs w:val="24"/>
        </w:rPr>
        <w:t>件9 ：</w:t>
      </w:r>
    </w:p>
    <w:bookmarkEnd w:id="1539"/>
    <w:bookmarkEnd w:id="1540"/>
    <w:bookmarkEnd w:id="1541"/>
    <w:bookmarkEnd w:id="1542"/>
    <w:bookmarkEnd w:id="1543"/>
    <w:bookmarkEnd w:id="1544"/>
    <w:bookmarkEnd w:id="1545"/>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（承包人名称）（以下称“承包人”）与</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担保有效期自预付款支付给承包人起生效，至你方签发的进度款支付证书说明已完全扣清止。</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你方和承包人按合同约定变更合同时，我方承担本保函规定的义务不变。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546" w:name="_Toc296347232"/>
      <w:bookmarkStart w:id="1547" w:name="_Toc296503233"/>
      <w:bookmarkStart w:id="1548" w:name="_Toc296944572"/>
      <w:bookmarkStart w:id="1549" w:name="_Toc296891273"/>
      <w:bookmarkStart w:id="1550" w:name="_Toc296346734"/>
      <w:bookmarkStart w:id="1551" w:name="_Toc296891061"/>
      <w:r>
        <w:rPr>
          <w:rFonts w:hint="eastAsia" w:ascii="宋体" w:hAnsi="宋体" w:eastAsia="宋体" w:cs="宋体"/>
          <w:color w:val="000000"/>
          <w:sz w:val="24"/>
          <w:szCs w:val="24"/>
        </w:rPr>
        <w:t xml:space="preserve">件10:  </w:t>
      </w:r>
    </w:p>
    <w:bookmarkEnd w:id="1546"/>
    <w:bookmarkEnd w:id="1547"/>
    <w:bookmarkEnd w:id="1548"/>
    <w:bookmarkEnd w:id="1549"/>
    <w:bookmarkEnd w:id="1550"/>
    <w:bookmarkEnd w:id="1551"/>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支付担保</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（工程名称）《建设工程施工合同》（以下称“主合同”），应发包人的申请，我方愿就发包人履行主合同约定的工程款支付义务以保证的方式向你方提供如下担保：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一、保证的范围及保证金额</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我方的保证范围是主合同约定的工程款。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本保函所称主合同约定的工程款是指主合同约定的除工程质量保证金以外的合同价款。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二、保证的方式及保证期间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我方保证的方式为：连带责任保证。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2.我方保证的期间为：自本合同生效之日起至主合同约定的工程款支付完毕之日后</w:t>
      </w:r>
      <w:r>
        <w:rPr>
          <w:rFonts w:hint="eastAsia" w:ascii="宋体" w:hAnsi="宋体" w:eastAsia="宋体" w:cs="宋体"/>
          <w:color w:val="000000"/>
          <w:sz w:val="24"/>
          <w:szCs w:val="24"/>
          <w:u w:val="single"/>
          <w:lang w:val="en-US" w:eastAsia="zh-CN"/>
        </w:rPr>
        <w:t xml:space="preserve">    </w:t>
      </w:r>
    </w:p>
    <w:p>
      <w:pPr>
        <w:pageBreakBefore w:val="0"/>
        <w:widowControl w:val="0"/>
        <w:kinsoku/>
        <w:wordWrap/>
        <w:overflowPunct/>
        <w:topLinePunct w:val="0"/>
        <w:bidi w:val="0"/>
        <w:snapToGrid/>
        <w:spacing w:line="400" w:lineRule="exact"/>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日内。</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你方与发包人协议变更工程款支付日期的，经我方书面同意后，保证期间按照变更后的支付日期做相应调整。</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三、承担保证责任的形式</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四、代偿的安排</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你方要求我方承担保证责任的，应向我方发出书面索赔通知及发包人未支付主合同约定工程款的证明材料。索赔通知应写明要求索赔的金额，支付款项应到达的账号。</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我方收到你方的书面索赔通知及相应的证明材料后７天内无条件支付。</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五、保证责任的解除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在本保函承诺的保证期间内，你方未书面向我方主张保证责任的，自保证期间届满次日起，我方保证责任解除。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发包人按主合同约定履行了工程款的全部支付义务的，自本保函承诺的保证期间届满次日起，我方保证责任解除。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我方按照本保函向你方履行保证责任所支付金额达到本保函保证金额时，自我方向你方支付（支付款项从我方账户划出）之日起，保证责任即解除。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按照法律法规的规定或出现应解除我方保证责任的其他情形的，我方在本保函项下的保证责任亦解除。</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六、免责条款</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因你方违约致使发包人不能履行义务的，我方不承担保证责任。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依照法律法规的规定或你方与发包人的另行约定，免除发包人部分或全部义务的，我方亦免除其相应的保证责任。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因不可抗力造成发包人不能履行义务的，我方不承担保证责任。</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七、争议解决</w:t>
      </w:r>
    </w:p>
    <w:p>
      <w:pPr>
        <w:pageBreakBefore w:val="0"/>
        <w:widowControl w:val="0"/>
        <w:kinsoku/>
        <w:wordWrap/>
        <w:overflowPunct/>
        <w:topLinePunct w:val="0"/>
        <w:bidi w:val="0"/>
        <w:snapToGrid/>
        <w:spacing w:after="12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八、保函的生效</w:t>
      </w:r>
    </w:p>
    <w:p>
      <w:pPr>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pPr>
        <w:pageBreakBefore w:val="0"/>
        <w:widowControl w:val="0"/>
        <w:kinsoku/>
        <w:wordWrap/>
        <w:overflowPunct/>
        <w:topLinePunct w:val="0"/>
        <w:bidi w:val="0"/>
        <w:snapToGrid/>
        <w:spacing w:line="400" w:lineRule="exact"/>
        <w:ind w:right="6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pageBreakBefore w:val="0"/>
        <w:widowControl w:val="0"/>
        <w:kinsoku/>
        <w:wordWrap/>
        <w:overflowPunct/>
        <w:topLinePunct w:val="0"/>
        <w:bidi w:val="0"/>
        <w:snapToGrid/>
        <w:spacing w:line="400" w:lineRule="exact"/>
        <w:ind w:right="1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00" w:lineRule="exact"/>
        <w:ind w:right="150" w:firstLine="480" w:firstLineChars="200"/>
        <w:jc w:val="left"/>
        <w:textAlignment w:val="auto"/>
        <w:rPr>
          <w:rFonts w:hint="eastAsia" w:ascii="宋体" w:hAnsi="宋体" w:eastAsia="宋体" w:cs="宋体"/>
          <w:color w:val="000000"/>
          <w:sz w:val="24"/>
          <w:szCs w:val="24"/>
          <w:u w:val="single"/>
        </w:rPr>
      </w:pPr>
    </w:p>
    <w:p>
      <w:pPr>
        <w:pageBreakBefore w:val="0"/>
        <w:widowControl w:val="0"/>
        <w:kinsoku/>
        <w:wordWrap/>
        <w:overflowPunct/>
        <w:topLinePunct w:val="0"/>
        <w:bidi w:val="0"/>
        <w:snapToGrid/>
        <w:spacing w:line="400" w:lineRule="exact"/>
        <w:ind w:right="15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附件11：</w:t>
      </w: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11-1：材料暂估价表</w:t>
      </w:r>
    </w:p>
    <w:tbl>
      <w:tblPr>
        <w:tblStyle w:val="22"/>
        <w:tblpPr w:leftFromText="180" w:rightFromText="180" w:vertAnchor="text" w:horzAnchor="page" w:tblpX="1551" w:tblpY="145"/>
        <w:tblOverlap w:val="never"/>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97"/>
        <w:gridCol w:w="1995"/>
        <w:gridCol w:w="854"/>
        <w:gridCol w:w="778"/>
        <w:gridCol w:w="1360"/>
        <w:gridCol w:w="1425"/>
        <w:gridCol w:w="1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093"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468"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426"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45"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781"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938"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093"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6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426"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4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8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93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p>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11-2：工程设备暂估价表</w:t>
      </w:r>
    </w:p>
    <w:tbl>
      <w:tblPr>
        <w:tblStyle w:val="22"/>
        <w:tblpPr w:leftFromText="180" w:rightFromText="180" w:vertAnchor="text" w:horzAnchor="page" w:tblpX="1527" w:tblpY="6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984"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851"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774"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2"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1418"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合价（元）</w:t>
            </w:r>
          </w:p>
        </w:tc>
        <w:tc>
          <w:tcPr>
            <w:tcW w:w="1701" w:type="dxa"/>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98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85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74"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352"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418"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701" w:type="dxa"/>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bl>
    <w:p>
      <w:pPr>
        <w:pageBreakBefore w:val="0"/>
        <w:widowControl w:val="0"/>
        <w:kinsoku/>
        <w:wordWrap/>
        <w:overflowPunct/>
        <w:topLinePunct w:val="0"/>
        <w:bidi w:val="0"/>
        <w:snapToGrid/>
        <w:spacing w:before="156" w:beforeLines="50" w:after="156" w:afterLines="50"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11-3：专业工程暂估价表</w:t>
      </w:r>
    </w:p>
    <w:tbl>
      <w:tblPr>
        <w:tblStyle w:val="22"/>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8"/>
        <w:gridCol w:w="2053"/>
        <w:gridCol w:w="4837"/>
        <w:gridCol w:w="1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25"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专业工程名称</w:t>
            </w:r>
          </w:p>
        </w:tc>
        <w:tc>
          <w:tcPr>
            <w:tcW w:w="2651"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工程内容</w:t>
            </w:r>
          </w:p>
        </w:tc>
        <w:tc>
          <w:tcPr>
            <w:tcW w:w="725" w:type="pct"/>
            <w:tcBorders>
              <w:top w:val="single" w:color="auto" w:sz="12" w:space="0"/>
              <w:bottom w:val="doub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tcBorders>
              <w:top w:val="double" w:color="auto" w:sz="6" w:space="0"/>
              <w:bottom w:val="single" w:color="auto" w:sz="6" w:space="0"/>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tcBorders>
              <w:top w:val="nil"/>
            </w:tcBorders>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98"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11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2651"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c>
          <w:tcPr>
            <w:tcW w:w="725" w:type="pct"/>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4"/>
            <w:noWrap w:val="0"/>
            <w:vAlign w:val="top"/>
          </w:tcPr>
          <w:p>
            <w:pPr>
              <w:pStyle w:val="8"/>
              <w:keepNext/>
              <w:pageBreakBefore w:val="0"/>
              <w:widowControl w:val="0"/>
              <w:kinsoku/>
              <w:wordWrap/>
              <w:overflowPunct/>
              <w:topLinePunct w:val="0"/>
              <w:bidi w:val="0"/>
              <w:snapToGrid/>
              <w:spacing w:line="400" w:lineRule="exact"/>
              <w:ind w:left="63" w:right="6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小计：</w:t>
            </w:r>
          </w:p>
        </w:tc>
      </w:tr>
    </w:tbl>
    <w:p>
      <w:pPr>
        <w:pStyle w:val="18"/>
        <w:rPr>
          <w:rFonts w:hint="eastAsia" w:ascii="宋体" w:hAnsi="宋体" w:eastAsia="宋体" w:cs="宋体"/>
          <w:sz w:val="24"/>
          <w:szCs w:val="24"/>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sectPr>
      <w:pgSz w:w="11906" w:h="16838"/>
      <w:pgMar w:top="1417" w:right="1417" w:bottom="1417" w:left="141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联系电话：0998-2306749 地址：喀什市托克扎克路103号福源汇居小区1栋3单元301室</w:t>
    </w:r>
  </w:p>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pPr>
      <w:jc w:val="both"/>
      <w:rPr>
        <w:rFonts w:hint="default"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联系电话：0998-2306749 地址：喀什市托克扎克路103号福源汇居小区1栋3单元301室 </w:t>
    </w:r>
  </w:p>
  <w:p>
    <w:pPr>
      <w:jc w:val="both"/>
      <w:rPr>
        <w:rFonts w:hint="eastAsia" w:eastAsiaTheme="minorEastAsia"/>
        <w:lang w:eastAsia="zh-CN"/>
      </w:rPr>
    </w:pPr>
    <w:r>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传    真：0998-2306749 邮箱：401808146@qq.com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rPr>
        <w:rFonts w:hint="eastAsia"/>
        <w:lang w:val="en-US" w:eastAsia="zh-CN"/>
      </w:rPr>
    </w:pPr>
    <w:r>
      <w:drawing>
        <wp:inline distT="0" distB="0" distL="114300" distR="114300">
          <wp:extent cx="3077845" cy="373380"/>
          <wp:effectExtent l="0" t="0" r="635" b="762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
                  <a:stretch>
                    <a:fillRect/>
                  </a:stretch>
                </pic:blipFill>
                <pic:spPr>
                  <a:xfrm>
                    <a:off x="0" y="0"/>
                    <a:ext cx="3077845" cy="3733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double" w:color="auto" w:sz="8" w:space="1"/>
      </w:pBdr>
    </w:pPr>
    <w:r>
      <w:drawing>
        <wp:inline distT="0" distB="0" distL="114300" distR="114300">
          <wp:extent cx="3077845" cy="373380"/>
          <wp:effectExtent l="0" t="0" r="635" b="762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3077845" cy="373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7F852"/>
    <w:multiLevelType w:val="singleLevel"/>
    <w:tmpl w:val="9927F852"/>
    <w:lvl w:ilvl="0" w:tentative="0">
      <w:start w:val="6"/>
      <w:numFmt w:val="decimal"/>
      <w:lvlText w:val="%1."/>
      <w:lvlJc w:val="left"/>
      <w:pPr>
        <w:tabs>
          <w:tab w:val="left" w:pos="312"/>
        </w:tabs>
      </w:pPr>
    </w:lvl>
  </w:abstractNum>
  <w:abstractNum w:abstractNumId="1">
    <w:nsid w:val="C5AA23E3"/>
    <w:multiLevelType w:val="singleLevel"/>
    <w:tmpl w:val="C5AA23E3"/>
    <w:lvl w:ilvl="0" w:tentative="0">
      <w:start w:val="1"/>
      <w:numFmt w:val="decimal"/>
      <w:suff w:val="nothing"/>
      <w:lvlText w:val="（%1）"/>
      <w:lvlJc w:val="left"/>
    </w:lvl>
  </w:abstractNum>
  <w:abstractNum w:abstractNumId="2">
    <w:nsid w:val="D75EE62E"/>
    <w:multiLevelType w:val="singleLevel"/>
    <w:tmpl w:val="D75EE62E"/>
    <w:lvl w:ilvl="0" w:tentative="0">
      <w:start w:val="2"/>
      <w:numFmt w:val="chineseCounting"/>
      <w:suff w:val="space"/>
      <w:lvlText w:val="第%1部分"/>
      <w:lvlJc w:val="left"/>
      <w:rPr>
        <w:rFonts w:hint="eastAsia"/>
      </w:rPr>
    </w:lvl>
  </w:abstractNum>
  <w:abstractNum w:abstractNumId="3">
    <w:nsid w:val="DA6F1908"/>
    <w:multiLevelType w:val="singleLevel"/>
    <w:tmpl w:val="DA6F1908"/>
    <w:lvl w:ilvl="0" w:tentative="0">
      <w:start w:val="4"/>
      <w:numFmt w:val="decimal"/>
      <w:suff w:val="space"/>
      <w:lvlText w:val="%1."/>
      <w:lvlJc w:val="left"/>
    </w:lvl>
  </w:abstractNum>
  <w:abstractNum w:abstractNumId="4">
    <w:nsid w:val="00000006"/>
    <w:multiLevelType w:val="singleLevel"/>
    <w:tmpl w:val="00000006"/>
    <w:lvl w:ilvl="0" w:tentative="0">
      <w:start w:val="1"/>
      <w:numFmt w:val="chineseCounting"/>
      <w:suff w:val="space"/>
      <w:lvlText w:val="第%1章"/>
      <w:lvlJc w:val="left"/>
    </w:lvl>
  </w:abstractNum>
  <w:abstractNum w:abstractNumId="5">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17253E8"/>
    <w:multiLevelType w:val="singleLevel"/>
    <w:tmpl w:val="017253E8"/>
    <w:lvl w:ilvl="0" w:tentative="0">
      <w:start w:val="7"/>
      <w:numFmt w:val="chineseCounting"/>
      <w:suff w:val="nothing"/>
      <w:lvlText w:val="%1、"/>
      <w:lvlJc w:val="left"/>
      <w:rPr>
        <w:rFonts w:hint="eastAsia"/>
      </w:rPr>
    </w:lvl>
  </w:abstractNum>
  <w:abstractNum w:abstractNumId="7">
    <w:nsid w:val="019406E3"/>
    <w:multiLevelType w:val="singleLevel"/>
    <w:tmpl w:val="019406E3"/>
    <w:lvl w:ilvl="0" w:tentative="0">
      <w:start w:val="5"/>
      <w:numFmt w:val="decimal"/>
      <w:suff w:val="space"/>
      <w:lvlText w:val="第%1章"/>
      <w:lvlJc w:val="left"/>
    </w:lvl>
  </w:abstractNum>
  <w:abstractNum w:abstractNumId="8">
    <w:nsid w:val="1C69EC94"/>
    <w:multiLevelType w:val="singleLevel"/>
    <w:tmpl w:val="1C69EC94"/>
    <w:lvl w:ilvl="0" w:tentative="0">
      <w:start w:val="1"/>
      <w:numFmt w:val="decimal"/>
      <w:suff w:val="nothing"/>
      <w:lvlText w:val="%1、"/>
      <w:lvlJc w:val="left"/>
    </w:lvl>
  </w:abstractNum>
  <w:abstractNum w:abstractNumId="9">
    <w:nsid w:val="28F9819F"/>
    <w:multiLevelType w:val="multilevel"/>
    <w:tmpl w:val="28F9819F"/>
    <w:lvl w:ilvl="0" w:tentative="0">
      <w:start w:val="18"/>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2A06B625"/>
    <w:multiLevelType w:val="singleLevel"/>
    <w:tmpl w:val="2A06B625"/>
    <w:lvl w:ilvl="0" w:tentative="0">
      <w:start w:val="1"/>
      <w:numFmt w:val="decimal"/>
      <w:suff w:val="nothing"/>
      <w:lvlText w:val="（%1）"/>
      <w:lvlJc w:val="left"/>
    </w:lvl>
  </w:abstractNum>
  <w:abstractNum w:abstractNumId="11">
    <w:nsid w:val="52712B9D"/>
    <w:multiLevelType w:val="singleLevel"/>
    <w:tmpl w:val="52712B9D"/>
    <w:lvl w:ilvl="0" w:tentative="0">
      <w:start w:val="2"/>
      <w:numFmt w:val="chineseCounting"/>
      <w:suff w:val="space"/>
      <w:lvlText w:val="第%1章"/>
      <w:lvlJc w:val="left"/>
      <w:rPr>
        <w:rFonts w:hint="eastAsia"/>
      </w:rPr>
    </w:lvl>
  </w:abstractNum>
  <w:abstractNum w:abstractNumId="12">
    <w:nsid w:val="646166B2"/>
    <w:multiLevelType w:val="singleLevel"/>
    <w:tmpl w:val="646166B2"/>
    <w:lvl w:ilvl="0" w:tentative="0">
      <w:start w:val="1"/>
      <w:numFmt w:val="decimal"/>
      <w:lvlText w:val="%1."/>
      <w:lvlJc w:val="left"/>
      <w:pPr>
        <w:tabs>
          <w:tab w:val="left" w:pos="312"/>
        </w:tabs>
      </w:pPr>
    </w:lvl>
  </w:abstractNum>
  <w:num w:numId="1">
    <w:abstractNumId w:val="5"/>
  </w:num>
  <w:num w:numId="2">
    <w:abstractNumId w:val="9"/>
  </w:num>
  <w:num w:numId="3">
    <w:abstractNumId w:val="12"/>
  </w:num>
  <w:num w:numId="4">
    <w:abstractNumId w:val="11"/>
  </w:num>
  <w:num w:numId="5">
    <w:abstractNumId w:val="2"/>
  </w:num>
  <w:num w:numId="6">
    <w:abstractNumId w:val="0"/>
  </w:num>
  <w:num w:numId="7">
    <w:abstractNumId w:val="6"/>
  </w:num>
  <w:num w:numId="8">
    <w:abstractNumId w:val="7"/>
  </w:num>
  <w:num w:numId="9">
    <w:abstractNumId w:val="8"/>
  </w:num>
  <w:num w:numId="10">
    <w:abstractNumId w:val="3"/>
  </w:num>
  <w:num w:numId="11">
    <w:abstractNumId w:val="4"/>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VlM2IzZmNlNWNmMjg4NWZlZTdkYjM4OTc1ODQifQ=="/>
  </w:docVars>
  <w:rsids>
    <w:rsidRoot w:val="11482671"/>
    <w:rsid w:val="0049418E"/>
    <w:rsid w:val="00692DA5"/>
    <w:rsid w:val="01227D26"/>
    <w:rsid w:val="01D134FA"/>
    <w:rsid w:val="031713E0"/>
    <w:rsid w:val="05485881"/>
    <w:rsid w:val="05E11832"/>
    <w:rsid w:val="065A1D10"/>
    <w:rsid w:val="06635A79"/>
    <w:rsid w:val="06734B80"/>
    <w:rsid w:val="067B3A34"/>
    <w:rsid w:val="0B7D3DAB"/>
    <w:rsid w:val="0CDD4969"/>
    <w:rsid w:val="0CED3C38"/>
    <w:rsid w:val="0D186481"/>
    <w:rsid w:val="0E06277D"/>
    <w:rsid w:val="0E912047"/>
    <w:rsid w:val="0F0B68D1"/>
    <w:rsid w:val="11421D1E"/>
    <w:rsid w:val="11482671"/>
    <w:rsid w:val="11A7392F"/>
    <w:rsid w:val="11E626AA"/>
    <w:rsid w:val="123C27A6"/>
    <w:rsid w:val="12DD62D4"/>
    <w:rsid w:val="12F10925"/>
    <w:rsid w:val="13255454"/>
    <w:rsid w:val="13723DD1"/>
    <w:rsid w:val="139D3E6B"/>
    <w:rsid w:val="14575AE1"/>
    <w:rsid w:val="152539A3"/>
    <w:rsid w:val="15997A33"/>
    <w:rsid w:val="16473933"/>
    <w:rsid w:val="18351C95"/>
    <w:rsid w:val="183D0B4A"/>
    <w:rsid w:val="1873100E"/>
    <w:rsid w:val="18F338FE"/>
    <w:rsid w:val="18F356AC"/>
    <w:rsid w:val="19350DDE"/>
    <w:rsid w:val="195A46B8"/>
    <w:rsid w:val="1A872550"/>
    <w:rsid w:val="1B79458F"/>
    <w:rsid w:val="1CFA525B"/>
    <w:rsid w:val="1D824837"/>
    <w:rsid w:val="1DC213D7"/>
    <w:rsid w:val="1E3A380F"/>
    <w:rsid w:val="1E605592"/>
    <w:rsid w:val="1E672DC4"/>
    <w:rsid w:val="1E795EF0"/>
    <w:rsid w:val="1F5E781E"/>
    <w:rsid w:val="1F615A66"/>
    <w:rsid w:val="1F8B211C"/>
    <w:rsid w:val="200E06F7"/>
    <w:rsid w:val="201B3E66"/>
    <w:rsid w:val="20A420AE"/>
    <w:rsid w:val="20BB73F7"/>
    <w:rsid w:val="21657FED"/>
    <w:rsid w:val="23166B67"/>
    <w:rsid w:val="23A55D03"/>
    <w:rsid w:val="28C57065"/>
    <w:rsid w:val="290C4C94"/>
    <w:rsid w:val="2A187669"/>
    <w:rsid w:val="2A3A313B"/>
    <w:rsid w:val="2C385DA0"/>
    <w:rsid w:val="2C6E531E"/>
    <w:rsid w:val="2C7E1ECD"/>
    <w:rsid w:val="2E4647A4"/>
    <w:rsid w:val="2F3F599D"/>
    <w:rsid w:val="2FB614B6"/>
    <w:rsid w:val="30A6768F"/>
    <w:rsid w:val="315471D8"/>
    <w:rsid w:val="322C4385"/>
    <w:rsid w:val="32A23F73"/>
    <w:rsid w:val="34E02B31"/>
    <w:rsid w:val="3502424E"/>
    <w:rsid w:val="35843E04"/>
    <w:rsid w:val="37667C65"/>
    <w:rsid w:val="37947F2A"/>
    <w:rsid w:val="390A2872"/>
    <w:rsid w:val="391536F1"/>
    <w:rsid w:val="39225E0E"/>
    <w:rsid w:val="397A79F8"/>
    <w:rsid w:val="39F61D71"/>
    <w:rsid w:val="3A6366DE"/>
    <w:rsid w:val="3BA24FE4"/>
    <w:rsid w:val="3BFF2436"/>
    <w:rsid w:val="3C814BF9"/>
    <w:rsid w:val="3D265A50"/>
    <w:rsid w:val="3D9B1CEB"/>
    <w:rsid w:val="3DEF4C0B"/>
    <w:rsid w:val="3F067638"/>
    <w:rsid w:val="3F2D2E17"/>
    <w:rsid w:val="3FCA41B2"/>
    <w:rsid w:val="40390E17"/>
    <w:rsid w:val="4110479E"/>
    <w:rsid w:val="418E45D3"/>
    <w:rsid w:val="41A97BD6"/>
    <w:rsid w:val="41AA2E44"/>
    <w:rsid w:val="430F2F5F"/>
    <w:rsid w:val="43D852E3"/>
    <w:rsid w:val="443978D3"/>
    <w:rsid w:val="45325427"/>
    <w:rsid w:val="45352A25"/>
    <w:rsid w:val="464408BF"/>
    <w:rsid w:val="4656412B"/>
    <w:rsid w:val="46B72B91"/>
    <w:rsid w:val="48541414"/>
    <w:rsid w:val="490B5F77"/>
    <w:rsid w:val="49247038"/>
    <w:rsid w:val="4BCB7C3F"/>
    <w:rsid w:val="4E3221F7"/>
    <w:rsid w:val="4F5842B9"/>
    <w:rsid w:val="4F710AFD"/>
    <w:rsid w:val="52383B54"/>
    <w:rsid w:val="539D45B7"/>
    <w:rsid w:val="53C2401E"/>
    <w:rsid w:val="54790B80"/>
    <w:rsid w:val="54B62EEB"/>
    <w:rsid w:val="56D57BC4"/>
    <w:rsid w:val="57430FD1"/>
    <w:rsid w:val="574A1037"/>
    <w:rsid w:val="57F549C2"/>
    <w:rsid w:val="57F81DBC"/>
    <w:rsid w:val="586871E0"/>
    <w:rsid w:val="5A9A1850"/>
    <w:rsid w:val="5ABA3CA0"/>
    <w:rsid w:val="5BFE459E"/>
    <w:rsid w:val="5CAE381C"/>
    <w:rsid w:val="5CFC3A31"/>
    <w:rsid w:val="5E541D16"/>
    <w:rsid w:val="5E587A58"/>
    <w:rsid w:val="5EC43140"/>
    <w:rsid w:val="5EDE46E9"/>
    <w:rsid w:val="5EEC1F4F"/>
    <w:rsid w:val="5F84608B"/>
    <w:rsid w:val="5FE377F5"/>
    <w:rsid w:val="6085619F"/>
    <w:rsid w:val="618E553F"/>
    <w:rsid w:val="61FE0917"/>
    <w:rsid w:val="635C3B47"/>
    <w:rsid w:val="648844C8"/>
    <w:rsid w:val="64B54E6A"/>
    <w:rsid w:val="64F61D79"/>
    <w:rsid w:val="67073DC9"/>
    <w:rsid w:val="686F0EA4"/>
    <w:rsid w:val="69401815"/>
    <w:rsid w:val="69B95123"/>
    <w:rsid w:val="6AB62858"/>
    <w:rsid w:val="6BEC27A8"/>
    <w:rsid w:val="6C4E5FF7"/>
    <w:rsid w:val="6D437B25"/>
    <w:rsid w:val="6DAA1953"/>
    <w:rsid w:val="6DE210EC"/>
    <w:rsid w:val="6F9E4FD8"/>
    <w:rsid w:val="6FC00FB9"/>
    <w:rsid w:val="6FC72562"/>
    <w:rsid w:val="70495453"/>
    <w:rsid w:val="70AD18CC"/>
    <w:rsid w:val="70E46F2A"/>
    <w:rsid w:val="70E62CA2"/>
    <w:rsid w:val="71B96608"/>
    <w:rsid w:val="72DC25AE"/>
    <w:rsid w:val="74066F0C"/>
    <w:rsid w:val="745362D6"/>
    <w:rsid w:val="74850A24"/>
    <w:rsid w:val="74AC7D5E"/>
    <w:rsid w:val="750000AA"/>
    <w:rsid w:val="757E5B9F"/>
    <w:rsid w:val="75AD1FE0"/>
    <w:rsid w:val="76120C3F"/>
    <w:rsid w:val="76353A74"/>
    <w:rsid w:val="7660706A"/>
    <w:rsid w:val="76E737F5"/>
    <w:rsid w:val="778576B9"/>
    <w:rsid w:val="79A74F98"/>
    <w:rsid w:val="79BC4EE7"/>
    <w:rsid w:val="7A122EE4"/>
    <w:rsid w:val="7A2B7977"/>
    <w:rsid w:val="7A756E44"/>
    <w:rsid w:val="7AF406B1"/>
    <w:rsid w:val="7C312428"/>
    <w:rsid w:val="7D13776F"/>
    <w:rsid w:val="7D816BAC"/>
    <w:rsid w:val="7E32656A"/>
    <w:rsid w:val="7E5F4093"/>
    <w:rsid w:val="7EAA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120" w:after="120" w:line="300" w:lineRule="auto"/>
      <w:jc w:val="center"/>
      <w:outlineLvl w:val="0"/>
    </w:pPr>
    <w:rPr>
      <w:rFonts w:ascii="宋体" w:hAnsi="宋体"/>
      <w:b/>
      <w:kern w:val="44"/>
      <w:sz w:val="32"/>
      <w:szCs w:val="20"/>
    </w:rPr>
  </w:style>
  <w:style w:type="paragraph" w:styleId="5">
    <w:name w:val="heading 2"/>
    <w:basedOn w:val="1"/>
    <w:next w:val="1"/>
    <w:link w:val="30"/>
    <w:qFormat/>
    <w:uiPriority w:val="0"/>
    <w:pPr>
      <w:keepNext/>
      <w:keepLines/>
      <w:autoSpaceDE w:val="0"/>
      <w:autoSpaceDN w:val="0"/>
      <w:adjustRightInd w:val="0"/>
      <w:spacing w:before="240" w:line="300" w:lineRule="auto"/>
      <w:jc w:val="left"/>
      <w:outlineLvl w:val="1"/>
    </w:pPr>
    <w:rPr>
      <w:rFonts w:ascii="Arial" w:hAnsi="Arial" w:eastAsia="黑体"/>
      <w:b/>
      <w:kern w:val="0"/>
      <w:sz w:val="28"/>
      <w:szCs w:val="20"/>
    </w:rPr>
  </w:style>
  <w:style w:type="paragraph" w:styleId="2">
    <w:name w:val="heading 3"/>
    <w:basedOn w:val="1"/>
    <w:next w:val="3"/>
    <w:qFormat/>
    <w:uiPriority w:val="0"/>
    <w:pPr>
      <w:keepNext/>
      <w:keepLines/>
      <w:autoSpaceDE w:val="0"/>
      <w:autoSpaceDN w:val="0"/>
      <w:adjustRightInd w:val="0"/>
      <w:snapToGrid w:val="0"/>
      <w:spacing w:before="120" w:after="120"/>
      <w:jc w:val="left"/>
      <w:outlineLvl w:val="2"/>
    </w:pPr>
    <w:rPr>
      <w:rFonts w:ascii="宋体" w:hAnsi="宋体"/>
      <w:b/>
      <w:kern w:val="0"/>
      <w:szCs w:val="20"/>
    </w:rPr>
  </w:style>
  <w:style w:type="paragraph" w:styleId="6">
    <w:name w:val="heading 4"/>
    <w:basedOn w:val="1"/>
    <w:next w:val="1"/>
    <w:qFormat/>
    <w:uiPriority w:val="0"/>
    <w:pPr>
      <w:keepNext/>
      <w:numPr>
        <w:ilvl w:val="0"/>
        <w:numId w:val="1"/>
      </w:numPr>
      <w:outlineLvl w:val="3"/>
    </w:pPr>
    <w:rPr>
      <w:b/>
      <w:color w:val="000000"/>
      <w:sz w:val="28"/>
      <w:szCs w:val="24"/>
      <w:u w:val="single"/>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9"/>
    <w:qFormat/>
    <w:uiPriority w:val="0"/>
    <w:pPr>
      <w:spacing w:after="120"/>
    </w:pPr>
  </w:style>
  <w:style w:type="paragraph" w:styleId="9">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12">
    <w:name w:val="Plain Text"/>
    <w:basedOn w:val="1"/>
    <w:next w:val="13"/>
    <w:qFormat/>
    <w:uiPriority w:val="0"/>
    <w:rPr>
      <w:rFonts w:ascii="宋体" w:hAnsi="Courier New"/>
      <w:sz w:val="21"/>
      <w:szCs w:val="20"/>
    </w:rPr>
  </w:style>
  <w:style w:type="paragraph" w:styleId="13">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4">
    <w:name w:val="Body Text Indent 2"/>
    <w:basedOn w:val="1"/>
    <w:qFormat/>
    <w:uiPriority w:val="0"/>
    <w:pPr>
      <w:ind w:firstLine="480" w:firstLineChars="200"/>
    </w:pPr>
    <w:rPr>
      <w:rFonts w:ascii="仿宋_GB2312" w:eastAsia="仿宋_GB2312"/>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qFormat/>
    <w:uiPriority w:val="0"/>
    <w:pPr>
      <w:snapToGrid w:val="0"/>
      <w:jc w:val="left"/>
    </w:pPr>
    <w:rPr>
      <w:sz w:val="18"/>
    </w:rPr>
  </w:style>
  <w:style w:type="paragraph" w:styleId="19">
    <w:name w:val="toc 2"/>
    <w:basedOn w:val="1"/>
    <w:next w:val="1"/>
    <w:qFormat/>
    <w:uiPriority w:val="0"/>
    <w:pPr>
      <w:ind w:left="420" w:leftChars="200"/>
    </w:pPr>
  </w:style>
  <w:style w:type="paragraph" w:styleId="20">
    <w:name w:val="Body Text 2"/>
    <w:basedOn w:val="1"/>
    <w:qFormat/>
    <w:uiPriority w:val="0"/>
    <w:pPr>
      <w:spacing w:after="120" w:line="480" w:lineRule="auto"/>
    </w:pPr>
    <w:rPr>
      <w:rFonts w:ascii="Arial" w:hAnsi="Arial"/>
      <w:sz w:val="24"/>
    </w:rPr>
  </w:style>
  <w:style w:type="paragraph" w:styleId="21">
    <w:name w:val="Body Text First Indent 2"/>
    <w:basedOn w:val="10"/>
    <w:next w:val="3"/>
    <w:unhideWhenUsed/>
    <w:qFormat/>
    <w:uiPriority w:val="99"/>
    <w:pPr>
      <w:ind w:firstLine="420" w:firstLineChars="200"/>
    </w:pPr>
  </w:style>
  <w:style w:type="character" w:styleId="24">
    <w:name w:val="page number"/>
    <w:basedOn w:val="23"/>
    <w:qFormat/>
    <w:uiPriority w:val="99"/>
  </w:style>
  <w:style w:type="character" w:styleId="25">
    <w:name w:val="HTML Sample"/>
    <w:basedOn w:val="23"/>
    <w:qFormat/>
    <w:uiPriority w:val="0"/>
    <w:rPr>
      <w:rFonts w:ascii="Courier New" w:hAnsi="Courier New"/>
    </w:rPr>
  </w:style>
  <w:style w:type="paragraph" w:customStyle="1" w:styleId="26">
    <w:name w:val="Default"/>
    <w:link w:val="3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character" w:customStyle="1" w:styleId="30">
    <w:name w:val="标题 2 Char"/>
    <w:link w:val="5"/>
    <w:qFormat/>
    <w:uiPriority w:val="0"/>
    <w:rPr>
      <w:rFonts w:ascii="Arial" w:hAnsi="Arial" w:eastAsia="黑体"/>
      <w:b/>
      <w:kern w:val="0"/>
      <w:sz w:val="28"/>
      <w:szCs w:val="20"/>
    </w:rPr>
  </w:style>
  <w:style w:type="character" w:customStyle="1" w:styleId="31">
    <w:name w:val="Default Char"/>
    <w:link w:val="26"/>
    <w:qFormat/>
    <w:uiPriority w:val="0"/>
    <w:rPr>
      <w:rFonts w:ascii="宋体" w:hAnsi="Times New Roman" w:eastAsia="宋体" w:cs="宋体"/>
      <w:color w:val="000000"/>
      <w:sz w:val="24"/>
      <w:szCs w:val="24"/>
      <w:lang w:val="en-US" w:eastAsia="zh-CN" w:bidi="ar-SA"/>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3">
    <w:name w:val="标题3居中"/>
    <w:basedOn w:val="2"/>
    <w:next w:val="1"/>
    <w:qFormat/>
    <w:uiPriority w:val="0"/>
    <w:pPr>
      <w:jc w:val="center"/>
    </w:pPr>
  </w:style>
  <w:style w:type="paragraph" w:customStyle="1" w:styleId="3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Char Char Char Char Char Char Char Char Char Char"/>
    <w:basedOn w:val="1"/>
    <w:qFormat/>
    <w:uiPriority w:val="0"/>
    <w:pPr>
      <w:adjustRightInd w:val="0"/>
      <w:spacing w:line="360" w:lineRule="auto"/>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89160</Words>
  <Characters>93318</Characters>
  <Lines>0</Lines>
  <Paragraphs>0</Paragraphs>
  <TotalTime>2</TotalTime>
  <ScaleCrop>false</ScaleCrop>
  <LinksUpToDate>false</LinksUpToDate>
  <CharactersWithSpaces>114554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2022-06-16T03:31:00Z</dcterms:created>
  <dc:creator>❤️轨迹</dc:creator>
  <cp:lastModifiedBy>（︶︿︶）</cp:lastModifiedBy>
  <dcterms:modified xsi:type="dcterms:W3CDTF">2022-07-05T08:24:13Z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4534C835D06F4D33B0DF59E12AF18F89</vt:lpwstr>
  </property>
</Properties>
</file>