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auto"/>
          <w:highlight w:val="none"/>
        </w:rPr>
      </w:pPr>
      <w:bookmarkStart w:id="0" w:name="EBa3e025e5e37f42a9972a48a49137d58f"/>
      <w:r>
        <w:rPr>
          <w:rFonts w:hint="eastAsia" w:ascii="宋体" w:hAnsi="宋体" w:eastAsia="宋体" w:cs="宋体"/>
          <w:color w:val="auto"/>
          <w:sz w:val="20"/>
          <w:highlight w:val="none"/>
        </w:rPr>
        <w:t xml:space="preserve"> </w:t>
      </w:r>
      <w:bookmarkEnd w:id="0"/>
      <w:bookmarkStart w:id="1" w:name="EB65cf5f63628642c499af89743325ea8b"/>
      <w:r>
        <w:rPr>
          <w:rFonts w:hint="eastAsia" w:ascii="宋体" w:hAnsi="宋体" w:eastAsia="宋体" w:cs="宋体"/>
          <w:color w:val="auto"/>
          <w:sz w:val="20"/>
          <w:highlight w:val="none"/>
        </w:rPr>
        <w:t xml:space="preserve"> </w:t>
      </w:r>
      <w:bookmarkEnd w:id="1"/>
    </w:p>
    <w:p>
      <w:pPr>
        <w:tabs>
          <w:tab w:val="left" w:pos="1134"/>
          <w:tab w:val="left" w:pos="5481"/>
          <w:tab w:val="left" w:pos="5859"/>
        </w:tabs>
        <w:jc w:val="center"/>
        <w:rPr>
          <w:rFonts w:hint="eastAsia" w:ascii="宋体" w:hAnsi="宋体" w:eastAsia="宋体" w:cs="宋体"/>
          <w:b/>
          <w:color w:val="auto"/>
          <w:sz w:val="36"/>
          <w:szCs w:val="36"/>
          <w:highlight w:val="none"/>
        </w:rPr>
      </w:pPr>
    </w:p>
    <w:p>
      <w:pPr>
        <w:tabs>
          <w:tab w:val="left" w:pos="1134"/>
          <w:tab w:val="left" w:pos="5160"/>
        </w:tabs>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lang w:eastAsia="zh-CN"/>
        </w:rPr>
        <w:t>哈巴河县学校、幼儿园</w:t>
      </w:r>
      <w:r>
        <w:rPr>
          <w:rFonts w:hint="eastAsia" w:ascii="宋体" w:hAnsi="宋体" w:eastAsia="宋体" w:cs="宋体"/>
          <w:b/>
          <w:bCs/>
          <w:color w:val="auto"/>
          <w:sz w:val="96"/>
          <w:szCs w:val="96"/>
          <w:highlight w:val="none"/>
          <w:lang w:val="en-US" w:eastAsia="zh-CN"/>
        </w:rPr>
        <w:t>2022年冬季取暖用煤项目</w:t>
      </w:r>
    </w:p>
    <w:p>
      <w:pPr>
        <w:tabs>
          <w:tab w:val="left" w:pos="1134"/>
          <w:tab w:val="left" w:pos="5160"/>
        </w:tabs>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lang w:val="en-US" w:eastAsia="zh-CN"/>
        </w:rPr>
        <w:t xml:space="preserve">招 标 </w:t>
      </w:r>
      <w:r>
        <w:rPr>
          <w:rFonts w:hint="eastAsia" w:ascii="宋体" w:hAnsi="宋体" w:eastAsia="宋体" w:cs="宋体"/>
          <w:b/>
          <w:bCs/>
          <w:color w:val="auto"/>
          <w:sz w:val="96"/>
          <w:szCs w:val="96"/>
          <w:highlight w:val="none"/>
        </w:rPr>
        <w:t>文</w:t>
      </w:r>
      <w:r>
        <w:rPr>
          <w:rFonts w:hint="eastAsia" w:ascii="宋体" w:hAnsi="宋体" w:eastAsia="宋体" w:cs="宋体"/>
          <w:b/>
          <w:bCs/>
          <w:color w:val="auto"/>
          <w:sz w:val="96"/>
          <w:szCs w:val="96"/>
          <w:highlight w:val="none"/>
          <w:lang w:val="en-US" w:eastAsia="zh-CN"/>
        </w:rPr>
        <w:t xml:space="preserve"> </w:t>
      </w:r>
      <w:r>
        <w:rPr>
          <w:rFonts w:hint="eastAsia" w:ascii="宋体" w:hAnsi="宋体" w:eastAsia="宋体" w:cs="宋体"/>
          <w:b/>
          <w:bCs/>
          <w:color w:val="auto"/>
          <w:sz w:val="96"/>
          <w:szCs w:val="96"/>
          <w:highlight w:val="none"/>
        </w:rPr>
        <w:t>件</w:t>
      </w:r>
    </w:p>
    <w:p>
      <w:pPr>
        <w:tabs>
          <w:tab w:val="left" w:pos="1134"/>
          <w:tab w:val="left" w:pos="5481"/>
          <w:tab w:val="left" w:pos="5859"/>
        </w:tabs>
        <w:jc w:val="center"/>
        <w:rPr>
          <w:rFonts w:hint="eastAsia" w:ascii="宋体" w:hAnsi="宋体" w:eastAsia="宋体" w:cs="宋体"/>
          <w:b/>
          <w:color w:val="auto"/>
          <w:sz w:val="32"/>
          <w:szCs w:val="24"/>
          <w:highlight w:val="none"/>
        </w:rPr>
      </w:pPr>
    </w:p>
    <w:p>
      <w:pPr>
        <w:tabs>
          <w:tab w:val="left" w:pos="1134"/>
          <w:tab w:val="left" w:pos="5481"/>
          <w:tab w:val="left" w:pos="5859"/>
        </w:tabs>
        <w:rPr>
          <w:rFonts w:hint="eastAsia" w:ascii="宋体" w:hAnsi="宋体" w:eastAsia="宋体" w:cs="宋体"/>
          <w:b/>
          <w:color w:val="auto"/>
          <w:sz w:val="32"/>
          <w:szCs w:val="24"/>
          <w:highlight w:val="none"/>
        </w:rPr>
      </w:pPr>
    </w:p>
    <w:p>
      <w:pPr>
        <w:pStyle w:val="6"/>
        <w:rPr>
          <w:rFonts w:hint="eastAsia" w:ascii="宋体" w:hAnsi="宋体" w:eastAsia="宋体" w:cs="宋体"/>
          <w:b/>
          <w:color w:val="auto"/>
          <w:sz w:val="32"/>
          <w:szCs w:val="24"/>
          <w:highlight w:val="none"/>
        </w:rPr>
      </w:pPr>
    </w:p>
    <w:p>
      <w:pPr>
        <w:rPr>
          <w:rFonts w:hint="eastAsia" w:ascii="宋体" w:hAnsi="宋体" w:eastAsia="宋体" w:cs="宋体"/>
          <w:b/>
          <w:color w:val="auto"/>
          <w:sz w:val="32"/>
          <w:szCs w:val="24"/>
          <w:highlight w:val="none"/>
        </w:rPr>
      </w:pPr>
    </w:p>
    <w:p>
      <w:pPr>
        <w:pStyle w:val="6"/>
        <w:rPr>
          <w:rFonts w:hint="eastAsia" w:ascii="宋体" w:hAnsi="宋体" w:eastAsia="宋体" w:cs="宋体"/>
          <w:b/>
          <w:color w:val="auto"/>
          <w:sz w:val="32"/>
          <w:szCs w:val="24"/>
          <w:highlight w:val="none"/>
        </w:rPr>
      </w:pPr>
    </w:p>
    <w:p>
      <w:pPr>
        <w:rPr>
          <w:rFonts w:hint="eastAsia" w:ascii="宋体" w:hAnsi="宋体" w:eastAsia="宋体" w:cs="宋体"/>
          <w:b/>
          <w:color w:val="auto"/>
          <w:sz w:val="32"/>
          <w:szCs w:val="24"/>
          <w:highlight w:val="none"/>
        </w:rPr>
      </w:pPr>
    </w:p>
    <w:p>
      <w:pPr>
        <w:ind w:firstLine="643" w:firstLineChars="200"/>
        <w:rPr>
          <w:rFonts w:hint="eastAsia" w:ascii="宋体" w:hAnsi="宋体" w:eastAsia="宋体" w:cs="宋体"/>
          <w:b/>
          <w:color w:val="auto"/>
          <w:sz w:val="32"/>
          <w:szCs w:val="24"/>
          <w:highlight w:val="none"/>
          <w:lang w:val="en-US" w:eastAsia="zh-CN"/>
        </w:rPr>
      </w:pPr>
      <w:r>
        <w:rPr>
          <w:rFonts w:hint="eastAsia" w:ascii="宋体" w:hAnsi="宋体" w:eastAsia="宋体" w:cs="宋体"/>
          <w:b/>
          <w:color w:val="auto"/>
          <w:sz w:val="32"/>
          <w:szCs w:val="24"/>
          <w:highlight w:val="none"/>
          <w:lang w:val="en-US" w:eastAsia="zh-CN"/>
        </w:rPr>
        <w:t>项目</w:t>
      </w:r>
      <w:r>
        <w:rPr>
          <w:rFonts w:hint="eastAsia" w:ascii="宋体" w:hAnsi="宋体" w:eastAsia="宋体" w:cs="宋体"/>
          <w:b/>
          <w:color w:val="auto"/>
          <w:sz w:val="32"/>
          <w:szCs w:val="24"/>
          <w:highlight w:val="none"/>
        </w:rPr>
        <w:t>名称：</w:t>
      </w:r>
      <w:r>
        <w:rPr>
          <w:rFonts w:hint="eastAsia" w:ascii="宋体" w:hAnsi="宋体" w:eastAsia="宋体" w:cs="宋体"/>
          <w:b/>
          <w:color w:val="auto"/>
          <w:sz w:val="32"/>
          <w:szCs w:val="24"/>
          <w:highlight w:val="none"/>
          <w:lang w:eastAsia="zh-CN"/>
        </w:rPr>
        <w:t>哈巴河县学校、幼儿园</w:t>
      </w:r>
      <w:r>
        <w:rPr>
          <w:rFonts w:hint="eastAsia" w:ascii="宋体" w:hAnsi="宋体" w:eastAsia="宋体" w:cs="宋体"/>
          <w:b/>
          <w:color w:val="auto"/>
          <w:sz w:val="32"/>
          <w:szCs w:val="24"/>
          <w:highlight w:val="none"/>
          <w:lang w:val="en-US" w:eastAsia="zh-CN"/>
        </w:rPr>
        <w:t>2022年冬季取暖用煤项目</w:t>
      </w:r>
    </w:p>
    <w:p>
      <w:pPr>
        <w:ind w:firstLine="643" w:firstLineChars="200"/>
        <w:rPr>
          <w:rFonts w:hint="eastAsia" w:ascii="宋体" w:hAnsi="宋体" w:eastAsia="宋体" w:cs="宋体"/>
          <w:color w:val="auto"/>
          <w:sz w:val="32"/>
          <w:szCs w:val="32"/>
          <w:highlight w:val="none"/>
        </w:rPr>
      </w:pPr>
      <w:r>
        <w:rPr>
          <w:rFonts w:hint="eastAsia" w:ascii="宋体" w:hAnsi="宋体" w:eastAsia="宋体" w:cs="宋体"/>
          <w:b/>
          <w:color w:val="auto"/>
          <w:sz w:val="32"/>
          <w:szCs w:val="24"/>
          <w:highlight w:val="none"/>
          <w:lang w:val="en-US" w:eastAsia="zh-CN"/>
        </w:rPr>
        <w:t>项目</w:t>
      </w:r>
      <w:r>
        <w:rPr>
          <w:rFonts w:hint="eastAsia" w:ascii="宋体" w:hAnsi="宋体" w:eastAsia="宋体" w:cs="宋体"/>
          <w:b/>
          <w:color w:val="auto"/>
          <w:sz w:val="32"/>
          <w:szCs w:val="24"/>
          <w:highlight w:val="none"/>
        </w:rPr>
        <w:t>编号：</w:t>
      </w:r>
      <w:r>
        <w:rPr>
          <w:rFonts w:hint="eastAsia" w:ascii="宋体" w:hAnsi="宋体" w:eastAsia="宋体" w:cs="宋体"/>
          <w:b/>
          <w:color w:val="auto"/>
          <w:sz w:val="32"/>
          <w:szCs w:val="24"/>
          <w:highlight w:val="none"/>
          <w:lang w:val="en-US" w:eastAsia="zh-CN"/>
        </w:rPr>
        <w:t>ZFCGH-JTSZZB2022-015</w:t>
      </w:r>
    </w:p>
    <w:p>
      <w:pPr>
        <w:ind w:firstLine="643" w:firstLineChars="200"/>
        <w:rPr>
          <w:rFonts w:hint="eastAsia" w:ascii="宋体" w:hAnsi="宋体" w:eastAsia="宋体" w:cs="宋体"/>
          <w:color w:val="auto"/>
          <w:sz w:val="32"/>
          <w:szCs w:val="32"/>
          <w:highlight w:val="none"/>
        </w:rPr>
      </w:pPr>
      <w:r>
        <w:rPr>
          <w:rFonts w:hint="eastAsia" w:ascii="宋体" w:hAnsi="宋体" w:eastAsia="宋体" w:cs="宋体"/>
          <w:b/>
          <w:color w:val="auto"/>
          <w:sz w:val="32"/>
          <w:szCs w:val="24"/>
          <w:highlight w:val="none"/>
        </w:rPr>
        <w:t>采购人：</w:t>
      </w:r>
      <w:r>
        <w:rPr>
          <w:rFonts w:hint="eastAsia" w:ascii="宋体" w:hAnsi="宋体" w:eastAsia="宋体" w:cs="宋体"/>
          <w:b/>
          <w:color w:val="auto"/>
          <w:sz w:val="32"/>
          <w:szCs w:val="24"/>
          <w:highlight w:val="none"/>
          <w:lang w:eastAsia="zh-CN"/>
        </w:rPr>
        <w:t>哈巴河县教育局</w:t>
      </w:r>
      <w:r>
        <w:rPr>
          <w:rFonts w:hint="eastAsia" w:ascii="宋体" w:hAnsi="宋体" w:eastAsia="宋体" w:cs="宋体"/>
          <w:b/>
          <w:color w:val="auto"/>
          <w:sz w:val="32"/>
          <w:szCs w:val="24"/>
          <w:highlight w:val="none"/>
          <w:lang w:val="en-US" w:eastAsia="zh-CN"/>
        </w:rPr>
        <w:t xml:space="preserve">  </w:t>
      </w:r>
      <w:r>
        <w:rPr>
          <w:rFonts w:hint="eastAsia" w:ascii="宋体" w:hAnsi="宋体" w:eastAsia="宋体" w:cs="宋体"/>
          <w:b/>
          <w:color w:val="auto"/>
          <w:sz w:val="32"/>
          <w:szCs w:val="24"/>
          <w:highlight w:val="none"/>
          <w:lang w:eastAsia="zh-CN"/>
        </w:rPr>
        <w:t>（盖章）</w:t>
      </w:r>
    </w:p>
    <w:p>
      <w:pPr>
        <w:ind w:firstLine="643" w:firstLineChars="200"/>
        <w:rPr>
          <w:rFonts w:hint="default" w:ascii="宋体" w:hAnsi="宋体" w:eastAsia="宋体" w:cs="宋体"/>
          <w:b/>
          <w:color w:val="auto"/>
          <w:sz w:val="32"/>
          <w:szCs w:val="24"/>
          <w:highlight w:val="none"/>
          <w:lang w:val="en-US" w:eastAsia="zh-CN"/>
        </w:rPr>
      </w:pPr>
      <w:r>
        <w:rPr>
          <w:rFonts w:hint="eastAsia" w:ascii="宋体" w:hAnsi="宋体" w:eastAsia="宋体" w:cs="宋体"/>
          <w:b/>
          <w:color w:val="auto"/>
          <w:sz w:val="32"/>
          <w:szCs w:val="24"/>
          <w:highlight w:val="none"/>
        </w:rPr>
        <w:t>采购代理机构：</w:t>
      </w:r>
      <w:r>
        <w:rPr>
          <w:rFonts w:hint="eastAsia" w:ascii="宋体" w:hAnsi="宋体" w:eastAsia="宋体" w:cs="宋体"/>
          <w:b/>
          <w:color w:val="auto"/>
          <w:sz w:val="32"/>
          <w:szCs w:val="24"/>
          <w:highlight w:val="none"/>
          <w:lang w:eastAsia="zh-CN"/>
        </w:rPr>
        <w:t>新疆金泰首致项目管理咨询有限公司（盖章）</w:t>
      </w:r>
    </w:p>
    <w:p>
      <w:pPr>
        <w:ind w:firstLine="643" w:firstLineChars="200"/>
        <w:rPr>
          <w:rFonts w:hint="eastAsia" w:ascii="宋体" w:hAnsi="宋体" w:eastAsia="宋体" w:cs="宋体"/>
          <w:b/>
          <w:color w:val="auto"/>
          <w:sz w:val="32"/>
          <w:szCs w:val="24"/>
          <w:highlight w:val="none"/>
        </w:rPr>
      </w:pPr>
      <w:r>
        <w:rPr>
          <w:rFonts w:hint="eastAsia" w:ascii="宋体" w:hAnsi="宋体" w:eastAsia="宋体" w:cs="宋体"/>
          <w:b/>
          <w:color w:val="auto"/>
          <w:sz w:val="32"/>
          <w:szCs w:val="24"/>
          <w:highlight w:val="none"/>
        </w:rPr>
        <w:t>法定代表人(签字或盖章):</w:t>
      </w:r>
    </w:p>
    <w:p>
      <w:pPr>
        <w:rPr>
          <w:rFonts w:hint="eastAsia" w:ascii="宋体" w:hAnsi="宋体" w:eastAsia="宋体" w:cs="宋体"/>
          <w:color w:val="auto"/>
          <w:sz w:val="32"/>
          <w:szCs w:val="32"/>
          <w:highlight w:val="none"/>
        </w:rPr>
      </w:pPr>
    </w:p>
    <w:p>
      <w:pPr>
        <w:ind w:firstLine="643" w:firstLineChars="200"/>
        <w:rPr>
          <w:rFonts w:hint="eastAsia" w:ascii="宋体" w:hAnsi="宋体" w:eastAsia="宋体" w:cs="宋体"/>
          <w:b/>
          <w:color w:val="auto"/>
          <w:sz w:val="32"/>
          <w:szCs w:val="24"/>
          <w:highlight w:val="none"/>
        </w:rPr>
        <w:sectPr>
          <w:footerReference r:id="rId6" w:type="first"/>
          <w:headerReference r:id="rId4" w:type="even"/>
          <w:footerReference r:id="rId5" w:type="even"/>
          <w:pgSz w:w="11906" w:h="16838"/>
          <w:pgMar w:top="1247" w:right="1247" w:bottom="1247" w:left="1134" w:header="851" w:footer="850"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eastAsia="宋体" w:cs="宋体"/>
          <w:b/>
          <w:color w:val="auto"/>
          <w:sz w:val="32"/>
          <w:szCs w:val="24"/>
          <w:highlight w:val="none"/>
        </w:rPr>
        <w:t>日期：</w:t>
      </w:r>
      <w:bookmarkStart w:id="2" w:name="EBb89bb0e6ddac43a885925fc00b1feea4"/>
      <w:r>
        <w:rPr>
          <w:rFonts w:hint="eastAsia" w:ascii="宋体" w:hAnsi="宋体" w:eastAsia="宋体" w:cs="宋体"/>
          <w:b/>
          <w:color w:val="auto"/>
          <w:sz w:val="32"/>
          <w:szCs w:val="24"/>
          <w:highlight w:val="none"/>
        </w:rPr>
        <w:t>2</w:t>
      </w:r>
      <w:r>
        <w:rPr>
          <w:rFonts w:hint="eastAsia" w:ascii="宋体" w:hAnsi="宋体" w:cs="宋体"/>
          <w:b/>
          <w:color w:val="auto"/>
          <w:sz w:val="32"/>
          <w:szCs w:val="24"/>
          <w:highlight w:val="none"/>
          <w:lang w:val="en-US" w:eastAsia="zh-CN"/>
        </w:rPr>
        <w:t>022</w:t>
      </w:r>
      <w:r>
        <w:rPr>
          <w:rFonts w:hint="eastAsia" w:ascii="宋体" w:hAnsi="宋体" w:eastAsia="宋体" w:cs="宋体"/>
          <w:b/>
          <w:color w:val="auto"/>
          <w:sz w:val="32"/>
          <w:szCs w:val="24"/>
          <w:highlight w:val="none"/>
        </w:rPr>
        <w:t>年</w:t>
      </w:r>
      <w:r>
        <w:rPr>
          <w:rFonts w:hint="eastAsia" w:ascii="宋体" w:hAnsi="宋体" w:cs="宋体"/>
          <w:b/>
          <w:color w:val="auto"/>
          <w:sz w:val="32"/>
          <w:szCs w:val="24"/>
          <w:highlight w:val="none"/>
          <w:lang w:val="en-US" w:eastAsia="zh-CN"/>
        </w:rPr>
        <w:t>6</w:t>
      </w:r>
      <w:r>
        <w:rPr>
          <w:rFonts w:hint="eastAsia" w:ascii="宋体" w:hAnsi="宋体" w:eastAsia="宋体" w:cs="宋体"/>
          <w:b/>
          <w:color w:val="auto"/>
          <w:sz w:val="32"/>
          <w:szCs w:val="24"/>
          <w:highlight w:val="none"/>
        </w:rPr>
        <w:t>月</w:t>
      </w:r>
      <w:bookmarkEnd w:id="2"/>
    </w:p>
    <w:p>
      <w:pPr>
        <w:spacing w:line="360" w:lineRule="auto"/>
        <w:ind w:left="0" w:leftChars="0" w:right="0" w:rightChars="0" w:firstLine="0" w:firstLineChars="0"/>
        <w:jc w:val="both"/>
        <w:rPr>
          <w:rFonts w:hint="eastAsia" w:ascii="宋体" w:hAnsi="宋体" w:eastAsia="宋体" w:cs="宋体"/>
          <w:b/>
          <w:color w:val="auto"/>
          <w:sz w:val="32"/>
          <w:szCs w:val="24"/>
          <w:highlight w:val="none"/>
        </w:rPr>
      </w:pPr>
    </w:p>
    <w:p>
      <w:pPr>
        <w:spacing w:line="360" w:lineRule="auto"/>
        <w:ind w:left="0" w:leftChars="0" w:right="0" w:rightChars="0" w:firstLine="0" w:firstLineChars="0"/>
        <w:jc w:val="center"/>
        <w:rPr>
          <w:rFonts w:hint="eastAsia" w:ascii="宋体" w:hAnsi="宋体" w:eastAsia="宋体" w:cs="宋体"/>
          <w:b/>
          <w:color w:val="auto"/>
          <w:sz w:val="32"/>
          <w:szCs w:val="24"/>
          <w:highlight w:val="none"/>
        </w:rPr>
      </w:pPr>
      <w:r>
        <w:rPr>
          <w:rFonts w:hint="eastAsia" w:ascii="宋体" w:hAnsi="宋体" w:eastAsia="宋体" w:cs="宋体"/>
          <w:b/>
          <w:color w:val="auto"/>
          <w:sz w:val="32"/>
          <w:szCs w:val="24"/>
          <w:highlight w:val="none"/>
        </w:rPr>
        <w:t>目  录</w:t>
      </w:r>
    </w:p>
    <w:p>
      <w:pPr>
        <w:spacing w:line="360" w:lineRule="auto"/>
        <w:ind w:left="0" w:leftChars="0" w:right="0" w:rightChars="0" w:firstLine="0" w:firstLineChars="0"/>
        <w:jc w:val="center"/>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color w:val="auto"/>
          <w:sz w:val="32"/>
          <w:szCs w:val="24"/>
          <w:highlight w:val="none"/>
          <w:lang w:eastAsia="zh-CN"/>
        </w:rPr>
        <w:tab/>
      </w:r>
      <w:r>
        <w:rPr>
          <w:rFonts w:hint="eastAsia" w:ascii="宋体" w:hAnsi="宋体" w:eastAsia="宋体" w:cs="宋体"/>
          <w:b/>
          <w:color w:val="auto"/>
          <w:sz w:val="32"/>
          <w:szCs w:val="24"/>
          <w:highlight w:val="none"/>
        </w:rPr>
        <w:fldChar w:fldCharType="begin"/>
      </w:r>
      <w:r>
        <w:rPr>
          <w:rFonts w:hint="eastAsia" w:ascii="宋体" w:hAnsi="宋体" w:eastAsia="宋体" w:cs="宋体"/>
          <w:b/>
          <w:color w:val="auto"/>
          <w:sz w:val="32"/>
          <w:szCs w:val="24"/>
          <w:highlight w:val="none"/>
        </w:rPr>
        <w:instrText xml:space="preserve">TOC \o "1-2" \h \u </w:instrText>
      </w:r>
      <w:r>
        <w:rPr>
          <w:rFonts w:hint="eastAsia" w:ascii="宋体" w:hAnsi="宋体" w:eastAsia="宋体" w:cs="宋体"/>
          <w:b/>
          <w:color w:val="auto"/>
          <w:sz w:val="32"/>
          <w:szCs w:val="24"/>
          <w:highlight w:val="none"/>
        </w:rPr>
        <w:fldChar w:fldCharType="separate"/>
      </w:r>
    </w:p>
    <w:p>
      <w:pPr>
        <w:pStyle w:val="17"/>
        <w:tabs>
          <w:tab w:val="right" w:leader="dot" w:pos="9026"/>
        </w:tabs>
        <w:ind w:left="0" w:leftChars="0" w:right="0" w:rightChars="0" w:firstLine="0" w:firstLineChars="0"/>
        <w:jc w:val="center"/>
        <w:rPr>
          <w:b/>
          <w:bCs/>
          <w:color w:val="auto"/>
          <w:highlight w:val="none"/>
        </w:rPr>
      </w:pPr>
      <w:r>
        <w:rPr>
          <w:rFonts w:hint="eastAsia" w:ascii="宋体" w:hAnsi="宋体" w:eastAsia="宋体" w:cs="宋体"/>
          <w:b/>
          <w:bCs/>
          <w:color w:val="auto"/>
          <w:szCs w:val="24"/>
          <w:highlight w:val="none"/>
        </w:rPr>
        <w:fldChar w:fldCharType="begin"/>
      </w:r>
      <w:r>
        <w:rPr>
          <w:rFonts w:hint="eastAsia" w:ascii="宋体" w:hAnsi="宋体" w:eastAsia="宋体" w:cs="宋体"/>
          <w:b/>
          <w:bCs/>
          <w:color w:val="auto"/>
          <w:szCs w:val="24"/>
          <w:highlight w:val="none"/>
        </w:rPr>
        <w:instrText xml:space="preserve"> HYPERLINK \l _Toc4016 </w:instrText>
      </w:r>
      <w:r>
        <w:rPr>
          <w:rFonts w:hint="eastAsia" w:ascii="宋体" w:hAnsi="宋体" w:eastAsia="宋体" w:cs="宋体"/>
          <w:b/>
          <w:bCs/>
          <w:color w:val="auto"/>
          <w:szCs w:val="24"/>
          <w:highlight w:val="none"/>
        </w:rPr>
        <w:fldChar w:fldCharType="separate"/>
      </w:r>
      <w:r>
        <w:rPr>
          <w:rFonts w:hint="eastAsia" w:ascii="宋体" w:hAnsi="宋体" w:eastAsia="宋体" w:cs="宋体"/>
          <w:b/>
          <w:bCs/>
          <w:color w:val="auto"/>
          <w:szCs w:val="36"/>
          <w:highlight w:val="none"/>
        </w:rPr>
        <w:t>第一</w:t>
      </w:r>
      <w:r>
        <w:rPr>
          <w:rFonts w:hint="eastAsia" w:ascii="宋体" w:hAnsi="宋体" w:eastAsia="宋体" w:cs="宋体"/>
          <w:b/>
          <w:bCs/>
          <w:color w:val="auto"/>
          <w:szCs w:val="36"/>
          <w:highlight w:val="none"/>
          <w:lang w:val="en-US" w:eastAsia="zh-CN"/>
        </w:rPr>
        <w:t xml:space="preserve">章 </w:t>
      </w:r>
      <w:r>
        <w:rPr>
          <w:rFonts w:hint="eastAsia" w:ascii="宋体" w:hAnsi="宋体" w:cs="宋体"/>
          <w:b/>
          <w:bCs/>
          <w:color w:val="auto"/>
          <w:szCs w:val="36"/>
          <w:highlight w:val="none"/>
          <w:lang w:val="en-US" w:eastAsia="zh-CN"/>
        </w:rPr>
        <w:t xml:space="preserve"> </w:t>
      </w:r>
      <w:r>
        <w:rPr>
          <w:rFonts w:hint="eastAsia" w:ascii="宋体" w:hAnsi="宋体" w:eastAsia="宋体" w:cs="宋体"/>
          <w:b/>
          <w:bCs/>
          <w:color w:val="auto"/>
          <w:szCs w:val="36"/>
          <w:highlight w:val="none"/>
          <w:lang w:val="en-US" w:eastAsia="zh-CN"/>
        </w:rPr>
        <w:t>招标</w:t>
      </w:r>
      <w:r>
        <w:rPr>
          <w:rFonts w:hint="eastAsia" w:ascii="宋体" w:hAnsi="宋体" w:eastAsia="宋体" w:cs="宋体"/>
          <w:b/>
          <w:bCs/>
          <w:color w:val="auto"/>
          <w:szCs w:val="36"/>
          <w:highlight w:val="none"/>
        </w:rPr>
        <w:t>公告</w:t>
      </w:r>
      <w:r>
        <w:rPr>
          <w:b/>
          <w:bCs/>
          <w:color w:val="auto"/>
          <w:highlight w:val="none"/>
        </w:rPr>
        <w:tab/>
      </w:r>
      <w:r>
        <w:rPr>
          <w:b/>
          <w:bCs/>
          <w:color w:val="auto"/>
          <w:highlight w:val="none"/>
        </w:rPr>
        <w:fldChar w:fldCharType="begin"/>
      </w:r>
      <w:r>
        <w:rPr>
          <w:b/>
          <w:bCs/>
          <w:color w:val="auto"/>
          <w:highlight w:val="none"/>
        </w:rPr>
        <w:instrText xml:space="preserve"> PAGEREF _Toc4016 \h </w:instrText>
      </w:r>
      <w:r>
        <w:rPr>
          <w:b/>
          <w:bCs/>
          <w:color w:val="auto"/>
          <w:highlight w:val="none"/>
        </w:rPr>
        <w:fldChar w:fldCharType="separate"/>
      </w:r>
      <w:r>
        <w:rPr>
          <w:b/>
          <w:bCs/>
          <w:color w:val="auto"/>
          <w:highlight w:val="none"/>
        </w:rPr>
        <w:t>1</w:t>
      </w:r>
      <w:r>
        <w:rPr>
          <w:b/>
          <w:bCs/>
          <w:color w:val="auto"/>
          <w:highlight w:val="none"/>
        </w:rPr>
        <w:fldChar w:fldCharType="end"/>
      </w:r>
      <w:r>
        <w:rPr>
          <w:rFonts w:hint="eastAsia" w:ascii="宋体" w:hAnsi="宋体" w:eastAsia="宋体" w:cs="宋体"/>
          <w:b/>
          <w:bCs/>
          <w:color w:val="auto"/>
          <w:szCs w:val="24"/>
          <w:highlight w:val="none"/>
        </w:rPr>
        <w:fldChar w:fldCharType="end"/>
      </w:r>
    </w:p>
    <w:p>
      <w:pPr>
        <w:pStyle w:val="17"/>
        <w:tabs>
          <w:tab w:val="right" w:leader="dot" w:pos="9026"/>
        </w:tabs>
        <w:ind w:left="0" w:leftChars="0" w:right="0" w:rightChars="0" w:firstLine="0" w:firstLineChars="0"/>
        <w:jc w:val="center"/>
        <w:rPr>
          <w:b/>
          <w:bCs/>
          <w:color w:val="auto"/>
          <w:highlight w:val="none"/>
        </w:rPr>
      </w:pPr>
      <w:r>
        <w:rPr>
          <w:rFonts w:hint="eastAsia" w:ascii="宋体" w:hAnsi="宋体" w:eastAsia="宋体" w:cs="宋体"/>
          <w:b/>
          <w:bCs/>
          <w:color w:val="auto"/>
          <w:szCs w:val="24"/>
          <w:highlight w:val="none"/>
        </w:rPr>
        <w:fldChar w:fldCharType="begin"/>
      </w:r>
      <w:r>
        <w:rPr>
          <w:rFonts w:hint="eastAsia" w:ascii="宋体" w:hAnsi="宋体" w:eastAsia="宋体" w:cs="宋体"/>
          <w:b/>
          <w:bCs/>
          <w:color w:val="auto"/>
          <w:szCs w:val="24"/>
          <w:highlight w:val="none"/>
        </w:rPr>
        <w:instrText xml:space="preserve"> HYPERLINK \l _Toc19694 </w:instrText>
      </w:r>
      <w:r>
        <w:rPr>
          <w:rFonts w:hint="eastAsia" w:ascii="宋体" w:hAnsi="宋体" w:eastAsia="宋体" w:cs="宋体"/>
          <w:b/>
          <w:bCs/>
          <w:color w:val="auto"/>
          <w:szCs w:val="24"/>
          <w:highlight w:val="none"/>
        </w:rPr>
        <w:fldChar w:fldCharType="separate"/>
      </w:r>
      <w:r>
        <w:rPr>
          <w:rFonts w:hint="eastAsia" w:ascii="宋体" w:hAnsi="宋体" w:eastAsia="宋体" w:cs="宋体"/>
          <w:b/>
          <w:bCs/>
          <w:color w:val="auto"/>
          <w:szCs w:val="36"/>
          <w:highlight w:val="none"/>
        </w:rPr>
        <w:t>第二章</w:t>
      </w:r>
      <w:r>
        <w:rPr>
          <w:rFonts w:hint="eastAsia" w:ascii="宋体" w:hAnsi="宋体" w:cs="宋体"/>
          <w:b/>
          <w:bCs/>
          <w:color w:val="auto"/>
          <w:szCs w:val="36"/>
          <w:highlight w:val="none"/>
          <w:lang w:val="en-US" w:eastAsia="zh-CN"/>
        </w:rPr>
        <w:t xml:space="preserve">  </w:t>
      </w:r>
      <w:r>
        <w:rPr>
          <w:rFonts w:hint="eastAsia" w:ascii="宋体" w:hAnsi="宋体" w:eastAsia="宋体" w:cs="宋体"/>
          <w:b/>
          <w:bCs/>
          <w:color w:val="auto"/>
          <w:szCs w:val="36"/>
          <w:highlight w:val="none"/>
        </w:rPr>
        <w:t>供应商须知</w:t>
      </w:r>
      <w:r>
        <w:rPr>
          <w:b/>
          <w:bCs/>
          <w:color w:val="auto"/>
          <w:highlight w:val="none"/>
        </w:rPr>
        <w:tab/>
      </w:r>
      <w:r>
        <w:rPr>
          <w:b/>
          <w:bCs/>
          <w:color w:val="auto"/>
          <w:highlight w:val="none"/>
        </w:rPr>
        <w:fldChar w:fldCharType="begin"/>
      </w:r>
      <w:r>
        <w:rPr>
          <w:b/>
          <w:bCs/>
          <w:color w:val="auto"/>
          <w:highlight w:val="none"/>
        </w:rPr>
        <w:instrText xml:space="preserve"> PAGEREF _Toc19694 \h </w:instrText>
      </w:r>
      <w:r>
        <w:rPr>
          <w:b/>
          <w:bCs/>
          <w:color w:val="auto"/>
          <w:highlight w:val="none"/>
        </w:rPr>
        <w:fldChar w:fldCharType="separate"/>
      </w:r>
      <w:r>
        <w:rPr>
          <w:b/>
          <w:bCs/>
          <w:color w:val="auto"/>
          <w:highlight w:val="none"/>
        </w:rPr>
        <w:t>4</w:t>
      </w:r>
      <w:r>
        <w:rPr>
          <w:b/>
          <w:bCs/>
          <w:color w:val="auto"/>
          <w:highlight w:val="none"/>
        </w:rPr>
        <w:fldChar w:fldCharType="end"/>
      </w:r>
      <w:r>
        <w:rPr>
          <w:rFonts w:hint="eastAsia" w:ascii="宋体" w:hAnsi="宋体" w:eastAsia="宋体" w:cs="宋体"/>
          <w:b/>
          <w:bCs/>
          <w:color w:val="auto"/>
          <w:szCs w:val="24"/>
          <w:highlight w:val="none"/>
        </w:rPr>
        <w:fldChar w:fldCharType="end"/>
      </w:r>
    </w:p>
    <w:p>
      <w:pPr>
        <w:pStyle w:val="17"/>
        <w:tabs>
          <w:tab w:val="right" w:leader="dot" w:pos="9026"/>
        </w:tabs>
        <w:ind w:left="0" w:leftChars="0" w:right="0" w:rightChars="0" w:firstLine="0" w:firstLineChars="0"/>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fldChar w:fldCharType="begin"/>
      </w:r>
      <w:r>
        <w:rPr>
          <w:rFonts w:hint="eastAsia" w:ascii="宋体" w:hAnsi="宋体" w:eastAsia="宋体" w:cs="宋体"/>
          <w:b/>
          <w:bCs/>
          <w:color w:val="auto"/>
          <w:szCs w:val="24"/>
          <w:highlight w:val="none"/>
        </w:rPr>
        <w:instrText xml:space="preserve"> HYPERLINK \l _Toc7987 </w:instrText>
      </w:r>
      <w:r>
        <w:rPr>
          <w:rFonts w:hint="eastAsia" w:ascii="宋体" w:hAnsi="宋体" w:eastAsia="宋体" w:cs="宋体"/>
          <w:b/>
          <w:bCs/>
          <w:color w:val="auto"/>
          <w:szCs w:val="24"/>
          <w:highlight w:val="none"/>
        </w:rPr>
        <w:fldChar w:fldCharType="separate"/>
      </w:r>
      <w:r>
        <w:rPr>
          <w:rFonts w:hint="eastAsia" w:ascii="宋体" w:hAnsi="宋体" w:eastAsia="宋体" w:cs="宋体"/>
          <w:b/>
          <w:bCs/>
          <w:color w:val="auto"/>
          <w:szCs w:val="24"/>
          <w:highlight w:val="none"/>
        </w:rPr>
        <w:t>第三章</w:t>
      </w:r>
      <w:r>
        <w:rPr>
          <w:rFonts w:hint="eastAsia" w:ascii="宋体" w:hAnsi="宋体" w:eastAsia="宋体" w:cs="宋体"/>
          <w:b/>
          <w:bCs/>
          <w:color w:val="auto"/>
          <w:szCs w:val="24"/>
          <w:highlight w:val="none"/>
          <w:lang w:val="en-US" w:eastAsia="zh-CN"/>
        </w:rPr>
        <w:t xml:space="preserve">  </w:t>
      </w:r>
      <w:r>
        <w:rPr>
          <w:rFonts w:hint="eastAsia" w:ascii="宋体" w:hAnsi="宋体" w:eastAsia="宋体" w:cs="宋体"/>
          <w:b/>
          <w:bCs/>
          <w:color w:val="auto"/>
          <w:szCs w:val="24"/>
          <w:highlight w:val="none"/>
        </w:rPr>
        <w:t>采购项目技术规格、参数及要求</w:t>
      </w:r>
      <w:r>
        <w:rPr>
          <w:rFonts w:hint="eastAsia" w:ascii="宋体" w:hAnsi="宋体" w:eastAsia="宋体" w:cs="宋体"/>
          <w:b/>
          <w:bCs/>
          <w:color w:val="auto"/>
          <w:szCs w:val="24"/>
          <w:highlight w:val="none"/>
        </w:rPr>
        <w:tab/>
      </w:r>
      <w:r>
        <w:rPr>
          <w:rFonts w:hint="eastAsia" w:ascii="宋体" w:hAnsi="宋体" w:eastAsia="宋体" w:cs="宋体"/>
          <w:b/>
          <w:bCs/>
          <w:color w:val="auto"/>
          <w:szCs w:val="24"/>
          <w:highlight w:val="none"/>
        </w:rPr>
        <w:fldChar w:fldCharType="begin"/>
      </w:r>
      <w:r>
        <w:rPr>
          <w:rFonts w:hint="eastAsia" w:ascii="宋体" w:hAnsi="宋体" w:eastAsia="宋体" w:cs="宋体"/>
          <w:b/>
          <w:bCs/>
          <w:color w:val="auto"/>
          <w:szCs w:val="24"/>
          <w:highlight w:val="none"/>
        </w:rPr>
        <w:instrText xml:space="preserve"> PAGEREF _Toc7987 \h </w:instrText>
      </w:r>
      <w:r>
        <w:rPr>
          <w:rFonts w:hint="eastAsia" w:ascii="宋体" w:hAnsi="宋体" w:eastAsia="宋体" w:cs="宋体"/>
          <w:b/>
          <w:bCs/>
          <w:color w:val="auto"/>
          <w:szCs w:val="24"/>
          <w:highlight w:val="none"/>
        </w:rPr>
        <w:fldChar w:fldCharType="separate"/>
      </w:r>
      <w:r>
        <w:rPr>
          <w:rFonts w:hint="eastAsia" w:ascii="宋体" w:hAnsi="宋体" w:eastAsia="宋体" w:cs="宋体"/>
          <w:b/>
          <w:bCs/>
          <w:color w:val="auto"/>
          <w:szCs w:val="24"/>
          <w:highlight w:val="none"/>
        </w:rPr>
        <w:t>30</w:t>
      </w:r>
      <w:r>
        <w:rPr>
          <w:rFonts w:hint="eastAsia" w:ascii="宋体" w:hAnsi="宋体" w:eastAsia="宋体" w:cs="宋体"/>
          <w:b/>
          <w:bCs/>
          <w:color w:val="auto"/>
          <w:szCs w:val="24"/>
          <w:highlight w:val="none"/>
        </w:rPr>
        <w:fldChar w:fldCharType="end"/>
      </w:r>
      <w:r>
        <w:rPr>
          <w:rFonts w:hint="eastAsia" w:ascii="宋体" w:hAnsi="宋体" w:eastAsia="宋体" w:cs="宋体"/>
          <w:b/>
          <w:bCs/>
          <w:color w:val="auto"/>
          <w:szCs w:val="24"/>
          <w:highlight w:val="none"/>
        </w:rPr>
        <w:fldChar w:fldCharType="end"/>
      </w:r>
    </w:p>
    <w:p>
      <w:pPr>
        <w:pStyle w:val="17"/>
        <w:tabs>
          <w:tab w:val="right" w:leader="dot" w:pos="9026"/>
        </w:tabs>
        <w:ind w:left="0" w:leftChars="0" w:right="0" w:rightChars="0" w:firstLine="0" w:firstLineChars="0"/>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fldChar w:fldCharType="begin"/>
      </w:r>
      <w:r>
        <w:rPr>
          <w:rFonts w:hint="eastAsia" w:ascii="宋体" w:hAnsi="宋体" w:eastAsia="宋体" w:cs="宋体"/>
          <w:b/>
          <w:bCs/>
          <w:color w:val="auto"/>
          <w:szCs w:val="24"/>
          <w:highlight w:val="none"/>
        </w:rPr>
        <w:instrText xml:space="preserve"> HYPERLINK \l _Toc18653 </w:instrText>
      </w:r>
      <w:r>
        <w:rPr>
          <w:rFonts w:hint="eastAsia" w:ascii="宋体" w:hAnsi="宋体" w:eastAsia="宋体" w:cs="宋体"/>
          <w:b/>
          <w:bCs/>
          <w:color w:val="auto"/>
          <w:szCs w:val="24"/>
          <w:highlight w:val="none"/>
        </w:rPr>
        <w:fldChar w:fldCharType="separate"/>
      </w:r>
      <w:r>
        <w:rPr>
          <w:rFonts w:hint="eastAsia" w:ascii="宋体" w:hAnsi="宋体" w:eastAsia="宋体" w:cs="宋体"/>
          <w:b/>
          <w:bCs/>
          <w:color w:val="auto"/>
          <w:szCs w:val="24"/>
          <w:highlight w:val="none"/>
        </w:rPr>
        <w:t>第四</w:t>
      </w:r>
      <w:r>
        <w:rPr>
          <w:rFonts w:hint="eastAsia" w:ascii="宋体" w:hAnsi="宋体" w:eastAsia="宋体" w:cs="宋体"/>
          <w:b/>
          <w:bCs/>
          <w:color w:val="auto"/>
          <w:szCs w:val="24"/>
          <w:highlight w:val="none"/>
          <w:lang w:val="en-US" w:eastAsia="zh-CN"/>
        </w:rPr>
        <w:t xml:space="preserve">章  </w:t>
      </w:r>
      <w:r>
        <w:rPr>
          <w:rFonts w:hint="eastAsia" w:ascii="宋体" w:hAnsi="宋体" w:eastAsia="宋体" w:cs="宋体"/>
          <w:b/>
          <w:bCs/>
          <w:color w:val="auto"/>
          <w:szCs w:val="24"/>
          <w:highlight w:val="none"/>
        </w:rPr>
        <w:t>评审方法（综合评分法）</w:t>
      </w:r>
      <w:r>
        <w:rPr>
          <w:rFonts w:hint="eastAsia" w:ascii="宋体" w:hAnsi="宋体" w:eastAsia="宋体" w:cs="宋体"/>
          <w:b/>
          <w:bCs/>
          <w:color w:val="auto"/>
          <w:szCs w:val="24"/>
          <w:highlight w:val="none"/>
        </w:rPr>
        <w:tab/>
      </w:r>
      <w:r>
        <w:rPr>
          <w:rFonts w:hint="eastAsia" w:ascii="宋体" w:hAnsi="宋体" w:eastAsia="宋体" w:cs="宋体"/>
          <w:b/>
          <w:bCs/>
          <w:color w:val="auto"/>
          <w:szCs w:val="24"/>
          <w:highlight w:val="none"/>
        </w:rPr>
        <w:fldChar w:fldCharType="begin"/>
      </w:r>
      <w:r>
        <w:rPr>
          <w:rFonts w:hint="eastAsia" w:ascii="宋体" w:hAnsi="宋体" w:eastAsia="宋体" w:cs="宋体"/>
          <w:b/>
          <w:bCs/>
          <w:color w:val="auto"/>
          <w:szCs w:val="24"/>
          <w:highlight w:val="none"/>
        </w:rPr>
        <w:instrText xml:space="preserve"> PAGEREF _Toc18653 \h </w:instrText>
      </w:r>
      <w:r>
        <w:rPr>
          <w:rFonts w:hint="eastAsia" w:ascii="宋体" w:hAnsi="宋体" w:eastAsia="宋体" w:cs="宋体"/>
          <w:b/>
          <w:bCs/>
          <w:color w:val="auto"/>
          <w:szCs w:val="24"/>
          <w:highlight w:val="none"/>
        </w:rPr>
        <w:fldChar w:fldCharType="separate"/>
      </w:r>
      <w:r>
        <w:rPr>
          <w:rFonts w:hint="eastAsia" w:ascii="宋体" w:hAnsi="宋体" w:eastAsia="宋体" w:cs="宋体"/>
          <w:b/>
          <w:bCs/>
          <w:color w:val="auto"/>
          <w:szCs w:val="24"/>
          <w:highlight w:val="none"/>
        </w:rPr>
        <w:t>33</w:t>
      </w:r>
      <w:r>
        <w:rPr>
          <w:rFonts w:hint="eastAsia" w:ascii="宋体" w:hAnsi="宋体" w:eastAsia="宋体" w:cs="宋体"/>
          <w:b/>
          <w:bCs/>
          <w:color w:val="auto"/>
          <w:szCs w:val="24"/>
          <w:highlight w:val="none"/>
        </w:rPr>
        <w:fldChar w:fldCharType="end"/>
      </w:r>
      <w:r>
        <w:rPr>
          <w:rFonts w:hint="eastAsia" w:ascii="宋体" w:hAnsi="宋体" w:eastAsia="宋体" w:cs="宋体"/>
          <w:b/>
          <w:bCs/>
          <w:color w:val="auto"/>
          <w:szCs w:val="24"/>
          <w:highlight w:val="none"/>
        </w:rPr>
        <w:fldChar w:fldCharType="end"/>
      </w:r>
    </w:p>
    <w:p>
      <w:pPr>
        <w:pStyle w:val="17"/>
        <w:tabs>
          <w:tab w:val="right" w:leader="dot" w:pos="9026"/>
        </w:tabs>
        <w:ind w:left="0" w:leftChars="0" w:right="0" w:rightChars="0" w:firstLine="0" w:firstLineChars="0"/>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fldChar w:fldCharType="begin"/>
      </w:r>
      <w:r>
        <w:rPr>
          <w:rFonts w:hint="eastAsia" w:ascii="宋体" w:hAnsi="宋体" w:eastAsia="宋体" w:cs="宋体"/>
          <w:b/>
          <w:bCs/>
          <w:color w:val="auto"/>
          <w:szCs w:val="24"/>
          <w:highlight w:val="none"/>
        </w:rPr>
        <w:instrText xml:space="preserve"> HYPERLINK \l _Toc28450 </w:instrText>
      </w:r>
      <w:r>
        <w:rPr>
          <w:rFonts w:hint="eastAsia" w:ascii="宋体" w:hAnsi="宋体" w:eastAsia="宋体" w:cs="宋体"/>
          <w:b/>
          <w:bCs/>
          <w:color w:val="auto"/>
          <w:szCs w:val="24"/>
          <w:highlight w:val="none"/>
        </w:rPr>
        <w:fldChar w:fldCharType="separate"/>
      </w:r>
      <w:r>
        <w:rPr>
          <w:rFonts w:hint="eastAsia" w:ascii="宋体" w:hAnsi="宋体" w:eastAsia="宋体" w:cs="宋体"/>
          <w:b/>
          <w:bCs/>
          <w:color w:val="auto"/>
          <w:szCs w:val="24"/>
          <w:highlight w:val="none"/>
        </w:rPr>
        <w:t>第五</w:t>
      </w:r>
      <w:r>
        <w:rPr>
          <w:rFonts w:hint="eastAsia" w:ascii="宋体" w:hAnsi="宋体" w:eastAsia="宋体" w:cs="宋体"/>
          <w:b/>
          <w:bCs/>
          <w:color w:val="auto"/>
          <w:szCs w:val="24"/>
          <w:highlight w:val="none"/>
          <w:lang w:val="en-US" w:eastAsia="zh-CN"/>
        </w:rPr>
        <w:t xml:space="preserve">章  </w:t>
      </w:r>
      <w:r>
        <w:rPr>
          <w:rFonts w:hint="eastAsia" w:ascii="宋体" w:hAnsi="宋体" w:eastAsia="宋体" w:cs="宋体"/>
          <w:b/>
          <w:bCs/>
          <w:color w:val="auto"/>
          <w:szCs w:val="24"/>
          <w:highlight w:val="none"/>
        </w:rPr>
        <w:t>政府采购合同</w:t>
      </w:r>
      <w:r>
        <w:rPr>
          <w:rFonts w:hint="eastAsia" w:ascii="宋体" w:hAnsi="宋体" w:eastAsia="宋体" w:cs="宋体"/>
          <w:b/>
          <w:bCs/>
          <w:color w:val="auto"/>
          <w:szCs w:val="24"/>
          <w:highlight w:val="none"/>
        </w:rPr>
        <w:tab/>
      </w:r>
      <w:r>
        <w:rPr>
          <w:rFonts w:hint="eastAsia" w:ascii="宋体" w:hAnsi="宋体" w:eastAsia="宋体" w:cs="宋体"/>
          <w:b/>
          <w:bCs/>
          <w:color w:val="auto"/>
          <w:szCs w:val="24"/>
          <w:highlight w:val="none"/>
        </w:rPr>
        <w:fldChar w:fldCharType="begin"/>
      </w:r>
      <w:r>
        <w:rPr>
          <w:rFonts w:hint="eastAsia" w:ascii="宋体" w:hAnsi="宋体" w:eastAsia="宋体" w:cs="宋体"/>
          <w:b/>
          <w:bCs/>
          <w:color w:val="auto"/>
          <w:szCs w:val="24"/>
          <w:highlight w:val="none"/>
        </w:rPr>
        <w:instrText xml:space="preserve"> PAGEREF _Toc28450 \h </w:instrText>
      </w:r>
      <w:r>
        <w:rPr>
          <w:rFonts w:hint="eastAsia" w:ascii="宋体" w:hAnsi="宋体" w:eastAsia="宋体" w:cs="宋体"/>
          <w:b/>
          <w:bCs/>
          <w:color w:val="auto"/>
          <w:szCs w:val="24"/>
          <w:highlight w:val="none"/>
        </w:rPr>
        <w:fldChar w:fldCharType="separate"/>
      </w:r>
      <w:r>
        <w:rPr>
          <w:rFonts w:hint="eastAsia" w:ascii="宋体" w:hAnsi="宋体" w:eastAsia="宋体" w:cs="宋体"/>
          <w:b/>
          <w:bCs/>
          <w:color w:val="auto"/>
          <w:szCs w:val="24"/>
          <w:highlight w:val="none"/>
        </w:rPr>
        <w:t>36</w:t>
      </w:r>
      <w:r>
        <w:rPr>
          <w:rFonts w:hint="eastAsia" w:ascii="宋体" w:hAnsi="宋体" w:eastAsia="宋体" w:cs="宋体"/>
          <w:b/>
          <w:bCs/>
          <w:color w:val="auto"/>
          <w:szCs w:val="24"/>
          <w:highlight w:val="none"/>
        </w:rPr>
        <w:fldChar w:fldCharType="end"/>
      </w:r>
      <w:r>
        <w:rPr>
          <w:rFonts w:hint="eastAsia" w:ascii="宋体" w:hAnsi="宋体" w:eastAsia="宋体" w:cs="宋体"/>
          <w:b/>
          <w:bCs/>
          <w:color w:val="auto"/>
          <w:szCs w:val="24"/>
          <w:highlight w:val="none"/>
        </w:rPr>
        <w:fldChar w:fldCharType="end"/>
      </w:r>
    </w:p>
    <w:p>
      <w:pPr>
        <w:pStyle w:val="17"/>
        <w:tabs>
          <w:tab w:val="right" w:leader="dot" w:pos="9026"/>
        </w:tabs>
        <w:ind w:left="0" w:leftChars="0" w:right="0" w:rightChars="0" w:firstLine="0" w:firstLineChars="0"/>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fldChar w:fldCharType="begin"/>
      </w:r>
      <w:r>
        <w:rPr>
          <w:rFonts w:hint="eastAsia" w:ascii="宋体" w:hAnsi="宋体" w:eastAsia="宋体" w:cs="宋体"/>
          <w:b/>
          <w:bCs/>
          <w:color w:val="auto"/>
          <w:szCs w:val="24"/>
          <w:highlight w:val="none"/>
        </w:rPr>
        <w:instrText xml:space="preserve"> HYPERLINK \l _Toc17527 </w:instrText>
      </w:r>
      <w:r>
        <w:rPr>
          <w:rFonts w:hint="eastAsia" w:ascii="宋体" w:hAnsi="宋体" w:eastAsia="宋体" w:cs="宋体"/>
          <w:b/>
          <w:bCs/>
          <w:color w:val="auto"/>
          <w:szCs w:val="24"/>
          <w:highlight w:val="none"/>
        </w:rPr>
        <w:fldChar w:fldCharType="separate"/>
      </w:r>
      <w:r>
        <w:rPr>
          <w:rFonts w:hint="eastAsia" w:ascii="宋体" w:hAnsi="宋体" w:eastAsia="宋体" w:cs="宋体"/>
          <w:b/>
          <w:bCs/>
          <w:color w:val="auto"/>
          <w:szCs w:val="24"/>
          <w:highlight w:val="none"/>
        </w:rPr>
        <w:t>第六</w:t>
      </w:r>
      <w:r>
        <w:rPr>
          <w:rFonts w:hint="eastAsia" w:ascii="宋体" w:hAnsi="宋体" w:eastAsia="宋体" w:cs="宋体"/>
          <w:b/>
          <w:bCs/>
          <w:color w:val="auto"/>
          <w:szCs w:val="24"/>
          <w:highlight w:val="none"/>
          <w:lang w:val="en-US" w:eastAsia="zh-CN"/>
        </w:rPr>
        <w:t xml:space="preserve">章  </w:t>
      </w:r>
      <w:r>
        <w:rPr>
          <w:rFonts w:hint="eastAsia" w:ascii="宋体" w:hAnsi="宋体" w:eastAsia="宋体" w:cs="宋体"/>
          <w:b/>
          <w:bCs/>
          <w:color w:val="auto"/>
          <w:szCs w:val="24"/>
          <w:highlight w:val="none"/>
        </w:rPr>
        <w:t>投标文件格式</w:t>
      </w:r>
      <w:r>
        <w:rPr>
          <w:rFonts w:hint="eastAsia" w:ascii="宋体" w:hAnsi="宋体" w:eastAsia="宋体" w:cs="宋体"/>
          <w:b/>
          <w:bCs/>
          <w:color w:val="auto"/>
          <w:szCs w:val="24"/>
          <w:highlight w:val="none"/>
        </w:rPr>
        <w:tab/>
      </w:r>
      <w:r>
        <w:rPr>
          <w:rFonts w:hint="eastAsia" w:ascii="宋体" w:hAnsi="宋体" w:eastAsia="宋体" w:cs="宋体"/>
          <w:b/>
          <w:bCs/>
          <w:color w:val="auto"/>
          <w:szCs w:val="24"/>
          <w:highlight w:val="none"/>
        </w:rPr>
        <w:fldChar w:fldCharType="begin"/>
      </w:r>
      <w:r>
        <w:rPr>
          <w:rFonts w:hint="eastAsia" w:ascii="宋体" w:hAnsi="宋体" w:eastAsia="宋体" w:cs="宋体"/>
          <w:b/>
          <w:bCs/>
          <w:color w:val="auto"/>
          <w:szCs w:val="24"/>
          <w:highlight w:val="none"/>
        </w:rPr>
        <w:instrText xml:space="preserve"> PAGEREF _Toc17527 \h </w:instrText>
      </w:r>
      <w:r>
        <w:rPr>
          <w:rFonts w:hint="eastAsia" w:ascii="宋体" w:hAnsi="宋体" w:eastAsia="宋体" w:cs="宋体"/>
          <w:b/>
          <w:bCs/>
          <w:color w:val="auto"/>
          <w:szCs w:val="24"/>
          <w:highlight w:val="none"/>
        </w:rPr>
        <w:fldChar w:fldCharType="separate"/>
      </w:r>
      <w:r>
        <w:rPr>
          <w:rFonts w:hint="eastAsia" w:ascii="宋体" w:hAnsi="宋体" w:eastAsia="宋体" w:cs="宋体"/>
          <w:b/>
          <w:bCs/>
          <w:color w:val="auto"/>
          <w:szCs w:val="24"/>
          <w:highlight w:val="none"/>
        </w:rPr>
        <w:t>48</w:t>
      </w:r>
      <w:r>
        <w:rPr>
          <w:rFonts w:hint="eastAsia" w:ascii="宋体" w:hAnsi="宋体" w:eastAsia="宋体" w:cs="宋体"/>
          <w:b/>
          <w:bCs/>
          <w:color w:val="auto"/>
          <w:szCs w:val="24"/>
          <w:highlight w:val="none"/>
        </w:rPr>
        <w:fldChar w:fldCharType="end"/>
      </w:r>
      <w:r>
        <w:rPr>
          <w:rFonts w:hint="eastAsia" w:ascii="宋体" w:hAnsi="宋体" w:eastAsia="宋体" w:cs="宋体"/>
          <w:b/>
          <w:bCs/>
          <w:color w:val="auto"/>
          <w:szCs w:val="24"/>
          <w:highlight w:val="none"/>
        </w:rPr>
        <w:fldChar w:fldCharType="end"/>
      </w:r>
    </w:p>
    <w:p>
      <w:pPr>
        <w:spacing w:line="360" w:lineRule="auto"/>
        <w:ind w:left="0" w:leftChars="0" w:right="0" w:rightChars="0" w:firstLine="0" w:firstLine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end"/>
      </w:r>
      <w:bookmarkStart w:id="3" w:name="_Toc19821"/>
      <w:bookmarkStart w:id="4" w:name="_Toc12044"/>
      <w:bookmarkStart w:id="5" w:name="_Toc3895329"/>
      <w:bookmarkStart w:id="6" w:name="_Toc10564"/>
      <w:bookmarkStart w:id="7" w:name="_Toc10182"/>
      <w:bookmarkStart w:id="8" w:name="_Toc14361"/>
      <w:bookmarkStart w:id="9" w:name="_Toc26602"/>
      <w:bookmarkStart w:id="10" w:name="_Toc1555"/>
      <w:bookmarkStart w:id="11" w:name="_Toc462489954"/>
      <w:bookmarkStart w:id="12" w:name="_Toc22548"/>
      <w:bookmarkStart w:id="13" w:name="_Toc8001"/>
      <w:bookmarkStart w:id="14" w:name="_Toc30688"/>
      <w:bookmarkStart w:id="15" w:name="_Toc32202"/>
      <w:bookmarkStart w:id="16" w:name="_Toc19278"/>
      <w:bookmarkStart w:id="17" w:name="_Toc14276"/>
      <w:bookmarkStart w:id="18" w:name="_Toc29260"/>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Pr>
        <w:pStyle w:val="51"/>
        <w:spacing w:line="360" w:lineRule="auto"/>
        <w:ind w:left="0" w:leftChars="0" w:right="0" w:rightChars="0" w:firstLine="0" w:firstLineChars="0"/>
        <w:jc w:val="center"/>
        <w:rPr>
          <w:rFonts w:hint="eastAsia" w:ascii="宋体" w:hAnsi="宋体" w:eastAsia="宋体" w:cs="宋体"/>
          <w:b/>
          <w:color w:val="auto"/>
          <w:sz w:val="36"/>
          <w:szCs w:val="36"/>
          <w:highlight w:val="none"/>
        </w:rPr>
        <w:sectPr>
          <w:footerReference r:id="rId8" w:type="first"/>
          <w:footerReference r:id="rId7" w:type="default"/>
          <w:pgSz w:w="11906" w:h="16838"/>
          <w:pgMar w:top="1440" w:right="1440" w:bottom="1440" w:left="1440" w:header="851" w:footer="850" w:gutter="0"/>
          <w:pgBorders>
            <w:top w:val="none" w:sz="0" w:space="0"/>
            <w:left w:val="none" w:sz="0" w:space="0"/>
            <w:bottom w:val="none" w:sz="0" w:space="0"/>
            <w:right w:val="none" w:sz="0" w:space="0"/>
          </w:pgBorders>
          <w:pgNumType w:fmt="numberInDash" w:start="1"/>
          <w:cols w:space="0" w:num="1"/>
          <w:titlePg/>
          <w:rtlGutter w:val="0"/>
          <w:docGrid w:type="lines" w:linePitch="312" w:charSpace="0"/>
        </w:sectPr>
      </w:pPr>
      <w:bookmarkStart w:id="19" w:name="EBe172884bd419481395e9c0e1ce40e520"/>
    </w:p>
    <w:p>
      <w:pPr>
        <w:pStyle w:val="51"/>
        <w:spacing w:line="360" w:lineRule="auto"/>
        <w:ind w:left="0" w:leftChars="0" w:right="0" w:rightChars="0" w:firstLine="0" w:firstLineChars="0"/>
        <w:jc w:val="center"/>
        <w:rPr>
          <w:rFonts w:hint="eastAsia" w:ascii="宋体" w:hAnsi="宋体" w:eastAsia="宋体" w:cs="宋体"/>
          <w:b/>
          <w:color w:val="auto"/>
          <w:sz w:val="36"/>
          <w:szCs w:val="36"/>
          <w:highlight w:val="none"/>
        </w:rPr>
      </w:pPr>
      <w:bookmarkStart w:id="20" w:name="_Toc4016"/>
      <w:r>
        <w:rPr>
          <w:rFonts w:hint="eastAsia" w:ascii="宋体" w:hAnsi="宋体" w:eastAsia="宋体" w:cs="宋体"/>
          <w:b/>
          <w:color w:val="auto"/>
          <w:sz w:val="36"/>
          <w:szCs w:val="36"/>
          <w:highlight w:val="none"/>
        </w:rPr>
        <w:t>第一</w:t>
      </w:r>
      <w:r>
        <w:rPr>
          <w:rFonts w:hint="eastAsia" w:ascii="宋体" w:hAnsi="宋体" w:eastAsia="宋体" w:cs="宋体"/>
          <w:b/>
          <w:color w:val="auto"/>
          <w:sz w:val="36"/>
          <w:szCs w:val="36"/>
          <w:highlight w:val="none"/>
          <w:lang w:val="en-US" w:eastAsia="zh-CN"/>
        </w:rPr>
        <w:t>章 招标</w:t>
      </w:r>
      <w:r>
        <w:rPr>
          <w:rFonts w:hint="eastAsia" w:ascii="宋体" w:hAnsi="宋体" w:eastAsia="宋体" w:cs="宋体"/>
          <w:b/>
          <w:color w:val="auto"/>
          <w:sz w:val="36"/>
          <w:szCs w:val="36"/>
          <w:highlight w:val="none"/>
        </w:rPr>
        <w:t>公告</w:t>
      </w:r>
      <w:bookmarkEnd w:id="20"/>
    </w:p>
    <w:bookmarkEnd w:id="19"/>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color w:val="auto"/>
        </w:rPr>
      </w:pPr>
      <w:bookmarkStart w:id="21" w:name="_Toc28359001"/>
      <w:bookmarkStart w:id="22" w:name="_Toc35393789"/>
      <w:bookmarkStart w:id="23" w:name="_Toc26906"/>
      <w:bookmarkStart w:id="24" w:name="_Toc19625"/>
      <w:bookmarkStart w:id="25" w:name="_Toc12198"/>
      <w:bookmarkStart w:id="26" w:name="_Toc30048"/>
      <w:bookmarkStart w:id="27" w:name="_Toc25855"/>
      <w:bookmarkStart w:id="28" w:name="_Toc2571"/>
      <w:bookmarkStart w:id="29" w:name="_Toc11470"/>
      <w:bookmarkStart w:id="30" w:name="_Toc6851"/>
      <w:bookmarkStart w:id="31" w:name="_Toc462489955"/>
      <w:bookmarkStart w:id="32" w:name="_Toc9066"/>
      <w:bookmarkStart w:id="33" w:name="_Toc7724"/>
      <w:bookmarkStart w:id="34" w:name="_Toc3937"/>
      <w:bookmarkStart w:id="35" w:name="_Toc21512"/>
      <w:bookmarkStart w:id="36" w:name="_Toc9497"/>
      <w:bookmarkStart w:id="37" w:name="_Toc13251"/>
      <w:bookmarkStart w:id="38" w:name="_Toc3895330"/>
      <w:r>
        <w:rPr>
          <w:rFonts w:hint="eastAsia" w:ascii="华文中宋" w:hAnsi="华文中宋" w:eastAsia="华文中宋"/>
          <w:color w:val="auto"/>
          <w:lang w:eastAsia="zh-CN"/>
        </w:rPr>
        <w:t>哈巴河县学校、幼儿园</w:t>
      </w:r>
      <w:r>
        <w:rPr>
          <w:rFonts w:hint="eastAsia" w:ascii="华文中宋" w:hAnsi="华文中宋" w:eastAsia="华文中宋"/>
          <w:color w:val="auto"/>
          <w:lang w:val="en-US" w:eastAsia="zh-CN"/>
        </w:rPr>
        <w:t>2022年冬季取暖用煤项目</w:t>
      </w:r>
      <w:r>
        <w:rPr>
          <w:rFonts w:hint="eastAsia" w:ascii="华文中宋" w:hAnsi="华文中宋" w:eastAsia="华文中宋"/>
          <w:color w:val="auto"/>
          <w:lang w:eastAsia="zh-CN"/>
        </w:rPr>
        <w:t>公开</w:t>
      </w:r>
      <w:r>
        <w:rPr>
          <w:rFonts w:hint="eastAsia" w:ascii="华文中宋" w:hAnsi="华文中宋" w:eastAsia="华文中宋"/>
          <w:color w:val="auto"/>
        </w:rPr>
        <w:t>招标公告</w:t>
      </w:r>
      <w:bookmarkEnd w:id="21"/>
      <w:bookmarkEnd w:id="22"/>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olor w:val="auto"/>
          <w:sz w:val="28"/>
          <w:szCs w:val="28"/>
        </w:rPr>
      </w:pP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eastAsia="zh-CN"/>
        </w:rPr>
        <w:t>哈巴河县学校、幼儿园</w:t>
      </w:r>
      <w:r>
        <w:rPr>
          <w:rFonts w:hint="eastAsia" w:ascii="仿宋" w:hAnsi="仿宋" w:eastAsia="仿宋"/>
          <w:color w:val="auto"/>
          <w:sz w:val="28"/>
          <w:szCs w:val="28"/>
          <w:u w:val="single"/>
          <w:lang w:val="en-US" w:eastAsia="zh-CN"/>
        </w:rPr>
        <w:t>2022年冬季取暖用煤项目</w:t>
      </w:r>
      <w:r>
        <w:rPr>
          <w:rFonts w:hint="eastAsia" w:ascii="仿宋" w:hAnsi="仿宋" w:eastAsia="仿宋"/>
          <w:color w:val="auto"/>
          <w:sz w:val="28"/>
          <w:szCs w:val="28"/>
        </w:rPr>
        <w:t xml:space="preserve"> 招标项目的潜在投标人应在</w:t>
      </w:r>
      <w:r>
        <w:rPr>
          <w:rFonts w:hint="eastAsia" w:ascii="仿宋" w:hAnsi="仿宋" w:eastAsia="仿宋"/>
          <w:color w:val="auto"/>
          <w:sz w:val="28"/>
          <w:szCs w:val="28"/>
          <w:u w:val="single"/>
          <w:lang w:val="en-US" w:eastAsia="zh-CN"/>
        </w:rPr>
        <w:t>新疆金泰首致项目管理咨询有限公司</w:t>
      </w:r>
      <w:r>
        <w:rPr>
          <w:rFonts w:hint="eastAsia" w:ascii="仿宋" w:hAnsi="仿宋" w:eastAsia="仿宋"/>
          <w:color w:val="auto"/>
          <w:sz w:val="28"/>
          <w:szCs w:val="28"/>
        </w:rPr>
        <w:t>获取招标文件，</w:t>
      </w:r>
      <w:r>
        <w:rPr>
          <w:rFonts w:hint="eastAsia" w:ascii="仿宋" w:hAnsi="仿宋" w:eastAsia="仿宋"/>
          <w:color w:val="auto"/>
          <w:sz w:val="28"/>
          <w:szCs w:val="28"/>
          <w:highlight w:val="none"/>
        </w:rPr>
        <w:t>并于</w:t>
      </w:r>
      <w:r>
        <w:rPr>
          <w:rFonts w:hint="eastAsia" w:ascii="仿宋" w:hAnsi="仿宋" w:eastAsia="仿宋"/>
          <w:color w:val="auto"/>
          <w:sz w:val="28"/>
          <w:szCs w:val="28"/>
          <w:highlight w:val="none"/>
          <w:u w:val="single"/>
          <w:lang w:val="en-US" w:eastAsia="zh-CN"/>
        </w:rPr>
        <w:t>2022</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7</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15</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16</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u w:val="single"/>
        </w:rPr>
        <w:t>（</w:t>
      </w:r>
      <w:r>
        <w:rPr>
          <w:rFonts w:hint="eastAsia" w:ascii="仿宋" w:hAnsi="仿宋" w:eastAsia="仿宋"/>
          <w:bCs/>
          <w:color w:val="auto"/>
          <w:sz w:val="28"/>
          <w:szCs w:val="28"/>
        </w:rPr>
        <w:t>北京时间）前递交投标</w:t>
      </w:r>
      <w:r>
        <w:rPr>
          <w:rFonts w:ascii="仿宋" w:hAnsi="仿宋" w:eastAsia="仿宋"/>
          <w:bCs/>
          <w:color w:val="auto"/>
          <w:sz w:val="28"/>
          <w:szCs w:val="28"/>
        </w:rPr>
        <w:t>文件</w:t>
      </w:r>
      <w:r>
        <w:rPr>
          <w:rFonts w:hint="eastAsia" w:ascii="仿宋" w:hAnsi="仿宋" w:eastAsia="仿宋"/>
          <w:color w:val="auto"/>
          <w:sz w:val="28"/>
          <w:szCs w:val="28"/>
        </w:rPr>
        <w:t>。</w:t>
      </w:r>
    </w:p>
    <w:p>
      <w:pPr>
        <w:pStyle w:val="4"/>
        <w:numPr>
          <w:ilvl w:val="1"/>
          <w:numId w:val="0"/>
        </w:numPr>
        <w:spacing w:line="360" w:lineRule="auto"/>
        <w:rPr>
          <w:rFonts w:hint="eastAsia" w:ascii="仿宋" w:hAnsi="仿宋" w:eastAsia="仿宋" w:cs="Times New Roman"/>
          <w:b w:val="0"/>
          <w:bCs w:val="0"/>
          <w:color w:val="auto"/>
          <w:w w:val="100"/>
          <w:kern w:val="2"/>
          <w:sz w:val="28"/>
          <w:szCs w:val="28"/>
          <w:lang w:val="en-US" w:eastAsia="zh-CN" w:bidi="ar-SA"/>
        </w:rPr>
      </w:pPr>
      <w:bookmarkStart w:id="39" w:name="_Toc35393621"/>
      <w:bookmarkStart w:id="40" w:name="_Toc35393790"/>
      <w:bookmarkStart w:id="41" w:name="_Toc28359079"/>
      <w:bookmarkStart w:id="42" w:name="_Toc28359002"/>
      <w:bookmarkStart w:id="43" w:name="_Hlk24379207"/>
      <w:r>
        <w:rPr>
          <w:rFonts w:hint="eastAsia" w:ascii="仿宋" w:hAnsi="仿宋" w:eastAsia="仿宋" w:cs="Times New Roman"/>
          <w:b w:val="0"/>
          <w:bCs w:val="0"/>
          <w:color w:val="auto"/>
          <w:w w:val="100"/>
          <w:kern w:val="2"/>
          <w:sz w:val="28"/>
          <w:szCs w:val="28"/>
          <w:lang w:val="en-US" w:eastAsia="zh-CN" w:bidi="ar-SA"/>
        </w:rPr>
        <w:t>一、项目基本情况</w:t>
      </w:r>
      <w:bookmarkEnd w:id="39"/>
      <w:bookmarkEnd w:id="40"/>
      <w:bookmarkEnd w:id="41"/>
      <w:bookmarkEnd w:id="42"/>
    </w:p>
    <w:p>
      <w:pPr>
        <w:ind w:firstLine="560" w:firstLineChars="200"/>
        <w:rPr>
          <w:rFonts w:hint="default" w:ascii="仿宋" w:hAnsi="仿宋" w:eastAsia="仿宋"/>
          <w:color w:val="auto"/>
          <w:sz w:val="28"/>
          <w:szCs w:val="28"/>
          <w:lang w:val="en-US"/>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ZFCGH-JTSZZB2022-015</w:t>
      </w:r>
    </w:p>
    <w:p>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rPr>
        <w:t>项目名称：</w:t>
      </w:r>
      <w:bookmarkEnd w:id="43"/>
      <w:r>
        <w:rPr>
          <w:rFonts w:hint="eastAsia" w:ascii="仿宋" w:hAnsi="仿宋" w:eastAsia="仿宋"/>
          <w:color w:val="auto"/>
          <w:sz w:val="28"/>
          <w:szCs w:val="28"/>
          <w:lang w:eastAsia="zh-CN"/>
        </w:rPr>
        <w:t>哈巴河县学校、幼儿园</w:t>
      </w:r>
      <w:r>
        <w:rPr>
          <w:rFonts w:hint="eastAsia" w:ascii="仿宋" w:hAnsi="仿宋" w:eastAsia="仿宋"/>
          <w:color w:val="auto"/>
          <w:sz w:val="28"/>
          <w:szCs w:val="28"/>
          <w:lang w:val="en-US" w:eastAsia="zh-CN"/>
        </w:rPr>
        <w:t>2022年冬季取暖用煤项目</w:t>
      </w:r>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预算金额：</w:t>
      </w:r>
      <w:r>
        <w:rPr>
          <w:rFonts w:hint="eastAsia" w:ascii="仿宋" w:hAnsi="仿宋" w:eastAsia="仿宋"/>
          <w:color w:val="auto"/>
          <w:sz w:val="28"/>
          <w:szCs w:val="28"/>
          <w:lang w:val="en-US" w:eastAsia="zh-CN"/>
        </w:rPr>
        <w:t>2468950元</w:t>
      </w:r>
    </w:p>
    <w:p>
      <w:pPr>
        <w:ind w:firstLine="560" w:firstLineChars="200"/>
        <w:rPr>
          <w:rFonts w:hint="eastAsia" w:ascii="仿宋" w:hAnsi="仿宋" w:eastAsia="仿宋"/>
          <w:color w:val="auto"/>
          <w:sz w:val="28"/>
          <w:szCs w:val="28"/>
        </w:rPr>
      </w:pPr>
      <w:r>
        <w:rPr>
          <w:rFonts w:hint="eastAsia" w:ascii="仿宋" w:hAnsi="仿宋" w:eastAsia="仿宋"/>
          <w:color w:val="auto"/>
          <w:sz w:val="28"/>
          <w:szCs w:val="28"/>
        </w:rPr>
        <w:t>采购需求：</w:t>
      </w:r>
      <w:r>
        <w:rPr>
          <w:rFonts w:hint="eastAsia" w:ascii="仿宋" w:hAnsi="仿宋" w:eastAsia="仿宋"/>
          <w:color w:val="auto"/>
          <w:sz w:val="28"/>
          <w:szCs w:val="28"/>
          <w:lang w:eastAsia="zh-CN"/>
        </w:rPr>
        <w:t>哈巴河县学校、幼儿园</w:t>
      </w:r>
      <w:r>
        <w:rPr>
          <w:rFonts w:hint="eastAsia" w:ascii="仿宋" w:hAnsi="仿宋" w:eastAsia="仿宋"/>
          <w:color w:val="auto"/>
          <w:sz w:val="28"/>
          <w:szCs w:val="28"/>
          <w:lang w:val="en-US" w:eastAsia="zh-CN"/>
        </w:rPr>
        <w:t>2022年冬季取暖用煤</w:t>
      </w:r>
      <w:r>
        <w:rPr>
          <w:rFonts w:hint="eastAsia" w:ascii="仿宋" w:hAnsi="仿宋" w:eastAsia="仿宋"/>
          <w:color w:val="auto"/>
          <w:sz w:val="28"/>
          <w:szCs w:val="28"/>
          <w:lang w:eastAsia="zh-CN"/>
        </w:rPr>
        <w:t>，详见招标文件</w:t>
      </w:r>
    </w:p>
    <w:p>
      <w:pPr>
        <w:ind w:firstLine="560" w:firstLineChars="200"/>
        <w:rPr>
          <w:rFonts w:hint="eastAsia" w:ascii="仿宋" w:hAnsi="仿宋" w:eastAsia="仿宋"/>
          <w:color w:val="auto"/>
          <w:sz w:val="28"/>
          <w:szCs w:val="28"/>
          <w:u w:val="single"/>
          <w:lang w:eastAsia="zh-CN"/>
        </w:rPr>
      </w:pPr>
      <w:r>
        <w:rPr>
          <w:rFonts w:hint="eastAsia" w:ascii="仿宋" w:hAnsi="仿宋" w:eastAsia="仿宋"/>
          <w:color w:val="auto"/>
          <w:sz w:val="28"/>
          <w:szCs w:val="28"/>
        </w:rPr>
        <w:t>合同履行期限：</w:t>
      </w:r>
      <w:r>
        <w:rPr>
          <w:rFonts w:hint="eastAsia" w:ascii="仿宋" w:hAnsi="仿宋" w:eastAsia="仿宋"/>
          <w:color w:val="auto"/>
          <w:sz w:val="28"/>
          <w:szCs w:val="28"/>
          <w:lang w:eastAsia="zh-CN"/>
        </w:rPr>
        <w:t>详见招标文件</w:t>
      </w:r>
    </w:p>
    <w:p>
      <w:pPr>
        <w:spacing w:line="360" w:lineRule="auto"/>
        <w:ind w:firstLine="560" w:firstLineChars="200"/>
        <w:rPr>
          <w:rFonts w:ascii="仿宋" w:hAnsi="仿宋" w:eastAsia="仿宋"/>
          <w:color w:val="auto"/>
          <w:sz w:val="28"/>
          <w:szCs w:val="28"/>
        </w:rPr>
      </w:pPr>
      <w:r>
        <w:rPr>
          <w:rFonts w:hint="eastAsia" w:ascii="仿宋" w:hAnsi="仿宋" w:eastAsia="仿宋"/>
          <w:color w:val="auto"/>
          <w:sz w:val="28"/>
          <w:szCs w:val="28"/>
        </w:rPr>
        <w:t>本项目（</w:t>
      </w:r>
      <w:r>
        <w:rPr>
          <w:rFonts w:ascii="仿宋" w:hAnsi="仿宋" w:eastAsia="仿宋"/>
          <w:i/>
          <w:color w:val="auto"/>
          <w:sz w:val="28"/>
          <w:szCs w:val="28"/>
        </w:rPr>
        <w:t>否</w:t>
      </w:r>
      <w:r>
        <w:rPr>
          <w:rFonts w:hint="eastAsia" w:ascii="仿宋" w:hAnsi="仿宋" w:eastAsia="仿宋"/>
          <w:color w:val="auto"/>
          <w:sz w:val="28"/>
          <w:szCs w:val="28"/>
        </w:rPr>
        <w:t>）接受联合体投标。</w:t>
      </w:r>
    </w:p>
    <w:p>
      <w:pPr>
        <w:pStyle w:val="4"/>
        <w:numPr>
          <w:ilvl w:val="1"/>
          <w:numId w:val="0"/>
        </w:numPr>
        <w:spacing w:line="360" w:lineRule="auto"/>
        <w:rPr>
          <w:rFonts w:hint="eastAsia" w:ascii="仿宋" w:hAnsi="仿宋" w:eastAsia="仿宋" w:cs="Times New Roman"/>
          <w:b w:val="0"/>
          <w:bCs w:val="0"/>
          <w:color w:val="auto"/>
          <w:w w:val="100"/>
          <w:kern w:val="2"/>
          <w:sz w:val="28"/>
          <w:szCs w:val="28"/>
          <w:lang w:val="en-US" w:eastAsia="zh-CN" w:bidi="ar-SA"/>
        </w:rPr>
      </w:pPr>
      <w:bookmarkStart w:id="44" w:name="_Toc28359003"/>
      <w:bookmarkStart w:id="45" w:name="_Toc35393791"/>
      <w:bookmarkStart w:id="46" w:name="_Toc35393622"/>
      <w:bookmarkStart w:id="47" w:name="_Toc28359080"/>
      <w:r>
        <w:rPr>
          <w:rFonts w:hint="eastAsia" w:ascii="仿宋" w:hAnsi="仿宋" w:eastAsia="仿宋" w:cs="Times New Roman"/>
          <w:b w:val="0"/>
          <w:bCs w:val="0"/>
          <w:color w:val="auto"/>
          <w:w w:val="100"/>
          <w:kern w:val="2"/>
          <w:sz w:val="28"/>
          <w:szCs w:val="28"/>
          <w:lang w:val="en-US" w:eastAsia="zh-CN" w:bidi="ar-SA"/>
        </w:rPr>
        <w:t>二、申请人的资格要求：</w:t>
      </w:r>
      <w:bookmarkEnd w:id="44"/>
      <w:bookmarkEnd w:id="45"/>
      <w:bookmarkEnd w:id="46"/>
      <w:bookmarkEnd w:id="47"/>
    </w:p>
    <w:p>
      <w:pPr>
        <w:ind w:firstLine="560" w:firstLineChars="200"/>
        <w:rPr>
          <w:rFonts w:ascii="仿宋" w:hAnsi="仿宋" w:eastAsia="仿宋"/>
          <w:color w:val="auto"/>
          <w:sz w:val="28"/>
          <w:szCs w:val="28"/>
        </w:rPr>
      </w:pPr>
      <w:r>
        <w:rPr>
          <w:rFonts w:hint="eastAsia" w:ascii="仿宋" w:hAnsi="仿宋" w:eastAsia="仿宋"/>
          <w:color w:val="auto"/>
          <w:sz w:val="28"/>
          <w:szCs w:val="28"/>
        </w:rPr>
        <w:t>1.满足《中华人民共和国政府采购法》第二十二条规定；</w:t>
      </w:r>
    </w:p>
    <w:p>
      <w:pPr>
        <w:numPr>
          <w:ilvl w:val="0"/>
          <w:numId w:val="0"/>
        </w:numPr>
        <w:ind w:firstLine="560" w:firstLineChars="200"/>
        <w:rPr>
          <w:rFonts w:hint="default" w:ascii="仿宋" w:hAnsi="仿宋" w:eastAsia="仿宋"/>
          <w:color w:val="auto"/>
          <w:sz w:val="28"/>
          <w:szCs w:val="28"/>
          <w:lang w:val="en-US" w:eastAsia="zh-CN"/>
        </w:rPr>
      </w:pPr>
      <w:bookmarkStart w:id="48" w:name="_Toc28359004"/>
      <w:bookmarkStart w:id="49" w:name="_Toc28359081"/>
      <w:r>
        <w:rPr>
          <w:rFonts w:ascii="仿宋" w:hAnsi="仿宋" w:eastAsia="仿宋"/>
          <w:color w:val="auto"/>
          <w:sz w:val="28"/>
          <w:szCs w:val="28"/>
        </w:rPr>
        <w:t>2</w:t>
      </w:r>
      <w:r>
        <w:rPr>
          <w:rFonts w:hint="eastAsia" w:ascii="仿宋" w:hAnsi="仿宋" w:eastAsia="仿宋"/>
          <w:color w:val="auto"/>
          <w:sz w:val="28"/>
          <w:szCs w:val="28"/>
        </w:rPr>
        <w:t>.落实政府采购政策需满足的资格要求：(1)财政部、国家发展改革委《关于印发《节能产品政府采购实施意见》的通知》（财库[2004]185号）；</w:t>
      </w:r>
    </w:p>
    <w:p>
      <w:pPr>
        <w:numPr>
          <w:ilvl w:val="0"/>
          <w:numId w:val="0"/>
        </w:numPr>
        <w:ind w:firstLine="560" w:firstLineChars="200"/>
        <w:rPr>
          <w:rFonts w:hint="eastAsia" w:ascii="仿宋" w:hAnsi="仿宋" w:eastAsia="仿宋"/>
          <w:color w:val="auto"/>
          <w:sz w:val="28"/>
          <w:szCs w:val="28"/>
        </w:rPr>
      </w:pPr>
      <w:r>
        <w:rPr>
          <w:rFonts w:hint="eastAsia" w:ascii="仿宋" w:hAnsi="仿宋" w:eastAsia="仿宋"/>
          <w:color w:val="auto"/>
          <w:sz w:val="28"/>
          <w:szCs w:val="28"/>
        </w:rPr>
        <w:t>(2)《财政部、环保总局关于环境标志产品政府采购实施的意见》（财库[2006]90号）；</w:t>
      </w:r>
    </w:p>
    <w:p>
      <w:pPr>
        <w:numPr>
          <w:ilvl w:val="0"/>
          <w:numId w:val="0"/>
        </w:numPr>
        <w:ind w:firstLine="560" w:firstLineChars="200"/>
        <w:rPr>
          <w:rFonts w:hint="eastAsia" w:ascii="仿宋" w:hAnsi="仿宋" w:eastAsia="仿宋"/>
          <w:color w:val="auto"/>
          <w:sz w:val="28"/>
          <w:szCs w:val="28"/>
        </w:rPr>
      </w:pPr>
      <w:r>
        <w:rPr>
          <w:rFonts w:hint="eastAsia" w:ascii="仿宋" w:hAnsi="仿宋" w:eastAsia="仿宋"/>
          <w:color w:val="auto"/>
          <w:sz w:val="28"/>
          <w:szCs w:val="28"/>
        </w:rPr>
        <w:t>(3)财政部、工业和信息化部《关于印发《政府采购促进中小企业发展管理办法》的通知》（财库[2020]46号）；</w:t>
      </w:r>
    </w:p>
    <w:p>
      <w:pPr>
        <w:numPr>
          <w:ilvl w:val="0"/>
          <w:numId w:val="0"/>
        </w:numPr>
        <w:ind w:firstLine="560" w:firstLineChars="200"/>
        <w:rPr>
          <w:rFonts w:hint="eastAsia" w:ascii="仿宋" w:hAnsi="仿宋" w:eastAsia="仿宋"/>
          <w:color w:val="auto"/>
          <w:sz w:val="28"/>
          <w:szCs w:val="28"/>
        </w:rPr>
      </w:pPr>
      <w:r>
        <w:rPr>
          <w:rFonts w:hint="eastAsia" w:ascii="仿宋" w:hAnsi="仿宋" w:eastAsia="仿宋"/>
          <w:color w:val="auto"/>
          <w:sz w:val="28"/>
          <w:szCs w:val="28"/>
        </w:rPr>
        <w:t>(4)财政部、民政部、中国残疾人联合会《关于促进残疾人就业政府采购政策的通知》（财库[2017]141号）；</w:t>
      </w:r>
    </w:p>
    <w:p>
      <w:pPr>
        <w:numPr>
          <w:ilvl w:val="0"/>
          <w:numId w:val="0"/>
        </w:numPr>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rPr>
        <w:t>(5)财政部、司法部《关于政府采购支持监狱企业发展有关问题的通知》（财库[2014]68号）；</w:t>
      </w:r>
    </w:p>
    <w:p>
      <w:pPr>
        <w:ind w:firstLine="560" w:firstLineChars="200"/>
        <w:rPr>
          <w:rFonts w:hint="eastAsia" w:ascii="仿宋" w:hAnsi="仿宋" w:eastAsia="仿宋" w:cs="Times New Roman"/>
          <w:color w:val="auto"/>
          <w:sz w:val="28"/>
          <w:szCs w:val="28"/>
          <w:lang w:val="en-US" w:eastAsia="zh-CN"/>
        </w:rPr>
      </w:pPr>
      <w:r>
        <w:rPr>
          <w:rFonts w:hint="eastAsia" w:ascii="仿宋" w:hAnsi="仿宋" w:eastAsia="仿宋"/>
          <w:color w:val="auto"/>
          <w:sz w:val="28"/>
          <w:szCs w:val="28"/>
        </w:rPr>
        <w:t>3.本项目的特定资格要求：</w:t>
      </w:r>
      <w:r>
        <w:rPr>
          <w:rFonts w:hint="eastAsia" w:ascii="仿宋" w:hAnsi="仿宋" w:eastAsia="仿宋" w:cs="Times New Roman"/>
          <w:color w:val="auto"/>
          <w:sz w:val="28"/>
          <w:szCs w:val="28"/>
          <w:lang w:val="en-US" w:eastAsia="zh-CN"/>
        </w:rPr>
        <w:t>1、符合《中华人民共和国政府采购法》第二十二条规定。</w:t>
      </w:r>
    </w:p>
    <w:p>
      <w:pPr>
        <w:ind w:firstLine="560"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2、具有有效的营业执照（三证合一）；</w:t>
      </w:r>
    </w:p>
    <w:p>
      <w:pPr>
        <w:ind w:firstLine="560"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3、具有良好的商业信誉和健全的财务会计制度；</w:t>
      </w:r>
    </w:p>
    <w:p>
      <w:pPr>
        <w:ind w:firstLine="560"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4、投标人必须是有提供招标公告中所采购货物的能力、独立完成供货、安装及维护其正常运转的能力；并具有良好的售后服务能力和相应的质量保证措施。</w:t>
      </w:r>
    </w:p>
    <w:p>
      <w:pPr>
        <w:ind w:firstLine="560"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5、有依法缴纳税收的良好记录；</w:t>
      </w:r>
    </w:p>
    <w:p>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6、参加政府采购活动前三年内，在经营活动中没有重大违法记录；</w:t>
      </w:r>
    </w:p>
    <w:p>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7、法律、行政法规规定的其他条件；</w:t>
      </w:r>
    </w:p>
    <w:p>
      <w:pPr>
        <w:ind w:firstLine="560"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highlight w:val="none"/>
          <w:lang w:val="en-US" w:eastAsia="zh-CN"/>
        </w:rPr>
        <w:t>8、单位负责人为同一人或者存在直接控股、管理关系的不同供应商，不得参加同一合同项下的政府采购活动。除单一来源采购项目外，为采购项目提供整体设计、规范编制或者项目管理、监理、检</w:t>
      </w:r>
      <w:r>
        <w:rPr>
          <w:rFonts w:hint="eastAsia" w:ascii="仿宋" w:hAnsi="仿宋" w:eastAsia="仿宋" w:cs="Times New Roman"/>
          <w:color w:val="auto"/>
          <w:sz w:val="28"/>
          <w:szCs w:val="28"/>
          <w:lang w:val="en-US" w:eastAsia="zh-CN"/>
        </w:rPr>
        <w:t>测等服务的供应商，不得再参加该采购项目的其他采购活动。</w:t>
      </w:r>
    </w:p>
    <w:p>
      <w:pPr>
        <w:pStyle w:val="4"/>
        <w:numPr>
          <w:ilvl w:val="1"/>
          <w:numId w:val="0"/>
        </w:numPr>
        <w:spacing w:line="360" w:lineRule="auto"/>
        <w:rPr>
          <w:rFonts w:hint="eastAsia" w:ascii="仿宋" w:hAnsi="仿宋" w:eastAsia="仿宋" w:cs="宋体"/>
          <w:b w:val="0"/>
          <w:bCs w:val="0"/>
          <w:color w:val="auto"/>
          <w:w w:val="100"/>
          <w:kern w:val="2"/>
          <w:sz w:val="28"/>
          <w:szCs w:val="28"/>
          <w:highlight w:val="none"/>
          <w:lang w:val="en-US" w:eastAsia="zh-CN" w:bidi="ar-SA"/>
        </w:rPr>
      </w:pPr>
      <w:bookmarkStart w:id="50" w:name="_Toc35393623"/>
      <w:bookmarkStart w:id="51" w:name="_Toc35393792"/>
      <w:r>
        <w:rPr>
          <w:rFonts w:hint="eastAsia" w:ascii="仿宋" w:hAnsi="仿宋" w:eastAsia="仿宋" w:cs="宋体"/>
          <w:b w:val="0"/>
          <w:bCs w:val="0"/>
          <w:color w:val="auto"/>
          <w:w w:val="100"/>
          <w:kern w:val="2"/>
          <w:sz w:val="28"/>
          <w:szCs w:val="28"/>
          <w:highlight w:val="none"/>
          <w:lang w:val="en-US" w:eastAsia="zh-CN" w:bidi="ar-SA"/>
        </w:rPr>
        <w:t>三、获取招标文件</w:t>
      </w:r>
      <w:bookmarkEnd w:id="48"/>
      <w:bookmarkEnd w:id="49"/>
      <w:bookmarkEnd w:id="50"/>
      <w:bookmarkEnd w:id="51"/>
    </w:p>
    <w:p>
      <w:pPr>
        <w:spacing w:line="360" w:lineRule="auto"/>
        <w:ind w:firstLine="540"/>
        <w:rPr>
          <w:rFonts w:hint="eastAsia" w:ascii="仿宋" w:hAnsi="仿宋" w:eastAsia="仿宋" w:cs="宋体"/>
          <w:color w:val="auto"/>
          <w:sz w:val="28"/>
          <w:szCs w:val="28"/>
          <w:highlight w:val="none"/>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23</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29</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u w:val="single"/>
          <w:lang w:val="en-US" w:eastAsia="zh-CN"/>
        </w:rPr>
        <w:t>10:00-13：30</w:t>
      </w:r>
      <w:r>
        <w:rPr>
          <w:rFonts w:hint="eastAsia" w:ascii="仿宋" w:hAnsi="仿宋" w:eastAsia="仿宋" w:cs="宋体"/>
          <w:color w:val="auto"/>
          <w:sz w:val="28"/>
          <w:szCs w:val="28"/>
          <w:highlight w:val="none"/>
          <w:lang w:val="en-US" w:eastAsia="zh-CN"/>
        </w:rPr>
        <w:t>，下午</w:t>
      </w:r>
      <w:r>
        <w:rPr>
          <w:rFonts w:hint="eastAsia" w:ascii="仿宋" w:hAnsi="仿宋" w:eastAsia="仿宋" w:cs="宋体"/>
          <w:color w:val="auto"/>
          <w:sz w:val="28"/>
          <w:szCs w:val="28"/>
          <w:highlight w:val="none"/>
          <w:u w:val="single"/>
          <w:lang w:val="en-US" w:eastAsia="zh-CN"/>
        </w:rPr>
        <w:t>16：00-19:00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p>
    <w:p>
      <w:pPr>
        <w:spacing w:line="360" w:lineRule="auto"/>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地点：</w:t>
      </w:r>
      <w:r>
        <w:rPr>
          <w:rFonts w:hint="eastAsia" w:ascii="仿宋" w:hAnsi="仿宋" w:eastAsia="仿宋" w:cs="宋体"/>
          <w:color w:val="auto"/>
          <w:sz w:val="28"/>
          <w:szCs w:val="28"/>
          <w:highlight w:val="none"/>
          <w:lang w:val="en-US" w:eastAsia="zh-CN"/>
        </w:rPr>
        <w:t>新疆金泰首致项目管理咨询有限公司</w:t>
      </w:r>
    </w:p>
    <w:p>
      <w:pPr>
        <w:spacing w:line="360" w:lineRule="auto"/>
        <w:ind w:firstLine="540"/>
        <w:rPr>
          <w:rFonts w:hint="eastAsia" w:ascii="仿宋" w:hAnsi="仿宋" w:eastAsia="仿宋" w:cs="宋体"/>
          <w:color w:val="auto"/>
          <w:sz w:val="28"/>
          <w:szCs w:val="28"/>
          <w:u w:val="single"/>
          <w:lang w:eastAsia="zh-CN"/>
        </w:rPr>
      </w:pPr>
      <w:r>
        <w:rPr>
          <w:rFonts w:hint="eastAsia" w:ascii="仿宋" w:hAnsi="仿宋" w:eastAsia="仿宋" w:cs="宋体"/>
          <w:color w:val="auto"/>
          <w:sz w:val="28"/>
          <w:szCs w:val="28"/>
        </w:rPr>
        <w:t>方式：</w:t>
      </w:r>
      <w:r>
        <w:rPr>
          <w:rFonts w:hint="eastAsia" w:ascii="仿宋" w:hAnsi="仿宋" w:eastAsia="仿宋" w:cs="宋体"/>
          <w:color w:val="auto"/>
          <w:sz w:val="28"/>
          <w:szCs w:val="28"/>
          <w:lang w:eastAsia="zh-CN"/>
        </w:rPr>
        <w:t>报名成功后购买</w:t>
      </w:r>
    </w:p>
    <w:p>
      <w:pPr>
        <w:spacing w:line="360" w:lineRule="auto"/>
        <w:ind w:firstLine="540"/>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val="en-US" w:eastAsia="zh-CN"/>
        </w:rPr>
        <w:t>300元/份</w:t>
      </w:r>
    </w:p>
    <w:p>
      <w:pPr>
        <w:pStyle w:val="4"/>
        <w:numPr>
          <w:ilvl w:val="1"/>
          <w:numId w:val="0"/>
        </w:numPr>
        <w:spacing w:line="360" w:lineRule="auto"/>
        <w:rPr>
          <w:rFonts w:hint="eastAsia" w:ascii="仿宋" w:hAnsi="仿宋" w:eastAsia="仿宋" w:cs="宋体"/>
          <w:b w:val="0"/>
          <w:bCs w:val="0"/>
          <w:color w:val="auto"/>
          <w:w w:val="100"/>
          <w:kern w:val="2"/>
          <w:sz w:val="28"/>
          <w:szCs w:val="28"/>
          <w:lang w:val="en-US" w:eastAsia="zh-CN" w:bidi="ar-SA"/>
        </w:rPr>
      </w:pPr>
      <w:bookmarkStart w:id="52" w:name="_Toc28359082"/>
      <w:bookmarkStart w:id="53" w:name="_Toc28359005"/>
      <w:bookmarkStart w:id="54" w:name="_Toc35393624"/>
      <w:bookmarkStart w:id="55" w:name="_Toc35393793"/>
      <w:r>
        <w:rPr>
          <w:rFonts w:hint="eastAsia" w:ascii="仿宋" w:hAnsi="仿宋" w:eastAsia="仿宋" w:cs="宋体"/>
          <w:b w:val="0"/>
          <w:bCs w:val="0"/>
          <w:color w:val="auto"/>
          <w:w w:val="100"/>
          <w:kern w:val="2"/>
          <w:sz w:val="28"/>
          <w:szCs w:val="28"/>
          <w:lang w:val="en-US" w:eastAsia="zh-CN" w:bidi="ar-SA"/>
        </w:rPr>
        <w:t>四、提交投标文件</w:t>
      </w:r>
      <w:bookmarkEnd w:id="52"/>
      <w:bookmarkEnd w:id="53"/>
      <w:r>
        <w:rPr>
          <w:rFonts w:hint="eastAsia" w:ascii="仿宋" w:hAnsi="仿宋" w:eastAsia="仿宋" w:cs="宋体"/>
          <w:b w:val="0"/>
          <w:bCs w:val="0"/>
          <w:color w:val="auto"/>
          <w:w w:val="100"/>
          <w:kern w:val="2"/>
          <w:sz w:val="28"/>
          <w:szCs w:val="28"/>
          <w:lang w:val="en-US" w:eastAsia="zh-CN" w:bidi="ar-SA"/>
        </w:rPr>
        <w:t>截止时间、开标时间和地点</w:t>
      </w:r>
      <w:bookmarkEnd w:id="54"/>
      <w:bookmarkEnd w:id="55"/>
    </w:p>
    <w:p>
      <w:pPr>
        <w:ind w:firstLine="560" w:firstLineChars="200"/>
        <w:rPr>
          <w:rFonts w:hint="eastAsia" w:ascii="仿宋" w:hAnsi="仿宋" w:eastAsia="仿宋"/>
          <w:color w:val="auto"/>
          <w:sz w:val="28"/>
          <w:szCs w:val="28"/>
          <w:highlight w:val="none"/>
        </w:rPr>
      </w:pPr>
      <w:bookmarkStart w:id="56" w:name="_Toc28359084"/>
      <w:bookmarkStart w:id="57" w:name="_Toc35393625"/>
      <w:bookmarkStart w:id="58" w:name="_Toc28359007"/>
      <w:bookmarkStart w:id="59" w:name="_Toc35393794"/>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single"/>
          <w:lang w:val="en-US" w:eastAsia="zh-CN"/>
        </w:rPr>
        <w:t>2022</w:t>
      </w:r>
      <w:r>
        <w:rPr>
          <w:rFonts w:hint="eastAsia" w:ascii="仿宋" w:hAnsi="仿宋" w:eastAsia="仿宋"/>
          <w:color w:val="auto"/>
          <w:sz w:val="28"/>
          <w:szCs w:val="28"/>
          <w:highlight w:val="none"/>
          <w:u w:val="none"/>
        </w:rPr>
        <w:t>年</w:t>
      </w:r>
      <w:r>
        <w:rPr>
          <w:rFonts w:hint="eastAsia" w:ascii="仿宋" w:hAnsi="仿宋" w:eastAsia="仿宋"/>
          <w:color w:val="auto"/>
          <w:sz w:val="28"/>
          <w:szCs w:val="28"/>
          <w:highlight w:val="none"/>
          <w:u w:val="none"/>
          <w:lang w:val="en-US" w:eastAsia="zh-CN"/>
        </w:rPr>
        <w:t>7</w:t>
      </w:r>
      <w:r>
        <w:rPr>
          <w:rFonts w:hint="eastAsia" w:ascii="仿宋" w:hAnsi="仿宋" w:eastAsia="仿宋"/>
          <w:color w:val="auto"/>
          <w:sz w:val="28"/>
          <w:szCs w:val="28"/>
          <w:highlight w:val="none"/>
          <w:u w:val="none"/>
        </w:rPr>
        <w:t>月</w:t>
      </w:r>
      <w:r>
        <w:rPr>
          <w:rFonts w:hint="eastAsia" w:ascii="仿宋" w:hAnsi="仿宋" w:eastAsia="仿宋"/>
          <w:color w:val="auto"/>
          <w:sz w:val="28"/>
          <w:szCs w:val="28"/>
          <w:highlight w:val="none"/>
          <w:u w:val="none"/>
          <w:lang w:val="en-US" w:eastAsia="zh-CN"/>
        </w:rPr>
        <w:t>15</w:t>
      </w:r>
      <w:r>
        <w:rPr>
          <w:rFonts w:hint="eastAsia" w:ascii="仿宋" w:hAnsi="仿宋" w:eastAsia="仿宋"/>
          <w:color w:val="auto"/>
          <w:sz w:val="28"/>
          <w:szCs w:val="28"/>
          <w:highlight w:val="none"/>
          <w:u w:val="none"/>
        </w:rPr>
        <w:t>日</w:t>
      </w:r>
      <w:r>
        <w:rPr>
          <w:rFonts w:hint="eastAsia" w:ascii="仿宋" w:hAnsi="仿宋" w:eastAsia="仿宋"/>
          <w:color w:val="auto"/>
          <w:sz w:val="28"/>
          <w:szCs w:val="28"/>
          <w:highlight w:val="none"/>
          <w:u w:val="none"/>
          <w:lang w:eastAsia="zh-CN"/>
        </w:rPr>
        <w:t>下</w:t>
      </w:r>
      <w:r>
        <w:rPr>
          <w:rFonts w:hint="eastAsia" w:ascii="仿宋" w:hAnsi="仿宋" w:eastAsia="仿宋"/>
          <w:color w:val="auto"/>
          <w:sz w:val="28"/>
          <w:szCs w:val="28"/>
          <w:highlight w:val="none"/>
          <w:u w:val="none"/>
        </w:rPr>
        <w:t>午</w:t>
      </w:r>
      <w:r>
        <w:rPr>
          <w:rFonts w:hint="eastAsia" w:ascii="仿宋" w:hAnsi="仿宋" w:eastAsia="仿宋"/>
          <w:color w:val="auto"/>
          <w:sz w:val="28"/>
          <w:szCs w:val="28"/>
          <w:highlight w:val="none"/>
          <w:u w:val="single"/>
          <w:lang w:val="en-US" w:eastAsia="zh-CN"/>
        </w:rPr>
        <w:t>16</w:t>
      </w:r>
      <w:r>
        <w:rPr>
          <w:rFonts w:hint="eastAsia" w:ascii="仿宋" w:hAnsi="仿宋" w:eastAsia="仿宋"/>
          <w:color w:val="auto"/>
          <w:sz w:val="28"/>
          <w:szCs w:val="28"/>
          <w:highlight w:val="none"/>
          <w:u w:val="single"/>
          <w:lang w:eastAsia="zh-CN"/>
        </w:rPr>
        <w:t>：</w:t>
      </w:r>
      <w:r>
        <w:rPr>
          <w:rFonts w:hint="eastAsia" w:ascii="仿宋" w:hAnsi="仿宋" w:eastAsia="仿宋"/>
          <w:color w:val="auto"/>
          <w:sz w:val="28"/>
          <w:szCs w:val="28"/>
          <w:highlight w:val="none"/>
          <w:u w:val="single"/>
          <w:lang w:val="en-US" w:eastAsia="zh-CN"/>
        </w:rPr>
        <w:t>30</w:t>
      </w:r>
      <w:r>
        <w:rPr>
          <w:rFonts w:hint="eastAsia" w:ascii="仿宋" w:hAnsi="仿宋" w:eastAsia="仿宋"/>
          <w:color w:val="auto"/>
          <w:sz w:val="28"/>
          <w:szCs w:val="28"/>
          <w:highlight w:val="none"/>
          <w:u w:val="none"/>
        </w:rPr>
        <w:t>时</w:t>
      </w:r>
      <w:r>
        <w:rPr>
          <w:rFonts w:hint="eastAsia" w:ascii="仿宋" w:hAnsi="仿宋" w:eastAsia="仿宋"/>
          <w:color w:val="auto"/>
          <w:sz w:val="28"/>
          <w:szCs w:val="28"/>
          <w:highlight w:val="none"/>
        </w:rPr>
        <w:t>（北京时间）</w:t>
      </w:r>
    </w:p>
    <w:p>
      <w:pPr>
        <w:spacing w:line="360" w:lineRule="auto"/>
        <w:ind w:firstLine="560" w:firstLineChars="200"/>
        <w:rPr>
          <w:rFonts w:ascii="仿宋" w:hAnsi="仿宋" w:eastAsia="仿宋" w:cs="宋体"/>
          <w:color w:val="auto"/>
          <w:sz w:val="28"/>
          <w:szCs w:val="28"/>
          <w:u w:val="single"/>
        </w:rPr>
      </w:pPr>
      <w:r>
        <w:rPr>
          <w:rFonts w:hint="eastAsia" w:ascii="仿宋" w:hAnsi="仿宋" w:eastAsia="仿宋"/>
          <w:color w:val="auto"/>
          <w:sz w:val="28"/>
          <w:szCs w:val="28"/>
        </w:rPr>
        <w:t>地点：</w:t>
      </w:r>
      <w:r>
        <w:rPr>
          <w:rFonts w:hint="eastAsia" w:ascii="仿宋" w:hAnsi="仿宋" w:eastAsia="仿宋" w:cs="宋体"/>
          <w:color w:val="auto"/>
          <w:sz w:val="28"/>
          <w:szCs w:val="28"/>
          <w:lang w:val="en-US" w:eastAsia="zh-CN"/>
        </w:rPr>
        <w:t>哈巴河县教育局办公室</w:t>
      </w:r>
    </w:p>
    <w:p>
      <w:pPr>
        <w:pStyle w:val="4"/>
        <w:numPr>
          <w:ilvl w:val="1"/>
          <w:numId w:val="0"/>
        </w:numPr>
        <w:spacing w:line="360" w:lineRule="auto"/>
        <w:rPr>
          <w:rFonts w:hint="eastAsia" w:ascii="仿宋" w:hAnsi="仿宋" w:eastAsia="仿宋" w:cs="宋体"/>
          <w:b w:val="0"/>
          <w:bCs w:val="0"/>
          <w:color w:val="auto"/>
          <w:w w:val="100"/>
          <w:kern w:val="2"/>
          <w:sz w:val="28"/>
          <w:szCs w:val="28"/>
          <w:lang w:val="en-US" w:eastAsia="zh-CN" w:bidi="ar-SA"/>
        </w:rPr>
      </w:pPr>
      <w:r>
        <w:rPr>
          <w:rFonts w:hint="eastAsia" w:ascii="仿宋" w:hAnsi="仿宋" w:eastAsia="仿宋" w:cs="宋体"/>
          <w:b w:val="0"/>
          <w:bCs w:val="0"/>
          <w:color w:val="auto"/>
          <w:w w:val="100"/>
          <w:kern w:val="2"/>
          <w:sz w:val="28"/>
          <w:szCs w:val="28"/>
          <w:lang w:val="en-US" w:eastAsia="zh-CN" w:bidi="ar-SA"/>
        </w:rPr>
        <w:t>五、公告期限</w:t>
      </w:r>
      <w:bookmarkEnd w:id="56"/>
      <w:bookmarkEnd w:id="57"/>
      <w:bookmarkEnd w:id="58"/>
      <w:bookmarkEnd w:id="59"/>
    </w:p>
    <w:p>
      <w:pPr>
        <w:ind w:firstLine="560" w:firstLineChars="200"/>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自本公告发布之日起5个工作日。</w:t>
      </w:r>
      <w:bookmarkStart w:id="60" w:name="_Toc35393795"/>
      <w:bookmarkStart w:id="61" w:name="_Toc35393626"/>
    </w:p>
    <w:p>
      <w:pPr>
        <w:pStyle w:val="4"/>
        <w:numPr>
          <w:ilvl w:val="1"/>
          <w:numId w:val="0"/>
        </w:numPr>
        <w:spacing w:line="360" w:lineRule="auto"/>
        <w:rPr>
          <w:rFonts w:hint="eastAsia" w:ascii="仿宋" w:hAnsi="仿宋" w:eastAsia="仿宋" w:cs="宋体"/>
          <w:b w:val="0"/>
          <w:bCs w:val="0"/>
          <w:color w:val="auto"/>
          <w:w w:val="100"/>
          <w:kern w:val="0"/>
          <w:sz w:val="28"/>
          <w:szCs w:val="28"/>
          <w:lang w:val="en-US" w:eastAsia="zh-CN" w:bidi="ar-SA"/>
        </w:rPr>
      </w:pPr>
      <w:r>
        <w:rPr>
          <w:rFonts w:hint="eastAsia" w:ascii="仿宋" w:hAnsi="仿宋" w:eastAsia="仿宋" w:cs="宋体"/>
          <w:b w:val="0"/>
          <w:bCs w:val="0"/>
          <w:color w:val="auto"/>
          <w:w w:val="100"/>
          <w:kern w:val="0"/>
          <w:sz w:val="28"/>
          <w:szCs w:val="28"/>
          <w:lang w:val="en-US" w:eastAsia="zh-CN" w:bidi="ar-SA"/>
        </w:rPr>
        <w:t>六、其他补充事宜</w:t>
      </w:r>
      <w:bookmarkEnd w:id="60"/>
      <w:bookmarkEnd w:id="61"/>
    </w:p>
    <w:p>
      <w:pPr>
        <w:ind w:firstLine="560" w:firstLineChars="200"/>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报名资料：</w:t>
      </w:r>
    </w:p>
    <w:p>
      <w:pPr>
        <w:ind w:firstLine="560" w:firstLineChars="200"/>
        <w:rPr>
          <w:rFonts w:hint="eastAsia"/>
          <w:color w:val="auto"/>
          <w:lang w:val="en-US" w:eastAsia="zh-CN"/>
        </w:rPr>
      </w:pPr>
      <w:r>
        <w:rPr>
          <w:rFonts w:hint="eastAsia" w:ascii="仿宋" w:hAnsi="仿宋" w:eastAsia="仿宋" w:cs="宋体"/>
          <w:color w:val="auto"/>
          <w:kern w:val="0"/>
          <w:sz w:val="28"/>
          <w:szCs w:val="28"/>
          <w:lang w:val="en-US" w:eastAsia="zh-CN"/>
        </w:rPr>
        <w:fldChar w:fldCharType="begin"/>
      </w:r>
      <w:r>
        <w:rPr>
          <w:rFonts w:hint="eastAsia" w:ascii="仿宋" w:hAnsi="仿宋" w:eastAsia="仿宋" w:cs="宋体"/>
          <w:color w:val="auto"/>
          <w:kern w:val="0"/>
          <w:sz w:val="28"/>
          <w:szCs w:val="28"/>
          <w:lang w:val="en-US" w:eastAsia="zh-CN"/>
        </w:rPr>
        <w:instrText xml:space="preserve"> HYPERLINK "mailto:因疫情影响，特殊时期本次招标的投标人报名前请致电代理公司，将报名时所需提交的资料（加盖公章）扫描件发956859697@qq.com；开标时间与投标截止时间为暂定," </w:instrText>
      </w:r>
      <w:r>
        <w:rPr>
          <w:rFonts w:hint="eastAsia" w:ascii="仿宋" w:hAnsi="仿宋" w:eastAsia="仿宋" w:cs="宋体"/>
          <w:color w:val="auto"/>
          <w:kern w:val="0"/>
          <w:sz w:val="28"/>
          <w:szCs w:val="28"/>
          <w:lang w:val="en-US" w:eastAsia="zh-CN"/>
        </w:rPr>
        <w:fldChar w:fldCharType="separate"/>
      </w:r>
      <w:r>
        <w:rPr>
          <w:rFonts w:hint="eastAsia" w:ascii="仿宋" w:hAnsi="仿宋" w:eastAsia="仿宋" w:cs="宋体"/>
          <w:color w:val="auto"/>
          <w:kern w:val="0"/>
          <w:sz w:val="28"/>
          <w:szCs w:val="28"/>
          <w:lang w:val="en-US" w:eastAsia="zh-CN"/>
        </w:rPr>
        <w:t>请投标人</w:t>
      </w:r>
      <w:r>
        <w:rPr>
          <w:rFonts w:hint="eastAsia" w:ascii="仿宋" w:hAnsi="仿宋" w:eastAsia="仿宋" w:cs="宋体"/>
          <w:color w:val="auto"/>
          <w:sz w:val="28"/>
          <w:szCs w:val="28"/>
          <w:u w:val="single"/>
          <w:lang w:val="en-US" w:eastAsia="zh-CN"/>
        </w:rPr>
        <w:t>2022</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6</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23</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至</w:t>
      </w:r>
      <w:r>
        <w:rPr>
          <w:rFonts w:hint="eastAsia" w:ascii="仿宋" w:hAnsi="仿宋" w:eastAsia="仿宋" w:cs="宋体"/>
          <w:color w:val="auto"/>
          <w:sz w:val="28"/>
          <w:szCs w:val="28"/>
          <w:u w:val="single"/>
          <w:lang w:val="en-US" w:eastAsia="zh-CN"/>
        </w:rPr>
        <w:t>2022</w:t>
      </w:r>
      <w:r>
        <w:rPr>
          <w:rFonts w:hint="eastAsia" w:ascii="仿宋" w:hAnsi="仿宋" w:eastAsia="仿宋" w:cs="宋体"/>
          <w:color w:val="auto"/>
          <w:sz w:val="28"/>
          <w:szCs w:val="28"/>
          <w:u w:val="single"/>
        </w:rPr>
        <w:t>年</w:t>
      </w:r>
      <w:r>
        <w:rPr>
          <w:rFonts w:hint="eastAsia" w:ascii="仿宋" w:hAnsi="仿宋" w:eastAsia="仿宋" w:cs="宋体"/>
          <w:color w:val="auto"/>
          <w:sz w:val="28"/>
          <w:szCs w:val="28"/>
          <w:u w:val="single"/>
          <w:lang w:val="en-US" w:eastAsia="zh-CN"/>
        </w:rPr>
        <w:t>6</w:t>
      </w:r>
      <w:r>
        <w:rPr>
          <w:rFonts w:hint="eastAsia" w:ascii="仿宋" w:hAnsi="仿宋" w:eastAsia="仿宋" w:cs="宋体"/>
          <w:color w:val="auto"/>
          <w:sz w:val="28"/>
          <w:szCs w:val="28"/>
          <w:u w:val="single"/>
        </w:rPr>
        <w:t>月</w:t>
      </w:r>
      <w:r>
        <w:rPr>
          <w:rFonts w:hint="eastAsia" w:ascii="仿宋" w:hAnsi="仿宋" w:eastAsia="仿宋" w:cs="宋体"/>
          <w:color w:val="auto"/>
          <w:sz w:val="28"/>
          <w:szCs w:val="28"/>
          <w:u w:val="single"/>
          <w:lang w:val="en-US" w:eastAsia="zh-CN"/>
        </w:rPr>
        <w:t>29</w:t>
      </w:r>
      <w:r>
        <w:rPr>
          <w:rFonts w:hint="eastAsia" w:ascii="仿宋" w:hAnsi="仿宋" w:eastAsia="仿宋" w:cs="宋体"/>
          <w:color w:val="auto"/>
          <w:sz w:val="28"/>
          <w:szCs w:val="28"/>
          <w:u w:val="single"/>
        </w:rPr>
        <w:t>日</w:t>
      </w:r>
      <w:r>
        <w:rPr>
          <w:rFonts w:hint="eastAsia" w:ascii="仿宋" w:hAnsi="仿宋" w:eastAsia="仿宋" w:cs="宋体"/>
          <w:color w:val="auto"/>
          <w:sz w:val="28"/>
          <w:szCs w:val="28"/>
        </w:rPr>
        <w:t>，</w:t>
      </w:r>
      <w:r>
        <w:rPr>
          <w:rFonts w:hint="eastAsia" w:ascii="仿宋" w:hAnsi="仿宋" w:eastAsia="仿宋" w:cs="宋体"/>
          <w:color w:val="auto"/>
          <w:sz w:val="28"/>
          <w:szCs w:val="28"/>
          <w:highlight w:val="none"/>
          <w:u w:val="single"/>
          <w:lang w:val="en-US" w:eastAsia="zh-CN"/>
        </w:rPr>
        <w:t>10:00-13：30</w:t>
      </w:r>
      <w:r>
        <w:rPr>
          <w:rFonts w:hint="eastAsia" w:ascii="仿宋" w:hAnsi="仿宋" w:eastAsia="仿宋" w:cs="宋体"/>
          <w:color w:val="auto"/>
          <w:sz w:val="28"/>
          <w:szCs w:val="28"/>
          <w:highlight w:val="none"/>
          <w:lang w:val="en-US" w:eastAsia="zh-CN"/>
        </w:rPr>
        <w:t>，下午</w:t>
      </w:r>
      <w:r>
        <w:rPr>
          <w:rFonts w:hint="eastAsia" w:ascii="仿宋" w:hAnsi="仿宋" w:eastAsia="仿宋" w:cs="宋体"/>
          <w:color w:val="auto"/>
          <w:sz w:val="28"/>
          <w:szCs w:val="28"/>
          <w:highlight w:val="none"/>
          <w:u w:val="single"/>
          <w:lang w:val="en-US" w:eastAsia="zh-CN"/>
        </w:rPr>
        <w:t>16：00-19:00</w:t>
      </w:r>
      <w:r>
        <w:rPr>
          <w:rFonts w:hint="eastAsia" w:ascii="仿宋" w:hAnsi="仿宋" w:eastAsia="仿宋" w:cs="宋体"/>
          <w:color w:val="auto"/>
          <w:sz w:val="28"/>
          <w:szCs w:val="28"/>
          <w:highlight w:val="none"/>
        </w:rPr>
        <w:t>（北京时间，</w:t>
      </w:r>
      <w:r>
        <w:rPr>
          <w:rFonts w:ascii="仿宋" w:hAnsi="仿宋" w:eastAsia="仿宋" w:cs="宋体"/>
          <w:color w:val="auto"/>
          <w:sz w:val="28"/>
          <w:szCs w:val="28"/>
          <w:highlight w:val="none"/>
        </w:rPr>
        <w:t>法定节假日</w:t>
      </w:r>
      <w:r>
        <w:rPr>
          <w:rFonts w:hint="eastAsia" w:ascii="仿宋" w:hAnsi="仿宋" w:eastAsia="仿宋" w:cs="宋体"/>
          <w:color w:val="auto"/>
          <w:sz w:val="28"/>
          <w:szCs w:val="28"/>
          <w:highlight w:val="none"/>
        </w:rPr>
        <w:t>除外 ）</w:t>
      </w:r>
      <w:r>
        <w:rPr>
          <w:rFonts w:hint="eastAsia" w:ascii="仿宋" w:hAnsi="仿宋" w:eastAsia="仿宋" w:cs="宋体"/>
          <w:color w:val="auto"/>
          <w:kern w:val="0"/>
          <w:sz w:val="28"/>
          <w:szCs w:val="28"/>
          <w:lang w:val="en-US" w:eastAsia="zh-CN"/>
        </w:rPr>
        <w:t>携带法定代表人身份证明及授权委托书及被委托人身份证，授权委托人近三个月的社保证明，有效的营业执照副本（三证合一），开户许可证，</w:t>
      </w:r>
      <w:r>
        <w:rPr>
          <w:rFonts w:hint="eastAsia" w:ascii="仿宋" w:hAnsi="仿宋" w:eastAsia="仿宋" w:cs="宋体"/>
          <w:color w:val="auto"/>
          <w:kern w:val="0"/>
          <w:sz w:val="28"/>
          <w:szCs w:val="28"/>
          <w:highlight w:val="none"/>
          <w:lang w:val="en-US" w:eastAsia="zh-CN"/>
        </w:rPr>
        <w:t>提供近一年的经审计的财务报告，中小企业声</w:t>
      </w:r>
      <w:r>
        <w:rPr>
          <w:rFonts w:hint="eastAsia" w:ascii="仿宋" w:hAnsi="仿宋" w:eastAsia="仿宋" w:cs="宋体"/>
          <w:color w:val="auto"/>
          <w:kern w:val="0"/>
          <w:sz w:val="28"/>
          <w:szCs w:val="28"/>
          <w:lang w:val="en-US" w:eastAsia="zh-CN"/>
        </w:rPr>
        <w:t>明函原件。以上资料需提供原件及加盖公章的复印件两份到</w:t>
      </w:r>
      <w:r>
        <w:rPr>
          <w:rFonts w:hint="eastAsia" w:ascii="仿宋" w:hAnsi="仿宋" w:eastAsia="仿宋" w:cs="宋体"/>
          <w:color w:val="auto"/>
          <w:kern w:val="0"/>
          <w:sz w:val="28"/>
          <w:szCs w:val="28"/>
          <w:lang w:val="en-US" w:eastAsia="zh-CN"/>
        </w:rPr>
        <w:fldChar w:fldCharType="end"/>
      </w:r>
      <w:r>
        <w:rPr>
          <w:rFonts w:hint="eastAsia" w:ascii="仿宋" w:hAnsi="仿宋" w:eastAsia="仿宋" w:cs="宋体"/>
          <w:color w:val="auto"/>
          <w:kern w:val="0"/>
          <w:sz w:val="28"/>
          <w:szCs w:val="28"/>
          <w:lang w:val="en-US" w:eastAsia="zh-CN"/>
        </w:rPr>
        <w:t>新疆金泰首致项目管理咨询有限公司领取招标文件</w:t>
      </w:r>
      <w:r>
        <w:rPr>
          <w:rFonts w:hint="eastAsia"/>
          <w:color w:val="auto"/>
          <w:lang w:val="en-US" w:eastAsia="zh-CN"/>
        </w:rPr>
        <w:t>。</w:t>
      </w:r>
      <w:bookmarkStart w:id="62" w:name="_Toc28359085"/>
      <w:bookmarkStart w:id="63" w:name="_Toc35393627"/>
      <w:bookmarkStart w:id="64" w:name="_Toc35393796"/>
      <w:bookmarkStart w:id="65" w:name="_Toc28359008"/>
    </w:p>
    <w:p>
      <w:pPr>
        <w:ind w:firstLine="560" w:firstLineChars="200"/>
        <w:rPr>
          <w:rFonts w:ascii="黑体" w:hAnsi="黑体" w:cs="宋体"/>
          <w:b w:val="0"/>
          <w:color w:val="auto"/>
          <w:sz w:val="28"/>
          <w:szCs w:val="28"/>
        </w:rPr>
      </w:pPr>
      <w:r>
        <w:rPr>
          <w:rFonts w:hint="eastAsia" w:ascii="黑体" w:hAnsi="黑体" w:cs="宋体"/>
          <w:b w:val="0"/>
          <w:color w:val="auto"/>
          <w:sz w:val="28"/>
          <w:szCs w:val="28"/>
        </w:rPr>
        <w:t>七、对本次招标提出询问，请按</w:t>
      </w:r>
      <w:r>
        <w:rPr>
          <w:rFonts w:ascii="黑体" w:hAnsi="黑体" w:cs="宋体"/>
          <w:b w:val="0"/>
          <w:color w:val="auto"/>
          <w:sz w:val="28"/>
          <w:szCs w:val="28"/>
        </w:rPr>
        <w:t>以下方式</w:t>
      </w:r>
      <w:r>
        <w:rPr>
          <w:rFonts w:hint="eastAsia" w:ascii="黑体" w:hAnsi="黑体" w:cs="宋体"/>
          <w:b w:val="0"/>
          <w:color w:val="auto"/>
          <w:sz w:val="28"/>
          <w:szCs w:val="28"/>
        </w:rPr>
        <w:t>联系。</w:t>
      </w:r>
      <w:bookmarkEnd w:id="62"/>
      <w:bookmarkEnd w:id="63"/>
      <w:bookmarkEnd w:id="64"/>
      <w:bookmarkEnd w:id="65"/>
    </w:p>
    <w:p>
      <w:pPr>
        <w:pStyle w:val="4"/>
        <w:numPr>
          <w:ilvl w:val="0"/>
          <w:numId w:val="0"/>
        </w:numPr>
        <w:suppressAutoHyphens/>
        <w:spacing w:line="360" w:lineRule="auto"/>
        <w:ind w:leftChars="300" w:firstLine="450" w:firstLineChars="200"/>
        <w:jc w:val="both"/>
        <w:textAlignment w:val="auto"/>
        <w:rPr>
          <w:rFonts w:hint="eastAsia" w:ascii="仿宋" w:hAnsi="仿宋" w:eastAsia="仿宋" w:cs="宋体"/>
          <w:b w:val="0"/>
          <w:bCs/>
          <w:color w:val="auto"/>
          <w:w w:val="100"/>
          <w:kern w:val="2"/>
          <w:sz w:val="28"/>
          <w:szCs w:val="28"/>
          <w:lang w:eastAsia="zh-CN"/>
        </w:rPr>
      </w:pPr>
      <w:r>
        <w:rPr>
          <w:rFonts w:hint="eastAsia" w:ascii="仿宋" w:hAnsi="仿宋" w:eastAsia="仿宋" w:cs="宋体"/>
          <w:color w:val="auto"/>
          <w:sz w:val="28"/>
          <w:szCs w:val="28"/>
        </w:rPr>
        <w:t>　</w:t>
      </w:r>
      <w:r>
        <w:rPr>
          <w:rFonts w:hint="eastAsia" w:ascii="仿宋" w:hAnsi="仿宋" w:eastAsia="仿宋" w:cs="宋体"/>
          <w:b w:val="0"/>
          <w:bCs/>
          <w:color w:val="auto"/>
          <w:w w:val="100"/>
          <w:kern w:val="2"/>
          <w:sz w:val="28"/>
          <w:szCs w:val="28"/>
          <w:lang w:eastAsia="zh-CN"/>
        </w:rPr>
        <w:t>1.采购人信息</w:t>
      </w:r>
    </w:p>
    <w:p>
      <w:pPr>
        <w:spacing w:line="360" w:lineRule="auto"/>
        <w:ind w:firstLine="1120" w:firstLineChars="400"/>
        <w:jc w:val="left"/>
        <w:rPr>
          <w:rFonts w:hint="default" w:ascii="仿宋" w:hAnsi="仿宋" w:eastAsia="仿宋"/>
          <w:color w:val="auto"/>
          <w:sz w:val="28"/>
          <w:szCs w:val="28"/>
          <w:lang w:val="en-US" w:eastAsia="zh-CN"/>
        </w:rPr>
      </w:pPr>
      <w:r>
        <w:rPr>
          <w:rFonts w:hint="eastAsia" w:ascii="仿宋" w:hAnsi="仿宋" w:eastAsia="仿宋"/>
          <w:color w:val="auto"/>
          <w:sz w:val="28"/>
          <w:szCs w:val="28"/>
        </w:rPr>
        <w:t>名    称：</w:t>
      </w:r>
      <w:r>
        <w:rPr>
          <w:rFonts w:hint="eastAsia" w:ascii="仿宋" w:hAnsi="仿宋" w:eastAsia="仿宋"/>
          <w:color w:val="auto"/>
          <w:sz w:val="28"/>
          <w:szCs w:val="28"/>
          <w:u w:val="single"/>
          <w:lang w:eastAsia="zh-CN"/>
        </w:rPr>
        <w:t>哈巴河县教育局</w:t>
      </w:r>
      <w:r>
        <w:rPr>
          <w:rFonts w:hint="eastAsia" w:ascii="仿宋" w:hAnsi="仿宋" w:eastAsia="仿宋"/>
          <w:color w:val="auto"/>
          <w:sz w:val="28"/>
          <w:szCs w:val="28"/>
          <w:u w:val="single"/>
          <w:lang w:val="en-US" w:eastAsia="zh-CN"/>
        </w:rPr>
        <w:t xml:space="preserve">      </w:t>
      </w:r>
    </w:p>
    <w:p>
      <w:pPr>
        <w:spacing w:line="360" w:lineRule="auto"/>
        <w:ind w:firstLine="1120" w:firstLineChars="400"/>
        <w:jc w:val="left"/>
        <w:rPr>
          <w:rFonts w:hint="default" w:ascii="仿宋" w:hAnsi="仿宋" w:eastAsia="仿宋"/>
          <w:color w:val="auto"/>
          <w:sz w:val="28"/>
          <w:szCs w:val="28"/>
          <w:lang w:val="en-US"/>
        </w:rPr>
      </w:pPr>
      <w:r>
        <w:rPr>
          <w:rFonts w:hint="eastAsia" w:ascii="仿宋" w:hAnsi="仿宋" w:eastAsia="仿宋"/>
          <w:color w:val="auto"/>
          <w:sz w:val="28"/>
          <w:szCs w:val="28"/>
          <w:lang w:val="en-US" w:eastAsia="zh-CN"/>
        </w:rPr>
        <w:t>联 系 人：</w:t>
      </w:r>
      <w:r>
        <w:rPr>
          <w:rFonts w:hint="eastAsia" w:ascii="仿宋" w:hAnsi="仿宋" w:eastAsia="仿宋"/>
          <w:color w:val="auto"/>
          <w:sz w:val="28"/>
          <w:szCs w:val="28"/>
          <w:u w:val="single"/>
          <w:lang w:val="en-US" w:eastAsia="zh-CN"/>
        </w:rPr>
        <w:t xml:space="preserve">高峰                  </w:t>
      </w:r>
    </w:p>
    <w:p>
      <w:pPr>
        <w:spacing w:line="360" w:lineRule="auto"/>
        <w:ind w:firstLine="1120" w:firstLineChars="400"/>
        <w:jc w:val="left"/>
        <w:rPr>
          <w:rFonts w:ascii="仿宋" w:hAnsi="仿宋" w:eastAsia="仿宋"/>
          <w:color w:val="auto"/>
          <w:sz w:val="28"/>
          <w:szCs w:val="28"/>
        </w:rPr>
      </w:pPr>
      <w:r>
        <w:rPr>
          <w:rFonts w:hint="eastAsia" w:ascii="仿宋" w:hAnsi="仿宋" w:eastAsia="仿宋"/>
          <w:color w:val="auto"/>
          <w:sz w:val="28"/>
          <w:szCs w:val="28"/>
        </w:rPr>
        <w:t>联系方式：</w:t>
      </w:r>
      <w:r>
        <w:rPr>
          <w:rFonts w:hint="eastAsia" w:ascii="仿宋" w:hAnsi="仿宋" w:eastAsia="仿宋"/>
          <w:color w:val="auto"/>
          <w:sz w:val="28"/>
          <w:szCs w:val="28"/>
          <w:u w:val="single"/>
        </w:rPr>
        <w:t>13899419149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p>
    <w:p>
      <w:pPr>
        <w:pStyle w:val="4"/>
        <w:numPr>
          <w:ilvl w:val="0"/>
          <w:numId w:val="0"/>
        </w:numPr>
        <w:suppressAutoHyphens/>
        <w:spacing w:line="360" w:lineRule="auto"/>
        <w:ind w:leftChars="300" w:firstLine="560" w:firstLineChars="200"/>
        <w:jc w:val="both"/>
        <w:textAlignment w:val="auto"/>
        <w:rPr>
          <w:rFonts w:hint="eastAsia" w:ascii="仿宋" w:hAnsi="仿宋" w:eastAsia="仿宋" w:cs="宋体"/>
          <w:b w:val="0"/>
          <w:bCs/>
          <w:color w:val="auto"/>
          <w:w w:val="100"/>
          <w:kern w:val="2"/>
          <w:sz w:val="28"/>
          <w:szCs w:val="28"/>
          <w:lang w:eastAsia="zh-CN"/>
        </w:rPr>
      </w:pPr>
      <w:r>
        <w:rPr>
          <w:rFonts w:hint="eastAsia" w:ascii="仿宋" w:hAnsi="仿宋" w:eastAsia="仿宋" w:cs="宋体"/>
          <w:b w:val="0"/>
          <w:bCs/>
          <w:color w:val="auto"/>
          <w:w w:val="100"/>
          <w:kern w:val="2"/>
          <w:sz w:val="28"/>
          <w:szCs w:val="28"/>
          <w:lang w:eastAsia="zh-CN"/>
        </w:rPr>
        <w:t>2.采购代理机构信息</w:t>
      </w:r>
    </w:p>
    <w:p>
      <w:pPr>
        <w:spacing w:line="360" w:lineRule="auto"/>
        <w:ind w:left="1128" w:leftChars="504" w:hanging="70" w:hangingChars="25"/>
        <w:jc w:val="left"/>
        <w:rPr>
          <w:rFonts w:hint="eastAsia" w:ascii="仿宋" w:hAnsi="仿宋" w:eastAsia="仿宋" w:cs="Times New Roman"/>
          <w:color w:val="auto"/>
          <w:sz w:val="28"/>
          <w:szCs w:val="28"/>
          <w:u w:val="single"/>
          <w:lang w:val="en-US" w:eastAsia="zh-CN"/>
        </w:rPr>
      </w:pPr>
      <w:r>
        <w:rPr>
          <w:rFonts w:hint="eastAsia" w:ascii="仿宋" w:hAnsi="仿宋" w:eastAsia="仿宋"/>
          <w:color w:val="auto"/>
          <w:sz w:val="28"/>
          <w:szCs w:val="28"/>
        </w:rPr>
        <w:t>名    称：</w:t>
      </w:r>
      <w:r>
        <w:rPr>
          <w:rFonts w:hint="eastAsia" w:ascii="仿宋" w:hAnsi="仿宋" w:eastAsia="仿宋" w:cs="Times New Roman"/>
          <w:color w:val="auto"/>
          <w:sz w:val="28"/>
          <w:szCs w:val="28"/>
          <w:u w:val="single"/>
          <w:lang w:val="en-US" w:eastAsia="zh-CN"/>
        </w:rPr>
        <w:t>新疆金泰首致项目管理咨询有限公司</w:t>
      </w:r>
    </w:p>
    <w:p>
      <w:pPr>
        <w:spacing w:line="360" w:lineRule="auto"/>
        <w:ind w:left="1128" w:leftChars="504" w:hanging="70" w:hangingChars="25"/>
        <w:jc w:val="left"/>
        <w:rPr>
          <w:rFonts w:hint="eastAsia" w:ascii="仿宋" w:hAnsi="仿宋" w:eastAsia="仿宋" w:cs="Times New Roman"/>
          <w:color w:val="auto"/>
          <w:sz w:val="28"/>
          <w:szCs w:val="28"/>
          <w:u w:val="single"/>
          <w:lang w:val="en-US" w:eastAsia="zh-CN"/>
        </w:rPr>
      </w:pPr>
      <w:r>
        <w:rPr>
          <w:rFonts w:hint="eastAsia" w:ascii="仿宋" w:hAnsi="仿宋" w:eastAsia="仿宋" w:cs="Times New Roman"/>
          <w:color w:val="auto"/>
          <w:sz w:val="28"/>
          <w:szCs w:val="28"/>
          <w:u w:val="none"/>
          <w:lang w:val="en-US" w:eastAsia="zh-CN"/>
        </w:rPr>
        <w:t>联 系 人：</w:t>
      </w:r>
      <w:r>
        <w:rPr>
          <w:rFonts w:hint="eastAsia" w:ascii="仿宋" w:hAnsi="仿宋" w:eastAsia="仿宋" w:cs="Times New Roman"/>
          <w:color w:val="auto"/>
          <w:sz w:val="28"/>
          <w:szCs w:val="28"/>
          <w:u w:val="single"/>
          <w:lang w:val="en-US" w:eastAsia="zh-CN"/>
        </w:rPr>
        <w:t>贾梦华  　　　　　　　　   　　</w:t>
      </w:r>
    </w:p>
    <w:p>
      <w:pPr>
        <w:spacing w:line="360" w:lineRule="auto"/>
        <w:ind w:left="1128" w:leftChars="504" w:hanging="70" w:hangingChars="25"/>
        <w:jc w:val="left"/>
        <w:rPr>
          <w:rFonts w:ascii="仿宋" w:hAnsi="仿宋" w:eastAsia="仿宋"/>
          <w:color w:val="auto"/>
          <w:sz w:val="28"/>
          <w:szCs w:val="28"/>
          <w:u w:val="single"/>
        </w:rPr>
      </w:pPr>
      <w:r>
        <w:rPr>
          <w:rFonts w:hint="eastAsia" w:ascii="仿宋" w:hAnsi="仿宋" w:eastAsia="仿宋" w:cs="Times New Roman"/>
          <w:color w:val="auto"/>
          <w:sz w:val="28"/>
          <w:szCs w:val="28"/>
          <w:u w:val="none"/>
          <w:lang w:val="en-US" w:eastAsia="zh-CN"/>
        </w:rPr>
        <w:t>联系方式：</w:t>
      </w:r>
      <w:r>
        <w:rPr>
          <w:rFonts w:hint="eastAsia" w:ascii="仿宋" w:hAnsi="仿宋" w:eastAsia="仿宋" w:cs="Times New Roman"/>
          <w:color w:val="auto"/>
          <w:sz w:val="28"/>
          <w:szCs w:val="28"/>
          <w:u w:val="single"/>
          <w:lang w:val="en-US" w:eastAsia="zh-CN"/>
        </w:rPr>
        <w:t>13669957007　　　　　 　　</w:t>
      </w:r>
      <w:r>
        <w:rPr>
          <w:rFonts w:hint="eastAsia" w:ascii="仿宋" w:hAnsi="仿宋" w:eastAsia="仿宋"/>
          <w:color w:val="auto"/>
          <w:sz w:val="28"/>
          <w:szCs w:val="28"/>
          <w:u w:val="single"/>
        </w:rPr>
        <w:t>　　　</w:t>
      </w:r>
    </w:p>
    <w:p/>
    <w:p/>
    <w:p>
      <w:pPr>
        <w:rPr>
          <w:rFonts w:ascii="仿宋" w:hAnsi="仿宋" w:eastAsia="仿宋"/>
          <w:color w:val="auto"/>
          <w:sz w:val="28"/>
          <w:szCs w:val="28"/>
        </w:rPr>
      </w:pPr>
    </w:p>
    <w:p>
      <w:pPr>
        <w:pStyle w:val="2"/>
        <w:rPr>
          <w:color w:val="auto"/>
        </w:rPr>
      </w:pPr>
    </w:p>
    <w:p>
      <w:pPr>
        <w:rPr>
          <w:rFonts w:ascii="仿宋" w:hAnsi="仿宋" w:eastAsia="仿宋"/>
          <w:color w:val="auto"/>
          <w:sz w:val="28"/>
          <w:szCs w:val="28"/>
        </w:rPr>
      </w:pPr>
    </w:p>
    <w:p>
      <w:pPr>
        <w:pStyle w:val="2"/>
        <w:rPr>
          <w:color w:val="auto"/>
        </w:rPr>
      </w:pPr>
    </w:p>
    <w:p>
      <w:pPr>
        <w:rPr>
          <w:color w:val="auto"/>
        </w:rPr>
      </w:pPr>
      <w:r>
        <w:rPr>
          <w:color w:val="auto"/>
        </w:rPr>
        <w:br w:type="page"/>
      </w:r>
    </w:p>
    <w:p>
      <w:pPr>
        <w:pStyle w:val="51"/>
        <w:spacing w:line="360" w:lineRule="auto"/>
        <w:ind w:left="0" w:leftChars="0" w:right="0" w:rightChars="0" w:firstLine="0" w:firstLineChars="0"/>
        <w:jc w:val="center"/>
        <w:rPr>
          <w:rFonts w:hint="eastAsia" w:ascii="宋体" w:hAnsi="宋体" w:eastAsia="宋体" w:cs="宋体"/>
          <w:b/>
          <w:color w:val="auto"/>
          <w:sz w:val="36"/>
          <w:szCs w:val="36"/>
          <w:highlight w:val="none"/>
        </w:rPr>
      </w:pPr>
      <w:bookmarkStart w:id="66" w:name="_Toc19694"/>
      <w:r>
        <w:rPr>
          <w:rFonts w:hint="eastAsia" w:ascii="宋体" w:hAnsi="宋体" w:eastAsia="宋体" w:cs="宋体"/>
          <w:b/>
          <w:color w:val="auto"/>
          <w:sz w:val="36"/>
          <w:szCs w:val="36"/>
          <w:highlight w:val="none"/>
        </w:rPr>
        <w:t xml:space="preserve">第二章 </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67" w:name="EBa1d14ccffe3b4a2a981429af43348d31"/>
      <w:bookmarkEnd w:id="67"/>
      <w:bookmarkStart w:id="68" w:name="_Toc462489956"/>
      <w:r>
        <w:rPr>
          <w:rFonts w:hint="eastAsia" w:ascii="宋体" w:hAnsi="宋体" w:eastAsia="宋体" w:cs="宋体"/>
          <w:b/>
          <w:color w:val="auto"/>
          <w:sz w:val="36"/>
          <w:szCs w:val="36"/>
          <w:highlight w:val="none"/>
        </w:rPr>
        <w:t>供应商须知</w:t>
      </w:r>
      <w:bookmarkEnd w:id="38"/>
      <w:bookmarkEnd w:id="66"/>
      <w:bookmarkEnd w:id="68"/>
      <w:bookmarkStart w:id="69" w:name="EB735093b706504c83a074ec50e8fae552"/>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供应商须知前附表</w:t>
      </w:r>
    </w:p>
    <w:tbl>
      <w:tblPr>
        <w:tblStyle w:val="20"/>
        <w:tblW w:w="9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560"/>
        <w:gridCol w:w="708"/>
        <w:gridCol w:w="6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bookmarkStart w:id="70" w:name="_Toc256000048"/>
            <w:bookmarkStart w:id="71" w:name="_Toc256000040"/>
            <w:r>
              <w:rPr>
                <w:rFonts w:hint="eastAsia" w:ascii="宋体" w:hAnsi="宋体" w:eastAsia="宋体" w:cs="宋体"/>
                <w:b/>
                <w:bCs/>
                <w:color w:val="auto"/>
                <w:spacing w:val="0"/>
                <w:kern w:val="2"/>
                <w:position w:val="0"/>
                <w:sz w:val="24"/>
                <w:szCs w:val="24"/>
                <w:highlight w:val="none"/>
                <w:lang w:val="en-US" w:eastAsia="zh-CN" w:bidi="ar-SA"/>
              </w:rPr>
              <w:t>序号</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内容</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1</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项目名称</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哈巴河县学校、幼儿园2022年冬季取暖用煤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2</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采购人</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 xml:space="preserve">名  称：哈巴河县教育局  </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地  址：哈巴河县</w:t>
            </w:r>
          </w:p>
          <w:p>
            <w:pPr>
              <w:pStyle w:val="123"/>
              <w:keepNext w:val="0"/>
              <w:keepLines w:val="0"/>
              <w:pageBreakBefore w:val="0"/>
              <w:kinsoku/>
              <w:overflowPunct/>
              <w:topLinePunct w:val="0"/>
              <w:bidi w:val="0"/>
              <w:spacing w:line="360" w:lineRule="auto"/>
              <w:textAlignment w:val="auto"/>
              <w:rPr>
                <w:rFonts w:hint="eastAsia" w:ascii="宋体" w:hAnsi="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联系人：高峰</w:t>
            </w:r>
          </w:p>
          <w:p>
            <w:pPr>
              <w:pStyle w:val="123"/>
              <w:keepNext w:val="0"/>
              <w:keepLines w:val="0"/>
              <w:pageBreakBefore w:val="0"/>
              <w:kinsoku/>
              <w:overflowPunct/>
              <w:topLinePunct w:val="0"/>
              <w:bidi w:val="0"/>
              <w:spacing w:line="360" w:lineRule="auto"/>
              <w:textAlignment w:val="auto"/>
              <w:rPr>
                <w:rFonts w:hint="default" w:ascii="宋体" w:hAnsi="宋体" w:cs="宋体"/>
                <w:color w:val="auto"/>
                <w:spacing w:val="0"/>
                <w:kern w:val="2"/>
                <w:position w:val="0"/>
                <w:sz w:val="24"/>
                <w:szCs w:val="24"/>
                <w:highlight w:val="none"/>
                <w:lang w:val="en-US" w:eastAsia="zh-CN" w:bidi="ar-SA"/>
              </w:rPr>
            </w:pPr>
            <w:r>
              <w:rPr>
                <w:rFonts w:hint="eastAsia" w:ascii="宋体" w:hAnsi="宋体" w:cs="宋体"/>
                <w:color w:val="auto"/>
                <w:spacing w:val="0"/>
                <w:kern w:val="2"/>
                <w:position w:val="0"/>
                <w:sz w:val="24"/>
                <w:szCs w:val="24"/>
                <w:highlight w:val="none"/>
                <w:lang w:val="en-US" w:eastAsia="zh-CN" w:bidi="ar-SA"/>
              </w:rPr>
              <w:t>联系电话：138 9941 9149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3</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采购代理机构</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名  称：</w:t>
            </w:r>
            <w:bookmarkStart w:id="72" w:name="EB250f5f5356c84741a36a4ede18ba22b7"/>
            <w:bookmarkEnd w:id="72"/>
            <w:r>
              <w:rPr>
                <w:rFonts w:hint="eastAsia" w:ascii="宋体" w:hAnsi="宋体" w:cs="宋体"/>
                <w:color w:val="auto"/>
                <w:spacing w:val="0"/>
                <w:kern w:val="2"/>
                <w:position w:val="0"/>
                <w:sz w:val="24"/>
                <w:szCs w:val="24"/>
                <w:highlight w:val="none"/>
                <w:lang w:val="en-US" w:eastAsia="zh-CN" w:bidi="ar-SA"/>
              </w:rPr>
              <w:t>新疆金泰首致项目管理咨询有限公司</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地  址：</w:t>
            </w:r>
            <w:bookmarkStart w:id="73" w:name="EB530d83ae75e941608d10d80107a5f6a1"/>
            <w:bookmarkEnd w:id="73"/>
            <w:r>
              <w:rPr>
                <w:rFonts w:hint="eastAsia" w:ascii="宋体" w:hAnsi="宋体" w:cs="宋体"/>
                <w:color w:val="auto"/>
                <w:spacing w:val="0"/>
                <w:kern w:val="2"/>
                <w:position w:val="0"/>
                <w:sz w:val="24"/>
                <w:szCs w:val="24"/>
                <w:highlight w:val="none"/>
                <w:lang w:val="en-US" w:eastAsia="zh-CN" w:bidi="ar-SA"/>
              </w:rPr>
              <w:t>阿勒泰市</w:t>
            </w:r>
          </w:p>
          <w:p>
            <w:pPr>
              <w:pStyle w:val="123"/>
              <w:keepNext w:val="0"/>
              <w:keepLines w:val="0"/>
              <w:pageBreakBefore w:val="0"/>
              <w:kinsoku/>
              <w:overflowPunct/>
              <w:topLinePunct w:val="0"/>
              <w:bidi w:val="0"/>
              <w:spacing w:line="360" w:lineRule="auto"/>
              <w:textAlignment w:val="auto"/>
              <w:rPr>
                <w:rFonts w:hint="default"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电  话：</w:t>
            </w:r>
            <w:bookmarkStart w:id="74" w:name="EB3fd74d205eeb463aacb1c0b9de313519"/>
            <w:bookmarkEnd w:id="74"/>
            <w:r>
              <w:rPr>
                <w:rFonts w:hint="eastAsia" w:ascii="宋体" w:hAnsi="宋体" w:cs="宋体"/>
                <w:color w:val="auto"/>
                <w:spacing w:val="0"/>
                <w:kern w:val="2"/>
                <w:position w:val="0"/>
                <w:sz w:val="24"/>
                <w:szCs w:val="24"/>
                <w:highlight w:val="none"/>
                <w:lang w:val="en-US" w:eastAsia="zh-CN" w:bidi="ar-SA"/>
              </w:rPr>
              <w:t>13669957007</w:t>
            </w:r>
          </w:p>
          <w:p>
            <w:pPr>
              <w:pStyle w:val="123"/>
              <w:keepNext w:val="0"/>
              <w:keepLines w:val="0"/>
              <w:pageBreakBefore w:val="0"/>
              <w:kinsoku/>
              <w:overflowPunct/>
              <w:topLinePunct w:val="0"/>
              <w:bidi w:val="0"/>
              <w:spacing w:line="360" w:lineRule="auto"/>
              <w:textAlignment w:val="auto"/>
              <w:rPr>
                <w:rFonts w:hint="default"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邮  箱：</w:t>
            </w:r>
            <w:r>
              <w:rPr>
                <w:rFonts w:hint="eastAsia" w:ascii="宋体" w:hAnsi="宋体" w:cs="宋体"/>
                <w:color w:val="auto"/>
                <w:spacing w:val="0"/>
                <w:kern w:val="2"/>
                <w:position w:val="0"/>
                <w:sz w:val="24"/>
                <w:szCs w:val="24"/>
                <w:highlight w:val="none"/>
                <w:lang w:val="en-US" w:eastAsia="zh-CN" w:bidi="ar-SA"/>
              </w:rPr>
              <w:t>471071182@qq.com</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联系人：</w:t>
            </w:r>
            <w:bookmarkStart w:id="75" w:name="EBa9ddf844fb07418b8409ff1424dbb617"/>
            <w:bookmarkEnd w:id="75"/>
            <w:r>
              <w:rPr>
                <w:rFonts w:hint="eastAsia" w:ascii="宋体" w:hAnsi="宋体" w:cs="宋体"/>
                <w:color w:val="auto"/>
                <w:spacing w:val="0"/>
                <w:kern w:val="2"/>
                <w:position w:val="0"/>
                <w:sz w:val="24"/>
                <w:szCs w:val="24"/>
                <w:highlight w:val="none"/>
                <w:lang w:val="en-US" w:eastAsia="zh-CN" w:bidi="ar-SA"/>
              </w:rPr>
              <w:t>贾梦华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pPr>
              <w:pStyle w:val="43"/>
              <w:spacing w:line="360" w:lineRule="auto"/>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0"/>
                <w:sz w:val="24"/>
                <w:szCs w:val="24"/>
                <w:highlight w:val="none"/>
                <w:u w:val="none"/>
                <w:lang w:val="en-US" w:eastAsia="zh-CN"/>
              </w:rPr>
              <w:t>4</w:t>
            </w:r>
          </w:p>
        </w:tc>
        <w:tc>
          <w:tcPr>
            <w:tcW w:w="2268" w:type="dxa"/>
            <w:gridSpan w:val="2"/>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z w:val="24"/>
                <w:szCs w:val="24"/>
                <w:highlight w:val="none"/>
              </w:rPr>
              <w:t>监管部门</w:t>
            </w:r>
          </w:p>
        </w:tc>
        <w:tc>
          <w:tcPr>
            <w:tcW w:w="6690" w:type="dxa"/>
            <w:tcBorders>
              <w:top w:val="single" w:color="auto" w:sz="4" w:space="0"/>
              <w:left w:val="nil"/>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哈巴河县</w:t>
            </w:r>
            <w:r>
              <w:rPr>
                <w:rFonts w:hint="eastAsia" w:ascii="宋体" w:hAnsi="宋体" w:eastAsia="宋体" w:cs="宋体"/>
                <w:color w:val="auto"/>
                <w:sz w:val="24"/>
                <w:szCs w:val="24"/>
                <w:highlight w:val="none"/>
              </w:rPr>
              <w:t>财政局政府采购监督管理办公室</w:t>
            </w:r>
          </w:p>
          <w:p>
            <w:pPr>
              <w:spacing w:line="360" w:lineRule="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eastAsia="zh-CN"/>
              </w:rPr>
              <w:t>哈巴河县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5</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采购内容</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哈巴河县学校、幼儿园2022年冬季取暖用煤，详见招标文件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6</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58"/>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0"/>
                <w:position w:val="0"/>
                <w:sz w:val="24"/>
                <w:szCs w:val="24"/>
                <w:highlight w:val="none"/>
                <w:lang w:val="en-US" w:eastAsia="zh-CN"/>
              </w:rPr>
              <w:t>交货期</w:t>
            </w:r>
          </w:p>
        </w:tc>
        <w:tc>
          <w:tcPr>
            <w:tcW w:w="6690" w:type="dxa"/>
            <w:tcBorders>
              <w:top w:val="single" w:color="auto" w:sz="4" w:space="0"/>
              <w:left w:val="nil"/>
              <w:bottom w:val="single" w:color="auto" w:sz="4" w:space="0"/>
              <w:right w:val="single" w:color="auto" w:sz="4" w:space="0"/>
            </w:tcBorders>
            <w:noWrap w:val="0"/>
            <w:vAlign w:val="center"/>
          </w:tcPr>
          <w:p>
            <w:pPr>
              <w:pStyle w:val="58"/>
              <w:keepNext w:val="0"/>
              <w:keepLines w:val="0"/>
              <w:pageBreakBefore w:val="0"/>
              <w:kinsoku/>
              <w:overflowPunct/>
              <w:topLinePunct w:val="0"/>
              <w:bidi w:val="0"/>
              <w:spacing w:line="360" w:lineRule="auto"/>
              <w:jc w:val="both"/>
              <w:textAlignment w:val="auto"/>
              <w:rPr>
                <w:rFonts w:hint="default" w:ascii="宋体" w:hAnsi="宋体" w:eastAsia="宋体" w:cs="宋体"/>
                <w:color w:val="auto"/>
                <w:spacing w:val="0"/>
                <w:kern w:val="0"/>
                <w:position w:val="0"/>
                <w:sz w:val="24"/>
                <w:szCs w:val="24"/>
                <w:highlight w:val="none"/>
                <w:lang w:val="en-US" w:eastAsia="zh-CN" w:bidi="ar-SA"/>
              </w:rPr>
            </w:pPr>
            <w:r>
              <w:rPr>
                <w:rFonts w:hint="eastAsia" w:ascii="宋体" w:hAnsi="宋体" w:eastAsia="宋体" w:cs="宋体"/>
                <w:i w:val="0"/>
                <w:iCs w:val="0"/>
                <w:caps w:val="0"/>
                <w:color w:val="auto"/>
                <w:spacing w:val="0"/>
                <w:sz w:val="24"/>
                <w:szCs w:val="24"/>
                <w:highlight w:val="none"/>
                <w:lang w:eastAsia="zh-CN"/>
              </w:rPr>
              <w:t>合同签订后</w:t>
            </w:r>
            <w:r>
              <w:rPr>
                <w:rFonts w:hint="eastAsia" w:ascii="宋体" w:hAnsi="宋体" w:eastAsia="宋体" w:cs="宋体"/>
                <w:i w:val="0"/>
                <w:iCs w:val="0"/>
                <w:caps w:val="0"/>
                <w:color w:val="auto"/>
                <w:spacing w:val="0"/>
                <w:sz w:val="24"/>
                <w:szCs w:val="24"/>
                <w:highlight w:val="none"/>
                <w:lang w:val="en-US" w:eastAsia="zh-CN"/>
              </w:rPr>
              <w:t>60天内（日历日）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7</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0"/>
                <w:position w:val="0"/>
                <w:sz w:val="24"/>
                <w:szCs w:val="24"/>
                <w:highlight w:val="none"/>
                <w:lang w:val="en-US" w:eastAsia="zh-CN"/>
              </w:rPr>
            </w:pPr>
            <w:r>
              <w:rPr>
                <w:rFonts w:hint="eastAsia" w:ascii="宋体" w:hAnsi="宋体" w:eastAsia="宋体" w:cs="宋体"/>
                <w:b/>
                <w:bCs/>
                <w:color w:val="auto"/>
                <w:spacing w:val="0"/>
                <w:kern w:val="2"/>
                <w:position w:val="0"/>
                <w:sz w:val="24"/>
                <w:szCs w:val="24"/>
                <w:highlight w:val="none"/>
                <w:lang w:val="en-US" w:eastAsia="zh-CN" w:bidi="ar-SA"/>
              </w:rPr>
              <w:t>交付地点</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0"/>
                <w:position w:val="0"/>
                <w:sz w:val="24"/>
                <w:szCs w:val="24"/>
                <w:highlight w:val="none"/>
                <w:lang w:val="en-US" w:eastAsia="zh-CN"/>
              </w:rPr>
            </w:pPr>
            <w:r>
              <w:rPr>
                <w:rFonts w:hint="eastAsia" w:ascii="宋体" w:hAnsi="宋体" w:cs="宋体"/>
                <w:color w:val="auto"/>
                <w:spacing w:val="0"/>
                <w:kern w:val="2"/>
                <w:position w:val="0"/>
                <w:sz w:val="24"/>
                <w:szCs w:val="24"/>
                <w:highlight w:val="none"/>
                <w:lang w:val="en-US" w:eastAsia="zh-CN" w:bidi="ar-SA"/>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9</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投标人资格要求</w:t>
            </w:r>
          </w:p>
        </w:tc>
        <w:tc>
          <w:tcPr>
            <w:tcW w:w="6690" w:type="dxa"/>
            <w:tcBorders>
              <w:top w:val="single" w:color="auto" w:sz="4" w:space="0"/>
              <w:left w:val="nil"/>
              <w:bottom w:val="single" w:color="auto" w:sz="4" w:space="0"/>
              <w:right w:val="single" w:color="auto" w:sz="4" w:space="0"/>
            </w:tcBorders>
            <w:noWrap w:val="0"/>
            <w:vAlign w:val="center"/>
          </w:tcPr>
          <w:p>
            <w:pPr>
              <w:pStyle w:val="8"/>
              <w:rPr>
                <w:rFonts w:hint="eastAsia"/>
                <w:color w:val="auto"/>
                <w:highlight w:val="none"/>
                <w:lang w:val="en-US" w:eastAsia="zh-CN"/>
              </w:rPr>
            </w:pPr>
            <w:bookmarkStart w:id="76" w:name="EB7907836f74a6455bb75d2ff8b438afad"/>
            <w:bookmarkEnd w:id="76"/>
            <w:r>
              <w:rPr>
                <w:rFonts w:hint="eastAsia"/>
                <w:color w:val="auto"/>
                <w:highlight w:val="none"/>
                <w:lang w:val="en-US" w:eastAsia="zh-CN"/>
              </w:rPr>
              <w:t>1.满足《中华人民共和国政府采购法》第二十二条规定；</w:t>
            </w:r>
          </w:p>
          <w:p>
            <w:pPr>
              <w:pStyle w:val="8"/>
              <w:rPr>
                <w:rFonts w:hint="eastAsia"/>
                <w:color w:val="auto"/>
                <w:highlight w:val="none"/>
                <w:lang w:val="en-US" w:eastAsia="zh-CN"/>
              </w:rPr>
            </w:pPr>
            <w:r>
              <w:rPr>
                <w:rFonts w:hint="eastAsia"/>
                <w:color w:val="auto"/>
                <w:highlight w:val="none"/>
                <w:lang w:val="en-US" w:eastAsia="zh-CN"/>
              </w:rPr>
              <w:t>2.落实政府采购政策需满足的资格要求：(1)财政部、国家发展改革委《关于印发《节能产品政府采购实施意见》的通知》（财库[2004]185号）；</w:t>
            </w:r>
          </w:p>
          <w:p>
            <w:pPr>
              <w:pStyle w:val="8"/>
              <w:rPr>
                <w:rFonts w:hint="eastAsia"/>
                <w:color w:val="auto"/>
                <w:highlight w:val="none"/>
                <w:lang w:val="en-US" w:eastAsia="zh-CN"/>
              </w:rPr>
            </w:pPr>
            <w:r>
              <w:rPr>
                <w:rFonts w:hint="eastAsia"/>
                <w:color w:val="auto"/>
                <w:highlight w:val="none"/>
                <w:lang w:val="en-US" w:eastAsia="zh-CN"/>
              </w:rPr>
              <w:t>(2)《财政部、环保总局关于环境标志产品政府采购实施的意见》（财库[2006]90号）；</w:t>
            </w:r>
          </w:p>
          <w:p>
            <w:pPr>
              <w:pStyle w:val="8"/>
              <w:rPr>
                <w:rFonts w:hint="eastAsia"/>
                <w:color w:val="auto"/>
                <w:highlight w:val="none"/>
                <w:lang w:val="en-US" w:eastAsia="zh-CN"/>
              </w:rPr>
            </w:pPr>
            <w:r>
              <w:rPr>
                <w:rFonts w:hint="eastAsia"/>
                <w:color w:val="auto"/>
                <w:highlight w:val="none"/>
                <w:lang w:val="en-US" w:eastAsia="zh-CN"/>
              </w:rPr>
              <w:t>(3)财政部、工业和信息化部《关于印发《政府采购促进中小企业发展管理办法》的通知》（财库[2020]46号）；</w:t>
            </w:r>
          </w:p>
          <w:p>
            <w:pPr>
              <w:pStyle w:val="8"/>
              <w:rPr>
                <w:rFonts w:hint="eastAsia"/>
                <w:color w:val="auto"/>
                <w:highlight w:val="none"/>
                <w:lang w:val="en-US" w:eastAsia="zh-CN"/>
              </w:rPr>
            </w:pPr>
            <w:r>
              <w:rPr>
                <w:rFonts w:hint="eastAsia"/>
                <w:color w:val="auto"/>
                <w:highlight w:val="none"/>
                <w:lang w:val="en-US" w:eastAsia="zh-CN"/>
              </w:rPr>
              <w:t>(4)财政部、民政部、中国残疾人联合会《关于促进残疾人就业政府采购政策的通知》（财库[2017]141号）；</w:t>
            </w:r>
          </w:p>
          <w:p>
            <w:pPr>
              <w:pStyle w:val="8"/>
              <w:rPr>
                <w:rFonts w:hint="eastAsia"/>
                <w:color w:val="auto"/>
                <w:highlight w:val="none"/>
                <w:lang w:val="en-US" w:eastAsia="zh-CN"/>
              </w:rPr>
            </w:pPr>
            <w:r>
              <w:rPr>
                <w:rFonts w:hint="eastAsia"/>
                <w:color w:val="auto"/>
                <w:highlight w:val="none"/>
                <w:lang w:val="en-US" w:eastAsia="zh-CN"/>
              </w:rPr>
              <w:t>(5)财政部、司法部《关于政府采购支持监狱企业发展有关问题的通知》（财库[2014]68号）；</w:t>
            </w:r>
          </w:p>
          <w:p>
            <w:pPr>
              <w:pStyle w:val="8"/>
              <w:rPr>
                <w:rFonts w:hint="eastAsia"/>
                <w:color w:val="auto"/>
                <w:highlight w:val="none"/>
                <w:lang w:val="en-US" w:eastAsia="zh-CN"/>
              </w:rPr>
            </w:pPr>
            <w:r>
              <w:rPr>
                <w:rFonts w:hint="eastAsia"/>
                <w:color w:val="auto"/>
                <w:highlight w:val="none"/>
                <w:lang w:val="en-US" w:eastAsia="zh-CN"/>
              </w:rPr>
              <w:t>3.本项目的特定资格要求：1、符合《中华人民共和国政府采购法》第二十二条规定。</w:t>
            </w:r>
          </w:p>
          <w:p>
            <w:pPr>
              <w:pStyle w:val="8"/>
              <w:rPr>
                <w:rFonts w:hint="eastAsia"/>
                <w:color w:val="auto"/>
                <w:highlight w:val="none"/>
                <w:lang w:val="en-US" w:eastAsia="zh-CN"/>
              </w:rPr>
            </w:pPr>
            <w:r>
              <w:rPr>
                <w:rFonts w:hint="eastAsia"/>
                <w:color w:val="auto"/>
                <w:highlight w:val="none"/>
                <w:lang w:val="en-US" w:eastAsia="zh-CN"/>
              </w:rPr>
              <w:t>2、具有有效的营业执照（三证合一）；</w:t>
            </w:r>
          </w:p>
          <w:p>
            <w:pPr>
              <w:pStyle w:val="8"/>
              <w:rPr>
                <w:rFonts w:hint="eastAsia"/>
                <w:color w:val="auto"/>
                <w:highlight w:val="none"/>
                <w:lang w:val="en-US" w:eastAsia="zh-CN"/>
              </w:rPr>
            </w:pPr>
            <w:r>
              <w:rPr>
                <w:rFonts w:hint="eastAsia"/>
                <w:color w:val="auto"/>
                <w:highlight w:val="none"/>
                <w:lang w:val="en-US" w:eastAsia="zh-CN"/>
              </w:rPr>
              <w:t>3、具有良好的商业信誉和健全的财务会计制度；</w:t>
            </w:r>
          </w:p>
          <w:p>
            <w:pPr>
              <w:pStyle w:val="8"/>
              <w:rPr>
                <w:rFonts w:hint="eastAsia"/>
                <w:color w:val="auto"/>
                <w:highlight w:val="none"/>
                <w:lang w:val="en-US" w:eastAsia="zh-CN"/>
              </w:rPr>
            </w:pPr>
            <w:r>
              <w:rPr>
                <w:rFonts w:hint="eastAsia"/>
                <w:color w:val="auto"/>
                <w:highlight w:val="none"/>
                <w:lang w:val="en-US" w:eastAsia="zh-CN"/>
              </w:rPr>
              <w:t>4、投标人必须是有提供招标公告中所采购货物的能力、独立完成供货、安装及维护其正常运转的能力；并具有良好的售后服务能力和相应的质量保证措施。</w:t>
            </w:r>
          </w:p>
          <w:p>
            <w:pPr>
              <w:pStyle w:val="8"/>
              <w:rPr>
                <w:rFonts w:hint="eastAsia"/>
                <w:color w:val="auto"/>
                <w:highlight w:val="none"/>
                <w:lang w:val="en-US" w:eastAsia="zh-CN"/>
              </w:rPr>
            </w:pPr>
            <w:r>
              <w:rPr>
                <w:rFonts w:hint="eastAsia"/>
                <w:color w:val="auto"/>
                <w:highlight w:val="none"/>
                <w:lang w:val="en-US" w:eastAsia="zh-CN"/>
              </w:rPr>
              <w:t>5、有依法缴纳税收的良好记录；</w:t>
            </w:r>
          </w:p>
          <w:p>
            <w:pPr>
              <w:pStyle w:val="8"/>
              <w:rPr>
                <w:rFonts w:hint="eastAsia"/>
                <w:color w:val="auto"/>
                <w:highlight w:val="none"/>
                <w:lang w:val="en-US" w:eastAsia="zh-CN"/>
              </w:rPr>
            </w:pPr>
            <w:r>
              <w:rPr>
                <w:rFonts w:hint="eastAsia"/>
                <w:color w:val="auto"/>
                <w:highlight w:val="none"/>
                <w:lang w:val="en-US" w:eastAsia="zh-CN"/>
              </w:rPr>
              <w:t>6、参加政府采购活动前三年内，在经营活动中没有重大违法记录；</w:t>
            </w:r>
          </w:p>
          <w:p>
            <w:pPr>
              <w:pStyle w:val="8"/>
              <w:rPr>
                <w:rFonts w:hint="eastAsia"/>
                <w:color w:val="auto"/>
                <w:highlight w:val="none"/>
                <w:lang w:val="en-US" w:eastAsia="zh-CN"/>
              </w:rPr>
            </w:pPr>
            <w:r>
              <w:rPr>
                <w:rFonts w:hint="eastAsia"/>
                <w:color w:val="auto"/>
                <w:highlight w:val="none"/>
                <w:lang w:val="en-US" w:eastAsia="zh-CN"/>
              </w:rPr>
              <w:t>7、法律、行政法规规定的其他条件；</w:t>
            </w:r>
          </w:p>
          <w:p>
            <w:pPr>
              <w:pStyle w:val="8"/>
              <w:rPr>
                <w:rFonts w:hint="eastAsia"/>
                <w:color w:val="auto"/>
                <w:highlight w:val="none"/>
                <w:lang w:val="en-US" w:eastAsia="zh-CN"/>
              </w:rPr>
            </w:pPr>
            <w:r>
              <w:rPr>
                <w:rFonts w:hint="eastAsia"/>
                <w:color w:val="auto"/>
                <w:highlight w:val="none"/>
                <w:lang w:val="en-US" w:eastAsia="zh-CN"/>
              </w:rPr>
              <w:t>8、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10</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现场查验资料</w:t>
            </w:r>
          </w:p>
        </w:tc>
        <w:tc>
          <w:tcPr>
            <w:tcW w:w="6690" w:type="dxa"/>
            <w:tcBorders>
              <w:top w:val="single" w:color="auto" w:sz="4" w:space="0"/>
              <w:left w:val="nil"/>
              <w:bottom w:val="single" w:color="auto" w:sz="4" w:space="0"/>
              <w:right w:val="single" w:color="auto" w:sz="4" w:space="0"/>
            </w:tcBorders>
            <w:noWrap w:val="0"/>
            <w:vAlign w:val="center"/>
          </w:tcPr>
          <w:p>
            <w:pPr>
              <w:pStyle w:val="8"/>
              <w:rPr>
                <w:rFonts w:hint="eastAsia"/>
                <w:color w:val="auto"/>
                <w:highlight w:val="none"/>
                <w:lang w:val="en-US" w:eastAsia="zh-CN"/>
              </w:rPr>
            </w:pPr>
            <w:r>
              <w:rPr>
                <w:rFonts w:hint="eastAsia"/>
                <w:color w:val="auto"/>
                <w:highlight w:val="none"/>
                <w:lang w:val="en-US" w:eastAsia="zh-CN"/>
              </w:rPr>
              <w:t>开标前，请各投标人随身携带下列有效证件以备随时查验：</w:t>
            </w:r>
          </w:p>
          <w:p>
            <w:pPr>
              <w:pStyle w:val="8"/>
              <w:rPr>
                <w:rFonts w:hint="eastAsia" w:eastAsia="宋体" w:cs="Times New Roman"/>
                <w:color w:val="auto"/>
                <w:highlight w:val="none"/>
                <w:lang w:val="en-US" w:eastAsia="zh-CN"/>
              </w:rPr>
            </w:pPr>
            <w:r>
              <w:rPr>
                <w:rFonts w:hint="eastAsia"/>
                <w:color w:val="auto"/>
                <w:highlight w:val="none"/>
                <w:lang w:val="en-US" w:eastAsia="zh-CN"/>
              </w:rPr>
              <w:t>1、企业法人证明及法定代表人身份证或授权委托书及委托代理人</w:t>
            </w:r>
            <w:r>
              <w:rPr>
                <w:rFonts w:hint="eastAsia" w:eastAsia="宋体" w:cs="Times New Roman"/>
                <w:color w:val="auto"/>
                <w:highlight w:val="none"/>
                <w:lang w:val="en-US" w:eastAsia="zh-CN"/>
              </w:rPr>
              <w:t>身份证原件</w:t>
            </w:r>
          </w:p>
          <w:p>
            <w:pPr>
              <w:pStyle w:val="8"/>
              <w:rPr>
                <w:rFonts w:hint="eastAsia" w:eastAsia="宋体" w:cs="Times New Roman"/>
                <w:color w:val="auto"/>
                <w:highlight w:val="none"/>
                <w:lang w:val="en-US" w:eastAsia="zh-CN"/>
              </w:rPr>
            </w:pPr>
            <w:r>
              <w:rPr>
                <w:rFonts w:hint="eastAsia" w:eastAsia="宋体" w:cs="Times New Roman"/>
                <w:color w:val="auto"/>
                <w:highlight w:val="none"/>
                <w:lang w:val="en-US" w:eastAsia="zh-CN"/>
              </w:rPr>
              <w:t>2、营业执照副</w:t>
            </w:r>
            <w:r>
              <w:rPr>
                <w:rFonts w:hint="eastAsia" w:cs="Times New Roman"/>
                <w:color w:val="auto"/>
                <w:highlight w:val="none"/>
                <w:lang w:val="en-US" w:eastAsia="zh-CN"/>
              </w:rPr>
              <w:t>本</w:t>
            </w:r>
            <w:r>
              <w:rPr>
                <w:rFonts w:hint="eastAsia" w:eastAsia="宋体" w:cs="Times New Roman"/>
                <w:color w:val="auto"/>
                <w:highlight w:val="none"/>
                <w:lang w:val="en-US" w:eastAsia="zh-CN"/>
              </w:rPr>
              <w:t>；</w:t>
            </w:r>
          </w:p>
          <w:p>
            <w:pPr>
              <w:pStyle w:val="8"/>
              <w:rPr>
                <w:rFonts w:hint="eastAsia" w:cs="Times New Roman"/>
                <w:color w:val="auto"/>
                <w:highlight w:val="none"/>
                <w:lang w:val="en-US" w:eastAsia="zh-CN"/>
              </w:rPr>
            </w:pPr>
            <w:r>
              <w:rPr>
                <w:rFonts w:hint="eastAsia" w:eastAsia="宋体" w:cs="Times New Roman"/>
                <w:color w:val="auto"/>
                <w:highlight w:val="none"/>
                <w:lang w:val="en-US" w:eastAsia="zh-CN"/>
              </w:rPr>
              <w:t>3</w:t>
            </w:r>
            <w:r>
              <w:rPr>
                <w:rFonts w:hint="eastAsia" w:cs="Times New Roman"/>
                <w:color w:val="auto"/>
                <w:highlight w:val="none"/>
                <w:lang w:val="en-US" w:eastAsia="zh-CN"/>
              </w:rPr>
              <w:t>、提供近一年的经审计的财务报告；开户许可证，</w:t>
            </w:r>
          </w:p>
          <w:p>
            <w:pPr>
              <w:pStyle w:val="8"/>
              <w:numPr>
                <w:ilvl w:val="0"/>
                <w:numId w:val="0"/>
              </w:numPr>
              <w:rPr>
                <w:rFonts w:hint="eastAsia" w:cs="Times New Roman"/>
                <w:color w:val="auto"/>
                <w:highlight w:val="none"/>
                <w:lang w:val="en-US" w:eastAsia="zh-CN"/>
              </w:rPr>
            </w:pPr>
            <w:r>
              <w:rPr>
                <w:rFonts w:hint="eastAsia" w:cs="Times New Roman"/>
                <w:color w:val="auto"/>
                <w:highlight w:val="none"/>
                <w:lang w:val="en-US" w:eastAsia="zh-CN"/>
              </w:rPr>
              <w:t>4、中小企业声明函原件</w:t>
            </w:r>
          </w:p>
          <w:p>
            <w:pPr>
              <w:pStyle w:val="8"/>
              <w:numPr>
                <w:ilvl w:val="0"/>
                <w:numId w:val="0"/>
              </w:numPr>
              <w:rPr>
                <w:rFonts w:hint="eastAsia" w:eastAsia="宋体" w:cs="Times New Roman"/>
                <w:color w:val="auto"/>
                <w:highlight w:val="none"/>
                <w:lang w:val="en-US" w:eastAsia="zh-CN"/>
              </w:rPr>
            </w:pPr>
            <w:r>
              <w:rPr>
                <w:rFonts w:hint="eastAsia" w:cs="Times New Roman"/>
                <w:color w:val="auto"/>
                <w:highlight w:val="none"/>
                <w:lang w:val="en-US" w:eastAsia="zh-CN"/>
              </w:rPr>
              <w:t>5、未被信用中国（www.creditchina.gov.cn）列入失信被执行人、税收违法黑名单及中国政府采购网（http://www.ccgp.gov.cn/）列入政府采购严重违法失信行为记录名单的企业参与投标；提供信用中国、中国政府采购网、“裁判文书”（wenshu.court.gov.cn/）查询的无行贿犯罪记录网页截图（以上截图须包括单位名称、法人姓名、查询内容及查询时间，查询时间应在招标公告发出后）；</w:t>
            </w:r>
          </w:p>
          <w:p>
            <w:pPr>
              <w:pStyle w:val="8"/>
              <w:rPr>
                <w:rFonts w:hint="eastAsia" w:eastAsia="宋体" w:cs="Times New Roman"/>
                <w:color w:val="auto"/>
                <w:highlight w:val="none"/>
                <w:lang w:val="en-US" w:eastAsia="zh-CN"/>
              </w:rPr>
            </w:pPr>
            <w:bookmarkStart w:id="216" w:name="_GoBack"/>
            <w:bookmarkEnd w:id="216"/>
            <w:r>
              <w:rPr>
                <w:rFonts w:hint="eastAsia" w:cs="Times New Roman"/>
                <w:color w:val="auto"/>
                <w:highlight w:val="none"/>
                <w:lang w:val="en-US" w:eastAsia="zh-CN"/>
              </w:rPr>
              <w:t>6、</w:t>
            </w:r>
            <w:r>
              <w:rPr>
                <w:rFonts w:hint="eastAsia" w:eastAsia="宋体" w:cs="Times New Roman"/>
                <w:color w:val="auto"/>
                <w:highlight w:val="none"/>
                <w:lang w:val="en-US" w:eastAsia="zh-CN"/>
              </w:rPr>
              <w:t>保证金打款凭证及基本户开户许可证及保证金收据</w:t>
            </w:r>
          </w:p>
          <w:p>
            <w:pPr>
              <w:pStyle w:val="8"/>
              <w:rPr>
                <w:rFonts w:hint="eastAsia"/>
                <w:color w:val="auto"/>
                <w:highlight w:val="none"/>
                <w:lang w:val="en-US" w:eastAsia="zh-CN"/>
              </w:rPr>
            </w:pPr>
            <w:r>
              <w:rPr>
                <w:rFonts w:hint="eastAsia" w:eastAsia="宋体" w:cs="Times New Roman"/>
                <w:color w:val="auto"/>
                <w:highlight w:val="none"/>
                <w:lang w:val="en-US" w:eastAsia="zh-CN"/>
              </w:rPr>
              <w:t>以上证件均提供原件，公证件不予认可，证件齐全满足要求的投标</w:t>
            </w:r>
            <w:r>
              <w:rPr>
                <w:rFonts w:hint="eastAsia"/>
                <w:color w:val="auto"/>
                <w:highlight w:val="none"/>
                <w:lang w:val="en-US" w:eastAsia="zh-CN"/>
              </w:rPr>
              <w:t>人为有效投标人。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11</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投标文件的密封</w:t>
            </w:r>
          </w:p>
        </w:tc>
        <w:tc>
          <w:tcPr>
            <w:tcW w:w="6690" w:type="dxa"/>
            <w:tcBorders>
              <w:top w:val="single" w:color="auto" w:sz="4" w:space="0"/>
              <w:left w:val="nil"/>
              <w:bottom w:val="single" w:color="auto" w:sz="4" w:space="0"/>
              <w:right w:val="single" w:color="auto" w:sz="4" w:space="0"/>
            </w:tcBorders>
            <w:noWrap w:val="0"/>
            <w:vAlign w:val="center"/>
          </w:tcPr>
          <w:p>
            <w:pPr>
              <w:pStyle w:val="8"/>
              <w:rPr>
                <w:rFonts w:hint="eastAsia" w:eastAsia="宋体" w:cs="Times New Roman"/>
                <w:color w:val="auto"/>
                <w:highlight w:val="none"/>
                <w:lang w:val="en-US" w:eastAsia="zh-CN"/>
              </w:rPr>
            </w:pPr>
            <w:r>
              <w:rPr>
                <w:rFonts w:hint="eastAsia" w:eastAsia="宋体" w:cs="Times New Roman"/>
                <w:color w:val="auto"/>
                <w:highlight w:val="none"/>
                <w:lang w:val="en-US" w:eastAsia="zh-CN"/>
              </w:rPr>
              <w:t>1.投标人必须将投标文件、开标一览表、电子版投标文件分别密封，装袋并在封袋上正确表明“投标文件”、“开标一览表”、“电子版投标文件”字样，即 “投标文件”封袋、“开标一览表”封袋、“电子版投标文件”封袋。否则整个投标文将被视为不响应招标文件，而予以拒绝评审。密封袋封口处加盖单位公章，并注明“开标时才能启封”字样。</w:t>
            </w:r>
          </w:p>
          <w:p>
            <w:pPr>
              <w:pStyle w:val="8"/>
              <w:rPr>
                <w:rFonts w:hint="eastAsia" w:eastAsia="宋体" w:cs="Times New Roman"/>
                <w:color w:val="auto"/>
                <w:highlight w:val="none"/>
                <w:lang w:val="en-US" w:eastAsia="zh-CN"/>
              </w:rPr>
            </w:pPr>
            <w:r>
              <w:rPr>
                <w:rFonts w:hint="eastAsia" w:eastAsia="宋体" w:cs="Times New Roman"/>
                <w:color w:val="auto"/>
                <w:highlight w:val="none"/>
                <w:lang w:val="en-US" w:eastAsia="zh-CN"/>
              </w:rPr>
              <w:t>2. 投标人须制作“开标一览表”，并单独密封提交，并在信封上标明“开标一览表”的字样。</w:t>
            </w:r>
          </w:p>
          <w:p>
            <w:pPr>
              <w:pStyle w:val="8"/>
              <w:rPr>
                <w:rFonts w:hint="eastAsia" w:eastAsia="宋体" w:cs="Times New Roman"/>
                <w:color w:val="auto"/>
                <w:highlight w:val="none"/>
                <w:lang w:val="en-US" w:eastAsia="zh-CN"/>
              </w:rPr>
            </w:pPr>
            <w:r>
              <w:rPr>
                <w:rFonts w:hint="eastAsia" w:eastAsia="宋体" w:cs="Times New Roman"/>
                <w:color w:val="auto"/>
                <w:highlight w:val="none"/>
                <w:lang w:val="en-US" w:eastAsia="zh-CN"/>
              </w:rPr>
              <w:t>3.投标文件袋和《开标一览表》袋上可写明：</w:t>
            </w:r>
          </w:p>
          <w:p>
            <w:pPr>
              <w:pStyle w:val="8"/>
              <w:rPr>
                <w:rFonts w:hint="eastAsia" w:eastAsia="宋体" w:cs="Times New Roman"/>
                <w:color w:val="auto"/>
                <w:highlight w:val="none"/>
                <w:lang w:val="en-US" w:eastAsia="zh-CN"/>
              </w:rPr>
            </w:pPr>
            <w:r>
              <w:rPr>
                <w:rFonts w:hint="eastAsia" w:eastAsia="宋体" w:cs="Times New Roman"/>
                <w:color w:val="auto"/>
                <w:highlight w:val="none"/>
                <w:lang w:val="en-US" w:eastAsia="zh-CN"/>
              </w:rPr>
              <w:t>招标单位：</w:t>
            </w:r>
          </w:p>
          <w:p>
            <w:pPr>
              <w:pStyle w:val="8"/>
              <w:rPr>
                <w:rFonts w:hint="eastAsia" w:eastAsia="宋体" w:cs="Times New Roman"/>
                <w:color w:val="auto"/>
                <w:highlight w:val="none"/>
                <w:lang w:val="en-US" w:eastAsia="zh-CN"/>
              </w:rPr>
            </w:pPr>
            <w:r>
              <w:rPr>
                <w:rFonts w:hint="eastAsia" w:eastAsia="宋体" w:cs="Times New Roman"/>
                <w:color w:val="auto"/>
                <w:highlight w:val="none"/>
                <w:lang w:val="en-US" w:eastAsia="zh-CN"/>
              </w:rPr>
              <w:t>项目名称：</w:t>
            </w:r>
          </w:p>
          <w:p>
            <w:pPr>
              <w:pStyle w:val="8"/>
              <w:rPr>
                <w:rFonts w:hint="eastAsia" w:eastAsia="宋体" w:cs="Times New Roman"/>
                <w:color w:val="auto"/>
                <w:highlight w:val="none"/>
                <w:lang w:val="en-US" w:eastAsia="zh-CN"/>
              </w:rPr>
            </w:pPr>
            <w:r>
              <w:rPr>
                <w:rFonts w:hint="eastAsia" w:eastAsia="宋体" w:cs="Times New Roman"/>
                <w:color w:val="auto"/>
                <w:highlight w:val="none"/>
                <w:lang w:val="en-US" w:eastAsia="zh-CN"/>
              </w:rPr>
              <w:t>项目编号：</w:t>
            </w:r>
          </w:p>
          <w:p>
            <w:pPr>
              <w:pStyle w:val="8"/>
              <w:rPr>
                <w:rFonts w:hint="eastAsia" w:eastAsia="宋体" w:cs="Times New Roman"/>
                <w:color w:val="auto"/>
                <w:highlight w:val="none"/>
                <w:lang w:val="en-US" w:eastAsia="zh-CN"/>
              </w:rPr>
            </w:pPr>
            <w:r>
              <w:rPr>
                <w:rFonts w:hint="eastAsia" w:eastAsia="宋体" w:cs="Times New Roman"/>
                <w:color w:val="auto"/>
                <w:highlight w:val="none"/>
                <w:lang w:val="en-US" w:eastAsia="zh-CN"/>
              </w:rPr>
              <w:t>投标单位名称：                    （公章）</w:t>
            </w:r>
          </w:p>
          <w:p>
            <w:pPr>
              <w:pStyle w:val="8"/>
              <w:rPr>
                <w:rFonts w:hint="eastAsia" w:eastAsia="宋体" w:cs="Times New Roman"/>
                <w:color w:val="auto"/>
                <w:highlight w:val="none"/>
                <w:lang w:val="en-US" w:eastAsia="zh-CN"/>
              </w:rPr>
            </w:pPr>
            <w:r>
              <w:rPr>
                <w:rFonts w:hint="eastAsia" w:eastAsia="宋体" w:cs="Times New Roman"/>
                <w:color w:val="auto"/>
                <w:highlight w:val="none"/>
                <w:lang w:val="en-US" w:eastAsia="zh-CN"/>
              </w:rPr>
              <w:t xml:space="preserve">       年    月     日     时（即开标时间）前不得开封。</w:t>
            </w:r>
          </w:p>
          <w:p>
            <w:pPr>
              <w:pStyle w:val="8"/>
              <w:rPr>
                <w:rFonts w:hint="eastAsia" w:eastAsia="宋体" w:cs="Times New Roman"/>
                <w:color w:val="auto"/>
                <w:highlight w:val="none"/>
                <w:lang w:val="en-US" w:eastAsia="zh-CN"/>
              </w:rPr>
            </w:pPr>
            <w:r>
              <w:rPr>
                <w:rFonts w:hint="eastAsia" w:eastAsia="宋体" w:cs="Times New Roman"/>
                <w:color w:val="auto"/>
                <w:highlight w:val="none"/>
                <w:lang w:val="en-US" w:eastAsia="zh-CN"/>
              </w:rPr>
              <w:t>备注：注明“开标时才能启封”字样等。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tcBorders>
              <w:top w:val="nil"/>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12</w:t>
            </w:r>
          </w:p>
        </w:tc>
        <w:tc>
          <w:tcPr>
            <w:tcW w:w="1560" w:type="dxa"/>
            <w:vMerge w:val="restart"/>
            <w:tcBorders>
              <w:top w:val="nil"/>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投标文件的组成部分</w:t>
            </w:r>
          </w:p>
        </w:tc>
        <w:tc>
          <w:tcPr>
            <w:tcW w:w="708"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封面</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投标文件封面；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784" w:type="dxa"/>
            <w:vMerge w:val="continue"/>
            <w:tcBorders>
              <w:top w:val="nil"/>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p>
        </w:tc>
        <w:tc>
          <w:tcPr>
            <w:tcW w:w="1560" w:type="dxa"/>
            <w:vMerge w:val="continue"/>
            <w:tcBorders>
              <w:top w:val="nil"/>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p>
        </w:tc>
        <w:tc>
          <w:tcPr>
            <w:tcW w:w="708"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资格</w:t>
            </w:r>
          </w:p>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审查</w:t>
            </w:r>
          </w:p>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材料</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1、营业执照；</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cs="宋体"/>
                <w:color w:val="auto"/>
                <w:spacing w:val="0"/>
                <w:kern w:val="2"/>
                <w:position w:val="0"/>
                <w:sz w:val="24"/>
                <w:szCs w:val="24"/>
                <w:highlight w:val="none"/>
                <w:lang w:val="en-US" w:eastAsia="zh-CN" w:bidi="ar-SA"/>
              </w:rPr>
              <w:t>2、授权委托人近三个月的社保证明；提供近一年的经审计的财务报告，中小企业声明函原件；</w:t>
            </w:r>
            <w:r>
              <w:rPr>
                <w:rFonts w:hint="eastAsia" w:ascii="宋体" w:hAnsi="宋体" w:eastAsia="宋体" w:cs="宋体"/>
                <w:color w:val="auto"/>
                <w:spacing w:val="0"/>
                <w:kern w:val="2"/>
                <w:position w:val="0"/>
                <w:sz w:val="24"/>
                <w:szCs w:val="24"/>
                <w:highlight w:val="none"/>
                <w:lang w:val="en-US" w:eastAsia="zh-CN" w:bidi="ar-SA"/>
              </w:rPr>
              <w:t xml:space="preserve">                                      </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cs="宋体"/>
                <w:color w:val="auto"/>
                <w:spacing w:val="0"/>
                <w:kern w:val="2"/>
                <w:position w:val="0"/>
                <w:sz w:val="24"/>
                <w:szCs w:val="24"/>
                <w:highlight w:val="none"/>
                <w:lang w:val="en-US" w:eastAsia="zh-CN" w:bidi="ar-SA"/>
              </w:rPr>
              <w:t>3</w:t>
            </w:r>
            <w:r>
              <w:rPr>
                <w:rFonts w:hint="eastAsia" w:ascii="宋体" w:hAnsi="宋体" w:eastAsia="宋体" w:cs="宋体"/>
                <w:color w:val="auto"/>
                <w:spacing w:val="0"/>
                <w:kern w:val="2"/>
                <w:position w:val="0"/>
                <w:sz w:val="24"/>
                <w:szCs w:val="24"/>
                <w:highlight w:val="none"/>
                <w:lang w:val="en-US" w:eastAsia="zh-CN" w:bidi="ar-SA"/>
              </w:rPr>
              <w:t>、法定代表人投标需法定代表人证明书及法定代表人身份证，委托代理人投标需法定代表人授权委托书及委托代理人身份证；</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cs="宋体"/>
                <w:color w:val="auto"/>
                <w:spacing w:val="0"/>
                <w:kern w:val="2"/>
                <w:position w:val="0"/>
                <w:sz w:val="24"/>
                <w:szCs w:val="24"/>
                <w:highlight w:val="none"/>
                <w:lang w:val="en-US" w:eastAsia="zh-CN" w:bidi="ar-SA"/>
              </w:rPr>
              <w:t>4</w:t>
            </w:r>
            <w:r>
              <w:rPr>
                <w:rFonts w:hint="eastAsia" w:ascii="宋体" w:hAnsi="宋体" w:eastAsia="宋体" w:cs="宋体"/>
                <w:color w:val="auto"/>
                <w:spacing w:val="0"/>
                <w:kern w:val="2"/>
                <w:position w:val="0"/>
                <w:sz w:val="24"/>
                <w:szCs w:val="24"/>
                <w:highlight w:val="none"/>
                <w:lang w:val="en-US" w:eastAsia="zh-CN" w:bidi="ar-SA"/>
              </w:rPr>
              <w:t>、</w:t>
            </w:r>
            <w:r>
              <w:rPr>
                <w:rFonts w:hint="eastAsia" w:ascii="宋体" w:hAnsi="宋体" w:cs="宋体"/>
                <w:color w:val="auto"/>
                <w:spacing w:val="0"/>
                <w:kern w:val="2"/>
                <w:position w:val="0"/>
                <w:sz w:val="24"/>
                <w:szCs w:val="24"/>
                <w:highlight w:val="none"/>
                <w:lang w:val="en-US" w:eastAsia="zh-CN" w:bidi="ar-SA"/>
              </w:rPr>
              <w:t>保证金打款凭证及基本户开户许可及</w:t>
            </w:r>
            <w:r>
              <w:rPr>
                <w:rFonts w:hint="eastAsia" w:ascii="宋体" w:hAnsi="宋体" w:eastAsia="宋体" w:cs="宋体"/>
                <w:color w:val="auto"/>
                <w:spacing w:val="0"/>
                <w:kern w:val="2"/>
                <w:position w:val="0"/>
                <w:sz w:val="24"/>
                <w:szCs w:val="24"/>
                <w:highlight w:val="none"/>
                <w:lang w:val="en-US" w:eastAsia="zh-CN" w:bidi="ar-SA"/>
              </w:rPr>
              <w:t>由</w:t>
            </w:r>
            <w:r>
              <w:rPr>
                <w:rFonts w:hint="eastAsia" w:ascii="宋体" w:hAnsi="宋体" w:cs="宋体"/>
                <w:color w:val="auto"/>
                <w:spacing w:val="0"/>
                <w:kern w:val="2"/>
                <w:position w:val="0"/>
                <w:sz w:val="24"/>
                <w:szCs w:val="24"/>
                <w:highlight w:val="none"/>
                <w:lang w:val="en-US" w:eastAsia="zh-CN" w:bidi="ar-SA"/>
              </w:rPr>
              <w:t>新疆金泰首致项目管理咨询有限公司</w:t>
            </w:r>
            <w:r>
              <w:rPr>
                <w:rFonts w:hint="eastAsia" w:ascii="宋体" w:hAnsi="宋体" w:eastAsia="宋体" w:cs="宋体"/>
                <w:color w:val="auto"/>
                <w:spacing w:val="0"/>
                <w:kern w:val="2"/>
                <w:position w:val="0"/>
                <w:sz w:val="24"/>
                <w:szCs w:val="24"/>
                <w:highlight w:val="none"/>
                <w:lang w:val="en-US" w:eastAsia="zh-CN" w:bidi="ar-SA"/>
              </w:rPr>
              <w:t xml:space="preserve">开具的投标保证金收据；                                                   </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cs="宋体"/>
                <w:color w:val="auto"/>
                <w:spacing w:val="0"/>
                <w:kern w:val="2"/>
                <w:position w:val="0"/>
                <w:sz w:val="24"/>
                <w:szCs w:val="24"/>
                <w:highlight w:val="none"/>
                <w:lang w:val="en-US" w:eastAsia="zh-CN" w:bidi="ar-SA"/>
              </w:rPr>
              <w:t>5</w:t>
            </w:r>
            <w:r>
              <w:rPr>
                <w:rFonts w:hint="eastAsia" w:ascii="宋体" w:hAnsi="宋体" w:eastAsia="宋体" w:cs="宋体"/>
                <w:color w:val="auto"/>
                <w:spacing w:val="0"/>
                <w:kern w:val="2"/>
                <w:position w:val="0"/>
                <w:sz w:val="24"/>
                <w:szCs w:val="24"/>
                <w:highlight w:val="none"/>
                <w:lang w:val="en-US" w:eastAsia="zh-CN" w:bidi="ar-SA"/>
              </w:rPr>
              <w:t>、未被信用中国（www.creditchina.gov.cn）列入失信被执行人、税收违法黑名单及中国政府采购网（http://www.ccgp.gov.cn/）列入政府采购严重违法失信行为记录名单的企业参与投标；提供信用中国、中国政府采购网、“裁判文书”（wenshu.court.gov.cn/）查询的无行贿犯罪记录网页截图（以上截图须包括单位名称、法人姓名、查询内容及查询时间，查询时间应在招标公告发出后）；</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cs="宋体"/>
                <w:color w:val="auto"/>
                <w:spacing w:val="0"/>
                <w:kern w:val="2"/>
                <w:position w:val="0"/>
                <w:sz w:val="24"/>
                <w:szCs w:val="24"/>
                <w:highlight w:val="none"/>
                <w:lang w:val="en-US" w:eastAsia="zh-CN" w:bidi="ar-SA"/>
              </w:rPr>
              <w:t>6</w:t>
            </w:r>
            <w:r>
              <w:rPr>
                <w:rFonts w:hint="eastAsia" w:ascii="宋体" w:hAnsi="宋体" w:eastAsia="宋体" w:cs="宋体"/>
                <w:color w:val="auto"/>
                <w:spacing w:val="0"/>
                <w:kern w:val="2"/>
                <w:position w:val="0"/>
                <w:sz w:val="24"/>
                <w:szCs w:val="24"/>
                <w:highlight w:val="none"/>
                <w:lang w:val="en-US" w:eastAsia="zh-CN" w:bidi="ar-SA"/>
              </w:rPr>
              <w:t xml:space="preserve">、供应商认为有必要提供的声明及文件资料。  </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cs="宋体"/>
                <w:color w:val="auto"/>
                <w:spacing w:val="0"/>
                <w:kern w:val="2"/>
                <w:position w:val="0"/>
                <w:sz w:val="24"/>
                <w:szCs w:val="24"/>
                <w:highlight w:val="none"/>
                <w:lang w:val="en-US" w:eastAsia="zh-CN" w:bidi="ar-SA"/>
              </w:rPr>
              <w:t>7</w:t>
            </w:r>
            <w:r>
              <w:rPr>
                <w:rFonts w:hint="eastAsia" w:ascii="宋体" w:hAnsi="宋体" w:eastAsia="宋体" w:cs="宋体"/>
                <w:color w:val="auto"/>
                <w:spacing w:val="0"/>
                <w:kern w:val="2"/>
                <w:position w:val="0"/>
                <w:sz w:val="24"/>
                <w:szCs w:val="24"/>
                <w:highlight w:val="none"/>
                <w:lang w:val="en-US" w:eastAsia="zh-CN" w:bidi="ar-SA"/>
              </w:rPr>
              <w:t>、《中华人民共和国政府采购法》第二十二条应当具备的条件。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84" w:type="dxa"/>
            <w:vMerge w:val="continue"/>
            <w:tcBorders>
              <w:top w:val="nil"/>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p>
        </w:tc>
        <w:tc>
          <w:tcPr>
            <w:tcW w:w="1560" w:type="dxa"/>
            <w:vMerge w:val="continue"/>
            <w:tcBorders>
              <w:top w:val="nil"/>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p>
        </w:tc>
        <w:tc>
          <w:tcPr>
            <w:tcW w:w="708"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商务</w:t>
            </w:r>
          </w:p>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文件</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1、投标函；</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2、开标一览表；</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3、投标报价明细表；</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cs="宋体"/>
                <w:color w:val="auto"/>
                <w:spacing w:val="0"/>
                <w:kern w:val="2"/>
                <w:position w:val="0"/>
                <w:sz w:val="24"/>
                <w:szCs w:val="24"/>
                <w:highlight w:val="none"/>
                <w:lang w:val="en-US" w:eastAsia="zh-CN" w:bidi="ar-SA"/>
              </w:rPr>
              <w:t>4</w:t>
            </w:r>
            <w:r>
              <w:rPr>
                <w:rFonts w:hint="eastAsia" w:ascii="宋体" w:hAnsi="宋体" w:eastAsia="宋体" w:cs="宋体"/>
                <w:color w:val="auto"/>
                <w:spacing w:val="0"/>
                <w:kern w:val="2"/>
                <w:position w:val="0"/>
                <w:sz w:val="24"/>
                <w:szCs w:val="24"/>
                <w:highlight w:val="none"/>
                <w:lang w:val="en-US" w:eastAsia="zh-CN" w:bidi="ar-SA"/>
              </w:rPr>
              <w:t>、商务条款偏离说明表；</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cs="宋体"/>
                <w:color w:val="auto"/>
                <w:spacing w:val="0"/>
                <w:kern w:val="2"/>
                <w:position w:val="0"/>
                <w:sz w:val="24"/>
                <w:szCs w:val="24"/>
                <w:highlight w:val="none"/>
                <w:lang w:val="en-US" w:eastAsia="zh-CN" w:bidi="ar-SA"/>
              </w:rPr>
              <w:t>5</w:t>
            </w:r>
            <w:r>
              <w:rPr>
                <w:rFonts w:hint="eastAsia" w:ascii="宋体" w:hAnsi="宋体" w:eastAsia="宋体" w:cs="宋体"/>
                <w:color w:val="auto"/>
                <w:spacing w:val="0"/>
                <w:kern w:val="2"/>
                <w:position w:val="0"/>
                <w:sz w:val="24"/>
                <w:szCs w:val="24"/>
                <w:highlight w:val="none"/>
                <w:lang w:val="en-US" w:eastAsia="zh-CN" w:bidi="ar-SA"/>
              </w:rPr>
              <w:t>、中、小企业声明函；</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cs="宋体"/>
                <w:color w:val="auto"/>
                <w:spacing w:val="0"/>
                <w:kern w:val="2"/>
                <w:position w:val="0"/>
                <w:sz w:val="24"/>
                <w:szCs w:val="24"/>
                <w:highlight w:val="none"/>
                <w:lang w:val="en-US" w:eastAsia="zh-CN" w:bidi="ar-SA"/>
              </w:rPr>
              <w:t>6</w:t>
            </w:r>
            <w:r>
              <w:rPr>
                <w:rFonts w:hint="eastAsia" w:ascii="宋体" w:hAnsi="宋体" w:eastAsia="宋体" w:cs="宋体"/>
                <w:color w:val="auto"/>
                <w:spacing w:val="0"/>
                <w:kern w:val="2"/>
                <w:position w:val="0"/>
                <w:sz w:val="24"/>
                <w:szCs w:val="24"/>
                <w:highlight w:val="none"/>
                <w:lang w:val="en-US" w:eastAsia="zh-CN" w:bidi="ar-SA"/>
              </w:rPr>
              <w:t>、供应商认为有必要提供的声明及文件资料；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84" w:type="dxa"/>
            <w:vMerge w:val="continue"/>
            <w:tcBorders>
              <w:top w:val="nil"/>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p>
        </w:tc>
        <w:tc>
          <w:tcPr>
            <w:tcW w:w="1560" w:type="dxa"/>
            <w:vMerge w:val="continue"/>
            <w:tcBorders>
              <w:top w:val="nil"/>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p>
        </w:tc>
        <w:tc>
          <w:tcPr>
            <w:tcW w:w="708"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技术</w:t>
            </w:r>
          </w:p>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文件</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1、技术规格偏离表；</w:t>
            </w:r>
          </w:p>
          <w:p>
            <w:pPr>
              <w:pStyle w:val="132"/>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rPr>
              <w:t>供货</w:t>
            </w:r>
            <w:r>
              <w:rPr>
                <w:rFonts w:hint="eastAsia" w:ascii="宋体" w:hAnsi="宋体" w:cs="宋体"/>
                <w:color w:val="auto"/>
                <w:kern w:val="0"/>
                <w:sz w:val="24"/>
                <w:szCs w:val="24"/>
                <w:highlight w:val="none"/>
                <w:lang w:val="en-US" w:eastAsia="zh-CN"/>
              </w:rPr>
              <w:t>；</w:t>
            </w:r>
          </w:p>
          <w:p>
            <w:pPr>
              <w:pStyle w:val="132"/>
              <w:spacing w:line="360" w:lineRule="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运输保障</w:t>
            </w:r>
            <w:r>
              <w:rPr>
                <w:rFonts w:hint="eastAsia" w:ascii="宋体" w:hAnsi="宋体" w:eastAsia="宋体" w:cs="宋体"/>
                <w:color w:val="auto"/>
                <w:kern w:val="0"/>
                <w:sz w:val="24"/>
                <w:szCs w:val="24"/>
                <w:highlight w:val="none"/>
                <w:lang w:eastAsia="zh-CN"/>
              </w:rPr>
              <w:t>；</w:t>
            </w:r>
          </w:p>
          <w:p>
            <w:pPr>
              <w:pStyle w:val="132"/>
              <w:tabs>
                <w:tab w:val="left" w:pos="5580"/>
              </w:tabs>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检测报告</w:t>
            </w:r>
            <w:r>
              <w:rPr>
                <w:rFonts w:hint="eastAsia" w:ascii="宋体" w:hAnsi="宋体" w:eastAsia="宋体" w:cs="宋体"/>
                <w:color w:val="auto"/>
                <w:kern w:val="0"/>
                <w:sz w:val="24"/>
                <w:szCs w:val="24"/>
                <w:highlight w:val="none"/>
              </w:rPr>
              <w:t>；</w:t>
            </w:r>
          </w:p>
          <w:p>
            <w:pPr>
              <w:pStyle w:val="132"/>
              <w:tabs>
                <w:tab w:val="left" w:pos="5580"/>
              </w:tabs>
              <w:spacing w:line="360" w:lineRule="auto"/>
              <w:jc w:val="left"/>
              <w:rPr>
                <w:rFonts w:hint="eastAsia" w:ascii="宋体" w:hAnsi="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售后服务</w:t>
            </w:r>
            <w:r>
              <w:rPr>
                <w:rFonts w:hint="eastAsia" w:ascii="宋体" w:hAnsi="宋体" w:cs="宋体"/>
                <w:color w:val="auto"/>
                <w:kern w:val="0"/>
                <w:sz w:val="24"/>
                <w:szCs w:val="24"/>
                <w:highlight w:val="none"/>
                <w:lang w:eastAsia="zh-CN"/>
              </w:rPr>
              <w:t>；</w:t>
            </w:r>
          </w:p>
          <w:p>
            <w:pPr>
              <w:pStyle w:val="132"/>
              <w:tabs>
                <w:tab w:val="left" w:pos="5580"/>
              </w:tabs>
              <w:spacing w:line="360" w:lineRule="auto"/>
              <w:jc w:val="left"/>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lang w:val="en-US" w:eastAsia="zh-CN"/>
              </w:rPr>
              <w:t>认为需要提交的其他文件。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13</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是否允许联合体投标</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bookmarkStart w:id="77" w:name="EBc6ac0877da194e1ead2e51743a97925a"/>
            <w:bookmarkEnd w:id="77"/>
            <w:r>
              <w:rPr>
                <w:rFonts w:hint="eastAsia" w:ascii="宋体" w:hAnsi="宋体" w:eastAsia="宋体" w:cs="宋体"/>
                <w:color w:val="auto"/>
                <w:spacing w:val="0"/>
                <w:kern w:val="2"/>
                <w:position w:val="0"/>
                <w:sz w:val="24"/>
                <w:szCs w:val="24"/>
                <w:highlight w:val="none"/>
                <w:lang w:val="en-US" w:eastAsia="zh-CN" w:bidi="ar-SA"/>
              </w:rPr>
              <w:sym w:font="Wingdings 2" w:char="00A3"/>
            </w:r>
            <w:r>
              <w:rPr>
                <w:rFonts w:hint="eastAsia" w:ascii="宋体" w:hAnsi="宋体" w:eastAsia="宋体" w:cs="宋体"/>
                <w:color w:val="auto"/>
                <w:spacing w:val="0"/>
                <w:kern w:val="2"/>
                <w:position w:val="0"/>
                <w:sz w:val="24"/>
                <w:szCs w:val="24"/>
                <w:highlight w:val="none"/>
                <w:lang w:val="en-US" w:eastAsia="zh-CN" w:bidi="ar-SA"/>
              </w:rPr>
              <w:t xml:space="preserve">是。       </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sym w:font="Wingdings 2" w:char="0052"/>
            </w:r>
            <w:r>
              <w:rPr>
                <w:rFonts w:hint="eastAsia" w:ascii="宋体" w:hAnsi="宋体" w:eastAsia="宋体" w:cs="宋体"/>
                <w:color w:val="auto"/>
                <w:spacing w:val="0"/>
                <w:kern w:val="2"/>
                <w:position w:val="0"/>
                <w:sz w:val="24"/>
                <w:szCs w:val="24"/>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14</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是否允许投报进口产品</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bookmarkStart w:id="78" w:name="EB7401d5a3a7c54a98b25d14a9dd4d0afa"/>
            <w:bookmarkEnd w:id="78"/>
            <w:r>
              <w:rPr>
                <w:rFonts w:hint="eastAsia" w:ascii="宋体" w:hAnsi="宋体" w:eastAsia="宋体" w:cs="宋体"/>
                <w:color w:val="auto"/>
                <w:spacing w:val="0"/>
                <w:kern w:val="2"/>
                <w:position w:val="0"/>
                <w:sz w:val="24"/>
                <w:szCs w:val="24"/>
                <w:highlight w:val="none"/>
                <w:lang w:val="en-US" w:eastAsia="zh-CN" w:bidi="ar-SA"/>
              </w:rPr>
              <w:t xml:space="preserve">□是。       </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sym w:font="Wingdings 2" w:char="0052"/>
            </w:r>
            <w:r>
              <w:rPr>
                <w:rFonts w:hint="eastAsia" w:ascii="宋体" w:hAnsi="宋体" w:eastAsia="宋体" w:cs="宋体"/>
                <w:color w:val="auto"/>
                <w:spacing w:val="0"/>
                <w:kern w:val="2"/>
                <w:position w:val="0"/>
                <w:sz w:val="24"/>
                <w:szCs w:val="24"/>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15</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是否允许投标人将项目非主体、非关键性工作交由他人完成</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bookmarkStart w:id="79" w:name="EB7f9a2183097e49ed95bd12c9f3aa7860"/>
            <w:bookmarkEnd w:id="79"/>
            <w:r>
              <w:rPr>
                <w:rFonts w:hint="eastAsia" w:ascii="宋体" w:hAnsi="宋体" w:eastAsia="宋体" w:cs="宋体"/>
                <w:color w:val="auto"/>
                <w:spacing w:val="0"/>
                <w:kern w:val="2"/>
                <w:position w:val="0"/>
                <w:sz w:val="24"/>
                <w:szCs w:val="24"/>
                <w:highlight w:val="none"/>
                <w:lang w:val="en-US" w:eastAsia="zh-CN" w:bidi="ar-SA"/>
              </w:rPr>
              <w:t xml:space="preserve">□是。       </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sym w:font="Wingdings 2" w:char="0052"/>
            </w:r>
            <w:r>
              <w:rPr>
                <w:rFonts w:hint="eastAsia" w:ascii="宋体" w:hAnsi="宋体" w:eastAsia="宋体" w:cs="宋体"/>
                <w:color w:val="auto"/>
                <w:spacing w:val="0"/>
                <w:kern w:val="2"/>
                <w:position w:val="0"/>
                <w:sz w:val="24"/>
                <w:szCs w:val="24"/>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16</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答疑接受时间</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202</w:t>
            </w:r>
            <w:r>
              <w:rPr>
                <w:rFonts w:hint="eastAsia" w:ascii="宋体" w:hAnsi="宋体" w:cs="宋体"/>
                <w:color w:val="auto"/>
                <w:spacing w:val="0"/>
                <w:kern w:val="2"/>
                <w:position w:val="0"/>
                <w:sz w:val="24"/>
                <w:szCs w:val="24"/>
                <w:highlight w:val="none"/>
                <w:lang w:val="en-US" w:eastAsia="zh-CN" w:bidi="ar-SA"/>
              </w:rPr>
              <w:t>2</w:t>
            </w:r>
            <w:r>
              <w:rPr>
                <w:rFonts w:hint="eastAsia" w:ascii="宋体" w:hAnsi="宋体" w:eastAsia="宋体" w:cs="宋体"/>
                <w:color w:val="auto"/>
                <w:spacing w:val="0"/>
                <w:kern w:val="2"/>
                <w:position w:val="0"/>
                <w:sz w:val="24"/>
                <w:szCs w:val="24"/>
                <w:highlight w:val="none"/>
                <w:lang w:val="en-US" w:eastAsia="zh-CN" w:bidi="ar-SA"/>
              </w:rPr>
              <w:t>年</w:t>
            </w:r>
            <w:r>
              <w:rPr>
                <w:rFonts w:hint="eastAsia" w:ascii="宋体" w:hAnsi="宋体" w:cs="宋体"/>
                <w:color w:val="auto"/>
                <w:spacing w:val="0"/>
                <w:kern w:val="2"/>
                <w:position w:val="0"/>
                <w:sz w:val="24"/>
                <w:szCs w:val="24"/>
                <w:highlight w:val="none"/>
                <w:lang w:val="en-US" w:eastAsia="zh-CN" w:bidi="ar-SA"/>
              </w:rPr>
              <w:t>7</w:t>
            </w:r>
            <w:r>
              <w:rPr>
                <w:rFonts w:hint="eastAsia" w:ascii="宋体" w:hAnsi="宋体" w:eastAsia="宋体" w:cs="宋体"/>
                <w:color w:val="auto"/>
                <w:spacing w:val="0"/>
                <w:kern w:val="2"/>
                <w:position w:val="0"/>
                <w:sz w:val="24"/>
                <w:szCs w:val="24"/>
                <w:highlight w:val="none"/>
                <w:lang w:val="en-US" w:eastAsia="zh-CN" w:bidi="ar-SA"/>
              </w:rPr>
              <w:t>月</w:t>
            </w:r>
            <w:r>
              <w:rPr>
                <w:rFonts w:hint="eastAsia" w:ascii="宋体" w:hAnsi="宋体" w:cs="宋体"/>
                <w:color w:val="auto"/>
                <w:spacing w:val="0"/>
                <w:kern w:val="2"/>
                <w:position w:val="0"/>
                <w:sz w:val="24"/>
                <w:szCs w:val="24"/>
                <w:highlight w:val="none"/>
                <w:lang w:val="en-US" w:eastAsia="zh-CN" w:bidi="ar-SA"/>
              </w:rPr>
              <w:t>05</w:t>
            </w:r>
            <w:r>
              <w:rPr>
                <w:rFonts w:hint="eastAsia" w:ascii="宋体" w:hAnsi="宋体" w:eastAsia="宋体" w:cs="宋体"/>
                <w:color w:val="auto"/>
                <w:spacing w:val="0"/>
                <w:kern w:val="2"/>
                <w:position w:val="0"/>
                <w:sz w:val="24"/>
                <w:szCs w:val="24"/>
                <w:highlight w:val="none"/>
                <w:lang w:val="en-US" w:eastAsia="zh-CN" w:bidi="ar-SA"/>
              </w:rPr>
              <w:t>日</w:t>
            </w:r>
            <w:r>
              <w:rPr>
                <w:rFonts w:hint="eastAsia" w:ascii="宋体" w:hAnsi="宋体" w:cs="宋体"/>
                <w:color w:val="auto"/>
                <w:spacing w:val="0"/>
                <w:kern w:val="2"/>
                <w:position w:val="0"/>
                <w:sz w:val="24"/>
                <w:szCs w:val="24"/>
                <w:highlight w:val="none"/>
                <w:lang w:val="en-US" w:eastAsia="zh-CN" w:bidi="ar-SA"/>
              </w:rPr>
              <w:t>16</w:t>
            </w:r>
            <w:r>
              <w:rPr>
                <w:rFonts w:hint="eastAsia" w:ascii="宋体" w:hAnsi="宋体" w:eastAsia="宋体" w:cs="宋体"/>
                <w:color w:val="auto"/>
                <w:spacing w:val="0"/>
                <w:kern w:val="2"/>
                <w:position w:val="0"/>
                <w:sz w:val="24"/>
                <w:szCs w:val="24"/>
                <w:highlight w:val="none"/>
                <w:lang w:val="en-US" w:eastAsia="zh-CN" w:bidi="ar-SA"/>
              </w:rPr>
              <w:t>:30（北京时间）前接受投标人疑问或澄清要求（逾期不予受理）。</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联系人：</w:t>
            </w:r>
            <w:bookmarkStart w:id="80" w:name="EBdd7515b44ebe4f769b8281359a79d3f5"/>
            <w:bookmarkEnd w:id="80"/>
            <w:r>
              <w:rPr>
                <w:rFonts w:hint="eastAsia" w:ascii="宋体" w:hAnsi="宋体" w:cs="宋体"/>
                <w:color w:val="auto"/>
                <w:spacing w:val="0"/>
                <w:kern w:val="2"/>
                <w:position w:val="0"/>
                <w:sz w:val="24"/>
                <w:szCs w:val="24"/>
                <w:highlight w:val="none"/>
                <w:lang w:val="en-US" w:eastAsia="zh-CN" w:bidi="ar-SA"/>
              </w:rPr>
              <w:t>贾梦华</w:t>
            </w:r>
          </w:p>
          <w:p>
            <w:pPr>
              <w:pStyle w:val="123"/>
              <w:keepNext w:val="0"/>
              <w:keepLines w:val="0"/>
              <w:pageBreakBefore w:val="0"/>
              <w:kinsoku/>
              <w:overflowPunct/>
              <w:topLinePunct w:val="0"/>
              <w:bidi w:val="0"/>
              <w:spacing w:line="360" w:lineRule="auto"/>
              <w:textAlignment w:val="auto"/>
              <w:rPr>
                <w:rFonts w:hint="default" w:ascii="宋体" w:hAnsi="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联系电话：</w:t>
            </w:r>
            <w:bookmarkStart w:id="81" w:name="EB5f26905a614246468a55869c23c13f6b"/>
            <w:bookmarkEnd w:id="81"/>
            <w:r>
              <w:rPr>
                <w:rFonts w:hint="eastAsia" w:ascii="宋体" w:hAnsi="宋体" w:cs="宋体"/>
                <w:color w:val="auto"/>
                <w:spacing w:val="0"/>
                <w:kern w:val="2"/>
                <w:position w:val="0"/>
                <w:sz w:val="24"/>
                <w:szCs w:val="24"/>
                <w:highlight w:val="none"/>
                <w:lang w:val="en-US" w:eastAsia="zh-CN" w:bidi="ar-SA"/>
              </w:rPr>
              <w:t>13669957007</w:t>
            </w:r>
          </w:p>
          <w:p>
            <w:pPr>
              <w:pStyle w:val="123"/>
              <w:keepNext w:val="0"/>
              <w:keepLines w:val="0"/>
              <w:pageBreakBefore w:val="0"/>
              <w:kinsoku/>
              <w:overflowPunct/>
              <w:topLinePunct w:val="0"/>
              <w:bidi w:val="0"/>
              <w:spacing w:line="360" w:lineRule="auto"/>
              <w:textAlignment w:val="auto"/>
              <w:rPr>
                <w:rFonts w:hint="default" w:ascii="宋体" w:hAnsi="宋体" w:cs="宋体"/>
                <w:color w:val="auto"/>
                <w:spacing w:val="0"/>
                <w:kern w:val="2"/>
                <w:position w:val="0"/>
                <w:sz w:val="24"/>
                <w:szCs w:val="24"/>
                <w:highlight w:val="none"/>
                <w:lang w:val="en-US" w:eastAsia="zh-CN" w:bidi="ar-SA"/>
              </w:rPr>
            </w:pPr>
            <w:r>
              <w:rPr>
                <w:rFonts w:hint="eastAsia" w:ascii="宋体" w:hAnsi="宋体" w:cs="宋体"/>
                <w:color w:val="auto"/>
                <w:spacing w:val="0"/>
                <w:kern w:val="2"/>
                <w:position w:val="0"/>
                <w:sz w:val="24"/>
                <w:szCs w:val="24"/>
                <w:highlight w:val="none"/>
                <w:lang w:val="en-US" w:eastAsia="zh-CN" w:bidi="ar-SA"/>
              </w:rPr>
              <w:t>邮箱：4710711822@qq.com</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提交方式：</w:t>
            </w:r>
            <w:bookmarkStart w:id="82" w:name="EBfc3fc95189614b51986a07d193b626c4"/>
            <w:bookmarkEnd w:id="82"/>
            <w:r>
              <w:rPr>
                <w:rFonts w:hint="eastAsia" w:ascii="宋体" w:hAnsi="宋体" w:eastAsia="宋体" w:cs="宋体"/>
                <w:color w:val="auto"/>
                <w:spacing w:val="0"/>
                <w:kern w:val="2"/>
                <w:position w:val="0"/>
                <w:sz w:val="24"/>
                <w:szCs w:val="24"/>
                <w:highlight w:val="none"/>
                <w:lang w:val="en-US" w:eastAsia="zh-CN" w:bidi="ar-SA"/>
              </w:rPr>
              <w:t>发送电子版文件至邮箱，并电话告知代理机构</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注：澄清、修改文件发出后，投标人必须使用最新的澄清文件制作投标文件，否则</w:t>
            </w:r>
            <w:r>
              <w:rPr>
                <w:rFonts w:hint="eastAsia" w:ascii="宋体" w:hAnsi="宋体" w:cs="宋体"/>
                <w:color w:val="auto"/>
                <w:spacing w:val="0"/>
                <w:kern w:val="2"/>
                <w:position w:val="0"/>
                <w:sz w:val="24"/>
                <w:szCs w:val="24"/>
                <w:highlight w:val="none"/>
                <w:lang w:val="en-US" w:eastAsia="zh-CN" w:bidi="ar-SA"/>
              </w:rPr>
              <w:t>导致废标后果自负</w:t>
            </w:r>
            <w:r>
              <w:rPr>
                <w:rFonts w:hint="eastAsia" w:ascii="宋体" w:hAnsi="宋体" w:eastAsia="宋体" w:cs="宋体"/>
                <w:color w:val="auto"/>
                <w:spacing w:val="0"/>
                <w:kern w:val="2"/>
                <w:positio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17</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投标有效期</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自投标截止之日起</w:t>
            </w:r>
            <w:bookmarkStart w:id="83" w:name="EB5a3362fe8fc1402b9d5cafc876bbbffd"/>
            <w:bookmarkEnd w:id="83"/>
            <w:r>
              <w:rPr>
                <w:rFonts w:hint="eastAsia" w:ascii="宋体" w:hAnsi="宋体" w:eastAsia="宋体" w:cs="宋体"/>
                <w:color w:val="auto"/>
                <w:spacing w:val="0"/>
                <w:kern w:val="2"/>
                <w:position w:val="0"/>
                <w:sz w:val="24"/>
                <w:szCs w:val="24"/>
                <w:highlight w:val="none"/>
                <w:lang w:val="en-US" w:eastAsia="zh-CN" w:bidi="ar-SA"/>
              </w:rPr>
              <w:t>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18</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投标截止时间</w:t>
            </w:r>
          </w:p>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（开标时间）</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截止时间：</w:t>
            </w:r>
            <w:bookmarkStart w:id="84" w:name="EB7d3dd1e1f72448c6869af9e368eca561"/>
            <w:bookmarkEnd w:id="84"/>
            <w:r>
              <w:rPr>
                <w:rFonts w:hint="eastAsia" w:ascii="宋体" w:hAnsi="宋体" w:eastAsia="宋体" w:cs="宋体"/>
                <w:color w:val="auto"/>
                <w:spacing w:val="0"/>
                <w:kern w:val="2"/>
                <w:position w:val="0"/>
                <w:sz w:val="24"/>
                <w:szCs w:val="24"/>
                <w:highlight w:val="none"/>
                <w:lang w:val="en-US" w:eastAsia="zh-CN" w:bidi="ar-SA"/>
              </w:rPr>
              <w:t>202</w:t>
            </w:r>
            <w:r>
              <w:rPr>
                <w:rFonts w:hint="eastAsia" w:ascii="宋体" w:hAnsi="宋体" w:cs="宋体"/>
                <w:color w:val="auto"/>
                <w:spacing w:val="0"/>
                <w:kern w:val="2"/>
                <w:position w:val="0"/>
                <w:sz w:val="24"/>
                <w:szCs w:val="24"/>
                <w:highlight w:val="none"/>
                <w:lang w:val="en-US" w:eastAsia="zh-CN" w:bidi="ar-SA"/>
              </w:rPr>
              <w:t>2</w:t>
            </w:r>
            <w:r>
              <w:rPr>
                <w:rFonts w:hint="eastAsia" w:ascii="宋体" w:hAnsi="宋体" w:eastAsia="宋体" w:cs="宋体"/>
                <w:color w:val="auto"/>
                <w:spacing w:val="0"/>
                <w:kern w:val="2"/>
                <w:position w:val="0"/>
                <w:sz w:val="24"/>
                <w:szCs w:val="24"/>
                <w:highlight w:val="none"/>
                <w:lang w:val="en-US" w:eastAsia="zh-CN" w:bidi="ar-SA"/>
              </w:rPr>
              <w:t>年</w:t>
            </w:r>
            <w:r>
              <w:rPr>
                <w:rFonts w:hint="eastAsia" w:ascii="宋体" w:hAnsi="宋体" w:cs="宋体"/>
                <w:color w:val="auto"/>
                <w:spacing w:val="0"/>
                <w:kern w:val="2"/>
                <w:position w:val="0"/>
                <w:sz w:val="24"/>
                <w:szCs w:val="24"/>
                <w:highlight w:val="none"/>
                <w:lang w:val="en-US" w:eastAsia="zh-CN" w:bidi="ar-SA"/>
              </w:rPr>
              <w:t>7</w:t>
            </w:r>
            <w:r>
              <w:rPr>
                <w:rFonts w:hint="eastAsia" w:ascii="宋体" w:hAnsi="宋体" w:eastAsia="宋体" w:cs="宋体"/>
                <w:color w:val="auto"/>
                <w:spacing w:val="0"/>
                <w:kern w:val="2"/>
                <w:position w:val="0"/>
                <w:sz w:val="24"/>
                <w:szCs w:val="24"/>
                <w:highlight w:val="none"/>
                <w:lang w:val="en-US" w:eastAsia="zh-CN" w:bidi="ar-SA"/>
              </w:rPr>
              <w:t>月</w:t>
            </w:r>
            <w:r>
              <w:rPr>
                <w:rFonts w:hint="eastAsia" w:ascii="宋体" w:hAnsi="宋体" w:cs="宋体"/>
                <w:color w:val="auto"/>
                <w:spacing w:val="0"/>
                <w:kern w:val="2"/>
                <w:position w:val="0"/>
                <w:sz w:val="24"/>
                <w:szCs w:val="24"/>
                <w:highlight w:val="none"/>
                <w:lang w:val="en-US" w:eastAsia="zh-CN" w:bidi="ar-SA"/>
              </w:rPr>
              <w:t>15</w:t>
            </w:r>
            <w:r>
              <w:rPr>
                <w:rFonts w:hint="eastAsia" w:ascii="宋体" w:hAnsi="宋体" w:eastAsia="宋体" w:cs="宋体"/>
                <w:color w:val="auto"/>
                <w:spacing w:val="0"/>
                <w:kern w:val="2"/>
                <w:position w:val="0"/>
                <w:sz w:val="24"/>
                <w:szCs w:val="24"/>
                <w:highlight w:val="none"/>
                <w:lang w:val="en-US" w:eastAsia="zh-CN" w:bidi="ar-SA"/>
              </w:rPr>
              <w:t>日1</w:t>
            </w:r>
            <w:r>
              <w:rPr>
                <w:rFonts w:hint="eastAsia" w:ascii="宋体" w:hAnsi="宋体" w:cs="宋体"/>
                <w:color w:val="auto"/>
                <w:spacing w:val="0"/>
                <w:kern w:val="2"/>
                <w:position w:val="0"/>
                <w:sz w:val="24"/>
                <w:szCs w:val="24"/>
                <w:highlight w:val="none"/>
                <w:lang w:val="en-US" w:eastAsia="zh-CN" w:bidi="ar-SA"/>
              </w:rPr>
              <w:t>6</w:t>
            </w:r>
            <w:r>
              <w:rPr>
                <w:rFonts w:hint="eastAsia" w:ascii="宋体" w:hAnsi="宋体" w:eastAsia="宋体" w:cs="宋体"/>
                <w:color w:val="auto"/>
                <w:spacing w:val="0"/>
                <w:kern w:val="2"/>
                <w:position w:val="0"/>
                <w:sz w:val="24"/>
                <w:szCs w:val="24"/>
                <w:highlight w:val="none"/>
                <w:lang w:val="en-US" w:eastAsia="zh-CN" w:bidi="ar-SA"/>
              </w:rPr>
              <w:t>:</w:t>
            </w:r>
            <w:r>
              <w:rPr>
                <w:rFonts w:hint="eastAsia" w:ascii="宋体" w:hAnsi="宋体" w:cs="宋体"/>
                <w:color w:val="auto"/>
                <w:spacing w:val="0"/>
                <w:kern w:val="2"/>
                <w:position w:val="0"/>
                <w:sz w:val="24"/>
                <w:szCs w:val="24"/>
                <w:highlight w:val="none"/>
                <w:lang w:val="en-US" w:eastAsia="zh-CN" w:bidi="ar-SA"/>
              </w:rPr>
              <w:t>30</w:t>
            </w:r>
            <w:r>
              <w:rPr>
                <w:rFonts w:hint="eastAsia" w:ascii="宋体" w:hAnsi="宋体" w:eastAsia="宋体" w:cs="宋体"/>
                <w:color w:val="auto"/>
                <w:spacing w:val="0"/>
                <w:kern w:val="2"/>
                <w:position w:val="0"/>
                <w:sz w:val="24"/>
                <w:szCs w:val="24"/>
                <w:highlight w:val="none"/>
                <w:lang w:val="en-US" w:eastAsia="zh-CN" w:bidi="ar-SA"/>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19</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投标文件份数</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投标文件正本1份，副本2份，</w:t>
            </w:r>
            <w:r>
              <w:rPr>
                <w:rFonts w:hint="eastAsia" w:ascii="宋体" w:hAnsi="宋体" w:cs="宋体"/>
                <w:color w:val="auto"/>
                <w:spacing w:val="0"/>
                <w:kern w:val="2"/>
                <w:position w:val="0"/>
                <w:sz w:val="24"/>
                <w:szCs w:val="24"/>
                <w:highlight w:val="none"/>
                <w:lang w:val="en-US" w:eastAsia="zh-CN" w:bidi="ar-SA"/>
              </w:rPr>
              <w:t>开标一览表1份，</w:t>
            </w:r>
            <w:r>
              <w:rPr>
                <w:rFonts w:hint="eastAsia" w:ascii="宋体" w:hAnsi="宋体" w:eastAsia="宋体" w:cs="宋体"/>
                <w:color w:val="auto"/>
                <w:spacing w:val="0"/>
                <w:kern w:val="2"/>
                <w:position w:val="0"/>
                <w:sz w:val="24"/>
                <w:szCs w:val="24"/>
                <w:highlight w:val="none"/>
                <w:lang w:val="en-US" w:eastAsia="zh-CN" w:bidi="ar-SA"/>
              </w:rPr>
              <w:t>电子版3套（光盘贰份、U盘一份）电子版命名：在U盘上标注投标人名称。</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特别提示：为了便于存档，投标文件请用A4纸张制作，且胶装成册；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20</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开标时间及地点</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cs="宋体"/>
                <w:color w:val="auto"/>
                <w:spacing w:val="0"/>
                <w:kern w:val="2"/>
                <w:position w:val="0"/>
                <w:sz w:val="24"/>
                <w:szCs w:val="24"/>
                <w:highlight w:val="none"/>
                <w:lang w:val="en-US" w:eastAsia="zh-CN" w:bidi="ar-SA"/>
              </w:rPr>
            </w:pPr>
            <w:r>
              <w:rPr>
                <w:rFonts w:hint="eastAsia" w:ascii="宋体" w:hAnsi="宋体" w:cs="宋体"/>
                <w:color w:val="auto"/>
                <w:spacing w:val="0"/>
                <w:kern w:val="2"/>
                <w:position w:val="0"/>
                <w:sz w:val="24"/>
                <w:szCs w:val="24"/>
                <w:highlight w:val="none"/>
                <w:lang w:val="en-US" w:eastAsia="zh-CN" w:bidi="ar-SA"/>
              </w:rPr>
              <w:t>开标时间：同投标截止时间</w:t>
            </w:r>
          </w:p>
          <w:p>
            <w:pPr>
              <w:pStyle w:val="123"/>
              <w:keepNext w:val="0"/>
              <w:keepLines w:val="0"/>
              <w:pageBreakBefore w:val="0"/>
              <w:kinsoku/>
              <w:overflowPunct/>
              <w:topLinePunct w:val="0"/>
              <w:bidi w:val="0"/>
              <w:spacing w:line="360" w:lineRule="auto"/>
              <w:textAlignment w:val="auto"/>
              <w:rPr>
                <w:rFonts w:hint="eastAsia" w:ascii="宋体" w:hAnsi="宋体" w:cs="宋体"/>
                <w:color w:val="auto"/>
                <w:spacing w:val="0"/>
                <w:kern w:val="2"/>
                <w:position w:val="0"/>
                <w:sz w:val="24"/>
                <w:szCs w:val="24"/>
                <w:highlight w:val="none"/>
                <w:lang w:val="en-US" w:eastAsia="zh-CN" w:bidi="ar-SA"/>
              </w:rPr>
            </w:pPr>
            <w:r>
              <w:rPr>
                <w:rFonts w:hint="eastAsia" w:ascii="宋体" w:hAnsi="宋体" w:cs="宋体"/>
                <w:color w:val="auto"/>
                <w:spacing w:val="0"/>
                <w:kern w:val="2"/>
                <w:position w:val="0"/>
                <w:sz w:val="24"/>
                <w:szCs w:val="24"/>
                <w:highlight w:val="none"/>
                <w:lang w:val="en-US" w:eastAsia="zh-CN" w:bidi="ar-SA"/>
              </w:rPr>
              <w:t>开标地</w:t>
            </w:r>
            <w:r>
              <w:rPr>
                <w:rFonts w:hint="eastAsia" w:ascii="宋体" w:hAnsi="宋体" w:eastAsia="宋体" w:cs="宋体"/>
                <w:color w:val="auto"/>
                <w:spacing w:val="0"/>
                <w:kern w:val="2"/>
                <w:position w:val="0"/>
                <w:sz w:val="24"/>
                <w:szCs w:val="24"/>
                <w:highlight w:val="none"/>
                <w:lang w:val="en-US" w:eastAsia="zh-CN" w:bidi="ar-SA"/>
              </w:rPr>
              <w:t>点：</w:t>
            </w:r>
            <w:r>
              <w:rPr>
                <w:rFonts w:hint="eastAsia" w:ascii="宋体" w:hAnsi="宋体" w:cs="宋体"/>
                <w:color w:val="auto"/>
                <w:spacing w:val="0"/>
                <w:kern w:val="2"/>
                <w:position w:val="0"/>
                <w:sz w:val="24"/>
                <w:szCs w:val="24"/>
                <w:highlight w:val="none"/>
                <w:lang w:val="en-US" w:eastAsia="zh-CN" w:bidi="ar-SA"/>
              </w:rPr>
              <w:t>哈巴河县教育局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21</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评标委员会的组成</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bookmarkStart w:id="85" w:name="EB6479c32eb2ce45839a2e1507d7cdac93"/>
            <w:bookmarkEnd w:id="85"/>
            <w:r>
              <w:rPr>
                <w:rFonts w:hint="eastAsia" w:ascii="宋体" w:hAnsi="宋体" w:eastAsia="宋体" w:cs="宋体"/>
                <w:color w:val="auto"/>
                <w:spacing w:val="0"/>
                <w:kern w:val="2"/>
                <w:position w:val="0"/>
                <w:sz w:val="24"/>
                <w:szCs w:val="24"/>
                <w:highlight w:val="none"/>
                <w:lang w:val="en-US" w:eastAsia="zh-CN" w:bidi="ar-SA"/>
              </w:rPr>
              <w:t>评标委员会构成：5人，其中招标人代表</w:t>
            </w:r>
            <w:r>
              <w:rPr>
                <w:rFonts w:hint="eastAsia" w:ascii="宋体" w:hAnsi="宋体" w:cs="宋体"/>
                <w:color w:val="auto"/>
                <w:spacing w:val="0"/>
                <w:kern w:val="2"/>
                <w:position w:val="0"/>
                <w:sz w:val="24"/>
                <w:szCs w:val="24"/>
                <w:highlight w:val="none"/>
                <w:lang w:val="en-US" w:eastAsia="zh-CN" w:bidi="ar-SA"/>
              </w:rPr>
              <w:t>0</w:t>
            </w:r>
            <w:r>
              <w:rPr>
                <w:rFonts w:hint="eastAsia" w:ascii="宋体" w:hAnsi="宋体" w:eastAsia="宋体" w:cs="宋体"/>
                <w:color w:val="auto"/>
                <w:spacing w:val="0"/>
                <w:kern w:val="2"/>
                <w:position w:val="0"/>
                <w:sz w:val="24"/>
                <w:szCs w:val="24"/>
                <w:highlight w:val="none"/>
                <w:lang w:val="en-US" w:eastAsia="zh-CN" w:bidi="ar-SA"/>
              </w:rPr>
              <w:t>人，专家</w:t>
            </w:r>
            <w:r>
              <w:rPr>
                <w:rFonts w:hint="eastAsia" w:ascii="宋体" w:hAnsi="宋体" w:cs="宋体"/>
                <w:color w:val="auto"/>
                <w:spacing w:val="0"/>
                <w:kern w:val="2"/>
                <w:position w:val="0"/>
                <w:sz w:val="24"/>
                <w:szCs w:val="24"/>
                <w:highlight w:val="none"/>
                <w:lang w:val="en-US" w:eastAsia="zh-CN" w:bidi="ar-SA"/>
              </w:rPr>
              <w:t>5</w:t>
            </w:r>
            <w:r>
              <w:rPr>
                <w:rFonts w:hint="eastAsia" w:ascii="宋体" w:hAnsi="宋体" w:eastAsia="宋体" w:cs="宋体"/>
                <w:color w:val="auto"/>
                <w:spacing w:val="0"/>
                <w:kern w:val="2"/>
                <w:position w:val="0"/>
                <w:sz w:val="24"/>
                <w:szCs w:val="24"/>
                <w:highlight w:val="none"/>
                <w:lang w:val="en-US" w:eastAsia="zh-CN" w:bidi="ar-SA"/>
              </w:rPr>
              <w:t>人。</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评委确定方式：政采云专家库随机抽取</w:t>
            </w:r>
            <w:r>
              <w:rPr>
                <w:rFonts w:hint="eastAsia" w:ascii="宋体" w:hAnsi="宋体" w:cs="宋体"/>
                <w:color w:val="auto"/>
                <w:spacing w:val="0"/>
                <w:kern w:val="2"/>
                <w:position w:val="0"/>
                <w:sz w:val="24"/>
                <w:szCs w:val="24"/>
                <w:highlight w:val="none"/>
                <w:lang w:val="en-US" w:eastAsia="zh-CN" w:bidi="ar-SA"/>
              </w:rPr>
              <w:t>。</w:t>
            </w:r>
            <w:r>
              <w:rPr>
                <w:rFonts w:hint="eastAsia" w:ascii="宋体" w:hAnsi="宋体" w:eastAsia="宋体" w:cs="宋体"/>
                <w:color w:val="auto"/>
                <w:spacing w:val="0"/>
                <w:kern w:val="2"/>
                <w:position w:val="0"/>
                <w:sz w:val="24"/>
                <w:szCs w:val="24"/>
                <w:highlight w:val="no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tcBorders>
              <w:top w:val="nil"/>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22</w:t>
            </w:r>
          </w:p>
        </w:tc>
        <w:tc>
          <w:tcPr>
            <w:tcW w:w="2268" w:type="dxa"/>
            <w:gridSpan w:val="2"/>
            <w:vMerge w:val="restart"/>
            <w:tcBorders>
              <w:top w:val="nil"/>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投标保证金</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缴纳方式：投标保证金需以电汇、转账、支票、汇票、本票或者金融机构、担保机构出具的保函等非现金形式提交。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tcBorders>
              <w:top w:val="nil"/>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p>
        </w:tc>
        <w:tc>
          <w:tcPr>
            <w:tcW w:w="2268" w:type="dxa"/>
            <w:gridSpan w:val="2"/>
            <w:vMerge w:val="continue"/>
            <w:tcBorders>
              <w:top w:val="nil"/>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金额（小写）</w:t>
            </w:r>
            <w:r>
              <w:rPr>
                <w:rFonts w:hint="eastAsia" w:ascii="宋体" w:hAnsi="宋体" w:cs="宋体"/>
                <w:color w:val="auto"/>
                <w:spacing w:val="0"/>
                <w:kern w:val="2"/>
                <w:position w:val="0"/>
                <w:sz w:val="24"/>
                <w:szCs w:val="24"/>
                <w:highlight w:val="none"/>
                <w:lang w:val="en-US" w:eastAsia="zh-CN" w:bidi="ar-SA"/>
              </w:rPr>
              <w:t>：40000</w:t>
            </w:r>
            <w:r>
              <w:rPr>
                <w:rFonts w:hint="eastAsia" w:ascii="宋体" w:hAnsi="宋体" w:eastAsia="宋体" w:cs="宋体"/>
                <w:color w:val="auto"/>
                <w:spacing w:val="0"/>
                <w:kern w:val="2"/>
                <w:position w:val="0"/>
                <w:sz w:val="24"/>
                <w:szCs w:val="24"/>
                <w:highlight w:val="none"/>
                <w:lang w:val="en-US" w:eastAsia="zh-CN" w:bidi="ar-SA"/>
              </w:rPr>
              <w:t>元</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金额（大写）：</w:t>
            </w:r>
            <w:r>
              <w:rPr>
                <w:rFonts w:hint="eastAsia" w:ascii="宋体" w:hAnsi="宋体" w:cs="宋体"/>
                <w:color w:val="auto"/>
                <w:spacing w:val="0"/>
                <w:kern w:val="2"/>
                <w:position w:val="0"/>
                <w:sz w:val="24"/>
                <w:szCs w:val="24"/>
                <w:highlight w:val="none"/>
                <w:lang w:val="en-US" w:eastAsia="zh-CN" w:bidi="ar-SA"/>
              </w:rPr>
              <w:t>肆万元整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tcBorders>
              <w:top w:val="nil"/>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p>
        </w:tc>
        <w:tc>
          <w:tcPr>
            <w:tcW w:w="2268" w:type="dxa"/>
            <w:gridSpan w:val="2"/>
            <w:vMerge w:val="continue"/>
            <w:tcBorders>
              <w:top w:val="nil"/>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p>
        </w:tc>
        <w:tc>
          <w:tcPr>
            <w:tcW w:w="6690" w:type="dxa"/>
            <w:tcBorders>
              <w:top w:val="single" w:color="auto" w:sz="4" w:space="0"/>
              <w:left w:val="nil"/>
              <w:bottom w:val="single" w:color="auto" w:sz="4" w:space="0"/>
              <w:right w:val="single" w:color="auto" w:sz="4" w:space="0"/>
            </w:tcBorders>
            <w:noWrap w:val="0"/>
            <w:vAlign w:val="center"/>
          </w:tcPr>
          <w:p>
            <w:pPr>
              <w:pStyle w:val="61"/>
              <w:spacing w:line="480" w:lineRule="exact"/>
              <w:ind w:left="1" w:firstLine="2"/>
              <w:rPr>
                <w:rFonts w:hint="eastAsia" w:ascii="宋体" w:hAnsi="宋体" w:cs="宋体"/>
                <w:color w:val="auto"/>
                <w:sz w:val="24"/>
                <w:szCs w:val="24"/>
                <w:highlight w:val="none"/>
              </w:rPr>
            </w:pPr>
            <w:r>
              <w:rPr>
                <w:rFonts w:hint="eastAsia" w:ascii="宋体" w:hAnsi="宋体" w:cs="宋体"/>
                <w:color w:val="auto"/>
                <w:sz w:val="24"/>
                <w:szCs w:val="24"/>
                <w:highlight w:val="none"/>
              </w:rPr>
              <w:t>开户名称：新疆金泰首致项目管理咨询有限公司</w:t>
            </w:r>
          </w:p>
          <w:p>
            <w:pPr>
              <w:pStyle w:val="61"/>
              <w:spacing w:line="480" w:lineRule="exact"/>
              <w:ind w:left="1" w:firstLine="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开户银行：中国农业银行股份有限公司阿勒泰市支行 </w:t>
            </w:r>
          </w:p>
          <w:p>
            <w:pPr>
              <w:pStyle w:val="61"/>
              <w:spacing w:line="480" w:lineRule="exact"/>
              <w:ind w:left="1" w:firstLine="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账    号：30150801040007147  </w:t>
            </w:r>
          </w:p>
          <w:p>
            <w:pPr>
              <w:pStyle w:val="61"/>
              <w:spacing w:line="480" w:lineRule="exact"/>
              <w:ind w:left="1" w:firstLine="2"/>
              <w:rPr>
                <w:rFonts w:hint="eastAsia" w:ascii="宋体" w:hAnsi="宋体" w:cs="宋体"/>
                <w:color w:val="auto"/>
                <w:sz w:val="24"/>
                <w:szCs w:val="24"/>
                <w:highlight w:val="none"/>
              </w:rPr>
            </w:pPr>
            <w:r>
              <w:rPr>
                <w:rFonts w:hint="eastAsia" w:ascii="宋体" w:hAnsi="宋体" w:cs="宋体"/>
                <w:color w:val="auto"/>
                <w:sz w:val="24"/>
                <w:szCs w:val="24"/>
                <w:highlight w:val="none"/>
              </w:rPr>
              <w:t>保证金递交时间： 投标截止时间之前（投标单位应充分考虑跨行等因素导致的延迟到账情况） 。</w:t>
            </w:r>
          </w:p>
          <w:p>
            <w:pPr>
              <w:pStyle w:val="61"/>
              <w:spacing w:line="480" w:lineRule="exact"/>
              <w:ind w:left="1" w:firstLine="2"/>
              <w:rPr>
                <w:rFonts w:hint="eastAsia" w:ascii="宋体" w:hAnsi="宋体" w:cs="宋体"/>
                <w:color w:val="auto"/>
                <w:sz w:val="24"/>
                <w:szCs w:val="24"/>
                <w:highlight w:val="none"/>
              </w:rPr>
            </w:pPr>
            <w:r>
              <w:rPr>
                <w:rFonts w:hint="eastAsia" w:ascii="宋体" w:hAnsi="宋体" w:cs="宋体"/>
                <w:color w:val="auto"/>
                <w:sz w:val="24"/>
                <w:szCs w:val="24"/>
                <w:highlight w:val="none"/>
              </w:rPr>
              <w:t>投标人按上述要求从基本户递交投标保证金后，请携带银行电汇或转账凭据到新疆金泰首致项目管理咨询有限公司领取招标代理机构开具的投标保证金收款收据，递交投标保证金时请注明项目编号及用途。</w:t>
            </w:r>
          </w:p>
          <w:p>
            <w:pPr>
              <w:pStyle w:val="61"/>
              <w:spacing w:line="480" w:lineRule="exact"/>
              <w:ind w:left="1" w:firstLine="2"/>
              <w:rPr>
                <w:rFonts w:hint="eastAsia" w:ascii="宋体" w:hAnsi="宋体" w:cs="宋体"/>
                <w:color w:val="auto"/>
                <w:sz w:val="24"/>
                <w:szCs w:val="24"/>
                <w:highlight w:val="none"/>
              </w:rPr>
            </w:pPr>
            <w:r>
              <w:rPr>
                <w:rFonts w:hint="eastAsia" w:ascii="宋体" w:hAnsi="宋体" w:cs="宋体"/>
                <w:color w:val="auto"/>
                <w:sz w:val="24"/>
                <w:szCs w:val="24"/>
                <w:highlight w:val="none"/>
              </w:rPr>
              <w:t>银行保函；银行保函须从基本账户开出，须注明项目名称及单位名称，银行保函的有效期不得少于投标有效期，银行保函需提供原件并单独密封提交。</w:t>
            </w:r>
          </w:p>
          <w:p>
            <w:pPr>
              <w:pStyle w:val="61"/>
              <w:spacing w:line="480" w:lineRule="exact"/>
              <w:ind w:left="1" w:firstLine="2"/>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注：本项目电汇回单、保证金收据作为投标保证金形式，投标企业</w:t>
            </w:r>
            <w:r>
              <w:rPr>
                <w:rFonts w:hint="eastAsia" w:ascii="宋体" w:hAnsi="宋体" w:cs="宋体"/>
                <w:color w:val="auto"/>
                <w:sz w:val="24"/>
                <w:szCs w:val="24"/>
                <w:highlight w:val="none"/>
                <w:lang w:eastAsia="zh-CN"/>
              </w:rPr>
              <w:t>需在标书中</w:t>
            </w:r>
            <w:r>
              <w:rPr>
                <w:rFonts w:hint="eastAsia" w:ascii="宋体" w:hAnsi="宋体" w:cs="宋体"/>
                <w:color w:val="auto"/>
                <w:sz w:val="24"/>
                <w:szCs w:val="24"/>
                <w:highlight w:val="none"/>
              </w:rPr>
              <w:t>提供电汇回单凭证</w:t>
            </w:r>
            <w:r>
              <w:rPr>
                <w:rFonts w:hint="eastAsia" w:ascii="宋体" w:hAnsi="宋体" w:cs="宋体"/>
                <w:color w:val="auto"/>
                <w:sz w:val="24"/>
                <w:szCs w:val="24"/>
                <w:highlight w:val="none"/>
                <w:lang w:eastAsia="zh-CN"/>
              </w:rPr>
              <w:t>、基本户开户许可证、保证金收据。</w:t>
            </w:r>
          </w:p>
          <w:p>
            <w:pPr>
              <w:pStyle w:val="61"/>
              <w:spacing w:line="480" w:lineRule="exact"/>
              <w:ind w:left="1" w:firstLine="2"/>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cs="宋体"/>
                <w:color w:val="auto"/>
                <w:sz w:val="24"/>
                <w:szCs w:val="24"/>
                <w:highlight w:val="none"/>
              </w:rPr>
              <w:t>（3）投标人需自行评估因异地、跨行、公休日等因素造成的投标保证金到账延迟风险，并承担相应责任。）未开具保证金收据的，视其投标无效。投标人所提交的投标保证金仅限当次投标项目有效，不得重复替代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23</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节能、环保要求</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按国家有关节能环保政策执行：</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bookmarkStart w:id="86" w:name="EB014b7c5e8ad2493cb0d11473b927bad7"/>
            <w:bookmarkEnd w:id="86"/>
            <w:r>
              <w:rPr>
                <w:rFonts w:hint="eastAsia" w:ascii="宋体" w:hAnsi="宋体" w:eastAsia="宋体" w:cs="宋体"/>
                <w:color w:val="auto"/>
                <w:spacing w:val="0"/>
                <w:kern w:val="2"/>
                <w:position w:val="0"/>
                <w:sz w:val="24"/>
                <w:szCs w:val="24"/>
                <w:highlight w:val="none"/>
                <w:lang w:val="en-US" w:eastAsia="zh-CN" w:bidi="ar-SA"/>
              </w:rPr>
              <w:t>采用综合评分法，加分幅度：</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bookmarkStart w:id="87" w:name="EBd0de26cdb1574024a88e47e5896278b3"/>
            <w:bookmarkEnd w:id="87"/>
            <w:r>
              <w:rPr>
                <w:rFonts w:hint="eastAsia" w:ascii="宋体" w:hAnsi="宋体" w:eastAsia="宋体" w:cs="宋体"/>
                <w:color w:val="auto"/>
                <w:spacing w:val="0"/>
                <w:kern w:val="2"/>
                <w:position w:val="0"/>
                <w:sz w:val="24"/>
                <w:szCs w:val="24"/>
                <w:highlight w:val="none"/>
                <w:lang w:val="en-US" w:eastAsia="zh-CN" w:bidi="ar-SA"/>
              </w:rPr>
              <w:t>根据《国务院办公厅关于建立政府强制采购节能产品制度的通知》（国办发[2007]51号）和财政部、发展改革委发布的《节能产品政府采购实施意见》（财库[2004]185号），产品若属于“节能产品政府采购清单”内产品，在同等条件下，优先采购清单中的产品。</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“节能产品”系指列入财政部、国家发改委最新公布《节能产品政府采购清单》的产品；“环境标志产品”系指列入财政部、环保部最新公布的《环境标志政府采购清单》的产品。</w:t>
            </w:r>
            <w:bookmarkStart w:id="88" w:name="EB5eb2ef9949894c46a4ae078c6e67fc3e"/>
            <w:bookmarkEnd w:id="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24</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中小微型企业</w:t>
            </w:r>
          </w:p>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有关政策</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该项目专门面向中小企业采购，企业需提供中小企业声明函原件。</w:t>
            </w:r>
            <w:r>
              <w:rPr>
                <w:rFonts w:hint="eastAsia" w:ascii="宋体" w:hAnsi="宋体" w:eastAsia="宋体" w:cs="宋体"/>
                <w:color w:val="auto"/>
                <w:spacing w:val="-13"/>
                <w:sz w:val="24"/>
                <w:szCs w:val="24"/>
                <w:highlight w:val="none"/>
                <w14:textOutline w14:w="4358" w14:cap="flat" w14:cmpd="sng">
                  <w14:solidFill>
                    <w14:srgbClr w14:val="0000FF"/>
                  </w14:solidFill>
                  <w14:prstDash w14:val="solid"/>
                  <w14:miter w14:val="0"/>
                </w14:textOutline>
              </w:rPr>
              <w:t>注：</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13"/>
                <w:sz w:val="24"/>
                <w:szCs w:val="24"/>
                <w:highlight w:val="none"/>
                <w14:textOutline w14:w="4358" w14:cap="flat" w14:cmpd="sng">
                  <w14:solidFill>
                    <w14:srgbClr w14:val="0000FF"/>
                  </w14:solidFill>
                  <w14:prstDash w14:val="solid"/>
                  <w14:miter w14:val="0"/>
                </w14:textOutline>
              </w:rPr>
              <w:t>该项目</w:t>
            </w:r>
            <w:r>
              <w:rPr>
                <w:rFonts w:hint="eastAsia" w:ascii="宋体" w:hAnsi="宋体" w:eastAsia="宋体" w:cs="宋体"/>
                <w:color w:val="auto"/>
                <w:spacing w:val="-13"/>
                <w:sz w:val="24"/>
                <w:szCs w:val="24"/>
                <w:highlight w:val="none"/>
                <w:lang w:eastAsia="zh-CN"/>
                <w14:textOutline w14:w="4358" w14:cap="flat" w14:cmpd="sng">
                  <w14:solidFill>
                    <w14:srgbClr w14:val="0000FF"/>
                  </w14:solidFill>
                  <w14:prstDash w14:val="solid"/>
                  <w14:miter w14:val="0"/>
                </w14:textOutline>
              </w:rPr>
              <w:t>专门</w:t>
            </w:r>
            <w:permStart w:id="0" w:edGrp="everyone"/>
            <w:permEnd w:id="0"/>
            <w:r>
              <w:rPr>
                <w:rFonts w:hint="eastAsia" w:ascii="宋体" w:hAnsi="宋体" w:eastAsia="宋体" w:cs="宋体"/>
                <w:color w:val="auto"/>
                <w:spacing w:val="-13"/>
                <w:sz w:val="24"/>
                <w:szCs w:val="24"/>
                <w:highlight w:val="none"/>
                <w14:textOutline w14:w="4358" w14:cap="flat" w14:cmpd="sng">
                  <w14:solidFill>
                    <w14:srgbClr w14:val="0000FF"/>
                  </w14:solidFill>
                  <w14:prstDash w14:val="solid"/>
                  <w14:miter w14:val="0"/>
                </w14:textOutline>
              </w:rPr>
              <w:t>面向中小企业</w:t>
            </w:r>
            <w:r>
              <w:rPr>
                <w:rFonts w:hint="eastAsia" w:ascii="宋体" w:hAnsi="宋体" w:eastAsia="宋体" w:cs="宋体"/>
                <w:color w:val="auto"/>
                <w:spacing w:val="-13"/>
                <w:sz w:val="24"/>
                <w:szCs w:val="24"/>
                <w:highlight w:val="none"/>
                <w:lang w:eastAsia="zh-CN"/>
                <w14:textOutline w14:w="4358" w14:cap="flat" w14:cmpd="sng">
                  <w14:solidFill>
                    <w14:srgbClr w14:val="0000FF"/>
                  </w14:solidFill>
                  <w14:prstDash w14:val="solid"/>
                  <w14:miter w14:val="0"/>
                </w14:textOutline>
              </w:rPr>
              <w:t>采购</w:t>
            </w:r>
            <w:r>
              <w:rPr>
                <w:rFonts w:hint="eastAsia" w:ascii="宋体" w:hAnsi="宋体" w:eastAsia="宋体" w:cs="宋体"/>
                <w:color w:val="auto"/>
                <w:spacing w:val="-13"/>
                <w:sz w:val="24"/>
                <w:szCs w:val="24"/>
                <w:highlight w:val="none"/>
                <w14:textOutline w14:w="4358" w14:cap="flat" w14:cmpd="sng">
                  <w14:solidFill>
                    <w14:srgbClr w14:val="0000FF"/>
                  </w14:solidFill>
                  <w14:prstDash w14:val="solid"/>
                  <w14:miter w14:val="0"/>
                </w14:textOutline>
              </w:rPr>
              <w:t>。依据本办法规定享受扶持政策获得政府采购合同的，小微企业不得将合同分包给大中型企业，中型企业不得将合同分包给大型企业；</w:t>
            </w:r>
            <w:r>
              <w:rPr>
                <w:rFonts w:hint="eastAsia" w:ascii="宋体" w:hAnsi="宋体" w:eastAsia="宋体" w:cs="宋体"/>
                <w:color w:val="auto"/>
                <w:spacing w:val="-13"/>
                <w:sz w:val="24"/>
                <w:szCs w:val="24"/>
                <w:highlight w:val="none"/>
                <w:lang w:eastAsia="zh-CN"/>
                <w14:textOutline w14:w="4358" w14:cap="flat" w14:cmpd="sng">
                  <w14:solidFill>
                    <w14:srgbClr w14:val="0000FF"/>
                  </w14:solidFill>
                  <w14:prstDash w14:val="solid"/>
                  <w14:miter w14:val="0"/>
                </w14:textOutline>
              </w:rPr>
              <w:t>本项目</w:t>
            </w:r>
            <w:r>
              <w:rPr>
                <w:rFonts w:hint="eastAsia" w:ascii="宋体" w:hAnsi="宋体" w:eastAsia="宋体" w:cs="宋体"/>
                <w:color w:val="auto"/>
                <w:spacing w:val="-13"/>
                <w:sz w:val="24"/>
                <w:szCs w:val="24"/>
                <w:highlight w:val="none"/>
                <w14:textOutline w14:w="4358" w14:cap="flat" w14:cmpd="sng">
                  <w14:solidFill>
                    <w14:srgbClr w14:val="0000FF"/>
                  </w14:solidFill>
                  <w14:prstDash w14:val="solid"/>
                  <w14:miter w14:val="0"/>
                </w14:textOutline>
              </w:rPr>
              <w:t>采购标的对应的中小企业划分标准所属行业</w:t>
            </w:r>
            <w:r>
              <w:rPr>
                <w:rFonts w:hint="eastAsia" w:ascii="宋体" w:hAnsi="宋体" w:eastAsia="宋体" w:cs="宋体"/>
                <w:color w:val="auto"/>
                <w:spacing w:val="-13"/>
                <w:sz w:val="24"/>
                <w:szCs w:val="24"/>
                <w:highlight w:val="none"/>
                <w:lang w:eastAsia="zh-CN"/>
                <w14:textOutline w14:w="4358" w14:cap="flat" w14:cmpd="sng">
                  <w14:solidFill>
                    <w14:srgbClr w14:val="0000FF"/>
                  </w14:solidFill>
                  <w14:prstDash w14:val="solid"/>
                  <w14:miter w14:val="0"/>
                </w14:textOutline>
              </w:rPr>
              <w:t>为批发业；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25</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评审方法</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bookmarkStart w:id="89" w:name="EBfac76cf65e4c418cba0e15c753f1359b"/>
            <w:bookmarkEnd w:id="89"/>
            <w:r>
              <w:rPr>
                <w:rFonts w:hint="eastAsia" w:ascii="宋体" w:hAnsi="宋体" w:eastAsia="宋体" w:cs="宋体"/>
                <w:color w:val="auto"/>
                <w:spacing w:val="0"/>
                <w:kern w:val="2"/>
                <w:position w:val="0"/>
                <w:sz w:val="24"/>
                <w:szCs w:val="24"/>
                <w:highlight w:val="none"/>
                <w:lang w:val="en-US" w:eastAsia="zh-CN" w:bidi="ar-SA"/>
              </w:rPr>
              <w:sym w:font="Wingdings 2" w:char="0052"/>
            </w:r>
            <w:r>
              <w:rPr>
                <w:rFonts w:hint="eastAsia" w:ascii="宋体" w:hAnsi="宋体" w:eastAsia="宋体" w:cs="宋体"/>
                <w:color w:val="auto"/>
                <w:spacing w:val="0"/>
                <w:kern w:val="2"/>
                <w:position w:val="0"/>
                <w:sz w:val="24"/>
                <w:szCs w:val="24"/>
                <w:highlight w:val="none"/>
                <w:lang w:val="en-US" w:eastAsia="zh-CN" w:bidi="ar-SA"/>
              </w:rPr>
              <w:t xml:space="preserve">资格后审        </w:t>
            </w:r>
            <w:bookmarkStart w:id="90" w:name="EB4850bee832394c4083be5b8112f9b3b6"/>
            <w:bookmarkEnd w:id="90"/>
            <w:r>
              <w:rPr>
                <w:rFonts w:hint="eastAsia" w:ascii="宋体" w:hAnsi="宋体" w:eastAsia="宋体" w:cs="宋体"/>
                <w:color w:val="auto"/>
                <w:spacing w:val="0"/>
                <w:kern w:val="2"/>
                <w:position w:val="0"/>
                <w:sz w:val="24"/>
                <w:szCs w:val="24"/>
                <w:highlight w:val="none"/>
                <w:lang w:val="en-US" w:eastAsia="zh-CN" w:bidi="ar-SA"/>
              </w:rPr>
              <w:t>□资格预审</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bookmarkStart w:id="91" w:name="EB0074e2ed01924d5f940b01ce03dab020"/>
            <w:bookmarkEnd w:id="91"/>
            <w:r>
              <w:rPr>
                <w:rFonts w:hint="eastAsia" w:ascii="宋体" w:hAnsi="宋体" w:eastAsia="宋体" w:cs="宋体"/>
                <w:color w:val="auto"/>
                <w:spacing w:val="0"/>
                <w:kern w:val="2"/>
                <w:position w:val="0"/>
                <w:sz w:val="24"/>
                <w:szCs w:val="24"/>
                <w:highlight w:val="none"/>
                <w:lang w:val="en-US" w:eastAsia="zh-CN" w:bidi="ar-SA"/>
              </w:rPr>
              <w:sym w:font="Wingdings 2" w:char="0052"/>
            </w:r>
            <w:r>
              <w:rPr>
                <w:rFonts w:hint="eastAsia" w:ascii="宋体" w:hAnsi="宋体" w:eastAsia="宋体" w:cs="宋体"/>
                <w:color w:val="auto"/>
                <w:spacing w:val="0"/>
                <w:kern w:val="2"/>
                <w:position w:val="0"/>
                <w:sz w:val="24"/>
                <w:szCs w:val="24"/>
                <w:highlight w:val="none"/>
                <w:lang w:val="en-US" w:eastAsia="zh-CN" w:bidi="ar-SA"/>
              </w:rPr>
              <w:t xml:space="preserve">综合评分法      </w:t>
            </w:r>
            <w:bookmarkStart w:id="92" w:name="EB504ecbbb163e422887a350c6a0196cea"/>
            <w:bookmarkEnd w:id="92"/>
            <w:r>
              <w:rPr>
                <w:rFonts w:hint="eastAsia" w:ascii="宋体" w:hAnsi="宋体" w:eastAsia="宋体" w:cs="宋体"/>
                <w:color w:val="auto"/>
                <w:spacing w:val="0"/>
                <w:kern w:val="2"/>
                <w:position w:val="0"/>
                <w:sz w:val="24"/>
                <w:szCs w:val="24"/>
                <w:highlight w:val="none"/>
                <w:lang w:val="en-US" w:eastAsia="zh-CN" w:bidi="ar-SA"/>
              </w:rPr>
              <w:t>□最低评标价法</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注：</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1、综合评分法是指在最大限度地满足招标文件实质性要求前提下，按照招标文件中规定的评分细则评审后，以评标最终得分最高的投标人作为中标人的评标方法。每一投标人的最终得分为所有评委评分的算术平均值。得分相同的，报价较低的一方为中标人。得分且投标报价相同的，技术指标较优的一方为中标人。</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restart"/>
            <w:tcBorders>
              <w:top w:val="nil"/>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26</w:t>
            </w:r>
          </w:p>
        </w:tc>
        <w:tc>
          <w:tcPr>
            <w:tcW w:w="2268" w:type="dxa"/>
            <w:gridSpan w:val="2"/>
            <w:vMerge w:val="restart"/>
            <w:tcBorders>
              <w:top w:val="nil"/>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履约保证金</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履约保证金的交纳必须以公对公账户进行电汇或转账，否则不予认可。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tcBorders>
              <w:top w:val="nil"/>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p>
        </w:tc>
        <w:tc>
          <w:tcPr>
            <w:tcW w:w="2268" w:type="dxa"/>
            <w:gridSpan w:val="2"/>
            <w:vMerge w:val="continue"/>
            <w:tcBorders>
              <w:top w:val="nil"/>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交纳时间：</w:t>
            </w:r>
            <w:bookmarkStart w:id="93" w:name="EB127f418159a842c697826fd435594812"/>
            <w:bookmarkEnd w:id="93"/>
            <w:r>
              <w:rPr>
                <w:rFonts w:hint="eastAsia" w:ascii="宋体" w:hAnsi="宋体" w:cs="宋体"/>
                <w:color w:val="auto"/>
                <w:spacing w:val="0"/>
                <w:kern w:val="2"/>
                <w:position w:val="0"/>
                <w:sz w:val="24"/>
                <w:szCs w:val="24"/>
                <w:highlight w:val="none"/>
                <w:lang w:val="en-US" w:eastAsia="zh-CN" w:bidi="ar-SA"/>
              </w:rPr>
              <w:t>甲乙双方协商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tcBorders>
              <w:top w:val="nil"/>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p>
        </w:tc>
        <w:tc>
          <w:tcPr>
            <w:tcW w:w="2268" w:type="dxa"/>
            <w:gridSpan w:val="2"/>
            <w:vMerge w:val="continue"/>
            <w:tcBorders>
              <w:top w:val="nil"/>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交纳金额：</w:t>
            </w:r>
            <w:bookmarkStart w:id="94" w:name="EBb88c1beaacd74f6b939461331a0cebe1"/>
            <w:bookmarkEnd w:id="94"/>
            <w:r>
              <w:rPr>
                <w:rFonts w:hint="eastAsia" w:ascii="宋体" w:hAnsi="宋体" w:cs="宋体"/>
                <w:color w:val="auto"/>
                <w:spacing w:val="0"/>
                <w:kern w:val="2"/>
                <w:position w:val="0"/>
                <w:sz w:val="24"/>
                <w:szCs w:val="24"/>
                <w:highlight w:val="none"/>
                <w:lang w:val="en-US" w:eastAsia="zh-CN" w:bidi="ar-SA"/>
              </w:rPr>
              <w:t>甲乙双方协商</w:t>
            </w:r>
            <w:r>
              <w:rPr>
                <w:rFonts w:hint="eastAsia" w:ascii="宋体" w:hAnsi="宋体" w:eastAsia="宋体" w:cs="宋体"/>
                <w:color w:val="auto"/>
                <w:spacing w:val="0"/>
                <w:kern w:val="2"/>
                <w:position w:val="0"/>
                <w:sz w:val="24"/>
                <w:szCs w:val="24"/>
                <w:highlight w:val="no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tcBorders>
              <w:top w:val="nil"/>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p>
        </w:tc>
        <w:tc>
          <w:tcPr>
            <w:tcW w:w="2268" w:type="dxa"/>
            <w:gridSpan w:val="2"/>
            <w:vMerge w:val="continue"/>
            <w:tcBorders>
              <w:top w:val="nil"/>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收款单位：</w:t>
            </w:r>
            <w:bookmarkStart w:id="95" w:name="EB6cb7ffaf18874585ba7f918a637289fa"/>
            <w:bookmarkEnd w:id="95"/>
            <w:r>
              <w:rPr>
                <w:rFonts w:hint="eastAsia" w:ascii="宋体" w:hAnsi="宋体" w:cs="宋体"/>
                <w:color w:val="auto"/>
                <w:spacing w:val="0"/>
                <w:kern w:val="2"/>
                <w:position w:val="0"/>
                <w:sz w:val="24"/>
                <w:szCs w:val="24"/>
                <w:highlight w:val="none"/>
                <w:lang w:val="en-US" w:eastAsia="zh-CN" w:bidi="ar-SA"/>
              </w:rPr>
              <w:t>甲乙双方协商</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开户银行：</w:t>
            </w:r>
            <w:bookmarkStart w:id="96" w:name="EB86ebf1fb36c446e79e10da73376e85f9"/>
            <w:bookmarkEnd w:id="96"/>
            <w:r>
              <w:rPr>
                <w:rFonts w:hint="eastAsia" w:ascii="宋体" w:hAnsi="宋体" w:cs="宋体"/>
                <w:color w:val="auto"/>
                <w:spacing w:val="0"/>
                <w:kern w:val="2"/>
                <w:position w:val="0"/>
                <w:sz w:val="24"/>
                <w:szCs w:val="24"/>
                <w:highlight w:val="none"/>
                <w:lang w:val="en-US" w:eastAsia="zh-CN" w:bidi="ar-SA"/>
              </w:rPr>
              <w:t>甲乙双方协商</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银行账号：</w:t>
            </w:r>
            <w:bookmarkStart w:id="97" w:name="EBa4fb169a75a341219e360dca69dbc0e0"/>
            <w:bookmarkEnd w:id="97"/>
            <w:r>
              <w:rPr>
                <w:rFonts w:hint="eastAsia" w:ascii="宋体" w:hAnsi="宋体" w:cs="宋体"/>
                <w:color w:val="auto"/>
                <w:spacing w:val="0"/>
                <w:kern w:val="2"/>
                <w:position w:val="0"/>
                <w:sz w:val="24"/>
                <w:szCs w:val="24"/>
                <w:highlight w:val="none"/>
                <w:lang w:val="en-US" w:eastAsia="zh-CN" w:bidi="ar-SA"/>
              </w:rPr>
              <w:t>甲乙双方协商</w:t>
            </w:r>
            <w:r>
              <w:rPr>
                <w:rFonts w:hint="eastAsia" w:ascii="宋体" w:hAnsi="宋体" w:eastAsia="宋体" w:cs="宋体"/>
                <w:color w:val="auto"/>
                <w:spacing w:val="0"/>
                <w:kern w:val="2"/>
                <w:position w:val="0"/>
                <w:sz w:val="24"/>
                <w:szCs w:val="24"/>
                <w:highlight w:val="no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vMerge w:val="continue"/>
            <w:tcBorders>
              <w:top w:val="nil"/>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p>
        </w:tc>
        <w:tc>
          <w:tcPr>
            <w:tcW w:w="2268" w:type="dxa"/>
            <w:gridSpan w:val="2"/>
            <w:vMerge w:val="continue"/>
            <w:tcBorders>
              <w:top w:val="nil"/>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项目完成验收合格无质量问题后30天内无息退还。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27</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代理服务费</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bookmarkStart w:id="98" w:name="EB61747f1953474773bc4afe96f1735977"/>
            <w:bookmarkEnd w:id="98"/>
            <w:r>
              <w:rPr>
                <w:rFonts w:hint="eastAsia" w:ascii="宋体" w:hAnsi="宋体" w:eastAsia="宋体" w:cs="宋体"/>
                <w:color w:val="auto"/>
                <w:spacing w:val="0"/>
                <w:kern w:val="2"/>
                <w:position w:val="0"/>
                <w:sz w:val="24"/>
                <w:szCs w:val="24"/>
                <w:highlight w:val="none"/>
                <w:lang w:val="en-US" w:eastAsia="zh-CN" w:bidi="ar-SA"/>
              </w:rPr>
              <w:t>□不交纳。</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sym w:font="Wingdings 2" w:char="0052"/>
            </w:r>
            <w:r>
              <w:rPr>
                <w:rFonts w:hint="eastAsia" w:ascii="宋体" w:hAnsi="宋体" w:eastAsia="宋体" w:cs="宋体"/>
                <w:color w:val="auto"/>
                <w:spacing w:val="0"/>
                <w:kern w:val="2"/>
                <w:position w:val="0"/>
                <w:sz w:val="24"/>
                <w:szCs w:val="24"/>
                <w:highlight w:val="none"/>
                <w:lang w:val="en-US" w:eastAsia="zh-CN" w:bidi="ar-SA"/>
              </w:rPr>
              <w:t>交纳。</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交纳时间：《中标通知书》核发前，</w:t>
            </w:r>
            <w:r>
              <w:rPr>
                <w:rFonts w:hint="eastAsia" w:ascii="宋体" w:hAnsi="宋体" w:cs="宋体"/>
                <w:color w:val="auto"/>
                <w:spacing w:val="0"/>
                <w:kern w:val="2"/>
                <w:position w:val="0"/>
                <w:sz w:val="24"/>
                <w:szCs w:val="24"/>
                <w:highlight w:val="none"/>
                <w:lang w:val="en-US" w:eastAsia="zh-CN" w:bidi="ar-SA"/>
              </w:rPr>
              <w:t>由中标单位</w:t>
            </w:r>
            <w:r>
              <w:rPr>
                <w:rFonts w:hint="eastAsia" w:ascii="宋体" w:hAnsi="宋体" w:eastAsia="宋体" w:cs="宋体"/>
                <w:color w:val="auto"/>
                <w:spacing w:val="0"/>
                <w:kern w:val="2"/>
                <w:position w:val="0"/>
                <w:sz w:val="24"/>
                <w:szCs w:val="24"/>
                <w:highlight w:val="none"/>
                <w:lang w:val="en-US" w:eastAsia="zh-CN" w:bidi="ar-SA"/>
              </w:rPr>
              <w:t>向采购代理机构支付中标服务费。</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交纳金额：本次招标活动中标服务费依据差额累进法收取，100万以内费率为1.5%，100万-500万费率为1.1%，</w:t>
            </w:r>
            <w:r>
              <w:rPr>
                <w:rFonts w:hint="eastAsia" w:ascii="宋体" w:hAnsi="宋体" w:cs="宋体"/>
                <w:color w:val="auto"/>
                <w:spacing w:val="0"/>
                <w:kern w:val="2"/>
                <w:position w:val="0"/>
                <w:sz w:val="24"/>
                <w:szCs w:val="24"/>
                <w:highlight w:val="none"/>
                <w:lang w:val="en-US" w:eastAsia="zh-CN" w:bidi="ar-SA"/>
              </w:rPr>
              <w:t>5</w:t>
            </w:r>
            <w:r>
              <w:rPr>
                <w:rFonts w:hint="eastAsia" w:ascii="宋体" w:hAnsi="宋体" w:eastAsia="宋体" w:cs="宋体"/>
                <w:color w:val="auto"/>
                <w:spacing w:val="0"/>
                <w:kern w:val="2"/>
                <w:position w:val="0"/>
                <w:sz w:val="24"/>
                <w:szCs w:val="24"/>
                <w:highlight w:val="none"/>
                <w:lang w:val="en-US" w:eastAsia="zh-CN" w:bidi="ar-SA"/>
              </w:rPr>
              <w:t>00万-</w:t>
            </w:r>
            <w:r>
              <w:rPr>
                <w:rFonts w:hint="eastAsia" w:ascii="宋体" w:hAnsi="宋体" w:cs="宋体"/>
                <w:color w:val="auto"/>
                <w:spacing w:val="0"/>
                <w:kern w:val="2"/>
                <w:position w:val="0"/>
                <w:sz w:val="24"/>
                <w:szCs w:val="24"/>
                <w:highlight w:val="none"/>
                <w:lang w:val="en-US" w:eastAsia="zh-CN" w:bidi="ar-SA"/>
              </w:rPr>
              <w:t>10</w:t>
            </w:r>
            <w:r>
              <w:rPr>
                <w:rFonts w:hint="eastAsia" w:ascii="宋体" w:hAnsi="宋体" w:eastAsia="宋体" w:cs="宋体"/>
                <w:color w:val="auto"/>
                <w:spacing w:val="0"/>
                <w:kern w:val="2"/>
                <w:position w:val="0"/>
                <w:sz w:val="24"/>
                <w:szCs w:val="24"/>
                <w:highlight w:val="none"/>
                <w:lang w:val="en-US" w:eastAsia="zh-CN" w:bidi="ar-SA"/>
              </w:rPr>
              <w:t>00万费率为</w:t>
            </w:r>
            <w:r>
              <w:rPr>
                <w:rFonts w:hint="eastAsia" w:ascii="宋体" w:hAnsi="宋体" w:cs="宋体"/>
                <w:color w:val="auto"/>
                <w:spacing w:val="0"/>
                <w:kern w:val="2"/>
                <w:position w:val="0"/>
                <w:sz w:val="24"/>
                <w:szCs w:val="24"/>
                <w:highlight w:val="none"/>
                <w:lang w:val="en-US" w:eastAsia="zh-CN" w:bidi="ar-SA"/>
              </w:rPr>
              <w:t>0.8</w:t>
            </w:r>
            <w:r>
              <w:rPr>
                <w:rFonts w:hint="eastAsia" w:ascii="宋体" w:hAnsi="宋体" w:eastAsia="宋体" w:cs="宋体"/>
                <w:color w:val="auto"/>
                <w:spacing w:val="0"/>
                <w:kern w:val="2"/>
                <w:position w:val="0"/>
                <w:sz w:val="24"/>
                <w:szCs w:val="24"/>
                <w:highlight w:val="none"/>
                <w:lang w:val="en-US" w:eastAsia="zh-CN" w:bidi="ar-SA"/>
              </w:rPr>
              <w:t>%，请报价人在测算报价时充分考虑这一因素。</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收款单位：</w:t>
            </w:r>
            <w:r>
              <w:rPr>
                <w:rFonts w:hint="eastAsia" w:ascii="宋体" w:hAnsi="宋体" w:cs="宋体"/>
                <w:color w:val="auto"/>
                <w:spacing w:val="0"/>
                <w:kern w:val="2"/>
                <w:position w:val="0"/>
                <w:sz w:val="24"/>
                <w:szCs w:val="24"/>
                <w:highlight w:val="none"/>
                <w:lang w:val="en-US" w:eastAsia="zh-CN" w:bidi="ar-SA"/>
              </w:rPr>
              <w:t>新疆金泰首致项目管理咨询有限公司</w:t>
            </w:r>
          </w:p>
          <w:p>
            <w:pPr>
              <w:pStyle w:val="61"/>
              <w:spacing w:line="480" w:lineRule="exact"/>
              <w:ind w:left="1" w:firstLine="2"/>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 xml:space="preserve">开户银行：中国农业银行股份有限公司阿勒泰市支行 </w:t>
            </w:r>
          </w:p>
          <w:p>
            <w:pPr>
              <w:pStyle w:val="61"/>
              <w:spacing w:line="480" w:lineRule="exact"/>
              <w:ind w:left="1" w:firstLine="2"/>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 xml:space="preserve">账    号：30150801040007147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28</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场地服务费</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bookmarkStart w:id="99" w:name="EB032dd5bb9a2a45ea8238724fe0749933"/>
            <w:bookmarkEnd w:id="99"/>
            <w:r>
              <w:rPr>
                <w:rFonts w:hint="eastAsia" w:ascii="宋体" w:hAnsi="宋体" w:eastAsia="宋体" w:cs="宋体"/>
                <w:color w:val="auto"/>
                <w:spacing w:val="0"/>
                <w:kern w:val="2"/>
                <w:position w:val="0"/>
                <w:sz w:val="24"/>
                <w:szCs w:val="24"/>
                <w:highlight w:val="none"/>
                <w:lang w:val="en-US" w:eastAsia="zh-CN" w:bidi="ar-SA"/>
              </w:rPr>
              <w:sym w:font="Wingdings 2" w:char="00A3"/>
            </w:r>
            <w:r>
              <w:rPr>
                <w:rFonts w:hint="eastAsia" w:ascii="宋体" w:hAnsi="宋体" w:eastAsia="宋体" w:cs="宋体"/>
                <w:color w:val="auto"/>
                <w:spacing w:val="0"/>
                <w:kern w:val="2"/>
                <w:position w:val="0"/>
                <w:sz w:val="24"/>
                <w:szCs w:val="24"/>
                <w:highlight w:val="none"/>
                <w:lang w:val="en-US" w:eastAsia="zh-CN" w:bidi="ar-SA"/>
              </w:rPr>
              <w:t>不交纳。</w:t>
            </w:r>
          </w:p>
          <w:p>
            <w:pPr>
              <w:pStyle w:val="123"/>
              <w:keepNext w:val="0"/>
              <w:keepLines w:val="0"/>
              <w:pageBreakBefore w:val="0"/>
              <w:kinsoku/>
              <w:overflowPunct/>
              <w:topLinePunct w:val="0"/>
              <w:bidi w:val="0"/>
              <w:spacing w:line="360" w:lineRule="auto"/>
              <w:textAlignment w:val="auto"/>
              <w:rPr>
                <w:rFonts w:hint="default"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sym w:font="Wingdings 2" w:char="0052"/>
            </w:r>
            <w:r>
              <w:rPr>
                <w:rFonts w:hint="eastAsia" w:ascii="宋体" w:hAnsi="宋体" w:eastAsia="宋体" w:cs="宋体"/>
                <w:color w:val="auto"/>
                <w:spacing w:val="0"/>
                <w:kern w:val="2"/>
                <w:position w:val="0"/>
                <w:sz w:val="24"/>
                <w:szCs w:val="24"/>
                <w:highlight w:val="none"/>
                <w:lang w:val="en-US" w:eastAsia="zh-CN" w:bidi="ar-SA"/>
              </w:rPr>
              <w:t>交纳。</w:t>
            </w:r>
            <w:r>
              <w:rPr>
                <w:rFonts w:hint="eastAsia" w:ascii="宋体" w:hAnsi="宋体" w:cs="宋体"/>
                <w:color w:val="auto"/>
                <w:spacing w:val="0"/>
                <w:kern w:val="2"/>
                <w:position w:val="0"/>
                <w:sz w:val="24"/>
                <w:szCs w:val="24"/>
                <w:highlight w:val="none"/>
                <w:lang w:val="en-US" w:eastAsia="zh-CN" w:bidi="ar-SA"/>
              </w:rPr>
              <w:t>300元/单位/标项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29</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合同公证费</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bookmarkStart w:id="100" w:name="EB2ce5b88eba94499ba45199c3c51dafe2"/>
            <w:bookmarkEnd w:id="100"/>
            <w:r>
              <w:rPr>
                <w:rFonts w:hint="eastAsia" w:ascii="宋体" w:hAnsi="宋体" w:eastAsia="宋体" w:cs="宋体"/>
                <w:color w:val="auto"/>
                <w:spacing w:val="0"/>
                <w:kern w:val="2"/>
                <w:position w:val="0"/>
                <w:sz w:val="24"/>
                <w:szCs w:val="24"/>
                <w:highlight w:val="none"/>
                <w:lang w:val="en-US" w:eastAsia="zh-CN" w:bidi="ar-SA"/>
              </w:rPr>
              <w:sym w:font="Wingdings 2" w:char="0052"/>
            </w:r>
            <w:r>
              <w:rPr>
                <w:rFonts w:hint="eastAsia" w:ascii="宋体" w:hAnsi="宋体" w:eastAsia="宋体" w:cs="宋体"/>
                <w:color w:val="auto"/>
                <w:spacing w:val="0"/>
                <w:kern w:val="2"/>
                <w:position w:val="0"/>
                <w:sz w:val="24"/>
                <w:szCs w:val="24"/>
                <w:highlight w:val="none"/>
                <w:lang w:val="en-US" w:eastAsia="zh-CN" w:bidi="ar-SA"/>
              </w:rPr>
              <w:t>不交纳。</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□交纳。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30</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付款方式</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default" w:ascii="宋体" w:hAnsi="宋体" w:eastAsia="宋体" w:cs="宋体"/>
                <w:color w:val="auto"/>
                <w:spacing w:val="0"/>
                <w:kern w:val="2"/>
                <w:position w:val="0"/>
                <w:sz w:val="24"/>
                <w:szCs w:val="24"/>
                <w:highlight w:val="none"/>
                <w:lang w:val="en-US" w:eastAsia="zh-CN" w:bidi="ar-SA"/>
              </w:rPr>
            </w:pPr>
            <w:bookmarkStart w:id="101" w:name="EB2dc74b14846046859499e4929e78dd41"/>
            <w:bookmarkEnd w:id="101"/>
            <w:r>
              <w:rPr>
                <w:rFonts w:hint="eastAsia" w:ascii="宋体" w:hAnsi="宋体" w:cs="宋体"/>
                <w:color w:val="auto"/>
                <w:spacing w:val="0"/>
                <w:kern w:val="2"/>
                <w:position w:val="0"/>
                <w:sz w:val="24"/>
                <w:szCs w:val="24"/>
                <w:highlight w:val="none"/>
                <w:lang w:val="en-US" w:eastAsia="zh-CN" w:bidi="ar-SA"/>
              </w:rPr>
              <w:t>甲乙双方协商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31</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是否需要</w:t>
            </w:r>
          </w:p>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提交样品</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bookmarkStart w:id="102" w:name="EB4545dfd19ee14bf990935163cccc2961"/>
            <w:bookmarkEnd w:id="102"/>
            <w:r>
              <w:rPr>
                <w:rFonts w:hint="eastAsia" w:ascii="宋体" w:hAnsi="宋体" w:eastAsia="宋体" w:cs="宋体"/>
                <w:color w:val="auto"/>
                <w:spacing w:val="0"/>
                <w:kern w:val="2"/>
                <w:position w:val="0"/>
                <w:sz w:val="24"/>
                <w:szCs w:val="24"/>
                <w:highlight w:val="none"/>
                <w:lang w:val="en-US" w:eastAsia="zh-CN" w:bidi="ar-SA"/>
              </w:rPr>
              <w:sym w:font="Wingdings 2" w:char="0052"/>
            </w:r>
            <w:r>
              <w:rPr>
                <w:rFonts w:hint="eastAsia" w:ascii="宋体" w:hAnsi="宋体" w:eastAsia="宋体" w:cs="宋体"/>
                <w:color w:val="auto"/>
                <w:spacing w:val="0"/>
                <w:kern w:val="2"/>
                <w:position w:val="0"/>
                <w:sz w:val="24"/>
                <w:szCs w:val="24"/>
                <w:highlight w:val="none"/>
                <w:lang w:val="en-US" w:eastAsia="zh-CN" w:bidi="ar-SA"/>
              </w:rPr>
              <w:t>不需要</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sym w:font="Wingdings 2" w:char="00A3"/>
            </w:r>
            <w:r>
              <w:rPr>
                <w:rFonts w:hint="eastAsia" w:ascii="宋体" w:hAnsi="宋体" w:eastAsia="宋体" w:cs="宋体"/>
                <w:color w:val="auto"/>
                <w:spacing w:val="0"/>
                <w:kern w:val="2"/>
                <w:position w:val="0"/>
                <w:sz w:val="24"/>
                <w:szCs w:val="24"/>
                <w:highlight w:val="none"/>
                <w:lang w:val="en-US" w:eastAsia="zh-CN" w:bidi="ar-SA"/>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32</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踏勘现场</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sym w:font="Wingdings 2" w:char="0052"/>
            </w:r>
            <w:r>
              <w:rPr>
                <w:rFonts w:hint="eastAsia" w:ascii="宋体" w:hAnsi="宋体" w:eastAsia="宋体" w:cs="宋体"/>
                <w:color w:val="auto"/>
                <w:spacing w:val="0"/>
                <w:kern w:val="2"/>
                <w:position w:val="0"/>
                <w:sz w:val="24"/>
                <w:szCs w:val="24"/>
                <w:highlight w:val="none"/>
                <w:lang w:val="en-US" w:eastAsia="zh-CN" w:bidi="ar-SA"/>
              </w:rPr>
              <w:t>自行踏勘。</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sym w:font="Wingdings 2" w:char="00A3"/>
            </w:r>
            <w:r>
              <w:rPr>
                <w:rFonts w:hint="eastAsia" w:ascii="宋体" w:hAnsi="宋体" w:eastAsia="宋体" w:cs="宋体"/>
                <w:color w:val="auto"/>
                <w:spacing w:val="0"/>
                <w:kern w:val="2"/>
                <w:position w:val="0"/>
                <w:sz w:val="24"/>
                <w:szCs w:val="24"/>
                <w:highlight w:val="none"/>
                <w:lang w:val="en-US" w:eastAsia="zh-CN" w:bidi="ar-SA"/>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33</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现场陈述</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bookmarkStart w:id="103" w:name="EB2bf8f7172c8d4220b807b8bf667df51d"/>
            <w:bookmarkEnd w:id="103"/>
            <w:r>
              <w:rPr>
                <w:rFonts w:hint="eastAsia" w:ascii="宋体" w:hAnsi="宋体" w:eastAsia="宋体" w:cs="宋体"/>
                <w:color w:val="auto"/>
                <w:spacing w:val="0"/>
                <w:kern w:val="2"/>
                <w:position w:val="0"/>
                <w:sz w:val="24"/>
                <w:szCs w:val="24"/>
                <w:highlight w:val="none"/>
                <w:lang w:val="en-US" w:eastAsia="zh-CN" w:bidi="ar-SA"/>
              </w:rPr>
              <w:sym w:font="Wingdings 2" w:char="0052"/>
            </w:r>
            <w:r>
              <w:rPr>
                <w:rFonts w:hint="eastAsia" w:ascii="宋体" w:hAnsi="宋体" w:eastAsia="宋体" w:cs="宋体"/>
                <w:color w:val="auto"/>
                <w:spacing w:val="0"/>
                <w:kern w:val="2"/>
                <w:position w:val="0"/>
                <w:sz w:val="24"/>
                <w:szCs w:val="24"/>
                <w:highlight w:val="none"/>
                <w:lang w:val="en-US" w:eastAsia="zh-CN" w:bidi="ar-SA"/>
              </w:rPr>
              <w:t>不需要。</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34</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项目预算</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金额（小写）：</w:t>
            </w:r>
            <w:r>
              <w:rPr>
                <w:rFonts w:hint="eastAsia" w:ascii="宋体" w:hAnsi="宋体" w:cs="宋体"/>
                <w:color w:val="auto"/>
                <w:spacing w:val="0"/>
                <w:kern w:val="2"/>
                <w:position w:val="0"/>
                <w:sz w:val="24"/>
                <w:szCs w:val="24"/>
                <w:highlight w:val="none"/>
                <w:lang w:val="en-US" w:eastAsia="zh-CN" w:bidi="ar-SA"/>
              </w:rPr>
              <w:t>2468950.00</w:t>
            </w:r>
            <w:r>
              <w:rPr>
                <w:rFonts w:hint="eastAsia" w:ascii="宋体" w:hAnsi="宋体" w:eastAsia="宋体" w:cs="宋体"/>
                <w:color w:val="auto"/>
                <w:spacing w:val="0"/>
                <w:kern w:val="2"/>
                <w:position w:val="0"/>
                <w:sz w:val="24"/>
                <w:szCs w:val="24"/>
                <w:highlight w:val="none"/>
                <w:lang w:val="en-US" w:eastAsia="zh-CN" w:bidi="ar-SA"/>
              </w:rPr>
              <w:t>元</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金额（大写）：</w:t>
            </w:r>
            <w:r>
              <w:rPr>
                <w:rFonts w:hint="eastAsia" w:ascii="宋体" w:hAnsi="宋体" w:cs="宋体"/>
                <w:color w:val="auto"/>
                <w:spacing w:val="0"/>
                <w:kern w:val="2"/>
                <w:position w:val="0"/>
                <w:sz w:val="24"/>
                <w:szCs w:val="24"/>
                <w:highlight w:val="none"/>
                <w:lang w:val="en-US" w:eastAsia="zh-CN" w:bidi="ar-SA"/>
              </w:rPr>
              <w:t>贰佰肆拾陆万捌仟玖佰伍拾元整</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yellow"/>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注：投标报价超出采购预算金额以废标处理。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35</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价格调整</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default" w:ascii="宋体" w:hAnsi="宋体" w:eastAsia="宋体" w:cs="宋体"/>
                <w:color w:val="auto"/>
                <w:spacing w:val="0"/>
                <w:kern w:val="2"/>
                <w:position w:val="0"/>
                <w:sz w:val="24"/>
                <w:szCs w:val="24"/>
                <w:highlight w:val="none"/>
                <w:lang w:val="en-US" w:eastAsia="zh-CN" w:bidi="ar-SA"/>
              </w:rPr>
            </w:pPr>
            <w:r>
              <w:rPr>
                <w:rFonts w:hint="eastAsia" w:ascii="宋体" w:hAnsi="宋体" w:cs="宋体"/>
                <w:color w:val="auto"/>
                <w:spacing w:val="0"/>
                <w:kern w:val="2"/>
                <w:position w:val="0"/>
                <w:sz w:val="24"/>
                <w:szCs w:val="24"/>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36</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其他</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本项目的招标投标活动以及相关当事人须接受财政监督部门依法实施的监督。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default"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37</w:t>
            </w:r>
          </w:p>
        </w:tc>
        <w:tc>
          <w:tcPr>
            <w:tcW w:w="2268" w:type="dxa"/>
            <w:gridSpan w:val="2"/>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招标人补充的其他内容</w:t>
            </w:r>
          </w:p>
        </w:tc>
        <w:tc>
          <w:tcPr>
            <w:tcW w:w="6690" w:type="dxa"/>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bookmarkStart w:id="104" w:name="EB74ae452a189a4b2c993499fc5939ae2d"/>
            <w:bookmarkEnd w:id="104"/>
            <w:r>
              <w:rPr>
                <w:rFonts w:hint="eastAsia" w:ascii="宋体" w:hAnsi="宋体" w:eastAsia="宋体" w:cs="宋体"/>
                <w:color w:val="auto"/>
                <w:spacing w:val="0"/>
                <w:kern w:val="2"/>
                <w:position w:val="0"/>
                <w:sz w:val="24"/>
                <w:szCs w:val="24"/>
                <w:highlight w:val="none"/>
                <w:lang w:val="en-US" w:eastAsia="zh-CN" w:bidi="ar-SA"/>
              </w:rPr>
              <w:t>1、各投标人必须针对项目分别制作投标文件并报价，投标文件均必须满足招标文件制作等要求，否则将导致投标被拒绝。</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2、供货进度和最终供货数量由甲方根据当地实际需要进行；</w:t>
            </w:r>
          </w:p>
          <w:p>
            <w:pPr>
              <w:pStyle w:val="123"/>
              <w:keepNext w:val="0"/>
              <w:keepLines w:val="0"/>
              <w:pageBreakBefore w:val="0"/>
              <w:kinsoku/>
              <w:overflowPunct/>
              <w:topLinePunct w:val="0"/>
              <w:bidi w:val="0"/>
              <w:spacing w:line="360" w:lineRule="auto"/>
              <w:textAlignment w:val="auto"/>
              <w:rPr>
                <w:rFonts w:hint="default" w:ascii="宋体" w:hAnsi="宋体" w:eastAsia="宋体" w:cs="宋体"/>
                <w:color w:val="auto"/>
                <w:spacing w:val="0"/>
                <w:kern w:val="2"/>
                <w:position w:val="0"/>
                <w:sz w:val="24"/>
                <w:szCs w:val="24"/>
                <w:highlight w:val="none"/>
                <w:lang w:val="en-US" w:eastAsia="zh-CN" w:bidi="ar-SA"/>
              </w:rPr>
            </w:pPr>
            <w:r>
              <w:rPr>
                <w:rFonts w:hint="eastAsia" w:ascii="宋体" w:hAnsi="宋体" w:cs="宋体"/>
                <w:color w:val="auto"/>
                <w:spacing w:val="0"/>
                <w:kern w:val="2"/>
                <w:position w:val="0"/>
                <w:sz w:val="24"/>
                <w:szCs w:val="24"/>
                <w:highlight w:val="none"/>
                <w:lang w:val="en-US" w:eastAsia="zh-CN" w:bidi="ar-SA"/>
              </w:rPr>
              <w:t>3</w:t>
            </w:r>
            <w:r>
              <w:rPr>
                <w:rFonts w:hint="eastAsia" w:ascii="宋体" w:hAnsi="宋体" w:eastAsia="宋体" w:cs="宋体"/>
                <w:color w:val="auto"/>
                <w:spacing w:val="0"/>
                <w:kern w:val="2"/>
                <w:position w:val="0"/>
                <w:sz w:val="24"/>
                <w:szCs w:val="24"/>
                <w:highlight w:val="none"/>
                <w:lang w:val="en-US" w:eastAsia="zh-CN" w:bidi="ar-SA"/>
              </w:rPr>
              <w:t>、</w:t>
            </w:r>
            <w:r>
              <w:rPr>
                <w:rFonts w:hint="eastAsia" w:ascii="宋体" w:hAnsi="宋体" w:eastAsia="宋体" w:cs="宋体"/>
                <w:color w:val="auto"/>
                <w:spacing w:val="-6"/>
                <w:sz w:val="24"/>
                <w:szCs w:val="24"/>
                <w:highlight w:val="none"/>
                <w:lang w:val="en-US" w:eastAsia="zh-CN"/>
              </w:rPr>
              <w:t>如有更正补充公告请自行登录新疆政府采购网查看下载。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ind w:left="0" w:leftChars="0" w:right="0" w:rightChars="0" w:firstLine="0" w:firstLineChars="0"/>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注意事项</w:t>
            </w:r>
          </w:p>
        </w:tc>
        <w:tc>
          <w:tcPr>
            <w:tcW w:w="8958" w:type="dxa"/>
            <w:gridSpan w:val="3"/>
            <w:tcBorders>
              <w:top w:val="single" w:color="auto" w:sz="4" w:space="0"/>
              <w:left w:val="nil"/>
              <w:bottom w:val="single" w:color="auto" w:sz="4" w:space="0"/>
              <w:right w:val="single" w:color="auto" w:sz="4" w:space="0"/>
            </w:tcBorders>
            <w:noWrap w:val="0"/>
            <w:vAlign w:val="center"/>
          </w:tcPr>
          <w:p>
            <w:pPr>
              <w:pStyle w:val="43"/>
              <w:numPr>
                <w:ilvl w:val="0"/>
                <w:numId w:val="0"/>
              </w:numPr>
              <w:autoSpaceDE w:val="0"/>
              <w:autoSpaceDN w:val="0"/>
              <w:adjustRightInd w:val="0"/>
              <w:spacing w:line="360" w:lineRule="auto"/>
              <w:rPr>
                <w:rFonts w:hint="eastAsia" w:ascii="宋体" w:hAnsi="宋体" w:eastAsia="宋体" w:cs="宋体"/>
                <w:color w:val="auto"/>
                <w:spacing w:val="0"/>
                <w:sz w:val="24"/>
                <w:szCs w:val="24"/>
                <w:highlight w:val="none"/>
                <w:u w:val="none"/>
              </w:rPr>
            </w:pPr>
            <w:r>
              <w:rPr>
                <w:rFonts w:hint="eastAsia" w:ascii="宋体" w:hAnsi="宋体" w:eastAsia="宋体" w:cs="宋体"/>
                <w:color w:val="auto"/>
                <w:spacing w:val="0"/>
                <w:sz w:val="24"/>
                <w:szCs w:val="24"/>
                <w:highlight w:val="none"/>
                <w:u w:val="none"/>
                <w:lang w:val="en-US" w:eastAsia="zh-CN"/>
              </w:rPr>
              <w:t>1、</w:t>
            </w:r>
            <w:r>
              <w:rPr>
                <w:rFonts w:hint="eastAsia" w:ascii="宋体" w:hAnsi="宋体" w:eastAsia="宋体" w:cs="宋体"/>
                <w:color w:val="auto"/>
                <w:spacing w:val="0"/>
                <w:sz w:val="24"/>
                <w:szCs w:val="24"/>
                <w:highlight w:val="none"/>
                <w:u w:val="none"/>
              </w:rPr>
              <w:t>根据《财政部关于在政府采购活动中查询及使用信用记录有关问题的通知》财库〔2016〕125号的规定，各供应商应在本项目采购公告发布之日起到响应文件递交截止时间期间，通过“信用中国”网站（www.creditchina.gov.cn）、中国政府采购（www.ccgp.gov.cn）“裁判文书”（wenshu.court.gov.cn/）等渠道查询主体信用记录，并将信用信息查询记录作为响应文件组成部分。</w:t>
            </w:r>
          </w:p>
          <w:p>
            <w:pPr>
              <w:pStyle w:val="123"/>
              <w:keepNext w:val="0"/>
              <w:keepLines w:val="0"/>
              <w:pageBreakBefore w:val="0"/>
              <w:kinsoku/>
              <w:overflowPunct/>
              <w:topLinePunct w:val="0"/>
              <w:bidi w:val="0"/>
              <w:spacing w:line="360" w:lineRule="auto"/>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color w:val="auto"/>
                <w:spacing w:val="0"/>
                <w:sz w:val="24"/>
                <w:szCs w:val="24"/>
                <w:highlight w:val="none"/>
                <w:u w:val="none"/>
                <w:lang w:val="en-US" w:eastAsia="zh-CN"/>
              </w:rPr>
              <w:t>2、</w:t>
            </w:r>
            <w:r>
              <w:rPr>
                <w:rFonts w:hint="eastAsia" w:ascii="宋体" w:hAnsi="宋体" w:eastAsia="宋体" w:cs="宋体"/>
                <w:color w:val="auto"/>
                <w:spacing w:val="0"/>
                <w:kern w:val="0"/>
                <w:sz w:val="24"/>
                <w:szCs w:val="24"/>
                <w:highlight w:val="none"/>
                <w:u w:val="none"/>
              </w:rPr>
              <w:t>无论何种原因，投标人在投标文件中未提供与之内容完全一致的扫描件的，评标委员会可以视同其未提供。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ind w:left="0" w:leftChars="0" w:right="0" w:rightChars="0" w:firstLine="0" w:firstLineChars="0"/>
              <w:jc w:val="center"/>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eastAsia="宋体" w:cs="宋体"/>
                <w:b/>
                <w:bCs/>
                <w:color w:val="auto"/>
                <w:spacing w:val="0"/>
                <w:kern w:val="2"/>
                <w:position w:val="0"/>
                <w:sz w:val="24"/>
                <w:szCs w:val="24"/>
                <w:highlight w:val="none"/>
                <w:lang w:val="en-US" w:eastAsia="zh-CN" w:bidi="ar-SA"/>
              </w:rPr>
              <w:t>备注</w:t>
            </w:r>
          </w:p>
        </w:tc>
        <w:tc>
          <w:tcPr>
            <w:tcW w:w="8958" w:type="dxa"/>
            <w:gridSpan w:val="3"/>
            <w:tcBorders>
              <w:top w:val="single" w:color="auto" w:sz="4" w:space="0"/>
              <w:left w:val="nil"/>
              <w:bottom w:val="single" w:color="auto" w:sz="4" w:space="0"/>
              <w:right w:val="single" w:color="auto" w:sz="4" w:space="0"/>
            </w:tcBorders>
            <w:noWrap w:val="0"/>
            <w:vAlign w:val="center"/>
          </w:tcPr>
          <w:p>
            <w:pPr>
              <w:pStyle w:val="123"/>
              <w:keepNext w:val="0"/>
              <w:keepLines w:val="0"/>
              <w:pageBreakBefore w:val="0"/>
              <w:kinsoku/>
              <w:overflowPunct/>
              <w:topLinePunct w:val="0"/>
              <w:bidi w:val="0"/>
              <w:spacing w:line="360" w:lineRule="auto"/>
              <w:textAlignment w:val="auto"/>
              <w:rPr>
                <w:rFonts w:hint="eastAsia" w:ascii="宋体" w:hAnsi="宋体" w:eastAsia="宋体" w:cs="宋体"/>
                <w:b/>
                <w:bCs/>
                <w:color w:val="auto"/>
                <w:spacing w:val="0"/>
                <w:kern w:val="2"/>
                <w:position w:val="0"/>
                <w:sz w:val="24"/>
                <w:szCs w:val="24"/>
                <w:highlight w:val="none"/>
                <w:lang w:val="en-US" w:eastAsia="zh-CN" w:bidi="ar-SA"/>
              </w:rPr>
            </w:pPr>
            <w:r>
              <w:rPr>
                <w:rFonts w:hint="eastAsia" w:ascii="宋体" w:hAnsi="宋体" w:cs="宋体"/>
                <w:b/>
                <w:bCs/>
                <w:color w:val="auto"/>
                <w:spacing w:val="0"/>
                <w:kern w:val="2"/>
                <w:position w:val="0"/>
                <w:sz w:val="24"/>
                <w:szCs w:val="24"/>
                <w:highlight w:val="none"/>
                <w:lang w:val="en-US" w:eastAsia="zh-CN" w:bidi="ar-SA"/>
              </w:rPr>
              <w:t>招标文件正文与招标文件投标人须知前附表不一致时，以投标人须知前附表为准。</w:t>
            </w:r>
          </w:p>
        </w:tc>
      </w:tr>
      <w:bookmarkEnd w:id="70"/>
      <w:bookmarkEnd w:id="71"/>
    </w:tbl>
    <w:p>
      <w:pPr>
        <w:pStyle w:val="53"/>
        <w:jc w:val="both"/>
        <w:rPr>
          <w:rFonts w:hint="eastAsia" w:ascii="宋体" w:hAnsi="宋体" w:eastAsia="宋体" w:cs="宋体"/>
          <w:b/>
          <w:bCs/>
          <w:color w:val="auto"/>
          <w:sz w:val="24"/>
          <w:szCs w:val="24"/>
          <w:highlight w:val="none"/>
        </w:rPr>
      </w:pPr>
      <w:bookmarkStart w:id="105" w:name="_Toc16915"/>
      <w:bookmarkStart w:id="106" w:name="_Toc11272"/>
      <w:bookmarkStart w:id="107" w:name="_Toc31032"/>
      <w:bookmarkStart w:id="108" w:name="_Toc22669"/>
      <w:bookmarkStart w:id="109" w:name="_Toc4850"/>
      <w:bookmarkStart w:id="110" w:name="_Toc15011"/>
      <w:bookmarkStart w:id="111" w:name="_Toc26183"/>
      <w:bookmarkStart w:id="112" w:name="_Toc17628"/>
      <w:bookmarkStart w:id="113" w:name="_Toc462489957"/>
      <w:bookmarkStart w:id="114" w:name="_Toc22724"/>
      <w:bookmarkStart w:id="115" w:name="_Toc32531"/>
      <w:bookmarkStart w:id="116" w:name="_Toc15274"/>
      <w:bookmarkStart w:id="117" w:name="_Toc423"/>
    </w:p>
    <w:p>
      <w:pPr>
        <w:pStyle w:val="38"/>
        <w:keepNext/>
        <w:keepLines/>
        <w:adjustRightInd w:val="0"/>
        <w:spacing w:line="360" w:lineRule="auto"/>
        <w:jc w:val="both"/>
        <w:outlineLvl w:val="2"/>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sz w:val="24"/>
          <w:szCs w:val="24"/>
          <w:highlight w:val="none"/>
        </w:rPr>
        <w:br w:type="page"/>
      </w:r>
      <w:bookmarkEnd w:id="105"/>
      <w:bookmarkEnd w:id="106"/>
      <w:bookmarkEnd w:id="107"/>
      <w:bookmarkEnd w:id="108"/>
      <w:bookmarkEnd w:id="109"/>
      <w:bookmarkEnd w:id="110"/>
      <w:bookmarkEnd w:id="111"/>
      <w:bookmarkEnd w:id="112"/>
      <w:bookmarkEnd w:id="113"/>
      <w:bookmarkEnd w:id="114"/>
      <w:bookmarkEnd w:id="115"/>
      <w:bookmarkEnd w:id="116"/>
      <w:bookmarkEnd w:id="117"/>
      <w:bookmarkStart w:id="118" w:name="_Toc14845"/>
      <w:bookmarkEnd w:id="118"/>
      <w:bookmarkStart w:id="119" w:name="_Toc3516"/>
      <w:bookmarkEnd w:id="119"/>
      <w:bookmarkStart w:id="120" w:name="_Toc23117"/>
      <w:bookmarkEnd w:id="120"/>
      <w:bookmarkStart w:id="121" w:name="_Toc6781"/>
      <w:bookmarkEnd w:id="121"/>
      <w:bookmarkStart w:id="122" w:name="_Toc24526"/>
      <w:bookmarkEnd w:id="122"/>
      <w:bookmarkStart w:id="123" w:name="_Toc2810"/>
      <w:bookmarkEnd w:id="123"/>
      <w:bookmarkStart w:id="124" w:name="_Toc31013"/>
      <w:bookmarkEnd w:id="124"/>
      <w:r>
        <w:rPr>
          <w:rFonts w:hint="eastAsia" w:ascii="宋体" w:hAnsi="宋体" w:eastAsia="宋体" w:cs="宋体"/>
          <w:b/>
          <w:bCs/>
          <w:color w:val="auto"/>
          <w:kern w:val="2"/>
          <w:sz w:val="24"/>
          <w:szCs w:val="22"/>
          <w:highlight w:val="none"/>
          <w:lang w:val="en-US" w:eastAsia="zh-CN" w:bidi="ar-SA"/>
        </w:rPr>
        <w:t>一、总则</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1.说明</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1.1本招标文件适用于本次招标采购项目的招标投标。</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2.定义</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2.1“采购人”名称见本招标文件第二部分“投标人须知前附表”。</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2.2“采购代理机构”名称见本招标文件第二部分“投标人须知前附表”。</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2.3“服务”指招标文件第三部分所述投标人应该履行的承诺和义务。</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2.4“潜在投标人”指符合招标文件各项规定的供应商。</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2.5“投标人”指符合招标文件规定并参加投标的供应商。</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2.6“投标人公章”在投标文件中指与投标人标准公章一致的投标人公章。</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3.合格投标人的条件</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3.1具有本项目实施能力，符合、承认并承诺履行本文件各项规定的国内法人、其他组织均可参加投标。</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3.2遵守有关的国家法律、法规和条例，具备《中华人民共和国政府采购法》和本文件中规定的条件：</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1)具有独立承担民事责任的能力；</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2)具有良好的商业信誉和健全的财务会计制度；</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3)具有履行合同所必需的设备和专业技术能力；</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4)具有依法缴纳税收和社会保障资金的良好记录；</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5)参加政府采购活动前三年内，在经营活动中没有重大违法记录；</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6)法律、行政法规规定的其他条件；</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7)具有本招标文件第二部分“投标人须知前附表”中第9项规定的资格条件。</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3.3投标人之间如果存在下列情形之一的，不得同时参加同一包（标段）或者不分包（标段）的同一项目投标：</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3.3.1法定代表人为同一个人的两个及两个以上法人；</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3.3.2母公司、全资子公司及其控股公司；</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3.3.3参加投标的其他组织之间存在特殊的利害关系的；</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3.3.4法律和行政法规规定的其他情形。</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3.4投标人须持有《法定代表人授权委托书》。</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3.5投标人按时足额交纳投标保证金。</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3.6本次招标不接受联合体投标。</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3.7投标人不得与采购人、采购代理机构等有利害关系。</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4.投标费用</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4.1投标人应承担所有与准备和参加投标有关的费用。</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5.纪律</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5.1投标人的投标行为应遵守中国的有关法律、法规和规章。</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5.2投标人不得相互串通投标报价，不得妨碍其他投标人的公平竞争，不得损害采购人或其他投标人的合法权益，投标人不得以向采购人、评标委员会成员行贿或者采取其他不正当手段谋取中标。</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5.2.1有下列情形之一的，属于投标人相互串通投标：</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5.2.1.1投标人之间协商投标报价等投标文件的实质性内容；</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5.2.1.2投标人之间约定中标人；</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5.2.1.3投标人之间约定部分投标人放弃投标或者中标；</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5.2.1.4属于同一集团、协会、商会等组织成员的投标人按照该组织要求协同投标；</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5.2.1.5</w:t>
      </w:r>
      <w:r>
        <w:rPr>
          <w:rFonts w:hint="eastAsia" w:ascii="宋体" w:hAnsi="宋体" w:eastAsia="宋体" w:cs="宋体"/>
          <w:color w:val="auto"/>
          <w:spacing w:val="-6"/>
          <w:kern w:val="2"/>
          <w:sz w:val="24"/>
          <w:szCs w:val="22"/>
          <w:highlight w:val="none"/>
          <w:lang w:val="en-US" w:eastAsia="zh-CN" w:bidi="ar-SA"/>
        </w:rPr>
        <w:t>投标人之间为谋取中标或者排斥特定投标人而采取的其他联合行动。</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5.2.2有下列情形之一的，视为投标人相互串通投标：</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5.2.2.1不同投标人的投标文件由同一单位或者个人编制；</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5.2.2.2不同投标人的投标文件载明的项目管理成员为同一人；</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5.2.2.3不同投标人的投标文件异常一致或者投标报价呈规律性差异；</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5.2.2.4不同投标人的投标文件相互混装；</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5.2.2.5不同投标人的投标保证金从同一单位或者个人的账户转出。</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6.通知</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6.1对与本项目有关的通知，采购代理机构将以书面（包括书面材料、信函、传真等，下同）或在本次招标公告刊登的媒体上发布公告并在新疆政采云平台内发送变更通知及/或答疑文件的形式，向潜在投标人发出，传真和电话号码以潜在投标人的登记为准。收到通知的投标人须立即予以回复确认，但投标人未回复或采购代理机构未收到回复时，并不应当被理解为采购代理机构知道或应当知道投标人是否收到通知。因登记有误、传真线路故障或其它任何意外情形，导致所发出的通知延迟送达或无法到达投标人，采购代理机构不因此承担任何责任，有关的招标活动可以继续有效地进行。</w:t>
      </w:r>
    </w:p>
    <w:p>
      <w:pPr>
        <w:pStyle w:val="38"/>
        <w:keepNext/>
        <w:keepLines/>
        <w:adjustRightInd w:val="0"/>
        <w:spacing w:line="360" w:lineRule="auto"/>
        <w:outlineLvl w:val="2"/>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二、招标文件</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7.招标文件组成</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7.1招标文件由招标文件目录所列内容组成。</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8.踏勘现场</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8.1本项目是否统一组织投标人踏勘现场见招标文件第二部分“投标人须知前附表”中第32项的规定。无论是否统一组织，投标人应对供货现场和周围环境进行勘察，以获取编制投标文件所需的资料。</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8.3除非有特殊要求，招标文件不单独提供供货使用地的自然环境、气候条件、公用设施等情况，投标人被视为熟悉上述与履行合同有关的一切情况。</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8.4除采购人原因外，投标人自行负责在踏勘现场中所发生的人员伤亡和财产损失。</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9.知识产权</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9.1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9.2投标人如欲在项目实施过程中采用自有知识成果，须在投标文件中声明，并提供相关知识产权证明文件。使用该知识成果后，投标人须提供开发接口和开发手册等技术文档。</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9.3知识产权：本项目属于定制开发，软件的知识产权归属采购人。</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10.答疑及招标文件的澄清和修改</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10.1投标人如果对招标文件有疑问或要求进行澄清的，应按照招标文件第二部分“投标人须知前附表”规定向采购代理机构提出。提出后，请投标人及时通过交易平台“答疑文件下载”栏目查看答疑文件或澄清文件。必要时，采购代理机构将组织相关专家召开答疑会，如召开，答疑会安排另行通知。</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投标人在规定的时间内未对招标文件提出疑问或要求澄清的，采购代理机构将视其为同意，对在“答疑接受时间”后就招标文件内容提出的疑问及澄清要求将不予受理。</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10.2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特殊情况下，采购代理机构发布澄清、修改文件后，征得投标人同意，可不改变投标截止时间和开标时间。</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10.3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10.4采购代理机构对招标文件作出的澄清、修改在政采云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上述澄清、修改在交易平台上发布的同时，交易平台将通过第三方短信群发方式提醒投标人进行查询。此短信仅系友情提示，并不具有任何约束性和必要性，采购代理机构不承担投标人未收到短信而引起的一切后果和法律责任。</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10.5澄清、修改文件发出后，投标人必须使用最新的答疑、澄清文件制作投标文件，否则导致废标后果自负。</w:t>
      </w:r>
    </w:p>
    <w:p>
      <w:pPr>
        <w:pStyle w:val="38"/>
        <w:keepNext/>
        <w:keepLines/>
        <w:adjustRightInd w:val="0"/>
        <w:spacing w:line="360" w:lineRule="auto"/>
        <w:outlineLvl w:val="2"/>
        <w:rPr>
          <w:rFonts w:hint="eastAsia" w:ascii="宋体" w:hAnsi="宋体" w:eastAsia="宋体" w:cs="宋体"/>
          <w:b/>
          <w:bCs/>
          <w:color w:val="auto"/>
          <w:kern w:val="2"/>
          <w:sz w:val="24"/>
          <w:szCs w:val="22"/>
          <w:highlight w:val="none"/>
          <w:lang w:val="en-US" w:eastAsia="zh-CN" w:bidi="ar-SA"/>
        </w:rPr>
      </w:pPr>
      <w:bookmarkStart w:id="125" w:name="_Toc256000010"/>
      <w:r>
        <w:rPr>
          <w:rFonts w:hint="eastAsia" w:ascii="宋体" w:hAnsi="宋体" w:eastAsia="宋体" w:cs="宋体"/>
          <w:b/>
          <w:bCs/>
          <w:color w:val="auto"/>
          <w:kern w:val="2"/>
          <w:sz w:val="24"/>
          <w:szCs w:val="22"/>
          <w:highlight w:val="none"/>
          <w:lang w:val="en-US" w:eastAsia="zh-CN" w:bidi="ar-SA"/>
        </w:rPr>
        <w:t>三、投标文件</w:t>
      </w:r>
      <w:bookmarkEnd w:id="125"/>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11.投标文件的语言及计量单位</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11.1投标人提交的投标文件（包括技术文件和资料中的说明）以及投标人与采购代理机构就有关投标的所有来往函电均应使用中文简体字。</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11.2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11.3除非招标文件另有规定，投标文件所使用的计量单位，应使用国家法定计量单位。</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11.4对违反上述规定情形的，评标委员会有权要求投标人限期提供相应文件或决定对其投标予以拒绝。</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11.5电报、电话、传真形式的投标概不接受。投标人的投标文件一律不予退还。</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12.投标文件组成及编制</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12.1投标文件分为资格审查资料、商务文件、技术文件和服务文件。</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商务文件指投标人提交的证明其有资格参加投标和中标后有能力履行合同的文件。技术和服务文件指投标人提交的能够证明其提供的货物及服务符合招标文件规定的文件。本次招标，投标人须按招标文件第二部分“投标人须知前附表”中第12项规定提交资格审查资料、商务文件、技术文件和服务文件，其中加☆项目若有缺失或无效，将导致投标被拒绝且不允许在开标后补正。</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12.2投标人递交的投标文件及相关要求按照招标文件第二部分“投标人须知前附表”中第10、11、12项的规定。</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w:t>
      </w:r>
      <w:r>
        <w:rPr>
          <w:rFonts w:hint="eastAsia" w:ascii="宋体" w:hAnsi="宋体" w:eastAsia="宋体" w:cs="宋体"/>
          <w:color w:val="auto"/>
          <w:kern w:val="2"/>
          <w:sz w:val="24"/>
          <w:szCs w:val="22"/>
          <w:highlight w:val="none"/>
          <w:lang w:val="en-US" w:eastAsia="zh-CN" w:bidi="ar-SA"/>
        </w:rPr>
        <w:tab/>
      </w:r>
      <w:r>
        <w:rPr>
          <w:rFonts w:hint="eastAsia" w:ascii="宋体" w:hAnsi="宋体" w:eastAsia="宋体" w:cs="宋体"/>
          <w:color w:val="auto"/>
          <w:kern w:val="2"/>
          <w:sz w:val="24"/>
          <w:szCs w:val="22"/>
          <w:highlight w:val="none"/>
          <w:lang w:val="en-US" w:eastAsia="zh-CN" w:bidi="ar-SA"/>
        </w:rPr>
        <w:t>投标文件的制作</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1.1</w:t>
      </w:r>
      <w:r>
        <w:rPr>
          <w:rFonts w:hint="eastAsia" w:ascii="宋体" w:hAnsi="宋体" w:eastAsia="宋体" w:cs="宋体"/>
          <w:color w:val="auto"/>
          <w:kern w:val="2"/>
          <w:sz w:val="24"/>
          <w:szCs w:val="22"/>
          <w:highlight w:val="none"/>
          <w:lang w:val="en-US" w:eastAsia="zh-CN" w:bidi="ar-SA"/>
        </w:rPr>
        <w:tab/>
      </w:r>
      <w:r>
        <w:rPr>
          <w:rFonts w:hint="eastAsia" w:ascii="宋体" w:hAnsi="宋体" w:eastAsia="宋体" w:cs="宋体"/>
          <w:color w:val="auto"/>
          <w:kern w:val="2"/>
          <w:sz w:val="24"/>
          <w:szCs w:val="22"/>
          <w:highlight w:val="none"/>
          <w:lang w:val="en-US" w:eastAsia="zh-CN" w:bidi="ar-SA"/>
        </w:rPr>
        <w:t>应按本文件规定的格式、顺序制作，并胶装成册。</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1.2</w:t>
      </w:r>
      <w:r>
        <w:rPr>
          <w:rFonts w:hint="eastAsia" w:ascii="宋体" w:hAnsi="宋体" w:eastAsia="宋体" w:cs="宋体"/>
          <w:color w:val="auto"/>
          <w:kern w:val="2"/>
          <w:sz w:val="24"/>
          <w:szCs w:val="22"/>
          <w:highlight w:val="none"/>
          <w:lang w:val="en-US" w:eastAsia="zh-CN" w:bidi="ar-SA"/>
        </w:rPr>
        <w:tab/>
      </w:r>
      <w:r>
        <w:rPr>
          <w:rFonts w:hint="eastAsia" w:ascii="宋体" w:hAnsi="宋体" w:eastAsia="宋体" w:cs="宋体"/>
          <w:color w:val="auto"/>
          <w:kern w:val="2"/>
          <w:sz w:val="24"/>
          <w:szCs w:val="22"/>
          <w:highlight w:val="none"/>
          <w:lang w:val="en-US" w:eastAsia="zh-CN" w:bidi="ar-SA"/>
        </w:rPr>
        <w:t>在本文件格式样本或样本复印件上填写制作投标文件的，其投标无效。</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1.3</w:t>
      </w:r>
      <w:r>
        <w:rPr>
          <w:rFonts w:hint="eastAsia" w:ascii="宋体" w:hAnsi="宋体" w:eastAsia="宋体" w:cs="宋体"/>
          <w:color w:val="auto"/>
          <w:kern w:val="2"/>
          <w:sz w:val="24"/>
          <w:szCs w:val="22"/>
          <w:highlight w:val="none"/>
          <w:lang w:val="en-US" w:eastAsia="zh-CN" w:bidi="ar-SA"/>
        </w:rPr>
        <w:tab/>
      </w:r>
      <w:r>
        <w:rPr>
          <w:rFonts w:hint="eastAsia" w:ascii="宋体" w:hAnsi="宋体" w:eastAsia="宋体" w:cs="宋体"/>
          <w:color w:val="auto"/>
          <w:kern w:val="2"/>
          <w:sz w:val="24"/>
          <w:szCs w:val="22"/>
          <w:highlight w:val="none"/>
          <w:lang w:val="en-US" w:eastAsia="zh-CN" w:bidi="ar-SA"/>
        </w:rPr>
        <w:t>投标文件须由授权代表（可由法人代表本人担任）按规定签字盖章；否则，其投标无效。授权代表签字非本人签名的视为无效签字。</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w:t>
      </w:r>
      <w:r>
        <w:rPr>
          <w:rFonts w:hint="eastAsia" w:ascii="宋体" w:hAnsi="宋体" w:eastAsia="宋体" w:cs="宋体"/>
          <w:color w:val="auto"/>
          <w:kern w:val="2"/>
          <w:sz w:val="24"/>
          <w:szCs w:val="22"/>
          <w:highlight w:val="none"/>
          <w:lang w:val="en-US" w:eastAsia="zh-CN" w:bidi="ar-SA"/>
        </w:rPr>
        <w:tab/>
      </w:r>
      <w:r>
        <w:rPr>
          <w:rFonts w:hint="eastAsia" w:ascii="宋体" w:hAnsi="宋体" w:eastAsia="宋体" w:cs="宋体"/>
          <w:color w:val="auto"/>
          <w:kern w:val="2"/>
          <w:sz w:val="24"/>
          <w:szCs w:val="22"/>
          <w:highlight w:val="none"/>
          <w:lang w:val="en-US" w:eastAsia="zh-CN" w:bidi="ar-SA"/>
        </w:rPr>
        <w:t>投标文件的份数</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2.1</w:t>
      </w:r>
      <w:r>
        <w:rPr>
          <w:rFonts w:hint="eastAsia" w:ascii="宋体" w:hAnsi="宋体" w:eastAsia="宋体" w:cs="宋体"/>
          <w:color w:val="auto"/>
          <w:kern w:val="2"/>
          <w:sz w:val="24"/>
          <w:szCs w:val="22"/>
          <w:highlight w:val="none"/>
          <w:lang w:val="en-US" w:eastAsia="zh-CN" w:bidi="ar-SA"/>
        </w:rPr>
        <w:tab/>
      </w:r>
      <w:r>
        <w:rPr>
          <w:rFonts w:hint="eastAsia" w:ascii="宋体" w:hAnsi="宋体" w:eastAsia="宋体" w:cs="宋体"/>
          <w:color w:val="auto"/>
          <w:kern w:val="2"/>
          <w:sz w:val="24"/>
          <w:szCs w:val="22"/>
          <w:highlight w:val="none"/>
          <w:lang w:val="en-US" w:eastAsia="zh-CN" w:bidi="ar-SA"/>
        </w:rPr>
        <w:t>投标文件正本壹份、副本贰份。每一份投标文件注明“正本”或“副本”字样。正本与副本有差异，以正本为准。</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w:t>
      </w:r>
      <w:r>
        <w:rPr>
          <w:rFonts w:hint="eastAsia" w:ascii="宋体" w:hAnsi="宋体" w:eastAsia="宋体" w:cs="宋体"/>
          <w:color w:val="auto"/>
          <w:kern w:val="2"/>
          <w:sz w:val="24"/>
          <w:szCs w:val="22"/>
          <w:highlight w:val="none"/>
          <w:lang w:val="en-US" w:eastAsia="zh-CN" w:bidi="ar-SA"/>
        </w:rPr>
        <w:tab/>
      </w:r>
      <w:r>
        <w:rPr>
          <w:rFonts w:hint="eastAsia" w:ascii="宋体" w:hAnsi="宋体" w:eastAsia="宋体" w:cs="宋体"/>
          <w:color w:val="auto"/>
          <w:kern w:val="2"/>
          <w:sz w:val="24"/>
          <w:szCs w:val="22"/>
          <w:highlight w:val="none"/>
          <w:lang w:val="en-US" w:eastAsia="zh-CN" w:bidi="ar-SA"/>
        </w:rPr>
        <w:t>投标文件的密封和标记</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3.1</w:t>
      </w:r>
      <w:r>
        <w:rPr>
          <w:rFonts w:hint="eastAsia" w:ascii="宋体" w:hAnsi="宋体" w:eastAsia="宋体" w:cs="宋体"/>
          <w:color w:val="auto"/>
          <w:kern w:val="2"/>
          <w:sz w:val="24"/>
          <w:szCs w:val="22"/>
          <w:highlight w:val="none"/>
          <w:lang w:val="en-US" w:eastAsia="zh-CN" w:bidi="ar-SA"/>
        </w:rPr>
        <w:tab/>
      </w:r>
      <w:r>
        <w:rPr>
          <w:rFonts w:hint="eastAsia" w:ascii="宋体" w:hAnsi="宋体" w:eastAsia="宋体" w:cs="宋体"/>
          <w:color w:val="auto"/>
          <w:kern w:val="2"/>
          <w:sz w:val="24"/>
          <w:szCs w:val="22"/>
          <w:highlight w:val="none"/>
          <w:lang w:val="en-US" w:eastAsia="zh-CN" w:bidi="ar-SA"/>
        </w:rPr>
        <w:t>投标文件正本和副本分别装订成册，最后封包在一个封包内，在密封袋上注明政府采购编号、投标人名称（全称）、投标项目及招标人等，并在密封处边缘加盖单位公章及法人章法人及授权委托人签字。</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3.2</w:t>
      </w:r>
      <w:r>
        <w:rPr>
          <w:rFonts w:hint="eastAsia" w:ascii="宋体" w:hAnsi="宋体" w:eastAsia="宋体" w:cs="宋体"/>
          <w:color w:val="auto"/>
          <w:kern w:val="2"/>
          <w:sz w:val="24"/>
          <w:szCs w:val="22"/>
          <w:highlight w:val="none"/>
          <w:lang w:val="en-US" w:eastAsia="zh-CN" w:bidi="ar-SA"/>
        </w:rPr>
        <w:tab/>
      </w:r>
      <w:r>
        <w:rPr>
          <w:rFonts w:hint="eastAsia" w:ascii="宋体" w:hAnsi="宋体" w:eastAsia="宋体" w:cs="宋体"/>
          <w:color w:val="auto"/>
          <w:kern w:val="2"/>
          <w:sz w:val="24"/>
          <w:szCs w:val="22"/>
          <w:highlight w:val="none"/>
          <w:lang w:val="en-US" w:eastAsia="zh-CN" w:bidi="ar-SA"/>
        </w:rPr>
        <w:t>每一密封袋上注明“于       之前（招标公告中规定的开标日期及时间）不准启封”的字样。</w:t>
      </w:r>
    </w:p>
    <w:p>
      <w:pPr>
        <w:spacing w:line="400" w:lineRule="exact"/>
        <w:rPr>
          <w:rFonts w:hint="eastAsia" w:ascii="宋体" w:hAnsi="宋体"/>
          <w:b/>
          <w:bCs/>
          <w:sz w:val="24"/>
          <w:highlight w:val="none"/>
        </w:rPr>
      </w:pP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13.投标报价</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13.2投标人投报多包的，须对每包分别制作投标文件并报价。</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13.3除非招标文件另有规定，不接受可选择或可调整的投标方案和报价，任何有选择的或可调整的投标方案和报价将被视为非响应性投标而被拒绝。</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13.4本项目是否接受进口产品按照招标文件第二部分“投标人须知前附表中”中的规定。</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13.5本项目是否允许投标人将项目的非主体、非关键性工作交由他人完成按照招标文件第二部分“投标人须知前附表”中的规定。如允许，投标人根据采购项目的实际情况，拟在中标后将中标项目的非主体、非关键性工作交由他人完成，须在技术文件中载明。</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13.6投标人须严格按照报价明细表规定的内容填写货物单价以及其他事项。</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13.7投标人对投标报价若有说明应在投标文件中显著处注明。</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除政策性文件规定以外，投标人所报价格在合同实施期间不因市场变化因素而变动。</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13.8对于有配件、耗材、选件、备件和特殊工具的货物，还应填报投标货物配件、耗材和备件及特殊工具清单，注明品牌、型号、产地、单价等内容，该表格格式由投标人自行设计。投标人按照上述要求分类报价，其目的是便于评标，但在任何情况下并不限制采购人以其他条款签订合同的权利。</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14.投标有效期</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14.1本项目的投标有效期按照招标文件第二部分“投标人须知前附表中”中第11项的规定。投标有效期自开标之日起计算，短于规定期限的投标将按无效投标处理。</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15.投标内容填写说明</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15.1投标人应详细阅读招标文件的全部内容。投标文件须对招标文件中的内容作出实质性和完整的响应，如果投标文件填报的内容不详，或没有提供招标文件中所要求的全部资料及数据，将可能导致投标被拒绝。</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15.3开标一览表为在开标仪式上唱标的内容，要求按格式统一填写，不得自行增减内容。</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15.4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15.5投标人必须保证投标文件所提供的全部资料真实可靠，并接受采购代理机构或评标委员会对其中任何资料进一步审查的要求。</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 xml:space="preserve">15.6投标人在投标文件及相关文件的签订、履行、通知等事项的文件中的单位盖章、印章、公章等处均指与当事人全称相一致的公章或标准公章，不得使用其他形式（如带有“专用章”等字样的印章）。不符合本条规定的按无效投标处理。 </w:t>
      </w:r>
    </w:p>
    <w:p>
      <w:pPr>
        <w:pStyle w:val="38"/>
        <w:keepNext/>
        <w:keepLines/>
        <w:adjustRightInd w:val="0"/>
        <w:spacing w:line="360" w:lineRule="auto"/>
        <w:outlineLvl w:val="2"/>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四、投标保证金</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16.投标保证金</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16.1投标人应按照招标文件第二部分“投标人须知前附表”中的规定交纳。投标保证金须于到账截止时间前到帐，并经采购代理机构确认。</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16.2采购代理机构不接收以现金或汇票等其他形式递交的投标保证金。未按要求提交投标保证金的，将被视为无效投标。</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16.3未中标的投标人的投标保证金在中标通知书发出之日起5个工作日内退还；中标人的投标保证金将在交纳履约保证金并于合同生效后5个工作日内退还。</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16.4投标保证金退还一律采用网上银行转帐方式退还至投标人的汇款帐户，资金原路返回。</w:t>
      </w:r>
    </w:p>
    <w:p>
      <w:pPr>
        <w:pStyle w:val="38"/>
        <w:keepNext/>
        <w:keepLines/>
        <w:adjustRightInd w:val="0"/>
        <w:spacing w:line="360" w:lineRule="auto"/>
        <w:outlineLvl w:val="2"/>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五、投标文件的递交</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17.投标文件的密封和标记</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17.1 投标文件的密封详见投标人须知前附表第</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项的约定。</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17.2如果投标人未按上述要求对投标文件密封及加写标记，招标代理机构对由此造成的文件的误投或过早启封概不负责，招标代理机构有权予以拒绝，并退回投标人。</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17.3 由于不可抗拒的原因或无法控制的事件而导致丢失或损坏投标包装体内的投标文件，招标人将不负责任。</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 投标截止时间</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 投标文件的递交截止日期为招标公告所规定的时间。投标文件以密封形式递交至指定的投标地点，采购人或者采购代理机构收到投标文件后，应当如实记载投标文件的送达时间和密封情况，签收保存，并向投标人出具签收回执。任何单位和个人不得在开标前开启投标文件。</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逾期送达或者未按照招标文件要求密封的投标文件，采购人、采购代理机构应当拒收。</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18.2 出现因招标文件的修改推迟投标截止时间时，则按招标人修改通知规定的时间递交。</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19．投标文件的修改和撤回</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补充、修改的内容与投标文件不一致的，以补充、修改的内容为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19.2对投标文件修改的书面材料应于投标截止日前送达招标人，投标截止时间以后不得修改投标文件。</w:t>
      </w:r>
    </w:p>
    <w:p>
      <w:pPr>
        <w:pStyle w:val="38"/>
        <w:keepNext/>
        <w:keepLines/>
        <w:adjustRightInd w:val="0"/>
        <w:spacing w:line="360" w:lineRule="auto"/>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19.3 投标人不得在开标时间起至投标有效期期满前撤回投标文件。</w:t>
      </w:r>
    </w:p>
    <w:p>
      <w:pPr>
        <w:pStyle w:val="38"/>
        <w:keepNext/>
        <w:keepLines/>
        <w:adjustRightInd w:val="0"/>
        <w:spacing w:line="360" w:lineRule="auto"/>
        <w:outlineLvl w:val="2"/>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六、开标</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20.开标</w:t>
      </w:r>
    </w:p>
    <w:p>
      <w:pPr>
        <w:spacing w:line="42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20．开标</w:t>
      </w:r>
    </w:p>
    <w:p>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20.1 本次招标将按招标公告中规定的时间地点进行公开开标，将邀请所有投标人的法定代表人或其授权代理人参加开标会。</w:t>
      </w:r>
    </w:p>
    <w:p>
      <w:pPr>
        <w:spacing w:line="42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20.2 开标前，监督人员将查验投标人以下证件的材料：</w:t>
      </w:r>
    </w:p>
    <w:p>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开标前，请各投标人随身携带下列有效证件以备随时查验：</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1、企业法人证明及法定代表人身份证或授权委托书及委托代理人身份证原件</w:t>
      </w:r>
    </w:p>
    <w:p>
      <w:pPr>
        <w:spacing w:line="44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2、营业执照副本；</w:t>
      </w:r>
      <w:r>
        <w:rPr>
          <w:rFonts w:hint="eastAsia" w:ascii="宋体" w:hAnsi="宋体" w:cs="宋体"/>
          <w:color w:val="auto"/>
          <w:sz w:val="24"/>
          <w:highlight w:val="none"/>
          <w:lang w:eastAsia="zh-CN"/>
        </w:rPr>
        <w:t>开户许可证；</w:t>
      </w:r>
    </w:p>
    <w:p>
      <w:pPr>
        <w:spacing w:line="440" w:lineRule="exact"/>
        <w:ind w:firstLine="480" w:firstLineChars="20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授权委托人近三个月的社保证明</w:t>
      </w:r>
      <w:r>
        <w:rPr>
          <w:rFonts w:hint="eastAsia" w:ascii="宋体" w:hAnsi="宋体" w:cs="宋体"/>
          <w:color w:val="auto"/>
          <w:sz w:val="24"/>
          <w:highlight w:val="none"/>
          <w:lang w:val="en-US" w:eastAsia="zh-CN"/>
        </w:rPr>
        <w:t>；</w:t>
      </w:r>
    </w:p>
    <w:p>
      <w:pPr>
        <w:pStyle w:val="28"/>
        <w:rPr>
          <w:rFonts w:hint="eastAsia" w:ascii="宋体" w:hAnsi="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4、提供近一年的经审计的财务报告；</w:t>
      </w:r>
    </w:p>
    <w:p>
      <w:pPr>
        <w:pStyle w:val="28"/>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kern w:val="2"/>
          <w:sz w:val="24"/>
          <w:szCs w:val="22"/>
          <w:highlight w:val="none"/>
          <w:lang w:val="en-US" w:eastAsia="zh-CN" w:bidi="ar-SA"/>
        </w:rPr>
        <w:t>5、</w:t>
      </w:r>
      <w:r>
        <w:rPr>
          <w:rFonts w:hint="eastAsia" w:ascii="宋体" w:hAnsi="宋体" w:eastAsia="宋体" w:cs="宋体"/>
          <w:color w:val="auto"/>
          <w:kern w:val="2"/>
          <w:sz w:val="24"/>
          <w:szCs w:val="22"/>
          <w:highlight w:val="none"/>
          <w:lang w:val="en-US" w:eastAsia="zh-CN" w:bidi="ar-SA"/>
        </w:rPr>
        <w:t>中小企业声明函原件</w:t>
      </w:r>
      <w:r>
        <w:rPr>
          <w:rFonts w:hint="eastAsia" w:ascii="宋体" w:hAnsi="宋体" w:cs="宋体"/>
          <w:color w:val="auto"/>
          <w:kern w:val="2"/>
          <w:sz w:val="24"/>
          <w:szCs w:val="22"/>
          <w:highlight w:val="none"/>
          <w:lang w:val="en-US" w:eastAsia="zh-CN" w:bidi="ar-SA"/>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未被信用中国（www.creditchina.gov.cn）列入失信被执行人、税收违法黑名单及中国政府采购网（http://www.ccgp.gov.cn/）列入政府采购严重违法失信行为记录名单的企业参与投标；提供信用中国、中国政府采购网、“裁判文书”（wenshu.court.gov.cn/）查询的无行贿犯罪记录网页截图（以上截图须包括单位名称、法人姓名、查询内容及查询时间，查询时间应在招标公告发出后）；</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5、保证金打款凭证及基本户开户许可证及保证金收据</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以上证件均提供原件，公证件不予认可，证件齐全满足要求的投标人为有效投标人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20.3开标由采购人主持，邀请监督部门人员现场全过程监督，并做好录音、录像工作；录音录像应当清晰可辨，音像资料作为采购文件一并存档。</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20.4开标和唱标的顺序，按照递交投标文件的逆顺序依次进行。</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20.5 开始唱标前，由监督人随机抽取的投标人代表检查各投标人投标文件的密封情况，确认无误后，由采购人或者采购代理机构工作人员当众拆封，宣读投标人的名称、投标价格和招标文件规定的需要宣布的其他内容并记录。</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投标人不足3家的，不得开标。</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20.6开标过程应当由采购人或者采购代理机构负责记录，由参加开标的各投标人代表和相关工作人员签字确认后随采购文件一并存档。</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440" w:lineRule="exact"/>
        <w:rPr>
          <w:rFonts w:hint="eastAsia" w:ascii="宋体" w:hAnsi="宋体" w:eastAsia="宋体" w:cs="宋体"/>
          <w:color w:val="auto"/>
          <w:spacing w:val="-6"/>
          <w:kern w:val="2"/>
          <w:sz w:val="24"/>
          <w:szCs w:val="22"/>
          <w:highlight w:val="none"/>
          <w:lang w:val="en-US" w:eastAsia="zh-CN" w:bidi="ar-SA"/>
        </w:rPr>
      </w:pPr>
      <w:r>
        <w:rPr>
          <w:rFonts w:hint="eastAsia" w:ascii="宋体" w:hAnsi="宋体" w:eastAsia="宋体" w:cs="宋体"/>
          <w:color w:val="auto"/>
          <w:sz w:val="24"/>
          <w:highlight w:val="none"/>
        </w:rPr>
        <w:t>　　投标人未参加开标的，视同认可开标结果。</w:t>
      </w:r>
    </w:p>
    <w:p>
      <w:pPr>
        <w:pStyle w:val="38"/>
        <w:keepNext/>
        <w:keepLines/>
        <w:adjustRightInd w:val="0"/>
        <w:spacing w:line="360" w:lineRule="auto"/>
        <w:outlineLvl w:val="2"/>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七、评标步骤和要求</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21.组建评标委员会</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21.1采购代理机构根据有关法律法规和本招标文件的规定，结合招标项目的特点组建评标委员会，对投标文件进行评估和比较。评标委员会由五人以上单数组成，其中经济、技术等方面的专家不少于三分之二。</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21.2参与过本项目的论证专家不得作为评标专家参加评标。</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22、资格审查</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22.1公开招标采购项目开标结束后，采购人或者采购代理机构应当依法对投标人的资格进行审查。合格投标人不足3家的，不得评标。</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23.初步评审</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23.1评标委员会审查投标文件是否符合招标文件的基本要求：内容是否完整、资格证明文件是否合格、文件签署是否齐全、有无计算错误等。</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23.2评标委员会审查投标文件是否实质上响应招标文件的要求。</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1）实质上响应的投标是指与招标文件上的条款、条件和规格相符，没有重大偏离或保留，否则将视为无效投标。</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重大偏离或保留系指投标货物的质量、数量和交付日期等明显不能满足招标文件的要求，或者实质上与招标文件不一致，纠正这些偏离或保留将对其他实质上响应要求的投标人的竞争地位产生不公正的影响。包括但不限于：</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A、招标文件第二部分“投标人须知前附表”的“投标文件组成”部分中，带“☆”号部分的证明文件不全或无效的；</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B、投标文件未按招标文件的规定签章的；</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C、未按投标文件份数要求提交投标文件的；</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D、招标文件带“☆”号部分任意一款不满足要求的；</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E、报价超过项目预算或经评标委员会认定低于成本的；</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F、投标有效期不足的；</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G、联合体投标文件未附联合体投标协议书的；</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H、不符合招标文件中有关分包规定的；</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I、有串通投标或弄虚作假或有其他违法行为的；</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J、投标人名称或组织结构与领取采购文件时不一致且无有效变更证明的；</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K、不符合招标文件中规定的其他实质性要求。</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23.3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23.4初步评审中，对明显的文字和计算错误按下述原则处理，若出现相互矛盾之处，应以排列在先的原则为准优先处理：</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1）投标文件中的开标一览表与明细表内容不一致的，以开标一览表为准。</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2）如果以文字表示的数据与数字表示的有差别，以文字为准修正数字。如果大写金额和小写金额不一致的，以大写金额为准；</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3）如果单价乘以数量不等于总价，以单价为准修正总价，但单价金额小数点有明显错位的，应以总价为准，并修改单价。如果明细价格相加不等于汇总价格，以明细价格为准。</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4）调整后的数据对投标人具有约束力，投标人不同意以上修正，其投标将被拒绝。</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23.5评标委员会对投标文件的判定，只依据投标文件内容本身，不依据其他外来证明。</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24.投标的澄清</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24.1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24.2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24.3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24.4公开招标采购项目开标结束后，采购人或者采购代理机构应当依法对投标人的资格进行审查。合格投标人不足3家的，不得评标。</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25.详细评审</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25.1评标委员会只对实质上响应招标文件的投标进行评价和比较；评审应严格按照招标文件第二部分“投标人须知前附表”中规定以及招标文件的要求进行。具体要求等详见招标文件第四部分“评审方法”。</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25.2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26.确定中标人</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26.1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26.2评标委员会根据评审结果及招标文件的规定确定中标人。</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27.评标过程要求</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27.1开标之后，直到签订合同止，凡是属于审查、澄清、评价和比较投标的有关资料以及定标意向等，均不向投标人或者其他与评标无关的人员透露。</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27.2</w:t>
      </w:r>
      <w:r>
        <w:rPr>
          <w:rFonts w:hint="eastAsia" w:ascii="宋体" w:hAnsi="宋体" w:eastAsia="宋体" w:cs="宋体"/>
          <w:snapToGrid w:val="0"/>
          <w:color w:val="auto"/>
          <w:spacing w:val="-6"/>
          <w:kern w:val="2"/>
          <w:sz w:val="24"/>
          <w:szCs w:val="22"/>
          <w:highlight w:val="none"/>
          <w:lang w:val="en-US" w:eastAsia="zh-CN" w:bidi="ar-SA"/>
        </w:rPr>
        <w:t>在确定中标人之前，投标人试图在投标文件审查、澄清、比较和评标时对评标委员会、采购人和采购代理机构施加任何影响都可能导致其投标无效。</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28.投标人瑕疵滞后发现的处理规则</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28.1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29.采购项目废标</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29.1在评标过程中，评标委员会发现有下列情形之一的，应对采购项目予以废标：</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1）符合专业条件的供应商或者对招标文件作实质响应的供应商数量不足，导致进入详细评审、打分阶段的供应商不足3家的；</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2）投标人的报价均超过了采购预算；</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3）出现影响采购公正的违法、违规行为的；</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4）因重大变故，采购任务取消的。</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除前款第四项规定的情形外，项目废标后，如未变更采购方式，采购代理机构将依法重新组织招标。</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29.2有前款第一项规定的情形导致废标时，供应商只有2家的，可以改为竞争性谈判方式，在书面征得供应商同意并报经财政部门核准后，由采购人、采购代理机构按照竞争性谈判方式的程序组织采购。</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29.2.1转为谈判后，若供应商未能在评标委员会指定时间内（原则上不超过60分钟）提交符合要求的补充资料或未作出实质性响应的，投标无效。经过审查符合谈判要求的有效供应商少于两家的，作废标处理。</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29.2.2评标委员会根据采购文件内容与实质性响应采购文件要求的供应商分别进行谈判，并给予所有参加谈判的供应商平等的谈判机会。在谈判过程中，评标委员会可以根据采购文件和谈判情况实质性变动采购需求中的技术、服务要求以及合同草案条款，但不得变动采购文件中的其他内容。实质性变动的内容，须经采购人代表确认。对采购文件作出的实质性变动是采购文件的有效组成部分，评标委员会应当及时以书面形式同时通知所有参加谈判的供应商。供应商应当按照采购文件的变动情况和评标委员会的要求重新提交响应文件，并由其法定代表人或授权代表签字或者加盖公章。</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29.2.3投标文件的报价视为最终报价。</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29.2.4在谈判内容不作实质性变更及重大调整的前提下，供应商报价不得高于上一轮报价，否则将视为重大偏离并导致报价被拒绝。</w:t>
      </w:r>
    </w:p>
    <w:p>
      <w:pPr>
        <w:pStyle w:val="38"/>
        <w:keepNext/>
        <w:keepLines/>
        <w:adjustRightInd w:val="0"/>
        <w:spacing w:line="360" w:lineRule="auto"/>
        <w:outlineLvl w:val="2"/>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八、履约保证金</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30.履约保证金</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30.1履约保证金按照招标文件第二部分“投标人须知前附表”中规定，在签订合同前交纳。</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30.2中标人在中标公告发布后及时足额交纳履约保证金。</w:t>
      </w:r>
    </w:p>
    <w:p>
      <w:pPr>
        <w:pStyle w:val="38"/>
        <w:keepNext/>
        <w:keepLines/>
        <w:adjustRightInd w:val="0"/>
        <w:spacing w:line="360" w:lineRule="auto"/>
        <w:outlineLvl w:val="2"/>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九、代理服务费</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31.代理服务费</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31.1代理服务费按照招标文件第二部分“投标人须知前附表”中的规定由中标人交纳，请投标人在测算投标报价时充分考虑这一因素。</w:t>
      </w:r>
    </w:p>
    <w:p>
      <w:pPr>
        <w:pStyle w:val="38"/>
        <w:keepNext/>
        <w:keepLines/>
        <w:adjustRightInd w:val="0"/>
        <w:spacing w:line="360" w:lineRule="auto"/>
        <w:outlineLvl w:val="2"/>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十、签订、审核合同</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32.中标通知</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32.1中标人确定后,采购代理机构将在相关政府采购信息发布媒体上发布中标公告，并以书面形式向中标人发出中标通知书，但该中标结果的有效性不依赖于未中标的投标人是否已经收到该通知。中标人应按照投标人须知前附表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32.2采购代理机构对未中标的投标人不作未中标原因的解释，但中标结果的有效性不以未中标的投标人是否收到相应的通知为前提。</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32.3中标通知书是合同的组成部分。</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33.签订合同</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33.1中标人须在中标通知书发出之日起30日内与采购人签订采购合同。</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33.2中标人须按照招标文件、投标文件及评标过程中的有关澄清、说明或者补正文件的内容与采购人签订合同。中标人不得再与采购人签订背离合同实质性内容的其他协议或声明。</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33.3采购人如需追加与合同标的相同的货物，在不改变合同其他条款的前提下，提交追加合同的申请报经同级财政部门审核后，可与中标人签订补充合同，但所有补充合同的采购金额不得超过原合同金额的百分之十。</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33.4中标人一旦中标及签订合同后，不得转包，亦不得将合同全部及任何权利、义务向第三方转让。</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33.5中标人不履行合同的，采购人可在报经同级人民政府财政部门核准后，与排位在中标人之后的第一位中标候选供应商签订合同，以此类推；或在报经同级人民政府财政部门核准后重新组织采购。</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33.6违反32.1条、32.2条的规定，给对方造成损失的，应承担赔偿责任。</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34.审核合同</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34.1中标人持政府采购合同于签订合同之日起2个工作日内到新疆政府采购网进行备案留存。</w:t>
      </w:r>
    </w:p>
    <w:p>
      <w:pPr>
        <w:pStyle w:val="38"/>
        <w:keepNext/>
        <w:keepLines/>
        <w:adjustRightInd w:val="0"/>
        <w:spacing w:line="360" w:lineRule="auto"/>
        <w:outlineLvl w:val="2"/>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十一、处罚、询问和质疑</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35.处罚</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35.1发生下列情况之一，投标人的保证金不予退还；情节严重的将其列入不良记录名单。</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1）开标后在投标有效期内，投标人撤回其投标；</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2）中标后无正当理由不与采购人签订合同的；</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3）中标人与采购人订立背离合同实质性内容的其他协议；</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4）将中标项目转让给他人，或者在投标文件中未说明，且未经采购代理机构同意，将中标项目分包给他人的；</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5）存在串通投标行为的；</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6）存在弄虚作假或提供虚假材料谋取中标的；</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7）投标人其他未按招标文件规定和合同约定履行义务的行为。</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36.询问</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36.1</w:t>
      </w:r>
      <w:r>
        <w:rPr>
          <w:rFonts w:hint="eastAsia" w:ascii="宋体" w:hAnsi="宋体" w:eastAsia="宋体" w:cs="宋体"/>
          <w:color w:val="auto"/>
          <w:spacing w:val="-6"/>
          <w:kern w:val="2"/>
          <w:sz w:val="24"/>
          <w:szCs w:val="22"/>
          <w:highlight w:val="none"/>
          <w:lang w:val="en-US" w:eastAsia="zh-CN" w:bidi="ar-SA"/>
        </w:rPr>
        <w:t>投标人对采购事项有疑问的，可以向采购人或采购代理机构提出询问。</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37.投标人有权就招标事宜提出质疑</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37.1投标人认为招标文件、采购过程和中标结果使自已的权益受到损害的，可以在知道或者应知其权益受到损害之日起7个工作日内，以书面形式提出质疑。</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37.2质疑应当按照《中华人民共和国政府采购法》、《中华人民共和国政府采购法实施条例》、《政府采购质疑和投诉办法》等法律法规的相关规定，以书面形式向采购代理机构提出。</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37.3</w:t>
      </w:r>
      <w:r>
        <w:rPr>
          <w:rFonts w:hint="eastAsia" w:ascii="宋体" w:hAnsi="宋体" w:eastAsia="宋体" w:cs="宋体"/>
          <w:color w:val="auto"/>
          <w:spacing w:val="-11"/>
          <w:kern w:val="2"/>
          <w:sz w:val="24"/>
          <w:szCs w:val="22"/>
          <w:highlight w:val="none"/>
          <w:lang w:val="en-US" w:eastAsia="zh-CN" w:bidi="ar-SA"/>
        </w:rPr>
        <w:t>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37.4质疑人可以采取直接送达或者邮寄方式提交质疑书。采购代理机构收到质疑书后，对质疑书进行审查，对符合质疑条件的将办理签收手续，自签收质疑书之日起即为受理。</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37.5采购代理机构将在受理书面质疑后7个工作日内审查质疑事项，作出答复或相关处理决定，并以书面形式通知质疑人和其他相关供应商，但答复的内容不涉及商业秘密。</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37.6投标人进行虚假和恶意质疑的，采购代理机构将提请有关部门将其列入不良记录名单，在一至三年内禁止参加政府采购活动，并将处理决定在相关政府采购媒体上公布。</w:t>
      </w:r>
    </w:p>
    <w:p>
      <w:pPr>
        <w:pStyle w:val="38"/>
        <w:spacing w:line="360" w:lineRule="auto"/>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37.7质疑人对答复不满意以及采购代理机构未在规定的时间内作出答复的，可以在答复期满后15个工作日内向财政部门投拆。</w:t>
      </w:r>
    </w:p>
    <w:p>
      <w:pPr>
        <w:pStyle w:val="38"/>
        <w:keepNext/>
        <w:keepLines/>
        <w:adjustRightInd w:val="0"/>
        <w:spacing w:line="360" w:lineRule="auto"/>
        <w:outlineLvl w:val="2"/>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十二、保密和披露</w:t>
      </w:r>
    </w:p>
    <w:p>
      <w:pPr>
        <w:pStyle w:val="38"/>
        <w:spacing w:line="360" w:lineRule="auto"/>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38.保密和披露</w:t>
      </w:r>
    </w:p>
    <w:p>
      <w:pPr>
        <w:pStyle w:val="38"/>
        <w:spacing w:line="360" w:lineRule="auto"/>
        <w:ind w:firstLine="456" w:firstLineChars="200"/>
        <w:rPr>
          <w:rFonts w:hint="eastAsia" w:ascii="宋体" w:hAnsi="宋体" w:eastAsia="宋体" w:cs="宋体"/>
          <w:color w:val="auto"/>
          <w:spacing w:val="-6"/>
          <w:kern w:val="2"/>
          <w:sz w:val="24"/>
          <w:szCs w:val="22"/>
          <w:highlight w:val="none"/>
          <w:lang w:val="en-US" w:eastAsia="zh-CN" w:bidi="ar-SA"/>
        </w:rPr>
      </w:pPr>
      <w:r>
        <w:rPr>
          <w:rFonts w:hint="eastAsia" w:ascii="宋体" w:hAnsi="宋体" w:eastAsia="宋体" w:cs="宋体"/>
          <w:color w:val="auto"/>
          <w:spacing w:val="-6"/>
          <w:kern w:val="2"/>
          <w:sz w:val="24"/>
          <w:szCs w:val="22"/>
          <w:highlight w:val="none"/>
          <w:lang w:val="en-US" w:eastAsia="zh-CN" w:bidi="ar-SA"/>
        </w:rPr>
        <w:t>38.1投标人自领取招标文件之日起，须承担本招标项目保密义务，不得将因本次招标获得的信息向第三人外传。由采购人向投标人提供的详细资料、样品、模型、模件和所有其它资料，被视为保密资料，仅被用于它所规定的用途。除非得到采购人的同意，不能向任何第三方透露。开标结束后，应采购人要求，投标人应归还所有从采购人处获得的保密资料。</w:t>
      </w:r>
    </w:p>
    <w:p>
      <w:pPr>
        <w:pStyle w:val="38"/>
        <w:spacing w:line="360" w:lineRule="auto"/>
        <w:ind w:firstLine="456" w:firstLineChars="200"/>
        <w:rPr>
          <w:rFonts w:hint="eastAsia" w:ascii="宋体" w:hAnsi="宋体" w:eastAsia="宋体" w:cs="宋体"/>
          <w:color w:val="auto"/>
          <w:spacing w:val="-6"/>
          <w:kern w:val="2"/>
          <w:sz w:val="24"/>
          <w:szCs w:val="22"/>
          <w:highlight w:val="none"/>
          <w:lang w:val="en-US" w:eastAsia="zh-CN" w:bidi="ar-SA"/>
        </w:rPr>
      </w:pPr>
      <w:r>
        <w:rPr>
          <w:rFonts w:hint="eastAsia" w:ascii="宋体" w:hAnsi="宋体" w:eastAsia="宋体" w:cs="宋体"/>
          <w:color w:val="auto"/>
          <w:spacing w:val="-6"/>
          <w:kern w:val="2"/>
          <w:sz w:val="24"/>
          <w:szCs w:val="22"/>
          <w:highlight w:val="none"/>
          <w:lang w:val="en-US" w:eastAsia="zh-CN" w:bidi="ar-SA"/>
        </w:rPr>
        <w:t>38.2采购代理机构有权将投标人提供的所有资料向有关政府部门或评审标书的有关人员披露。</w:t>
      </w:r>
    </w:p>
    <w:p>
      <w:pPr>
        <w:bidi w:val="0"/>
        <w:spacing w:line="360" w:lineRule="auto"/>
        <w:ind w:firstLine="456" w:firstLineChars="200"/>
        <w:jc w:val="left"/>
        <w:rPr>
          <w:rFonts w:hint="eastAsia" w:ascii="宋体" w:hAnsi="宋体" w:eastAsia="宋体" w:cs="宋体"/>
          <w:color w:val="auto"/>
          <w:spacing w:val="-6"/>
          <w:kern w:val="2"/>
          <w:sz w:val="24"/>
          <w:szCs w:val="22"/>
          <w:highlight w:val="none"/>
          <w:lang w:val="en-US" w:eastAsia="zh-CN" w:bidi="ar-SA"/>
        </w:rPr>
      </w:pPr>
      <w:r>
        <w:rPr>
          <w:rFonts w:hint="eastAsia" w:ascii="宋体" w:hAnsi="宋体" w:eastAsia="宋体" w:cs="宋体"/>
          <w:color w:val="auto"/>
          <w:spacing w:val="-6"/>
          <w:kern w:val="2"/>
          <w:sz w:val="24"/>
          <w:szCs w:val="22"/>
          <w:highlight w:val="none"/>
          <w:lang w:val="en-US" w:eastAsia="zh-CN" w:bidi="ar-SA"/>
        </w:rPr>
        <w:t>38.3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bookmarkEnd w:id="69"/>
      <w:bookmarkStart w:id="126" w:name="_Toc1443"/>
      <w:bookmarkStart w:id="127" w:name="_Toc28299"/>
      <w:bookmarkStart w:id="128" w:name="_Toc14251"/>
      <w:bookmarkStart w:id="129" w:name="_Toc256000057"/>
      <w:bookmarkStart w:id="130" w:name="_Toc19932"/>
      <w:bookmarkStart w:id="131" w:name="_Toc21904"/>
      <w:bookmarkStart w:id="132" w:name="_Toc25860"/>
      <w:bookmarkStart w:id="133" w:name="_Toc6103"/>
      <w:bookmarkStart w:id="134" w:name="_Toc28451"/>
      <w:bookmarkStart w:id="135" w:name="_Toc12187"/>
      <w:bookmarkStart w:id="136" w:name="_Toc24974"/>
      <w:bookmarkStart w:id="137" w:name="_Toc2589"/>
      <w:bookmarkStart w:id="138" w:name="_Toc812"/>
      <w:bookmarkStart w:id="139" w:name="_Toc3895331"/>
      <w:bookmarkStart w:id="140" w:name="_Toc462489965"/>
      <w:bookmarkStart w:id="141" w:name="_Toc29770"/>
      <w:bookmarkStart w:id="142" w:name="_Toc21133"/>
    </w:p>
    <w:p>
      <w:pPr>
        <w:pStyle w:val="161"/>
        <w:spacing w:line="360" w:lineRule="auto"/>
        <w:ind w:firstLine="480" w:firstLineChars="200"/>
        <w:jc w:val="both"/>
        <w:outlineLvl w:val="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23. 评标方法。</w:t>
      </w:r>
    </w:p>
    <w:p>
      <w:pPr>
        <w:pStyle w:val="161"/>
        <w:spacing w:line="360" w:lineRule="auto"/>
        <w:ind w:firstLine="480" w:firstLineChars="200"/>
        <w:jc w:val="both"/>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23.1 招标代理机构将根据有关法律法规的规定组建本次招标的评标委员会。评标委员会成员由项目法人代表以及本行业相关技术、经济等方面的5名专家组成。其中，业主专家1名，其他技术、经济等方面的专家不少于成员总人数的三分之二。</w:t>
      </w:r>
    </w:p>
    <w:p>
      <w:pPr>
        <w:pStyle w:val="161"/>
        <w:spacing w:line="360" w:lineRule="auto"/>
        <w:ind w:firstLine="480" w:firstLineChars="200"/>
        <w:jc w:val="both"/>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23.2 评标的依据为招标文件和投标文件。根据相关法律法规的规定，评标委员会不以任何外部证据作为其评标的依据或标准。</w:t>
      </w:r>
    </w:p>
    <w:p>
      <w:pPr>
        <w:pStyle w:val="161"/>
        <w:spacing w:line="360" w:lineRule="auto"/>
        <w:ind w:firstLine="480" w:firstLineChars="200"/>
        <w:jc w:val="both"/>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23.3 评标过程将严格保密。开标后直到授予中标人合同止，凡是属于审查、澄清、评价和比较的有关评标资料以及授标建议等均不得向投标人或其他无关的人员透露。</w:t>
      </w:r>
    </w:p>
    <w:p>
      <w:pPr>
        <w:pStyle w:val="161"/>
        <w:spacing w:line="360" w:lineRule="auto"/>
        <w:ind w:firstLine="480" w:firstLineChars="200"/>
        <w:jc w:val="both"/>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23.4 在评标的整个过程中，投标人所进行的旨在影响评标结果的活动，可能导致其投标被拒绝，或者被取消中标资格。</w:t>
      </w:r>
    </w:p>
    <w:p>
      <w:pPr>
        <w:pStyle w:val="161"/>
        <w:spacing w:line="360" w:lineRule="auto"/>
        <w:ind w:firstLine="480" w:firstLineChars="200"/>
        <w:jc w:val="both"/>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23.5 资格审查方法。</w:t>
      </w:r>
    </w:p>
    <w:p>
      <w:pPr>
        <w:pStyle w:val="161"/>
        <w:spacing w:line="360" w:lineRule="auto"/>
        <w:ind w:firstLine="480" w:firstLineChars="200"/>
        <w:jc w:val="both"/>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23.5.1 评标时，投标人须提交《投标人须知前附表》中规定的相关资格证书以备查验。未按规定接受审查、或者资格审查不合格者，其投标将被拒绝。</w:t>
      </w:r>
    </w:p>
    <w:p>
      <w:pPr>
        <w:pStyle w:val="161"/>
        <w:spacing w:line="360" w:lineRule="auto"/>
        <w:ind w:firstLine="480" w:firstLineChars="200"/>
        <w:jc w:val="both"/>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23.5.2 本项资格审查属于初步评审的一部分，不能替代评标委员会在初步评审阶段对其他内容所进行的评审。</w:t>
      </w:r>
    </w:p>
    <w:p>
      <w:pPr>
        <w:pStyle w:val="161"/>
        <w:spacing w:line="360" w:lineRule="auto"/>
        <w:ind w:firstLine="480" w:firstLineChars="200"/>
        <w:jc w:val="both"/>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23.6 本次招标采用综合评估法进行评标。评标分初步评审和详细评审两个阶段。其中，详细评审又分商务评审和技术评审两个部分。只有通过初步评审的投标文件才可进入详细评审阶段。</w:t>
      </w:r>
    </w:p>
    <w:p>
      <w:pPr>
        <w:pStyle w:val="161"/>
        <w:spacing w:line="360" w:lineRule="auto"/>
        <w:ind w:firstLine="480" w:firstLineChars="200"/>
        <w:jc w:val="both"/>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23.7 初步评审是指对投标文件的符合性检查，以判定其内容是否真实可靠，是否满足招标文件的最基本的实质性要求，是否存在重大偏离。重大偏离系指投标文件的有效性、真实性、合同的供货范围、质量、性能和规格等内容在实质上与招标文件形成了重大的不一致，而这种不一致可能限制了买方的权力和投标人的义务，纠正或承认这些偏离将会对该投标人和其它投标人合理的竞争地位产生不公正的影响。与招标文件有重大偏离的投标文件将被拒绝。</w:t>
      </w:r>
    </w:p>
    <w:p>
      <w:pPr>
        <w:pStyle w:val="162"/>
        <w:spacing w:line="360" w:lineRule="auto"/>
        <w:ind w:firstLine="56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23.8 对通过初步评审的投标文件，评标委员会将对其进行算术性修正。算术性修正是指对投标文件的报价明细进行校核，并对其算术上和运算上的差错给予修正。修正的原则如下：</w:t>
      </w:r>
    </w:p>
    <w:p>
      <w:pPr>
        <w:pStyle w:val="162"/>
        <w:spacing w:line="360" w:lineRule="auto"/>
        <w:ind w:firstLine="56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23.8.1 当以数字表示的金额与文字表示的金额有差异时，以文字表示的金额为准（有明细报价和单价的，应以23.8.2条和23.8.3条的表述为准）；</w:t>
      </w:r>
    </w:p>
    <w:p>
      <w:pPr>
        <w:pStyle w:val="162"/>
        <w:spacing w:line="360" w:lineRule="auto"/>
        <w:ind w:firstLine="56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23.8.2 当单价与数量相乘不等于合价时，以单价计算为准。如果单价有明显的小数点位置差错，应以标出的合价为准，同时对单价予以修正；</w:t>
      </w:r>
    </w:p>
    <w:p>
      <w:pPr>
        <w:pStyle w:val="162"/>
        <w:spacing w:line="360" w:lineRule="auto"/>
        <w:ind w:firstLine="56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23.8.3 当各明细部分的价格累计不等于合价时，应以各明细的累计数为准，修正合价。</w:t>
      </w:r>
    </w:p>
    <w:p>
      <w:pPr>
        <w:pStyle w:val="163"/>
        <w:spacing w:line="360" w:lineRule="auto"/>
        <w:ind w:firstLine="560"/>
        <w:jc w:val="both"/>
        <w:rPr>
          <w:rFonts w:hint="eastAsia" w:ascii="宋体" w:hAnsi="宋体" w:eastAsia="宋体" w:cs="宋体"/>
          <w:b w:val="0"/>
          <w:color w:val="auto"/>
          <w:kern w:val="2"/>
          <w:sz w:val="24"/>
          <w:szCs w:val="22"/>
          <w:highlight w:val="none"/>
          <w:lang w:val="en-US" w:eastAsia="zh-CN" w:bidi="ar-SA"/>
        </w:rPr>
      </w:pPr>
      <w:r>
        <w:rPr>
          <w:rFonts w:hint="eastAsia" w:ascii="宋体" w:hAnsi="宋体" w:eastAsia="宋体" w:cs="宋体"/>
          <w:b w:val="0"/>
          <w:color w:val="auto"/>
          <w:kern w:val="2"/>
          <w:sz w:val="24"/>
          <w:szCs w:val="22"/>
          <w:highlight w:val="none"/>
          <w:lang w:val="en-US" w:eastAsia="zh-CN" w:bidi="ar-SA"/>
        </w:rPr>
        <w:t>23.8.4 按以上原则对算术性差错的修正，应取得投标人的同意，并确认修正后的最终投标价。如果投标人拒绝确认，则其投标文件将不予以评审并按废标处理，没收其投标担保。</w:t>
      </w:r>
    </w:p>
    <w:p>
      <w:pPr>
        <w:pStyle w:val="163"/>
        <w:spacing w:line="360" w:lineRule="auto"/>
        <w:ind w:firstLine="560"/>
        <w:jc w:val="both"/>
        <w:rPr>
          <w:rFonts w:hint="eastAsia" w:ascii="宋体" w:hAnsi="宋体" w:eastAsia="宋体" w:cs="宋体"/>
          <w:b w:val="0"/>
          <w:color w:val="auto"/>
          <w:kern w:val="2"/>
          <w:sz w:val="24"/>
          <w:szCs w:val="22"/>
          <w:highlight w:val="none"/>
          <w:lang w:val="en-US" w:eastAsia="zh-CN" w:bidi="ar-SA"/>
        </w:rPr>
      </w:pPr>
      <w:r>
        <w:rPr>
          <w:rFonts w:hint="eastAsia" w:ascii="宋体" w:hAnsi="宋体" w:eastAsia="宋体" w:cs="宋体"/>
          <w:b w:val="0"/>
          <w:color w:val="auto"/>
          <w:kern w:val="2"/>
          <w:sz w:val="24"/>
          <w:szCs w:val="22"/>
          <w:highlight w:val="none"/>
          <w:lang w:val="en-US" w:eastAsia="zh-CN" w:bidi="ar-SA"/>
        </w:rPr>
        <w:t>23.8.5评标委员会将拒绝被定为实质上非响应性的投标，投标人不能通过修正或撤销不符之处而使其投标成为响应性投标。</w:t>
      </w:r>
    </w:p>
    <w:p>
      <w:pPr>
        <w:pStyle w:val="163"/>
        <w:spacing w:line="360" w:lineRule="auto"/>
        <w:ind w:firstLine="560"/>
        <w:jc w:val="both"/>
        <w:rPr>
          <w:rFonts w:hint="eastAsia" w:ascii="宋体" w:hAnsi="宋体" w:eastAsia="宋体" w:cs="宋体"/>
          <w:b w:val="0"/>
          <w:color w:val="auto"/>
          <w:kern w:val="2"/>
          <w:sz w:val="24"/>
          <w:szCs w:val="22"/>
          <w:highlight w:val="none"/>
          <w:lang w:val="en-US" w:eastAsia="zh-CN" w:bidi="ar-SA"/>
        </w:rPr>
      </w:pPr>
      <w:r>
        <w:rPr>
          <w:rFonts w:hint="eastAsia" w:ascii="宋体" w:hAnsi="宋体" w:eastAsia="宋体" w:cs="宋体"/>
          <w:b w:val="0"/>
          <w:color w:val="auto"/>
          <w:kern w:val="2"/>
          <w:sz w:val="24"/>
          <w:szCs w:val="22"/>
          <w:highlight w:val="none"/>
          <w:lang w:val="en-US" w:eastAsia="zh-CN" w:bidi="ar-SA"/>
        </w:rPr>
        <w:t>23.8.6 评标委员会将允许投标中有微小的不正规、不一致或不规则，而该微小之处不构成重大偏离。</w:t>
      </w:r>
    </w:p>
    <w:p>
      <w:pPr>
        <w:pStyle w:val="163"/>
        <w:spacing w:line="360" w:lineRule="auto"/>
        <w:ind w:firstLine="560"/>
        <w:jc w:val="both"/>
        <w:rPr>
          <w:rFonts w:hint="eastAsia" w:ascii="宋体" w:hAnsi="宋体" w:eastAsia="宋体" w:cs="宋体"/>
          <w:b w:val="0"/>
          <w:color w:val="auto"/>
          <w:kern w:val="2"/>
          <w:sz w:val="24"/>
          <w:szCs w:val="22"/>
          <w:highlight w:val="none"/>
          <w:lang w:val="en-US" w:eastAsia="zh-CN" w:bidi="ar-SA"/>
        </w:rPr>
      </w:pPr>
      <w:r>
        <w:rPr>
          <w:rFonts w:hint="eastAsia" w:ascii="宋体" w:hAnsi="宋体" w:eastAsia="宋体" w:cs="宋体"/>
          <w:b w:val="0"/>
          <w:color w:val="auto"/>
          <w:kern w:val="2"/>
          <w:sz w:val="24"/>
          <w:szCs w:val="22"/>
          <w:highlight w:val="none"/>
          <w:lang w:val="en-US" w:eastAsia="zh-CN" w:bidi="ar-SA"/>
        </w:rPr>
        <w:t>23.9 通过初步评审及算术性修正的投标文件将进入详细评审阶段。</w:t>
      </w:r>
    </w:p>
    <w:p>
      <w:pPr>
        <w:pStyle w:val="163"/>
        <w:spacing w:line="360" w:lineRule="auto"/>
        <w:ind w:firstLine="560"/>
        <w:jc w:val="both"/>
        <w:rPr>
          <w:rFonts w:hint="eastAsia" w:ascii="宋体" w:hAnsi="宋体" w:eastAsia="宋体" w:cs="宋体"/>
          <w:b w:val="0"/>
          <w:color w:val="auto"/>
          <w:kern w:val="2"/>
          <w:sz w:val="24"/>
          <w:szCs w:val="22"/>
          <w:highlight w:val="none"/>
          <w:lang w:val="en-US" w:eastAsia="zh-CN" w:bidi="ar-SA"/>
        </w:rPr>
      </w:pPr>
      <w:r>
        <w:rPr>
          <w:rFonts w:hint="eastAsia" w:ascii="宋体" w:hAnsi="宋体" w:eastAsia="宋体" w:cs="宋体"/>
          <w:b w:val="0"/>
          <w:color w:val="auto"/>
          <w:kern w:val="2"/>
          <w:sz w:val="24"/>
          <w:szCs w:val="22"/>
          <w:highlight w:val="none"/>
          <w:lang w:val="en-US" w:eastAsia="zh-CN" w:bidi="ar-SA"/>
        </w:rPr>
        <w:t>23.9.1 详细评审中，评标委员会将采用综合评估法中的打分法，以投标文件能最大限度地满足招标文件中规定的各项评价标准为依据，独立地对各投标文件进行评审和打分。</w:t>
      </w:r>
    </w:p>
    <w:p>
      <w:pPr>
        <w:spacing w:line="360" w:lineRule="auto"/>
        <w:ind w:firstLine="480" w:firstLineChars="200"/>
        <w:rPr>
          <w:rFonts w:hint="eastAsia" w:ascii="宋体" w:hAnsi="宋体" w:eastAsia="宋体" w:cs="宋体"/>
          <w:b/>
          <w:color w:val="auto"/>
          <w:sz w:val="40"/>
          <w:szCs w:val="40"/>
          <w:highlight w:val="none"/>
        </w:rPr>
        <w:sectPr>
          <w:footerReference r:id="rId10" w:type="first"/>
          <w:footerReference r:id="rId9" w:type="default"/>
          <w:pgSz w:w="11906" w:h="16838"/>
          <w:pgMar w:top="2378" w:right="1644" w:bottom="1440" w:left="1440" w:header="851" w:footer="850" w:gutter="0"/>
          <w:pgBorders>
            <w:top w:val="none" w:sz="0" w:space="0"/>
            <w:left w:val="none" w:sz="0" w:space="0"/>
            <w:bottom w:val="none" w:sz="0" w:space="0"/>
            <w:right w:val="none" w:sz="0" w:space="0"/>
          </w:pgBorders>
          <w:pgNumType w:fmt="decimal" w:start="1"/>
          <w:cols w:space="0" w:num="1"/>
          <w:titlePg/>
          <w:rtlGutter w:val="0"/>
          <w:docGrid w:type="lines" w:linePitch="315" w:charSpace="0"/>
        </w:sectPr>
      </w:pPr>
      <w:r>
        <w:rPr>
          <w:rFonts w:hint="eastAsia" w:ascii="宋体" w:hAnsi="宋体" w:eastAsia="宋体" w:cs="宋体"/>
          <w:color w:val="auto"/>
          <w:kern w:val="2"/>
          <w:sz w:val="24"/>
          <w:szCs w:val="22"/>
          <w:highlight w:val="none"/>
          <w:lang w:val="en-US" w:eastAsia="zh-CN" w:bidi="ar-SA"/>
        </w:rPr>
        <w:t>23.9.2 评标委员会将对下述评审因素进行量化，并根据评委会每个成员对投标文件的评审和理解进行打分，满分为100分。本次招标投标报价K1权重30%、技术权K2重70%，评分标准投标人两部分的分值相加，即为该投标人的综合分值</w:t>
      </w:r>
      <w:r>
        <w:rPr>
          <w:rFonts w:hint="eastAsia" w:ascii="宋体" w:hAnsi="宋体" w:cs="宋体"/>
          <w:color w:val="auto"/>
          <w:kern w:val="2"/>
          <w:sz w:val="24"/>
          <w:szCs w:val="22"/>
          <w:highlight w:val="none"/>
          <w:lang w:val="en-US" w:eastAsia="zh-CN" w:bidi="ar-SA"/>
        </w:rPr>
        <w:t>。</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pStyle w:val="10"/>
        <w:tabs>
          <w:tab w:val="left" w:pos="0"/>
        </w:tabs>
        <w:spacing w:line="360" w:lineRule="auto"/>
        <w:ind w:left="0" w:leftChars="0" w:firstLine="0" w:firstLineChars="0"/>
        <w:jc w:val="center"/>
        <w:outlineLvl w:val="0"/>
        <w:rPr>
          <w:rFonts w:hint="eastAsia" w:ascii="宋体" w:hAnsi="宋体" w:eastAsia="宋体" w:cs="宋体"/>
          <w:b/>
          <w:color w:val="auto"/>
          <w:sz w:val="36"/>
          <w:szCs w:val="36"/>
          <w:highlight w:val="none"/>
        </w:rPr>
      </w:pPr>
      <w:bookmarkStart w:id="143" w:name="_Toc18653"/>
      <w:r>
        <w:rPr>
          <w:rFonts w:hint="eastAsia" w:ascii="宋体" w:hAnsi="宋体" w:eastAsia="宋体" w:cs="宋体"/>
          <w:b/>
          <w:color w:val="auto"/>
          <w:sz w:val="36"/>
          <w:szCs w:val="36"/>
          <w:highlight w:val="none"/>
        </w:rPr>
        <w:t>第四</w:t>
      </w:r>
      <w:r>
        <w:rPr>
          <w:rFonts w:hint="eastAsia" w:ascii="宋体" w:hAnsi="宋体" w:cs="宋体"/>
          <w:b/>
          <w:color w:val="auto"/>
          <w:sz w:val="36"/>
          <w:szCs w:val="36"/>
          <w:highlight w:val="none"/>
          <w:lang w:val="en-US" w:eastAsia="zh-CN"/>
        </w:rPr>
        <w:t>章</w:t>
      </w:r>
      <w:r>
        <w:rPr>
          <w:rFonts w:hint="eastAsia" w:ascii="宋体" w:hAnsi="宋体" w:eastAsia="宋体" w:cs="宋体"/>
          <w:b/>
          <w:color w:val="auto"/>
          <w:sz w:val="36"/>
          <w:szCs w:val="36"/>
          <w:highlight w:val="none"/>
        </w:rPr>
        <w:t xml:space="preserve">   评审方法（综合评分法）</w:t>
      </w:r>
      <w:bookmarkEnd w:id="143"/>
    </w:p>
    <w:tbl>
      <w:tblPr>
        <w:tblStyle w:val="20"/>
        <w:tblpPr w:leftFromText="180" w:rightFromText="180" w:vertAnchor="text" w:horzAnchor="page" w:tblpX="1014" w:tblpY="147"/>
        <w:tblOverlap w:val="never"/>
        <w:tblW w:w="9940" w:type="dxa"/>
        <w:tblInd w:w="0" w:type="dxa"/>
        <w:tblLayout w:type="fixed"/>
        <w:tblCellMar>
          <w:top w:w="0" w:type="dxa"/>
          <w:left w:w="108" w:type="dxa"/>
          <w:bottom w:w="0" w:type="dxa"/>
          <w:right w:w="108" w:type="dxa"/>
        </w:tblCellMar>
      </w:tblPr>
      <w:tblGrid>
        <w:gridCol w:w="517"/>
        <w:gridCol w:w="5534"/>
        <w:gridCol w:w="648"/>
        <w:gridCol w:w="649"/>
        <w:gridCol w:w="648"/>
        <w:gridCol w:w="649"/>
        <w:gridCol w:w="645"/>
        <w:gridCol w:w="650"/>
      </w:tblGrid>
      <w:tr>
        <w:tblPrEx>
          <w:tblCellMar>
            <w:top w:w="0" w:type="dxa"/>
            <w:left w:w="108" w:type="dxa"/>
            <w:bottom w:w="0" w:type="dxa"/>
            <w:right w:w="108" w:type="dxa"/>
          </w:tblCellMar>
        </w:tblPrEx>
        <w:trPr>
          <w:trHeight w:val="704" w:hRule="atLeast"/>
        </w:trPr>
        <w:tc>
          <w:tcPr>
            <w:tcW w:w="9940" w:type="dxa"/>
            <w:gridSpan w:val="8"/>
            <w:tcBorders>
              <w:top w:val="nil"/>
              <w:left w:val="nil"/>
              <w:bottom w:val="single" w:color="auto" w:sz="4" w:space="0"/>
              <w:right w:val="nil"/>
            </w:tcBorders>
            <w:vAlign w:val="center"/>
          </w:tcPr>
          <w:p>
            <w:pPr>
              <w:widowControl/>
              <w:jc w:val="both"/>
              <w:rPr>
                <w:rFonts w:hint="eastAsia" w:ascii="宋体" w:hAnsi="宋体" w:eastAsia="宋体" w:cs="宋体"/>
                <w:b/>
                <w:bCs/>
                <w:kern w:val="0"/>
                <w:sz w:val="24"/>
                <w:szCs w:val="24"/>
              </w:rPr>
            </w:pPr>
          </w:p>
        </w:tc>
      </w:tr>
      <w:tr>
        <w:tblPrEx>
          <w:tblCellMar>
            <w:top w:w="0" w:type="dxa"/>
            <w:left w:w="108" w:type="dxa"/>
            <w:bottom w:w="0" w:type="dxa"/>
            <w:right w:w="108" w:type="dxa"/>
          </w:tblCellMar>
        </w:tblPrEx>
        <w:trPr>
          <w:trHeight w:val="714" w:hRule="atLeast"/>
        </w:trPr>
        <w:tc>
          <w:tcPr>
            <w:tcW w:w="517"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55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评  比  内  容</w:t>
            </w:r>
          </w:p>
        </w:tc>
        <w:tc>
          <w:tcPr>
            <w:tcW w:w="1297" w:type="dxa"/>
            <w:gridSpan w:val="2"/>
            <w:tcBorders>
              <w:top w:val="single" w:color="auto" w:sz="4" w:space="0"/>
              <w:left w:val="nil"/>
              <w:bottom w:val="nil"/>
              <w:right w:val="single" w:color="000000" w:sz="4" w:space="0"/>
            </w:tcBorders>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投标人A</w:t>
            </w:r>
          </w:p>
        </w:tc>
        <w:tc>
          <w:tcPr>
            <w:tcW w:w="1297" w:type="dxa"/>
            <w:gridSpan w:val="2"/>
            <w:tcBorders>
              <w:top w:val="single" w:color="auto" w:sz="4" w:space="0"/>
              <w:left w:val="nil"/>
              <w:bottom w:val="nil"/>
              <w:right w:val="single" w:color="000000" w:sz="4" w:space="0"/>
            </w:tcBorders>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投标人B</w:t>
            </w:r>
          </w:p>
        </w:tc>
        <w:tc>
          <w:tcPr>
            <w:tcW w:w="1295" w:type="dxa"/>
            <w:gridSpan w:val="2"/>
            <w:tcBorders>
              <w:top w:val="single" w:color="auto" w:sz="4" w:space="0"/>
              <w:left w:val="nil"/>
              <w:bottom w:val="nil"/>
              <w:right w:val="single" w:color="000000" w:sz="4" w:space="0"/>
            </w:tcBorders>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w:t>
            </w:r>
          </w:p>
        </w:tc>
      </w:tr>
      <w:tr>
        <w:trPr>
          <w:trHeight w:val="526" w:hRule="atLeast"/>
        </w:trPr>
        <w:tc>
          <w:tcPr>
            <w:tcW w:w="517"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5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kern w:val="0"/>
                <w:sz w:val="24"/>
                <w:szCs w:val="24"/>
              </w:rPr>
            </w:pPr>
          </w:p>
        </w:tc>
        <w:tc>
          <w:tcPr>
            <w:tcW w:w="64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是</w:t>
            </w:r>
          </w:p>
        </w:tc>
        <w:tc>
          <w:tcPr>
            <w:tcW w:w="64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否</w:t>
            </w:r>
          </w:p>
        </w:tc>
        <w:tc>
          <w:tcPr>
            <w:tcW w:w="64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是</w:t>
            </w:r>
          </w:p>
        </w:tc>
        <w:tc>
          <w:tcPr>
            <w:tcW w:w="649"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否</w:t>
            </w:r>
          </w:p>
        </w:tc>
        <w:tc>
          <w:tcPr>
            <w:tcW w:w="64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是</w:t>
            </w:r>
          </w:p>
        </w:tc>
        <w:tc>
          <w:tcPr>
            <w:tcW w:w="65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否</w:t>
            </w:r>
          </w:p>
        </w:tc>
      </w:tr>
      <w:tr>
        <w:tblPrEx>
          <w:tblCellMar>
            <w:top w:w="0" w:type="dxa"/>
            <w:left w:w="108" w:type="dxa"/>
            <w:bottom w:w="0" w:type="dxa"/>
            <w:right w:w="108" w:type="dxa"/>
          </w:tblCellMar>
        </w:tblPrEx>
        <w:trPr>
          <w:trHeight w:val="714" w:hRule="atLeast"/>
        </w:trPr>
        <w:tc>
          <w:tcPr>
            <w:tcW w:w="517"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kern w:val="0"/>
                <w:sz w:val="24"/>
                <w:szCs w:val="24"/>
              </w:rPr>
              <w:t>1</w:t>
            </w:r>
          </w:p>
        </w:tc>
        <w:tc>
          <w:tcPr>
            <w:tcW w:w="5534" w:type="dxa"/>
            <w:tcBorders>
              <w:top w:val="single" w:color="auto" w:sz="4" w:space="0"/>
              <w:left w:val="nil"/>
              <w:bottom w:val="single" w:color="auto" w:sz="4" w:space="0"/>
              <w:right w:val="single" w:color="auto" w:sz="4" w:space="0"/>
            </w:tcBorders>
            <w:vAlign w:val="center"/>
          </w:tcPr>
          <w:p>
            <w:pPr>
              <w:widowControl/>
              <w:spacing w:line="240" w:lineRule="exact"/>
              <w:ind w:right="82" w:rightChars="39"/>
              <w:rPr>
                <w:rFonts w:hint="eastAsia" w:ascii="宋体" w:hAnsi="宋体" w:eastAsia="宋体" w:cs="宋体"/>
                <w:kern w:val="0"/>
                <w:sz w:val="24"/>
                <w:szCs w:val="24"/>
              </w:rPr>
            </w:pPr>
          </w:p>
          <w:p>
            <w:pPr>
              <w:widowControl/>
              <w:spacing w:line="240" w:lineRule="exact"/>
              <w:ind w:right="82" w:rightChars="39"/>
              <w:rPr>
                <w:rFonts w:hint="eastAsia" w:ascii="宋体" w:hAnsi="宋体" w:eastAsia="宋体" w:cs="宋体"/>
                <w:kern w:val="0"/>
                <w:sz w:val="24"/>
                <w:szCs w:val="24"/>
              </w:rPr>
            </w:pPr>
            <w:r>
              <w:rPr>
                <w:rFonts w:hint="eastAsia" w:ascii="宋体" w:hAnsi="宋体" w:eastAsia="宋体" w:cs="宋体"/>
                <w:kern w:val="0"/>
                <w:sz w:val="24"/>
                <w:szCs w:val="24"/>
              </w:rPr>
              <w:t>投标人不满足本</w:t>
            </w:r>
            <w:r>
              <w:rPr>
                <w:rFonts w:hint="eastAsia" w:ascii="宋体" w:hAnsi="宋体" w:eastAsia="宋体" w:cs="宋体"/>
                <w:kern w:val="0"/>
                <w:sz w:val="24"/>
                <w:szCs w:val="24"/>
                <w:lang w:eastAsia="zh-CN"/>
              </w:rPr>
              <w:t>招标文件</w:t>
            </w:r>
            <w:r>
              <w:rPr>
                <w:rFonts w:hint="eastAsia" w:ascii="宋体" w:hAnsi="宋体" w:eastAsia="宋体" w:cs="宋体"/>
                <w:kern w:val="0"/>
                <w:sz w:val="24"/>
                <w:szCs w:val="24"/>
              </w:rPr>
              <w:t>文件关于对投标人资格证明文件的规定；</w:t>
            </w:r>
          </w:p>
        </w:tc>
        <w:tc>
          <w:tcPr>
            <w:tcW w:w="64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6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64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6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6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920" w:hRule="atLeast"/>
        </w:trPr>
        <w:tc>
          <w:tcPr>
            <w:tcW w:w="517"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5534" w:type="dxa"/>
            <w:tcBorders>
              <w:top w:val="single" w:color="auto" w:sz="4" w:space="0"/>
              <w:left w:val="nil"/>
              <w:bottom w:val="single" w:color="auto" w:sz="4" w:space="0"/>
              <w:right w:val="single" w:color="auto" w:sz="4" w:space="0"/>
            </w:tcBorders>
            <w:vAlign w:val="center"/>
          </w:tcPr>
          <w:p>
            <w:pPr>
              <w:widowControl/>
              <w:spacing w:line="240" w:lineRule="exact"/>
              <w:ind w:right="82" w:rightChars="39"/>
              <w:rPr>
                <w:rFonts w:hint="eastAsia" w:ascii="宋体" w:hAnsi="宋体" w:eastAsia="宋体" w:cs="宋体"/>
                <w:kern w:val="0"/>
                <w:sz w:val="24"/>
                <w:szCs w:val="24"/>
              </w:rPr>
            </w:pPr>
            <w:r>
              <w:rPr>
                <w:rFonts w:hint="eastAsia" w:ascii="宋体" w:hAnsi="宋体" w:eastAsia="宋体" w:cs="宋体"/>
                <w:kern w:val="0"/>
                <w:sz w:val="24"/>
                <w:szCs w:val="24"/>
              </w:rPr>
              <w:t>投标文件组成不完整，主要内容未能按</w:t>
            </w:r>
            <w:r>
              <w:rPr>
                <w:rFonts w:hint="eastAsia" w:ascii="宋体" w:hAnsi="宋体" w:eastAsia="宋体" w:cs="宋体"/>
                <w:kern w:val="0"/>
                <w:sz w:val="24"/>
                <w:szCs w:val="24"/>
                <w:lang w:eastAsia="zh-CN"/>
              </w:rPr>
              <w:t>招标文件</w:t>
            </w:r>
            <w:r>
              <w:rPr>
                <w:rFonts w:hint="eastAsia" w:ascii="宋体" w:hAnsi="宋体" w:eastAsia="宋体" w:cs="宋体"/>
                <w:kern w:val="0"/>
                <w:sz w:val="24"/>
                <w:szCs w:val="24"/>
              </w:rPr>
              <w:t>文件规定的内容、格式填写、装订；</w:t>
            </w:r>
          </w:p>
        </w:tc>
        <w:tc>
          <w:tcPr>
            <w:tcW w:w="64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r>
      <w:tr>
        <w:tblPrEx>
          <w:tblCellMar>
            <w:top w:w="0" w:type="dxa"/>
            <w:left w:w="108" w:type="dxa"/>
            <w:bottom w:w="0" w:type="dxa"/>
            <w:right w:w="108" w:type="dxa"/>
          </w:tblCellMar>
        </w:tblPrEx>
        <w:trPr>
          <w:trHeight w:val="1015" w:hRule="atLeast"/>
        </w:trPr>
        <w:tc>
          <w:tcPr>
            <w:tcW w:w="517"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kern w:val="0"/>
                <w:sz w:val="24"/>
                <w:szCs w:val="24"/>
              </w:rPr>
              <w:t>3</w:t>
            </w:r>
          </w:p>
        </w:tc>
        <w:tc>
          <w:tcPr>
            <w:tcW w:w="5534" w:type="dxa"/>
            <w:tcBorders>
              <w:top w:val="single" w:color="auto" w:sz="4" w:space="0"/>
              <w:left w:val="nil"/>
              <w:bottom w:val="single" w:color="auto" w:sz="4" w:space="0"/>
              <w:right w:val="single" w:color="auto" w:sz="4" w:space="0"/>
            </w:tcBorders>
            <w:vAlign w:val="center"/>
          </w:tcPr>
          <w:p>
            <w:pPr>
              <w:widowControl/>
              <w:spacing w:line="240" w:lineRule="exact"/>
              <w:ind w:right="82" w:rightChars="39"/>
              <w:rPr>
                <w:rFonts w:hint="eastAsia" w:ascii="宋体" w:hAnsi="宋体" w:eastAsia="宋体" w:cs="宋体"/>
                <w:kern w:val="0"/>
                <w:sz w:val="24"/>
                <w:szCs w:val="24"/>
              </w:rPr>
            </w:pPr>
            <w:r>
              <w:rPr>
                <w:rFonts w:hint="eastAsia" w:ascii="宋体" w:hAnsi="宋体" w:eastAsia="宋体" w:cs="宋体"/>
                <w:kern w:val="0"/>
                <w:sz w:val="24"/>
                <w:szCs w:val="24"/>
              </w:rPr>
              <w:t>投标人没有按照</w:t>
            </w:r>
            <w:r>
              <w:rPr>
                <w:rFonts w:hint="eastAsia" w:ascii="宋体" w:hAnsi="宋体" w:eastAsia="宋体" w:cs="宋体"/>
                <w:kern w:val="0"/>
                <w:sz w:val="24"/>
                <w:szCs w:val="24"/>
                <w:lang w:eastAsia="zh-CN"/>
              </w:rPr>
              <w:t>招标文件</w:t>
            </w:r>
            <w:r>
              <w:rPr>
                <w:rFonts w:hint="eastAsia" w:ascii="宋体" w:hAnsi="宋体" w:eastAsia="宋体" w:cs="宋体"/>
                <w:kern w:val="0"/>
                <w:sz w:val="24"/>
                <w:szCs w:val="24"/>
              </w:rPr>
              <w:t>文件的要求提供投标保证金，或者所提供的投标保证金有瑕疵；</w:t>
            </w:r>
          </w:p>
        </w:tc>
        <w:tc>
          <w:tcPr>
            <w:tcW w:w="64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r>
      <w:tr>
        <w:tblPrEx>
          <w:tblCellMar>
            <w:top w:w="0" w:type="dxa"/>
            <w:left w:w="108" w:type="dxa"/>
            <w:bottom w:w="0" w:type="dxa"/>
            <w:right w:w="108" w:type="dxa"/>
          </w:tblCellMar>
        </w:tblPrEx>
        <w:trPr>
          <w:trHeight w:val="579" w:hRule="atLeast"/>
        </w:trPr>
        <w:tc>
          <w:tcPr>
            <w:tcW w:w="517"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kern w:val="0"/>
                <w:sz w:val="24"/>
                <w:szCs w:val="24"/>
              </w:rPr>
              <w:t>4</w:t>
            </w:r>
          </w:p>
        </w:tc>
        <w:tc>
          <w:tcPr>
            <w:tcW w:w="5534" w:type="dxa"/>
            <w:tcBorders>
              <w:top w:val="single" w:color="auto" w:sz="4" w:space="0"/>
              <w:left w:val="nil"/>
              <w:bottom w:val="single" w:color="auto" w:sz="4" w:space="0"/>
              <w:right w:val="single" w:color="auto" w:sz="4" w:space="0"/>
            </w:tcBorders>
            <w:vAlign w:val="center"/>
          </w:tcPr>
          <w:p>
            <w:pPr>
              <w:widowControl/>
              <w:spacing w:line="240" w:lineRule="exact"/>
              <w:ind w:right="82" w:rightChars="39"/>
              <w:rPr>
                <w:rFonts w:hint="eastAsia" w:ascii="宋体" w:hAnsi="宋体" w:eastAsia="宋体" w:cs="宋体"/>
                <w:kern w:val="0"/>
                <w:sz w:val="24"/>
                <w:szCs w:val="24"/>
              </w:rPr>
            </w:pPr>
            <w:r>
              <w:rPr>
                <w:rFonts w:hint="eastAsia" w:ascii="宋体" w:hAnsi="宋体" w:eastAsia="宋体" w:cs="宋体"/>
                <w:kern w:val="0"/>
                <w:sz w:val="24"/>
                <w:szCs w:val="24"/>
              </w:rPr>
              <w:t>投标文件的有效期不满足</w:t>
            </w:r>
            <w:r>
              <w:rPr>
                <w:rFonts w:hint="eastAsia" w:ascii="宋体" w:hAnsi="宋体" w:eastAsia="宋体" w:cs="宋体"/>
                <w:kern w:val="0"/>
                <w:sz w:val="24"/>
                <w:szCs w:val="24"/>
                <w:lang w:eastAsia="zh-CN"/>
              </w:rPr>
              <w:t>招标文件</w:t>
            </w:r>
            <w:r>
              <w:rPr>
                <w:rFonts w:hint="eastAsia" w:ascii="宋体" w:hAnsi="宋体" w:eastAsia="宋体" w:cs="宋体"/>
                <w:kern w:val="0"/>
                <w:sz w:val="24"/>
                <w:szCs w:val="24"/>
              </w:rPr>
              <w:t>文件的规定；</w:t>
            </w:r>
          </w:p>
        </w:tc>
        <w:tc>
          <w:tcPr>
            <w:tcW w:w="64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r>
      <w:tr>
        <w:tblPrEx>
          <w:tblCellMar>
            <w:top w:w="0" w:type="dxa"/>
            <w:left w:w="108" w:type="dxa"/>
            <w:bottom w:w="0" w:type="dxa"/>
            <w:right w:w="108" w:type="dxa"/>
          </w:tblCellMar>
        </w:tblPrEx>
        <w:trPr>
          <w:trHeight w:val="498" w:hRule="atLeast"/>
        </w:trPr>
        <w:tc>
          <w:tcPr>
            <w:tcW w:w="517"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5534" w:type="dxa"/>
            <w:tcBorders>
              <w:top w:val="single" w:color="auto" w:sz="4" w:space="0"/>
              <w:left w:val="nil"/>
              <w:bottom w:val="single" w:color="auto" w:sz="4" w:space="0"/>
              <w:right w:val="single" w:color="auto" w:sz="4" w:space="0"/>
            </w:tcBorders>
            <w:vAlign w:val="center"/>
          </w:tcPr>
          <w:p>
            <w:pPr>
              <w:widowControl/>
              <w:spacing w:line="240" w:lineRule="exact"/>
              <w:ind w:right="82" w:rightChars="39"/>
              <w:rPr>
                <w:rFonts w:hint="eastAsia" w:ascii="宋体" w:hAnsi="宋体" w:eastAsia="宋体" w:cs="宋体"/>
                <w:kern w:val="0"/>
                <w:sz w:val="24"/>
                <w:szCs w:val="24"/>
              </w:rPr>
            </w:pPr>
            <w:r>
              <w:rPr>
                <w:rFonts w:hint="eastAsia" w:ascii="宋体" w:hAnsi="宋体" w:eastAsia="宋体" w:cs="宋体"/>
                <w:kern w:val="0"/>
                <w:sz w:val="24"/>
                <w:szCs w:val="24"/>
              </w:rPr>
              <w:t>投标文件没有投标人授权代表签字和加盖公章</w:t>
            </w:r>
          </w:p>
        </w:tc>
        <w:tc>
          <w:tcPr>
            <w:tcW w:w="64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r>
      <w:tr>
        <w:tblPrEx>
          <w:tblCellMar>
            <w:top w:w="0" w:type="dxa"/>
            <w:left w:w="108" w:type="dxa"/>
            <w:bottom w:w="0" w:type="dxa"/>
            <w:right w:w="108" w:type="dxa"/>
          </w:tblCellMar>
        </w:tblPrEx>
        <w:trPr>
          <w:trHeight w:val="714" w:hRule="atLeast"/>
        </w:trPr>
        <w:tc>
          <w:tcPr>
            <w:tcW w:w="517"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kern w:val="0"/>
                <w:sz w:val="24"/>
                <w:szCs w:val="24"/>
              </w:rPr>
              <w:t>6</w:t>
            </w:r>
          </w:p>
        </w:tc>
        <w:tc>
          <w:tcPr>
            <w:tcW w:w="5534" w:type="dxa"/>
            <w:tcBorders>
              <w:top w:val="single" w:color="auto" w:sz="4" w:space="0"/>
              <w:left w:val="nil"/>
              <w:bottom w:val="single" w:color="auto" w:sz="4" w:space="0"/>
              <w:right w:val="single" w:color="auto" w:sz="4" w:space="0"/>
            </w:tcBorders>
            <w:vAlign w:val="center"/>
          </w:tcPr>
          <w:p>
            <w:pPr>
              <w:widowControl/>
              <w:spacing w:line="240" w:lineRule="exact"/>
              <w:ind w:right="82" w:rightChars="39"/>
              <w:rPr>
                <w:rFonts w:hint="eastAsia" w:ascii="宋体" w:hAnsi="宋体" w:eastAsia="宋体" w:cs="宋体"/>
                <w:kern w:val="0"/>
                <w:sz w:val="24"/>
                <w:szCs w:val="24"/>
              </w:rPr>
            </w:pPr>
            <w:r>
              <w:rPr>
                <w:rFonts w:hint="eastAsia" w:ascii="宋体" w:hAnsi="宋体" w:eastAsia="宋体" w:cs="宋体"/>
                <w:kern w:val="0"/>
                <w:sz w:val="24"/>
                <w:szCs w:val="24"/>
              </w:rPr>
              <w:t>投标文件没有按照规定在应由企业法人或法人授权代表在所有规定签章处逐页签署及加盖单位公章的。</w:t>
            </w:r>
          </w:p>
        </w:tc>
        <w:tc>
          <w:tcPr>
            <w:tcW w:w="64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r>
      <w:tr>
        <w:tblPrEx>
          <w:tblCellMar>
            <w:top w:w="0" w:type="dxa"/>
            <w:left w:w="108" w:type="dxa"/>
            <w:bottom w:w="0" w:type="dxa"/>
            <w:right w:w="108" w:type="dxa"/>
          </w:tblCellMar>
        </w:tblPrEx>
        <w:trPr>
          <w:trHeight w:val="538" w:hRule="atLeast"/>
        </w:trPr>
        <w:tc>
          <w:tcPr>
            <w:tcW w:w="517"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kern w:val="0"/>
                <w:sz w:val="24"/>
                <w:szCs w:val="24"/>
              </w:rPr>
              <w:t>7</w:t>
            </w:r>
          </w:p>
        </w:tc>
        <w:tc>
          <w:tcPr>
            <w:tcW w:w="5534" w:type="dxa"/>
            <w:tcBorders>
              <w:top w:val="single" w:color="auto" w:sz="4" w:space="0"/>
              <w:left w:val="nil"/>
              <w:bottom w:val="single" w:color="auto" w:sz="4" w:space="0"/>
              <w:right w:val="single" w:color="auto" w:sz="4" w:space="0"/>
            </w:tcBorders>
            <w:vAlign w:val="center"/>
          </w:tcPr>
          <w:p>
            <w:pPr>
              <w:widowControl/>
              <w:spacing w:line="240" w:lineRule="exact"/>
              <w:ind w:right="82" w:rightChars="39"/>
              <w:rPr>
                <w:rFonts w:hint="eastAsia" w:ascii="宋体" w:hAnsi="宋体" w:eastAsia="宋体" w:cs="宋体"/>
                <w:kern w:val="0"/>
                <w:sz w:val="24"/>
                <w:szCs w:val="24"/>
              </w:rPr>
            </w:pPr>
            <w:r>
              <w:rPr>
                <w:rFonts w:hint="eastAsia" w:ascii="宋体" w:hAnsi="宋体" w:eastAsia="宋体" w:cs="宋体"/>
                <w:kern w:val="0"/>
                <w:sz w:val="24"/>
                <w:szCs w:val="24"/>
              </w:rPr>
              <w:t xml:space="preserve"> 投标代表授权书未能由法定代表人签署</w:t>
            </w:r>
          </w:p>
        </w:tc>
        <w:tc>
          <w:tcPr>
            <w:tcW w:w="64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r>
      <w:tr>
        <w:tblPrEx>
          <w:tblCellMar>
            <w:top w:w="0" w:type="dxa"/>
            <w:left w:w="108" w:type="dxa"/>
            <w:bottom w:w="0" w:type="dxa"/>
            <w:right w:w="108" w:type="dxa"/>
          </w:tblCellMar>
        </w:tblPrEx>
        <w:trPr>
          <w:trHeight w:val="714" w:hRule="atLeast"/>
        </w:trPr>
        <w:tc>
          <w:tcPr>
            <w:tcW w:w="517"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b/>
                <w:bCs/>
                <w:kern w:val="0"/>
                <w:sz w:val="24"/>
                <w:szCs w:val="24"/>
              </w:rPr>
            </w:pPr>
            <w:r>
              <w:rPr>
                <w:rFonts w:hint="eastAsia" w:ascii="宋体" w:hAnsi="宋体" w:eastAsia="宋体" w:cs="宋体"/>
                <w:kern w:val="0"/>
                <w:sz w:val="24"/>
                <w:szCs w:val="24"/>
              </w:rPr>
              <w:t>8</w:t>
            </w:r>
          </w:p>
        </w:tc>
        <w:tc>
          <w:tcPr>
            <w:tcW w:w="5534" w:type="dxa"/>
            <w:tcBorders>
              <w:top w:val="single" w:color="auto" w:sz="4" w:space="0"/>
              <w:left w:val="nil"/>
              <w:bottom w:val="single" w:color="auto" w:sz="4" w:space="0"/>
              <w:right w:val="single" w:color="auto" w:sz="4" w:space="0"/>
            </w:tcBorders>
            <w:vAlign w:val="center"/>
          </w:tcPr>
          <w:p>
            <w:pPr>
              <w:widowControl/>
              <w:spacing w:line="240" w:lineRule="exact"/>
              <w:ind w:right="82" w:rightChars="39"/>
              <w:rPr>
                <w:rFonts w:hint="eastAsia" w:ascii="宋体" w:hAnsi="宋体" w:eastAsia="宋体" w:cs="宋体"/>
                <w:kern w:val="0"/>
                <w:sz w:val="24"/>
                <w:szCs w:val="24"/>
              </w:rPr>
            </w:pPr>
            <w:r>
              <w:rPr>
                <w:rFonts w:hint="eastAsia" w:ascii="宋体" w:hAnsi="宋体" w:eastAsia="宋体" w:cs="宋体"/>
                <w:kern w:val="0"/>
                <w:sz w:val="24"/>
                <w:szCs w:val="24"/>
              </w:rPr>
              <w:t>投标文件违反</w:t>
            </w:r>
            <w:r>
              <w:rPr>
                <w:rFonts w:hint="eastAsia" w:ascii="宋体" w:hAnsi="宋体" w:eastAsia="宋体" w:cs="宋体"/>
                <w:kern w:val="0"/>
                <w:sz w:val="24"/>
                <w:szCs w:val="24"/>
                <w:lang w:eastAsia="zh-CN"/>
              </w:rPr>
              <w:t>招标文件</w:t>
            </w:r>
            <w:r>
              <w:rPr>
                <w:rFonts w:hint="eastAsia" w:ascii="宋体" w:hAnsi="宋体" w:eastAsia="宋体" w:cs="宋体"/>
                <w:kern w:val="0"/>
                <w:sz w:val="24"/>
                <w:szCs w:val="24"/>
              </w:rPr>
              <w:t>文件的规定，针对每一种货物出现了两个或两个以上的报价；</w:t>
            </w:r>
          </w:p>
        </w:tc>
        <w:tc>
          <w:tcPr>
            <w:tcW w:w="64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r>
      <w:tr>
        <w:tblPrEx>
          <w:tblCellMar>
            <w:top w:w="0" w:type="dxa"/>
            <w:left w:w="108" w:type="dxa"/>
            <w:bottom w:w="0" w:type="dxa"/>
            <w:right w:w="108" w:type="dxa"/>
          </w:tblCellMar>
        </w:tblPrEx>
        <w:trPr>
          <w:trHeight w:val="655" w:hRule="atLeast"/>
        </w:trPr>
        <w:tc>
          <w:tcPr>
            <w:tcW w:w="517"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5534" w:type="dxa"/>
            <w:tcBorders>
              <w:top w:val="single" w:color="auto" w:sz="4" w:space="0"/>
              <w:left w:val="nil"/>
              <w:bottom w:val="single" w:color="auto" w:sz="4" w:space="0"/>
              <w:right w:val="single" w:color="auto" w:sz="4" w:space="0"/>
            </w:tcBorders>
            <w:vAlign w:val="center"/>
          </w:tcPr>
          <w:p>
            <w:pPr>
              <w:widowControl/>
              <w:spacing w:line="240" w:lineRule="exact"/>
              <w:ind w:right="82" w:rightChars="39"/>
              <w:rPr>
                <w:rFonts w:hint="eastAsia" w:ascii="宋体" w:hAnsi="宋体" w:eastAsia="宋体" w:cs="宋体"/>
                <w:kern w:val="0"/>
                <w:sz w:val="24"/>
                <w:szCs w:val="24"/>
              </w:rPr>
            </w:pPr>
            <w:r>
              <w:rPr>
                <w:rFonts w:hint="eastAsia" w:ascii="宋体" w:hAnsi="宋体" w:eastAsia="宋体" w:cs="宋体"/>
                <w:kern w:val="0"/>
                <w:sz w:val="24"/>
                <w:szCs w:val="24"/>
              </w:rPr>
              <w:t>明显不符合</w:t>
            </w:r>
            <w:r>
              <w:rPr>
                <w:rFonts w:hint="eastAsia" w:ascii="宋体" w:hAnsi="宋体" w:eastAsia="宋体" w:cs="宋体"/>
                <w:kern w:val="0"/>
                <w:sz w:val="24"/>
                <w:szCs w:val="24"/>
                <w:lang w:eastAsia="zh-CN"/>
              </w:rPr>
              <w:t>招标文件</w:t>
            </w:r>
            <w:r>
              <w:rPr>
                <w:rFonts w:hint="eastAsia" w:ascii="宋体" w:hAnsi="宋体" w:eastAsia="宋体" w:cs="宋体"/>
                <w:kern w:val="0"/>
                <w:sz w:val="24"/>
                <w:szCs w:val="24"/>
              </w:rPr>
              <w:t>文件关于对招标设备技术规格和标准的要求；</w:t>
            </w:r>
          </w:p>
        </w:tc>
        <w:tc>
          <w:tcPr>
            <w:tcW w:w="64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r>
      <w:tr>
        <w:tblPrEx>
          <w:tblCellMar>
            <w:top w:w="0" w:type="dxa"/>
            <w:left w:w="108" w:type="dxa"/>
            <w:bottom w:w="0" w:type="dxa"/>
            <w:right w:w="108" w:type="dxa"/>
          </w:tblCellMar>
        </w:tblPrEx>
        <w:trPr>
          <w:trHeight w:val="530" w:hRule="atLeast"/>
        </w:trPr>
        <w:tc>
          <w:tcPr>
            <w:tcW w:w="517" w:type="dxa"/>
            <w:tcBorders>
              <w:top w:val="nil"/>
              <w:left w:val="single" w:color="auto" w:sz="4" w:space="0"/>
              <w:bottom w:val="single" w:color="auto" w:sz="4" w:space="0"/>
              <w:right w:val="single" w:color="auto" w:sz="4" w:space="0"/>
            </w:tcBorders>
            <w:vAlign w:val="center"/>
          </w:tcPr>
          <w:p>
            <w:pPr>
              <w:widowControl/>
              <w:spacing w:line="240" w:lineRule="exact"/>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5534" w:type="dxa"/>
            <w:tcBorders>
              <w:top w:val="single" w:color="auto" w:sz="4" w:space="0"/>
              <w:left w:val="nil"/>
              <w:bottom w:val="single" w:color="auto" w:sz="4" w:space="0"/>
              <w:right w:val="single" w:color="auto" w:sz="4" w:space="0"/>
            </w:tcBorders>
            <w:vAlign w:val="center"/>
          </w:tcPr>
          <w:p>
            <w:pPr>
              <w:widowControl/>
              <w:spacing w:line="240" w:lineRule="exact"/>
              <w:ind w:right="82" w:rightChars="39"/>
              <w:rPr>
                <w:rFonts w:hint="eastAsia" w:ascii="宋体" w:hAnsi="宋体" w:eastAsia="宋体" w:cs="宋体"/>
                <w:kern w:val="0"/>
                <w:sz w:val="24"/>
                <w:szCs w:val="24"/>
              </w:rPr>
            </w:pPr>
            <w:r>
              <w:rPr>
                <w:rFonts w:hint="eastAsia" w:ascii="宋体" w:hAnsi="宋体" w:eastAsia="宋体" w:cs="宋体"/>
                <w:kern w:val="0"/>
                <w:sz w:val="24"/>
                <w:szCs w:val="24"/>
              </w:rPr>
              <w:t>投标文件载明的交货期超过</w:t>
            </w:r>
            <w:r>
              <w:rPr>
                <w:rFonts w:hint="eastAsia" w:ascii="宋体" w:hAnsi="宋体" w:eastAsia="宋体" w:cs="宋体"/>
                <w:kern w:val="0"/>
                <w:sz w:val="24"/>
                <w:szCs w:val="24"/>
                <w:lang w:eastAsia="zh-CN"/>
              </w:rPr>
              <w:t>招标文件</w:t>
            </w:r>
            <w:r>
              <w:rPr>
                <w:rFonts w:hint="eastAsia" w:ascii="宋体" w:hAnsi="宋体" w:eastAsia="宋体" w:cs="宋体"/>
                <w:kern w:val="0"/>
                <w:sz w:val="24"/>
                <w:szCs w:val="24"/>
              </w:rPr>
              <w:t>文件规定的期限</w:t>
            </w:r>
          </w:p>
        </w:tc>
        <w:tc>
          <w:tcPr>
            <w:tcW w:w="64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r>
      <w:tr>
        <w:tblPrEx>
          <w:tblCellMar>
            <w:top w:w="0" w:type="dxa"/>
            <w:left w:w="108" w:type="dxa"/>
            <w:bottom w:w="0" w:type="dxa"/>
            <w:right w:w="108" w:type="dxa"/>
          </w:tblCellMar>
        </w:tblPrEx>
        <w:trPr>
          <w:trHeight w:val="714" w:hRule="atLeast"/>
        </w:trPr>
        <w:tc>
          <w:tcPr>
            <w:tcW w:w="517" w:type="dxa"/>
            <w:tcBorders>
              <w:top w:val="nil"/>
              <w:left w:val="single" w:color="auto" w:sz="4" w:space="0"/>
              <w:bottom w:val="single" w:color="auto" w:sz="4" w:space="0"/>
              <w:right w:val="single" w:color="auto" w:sz="4" w:space="0"/>
            </w:tcBorders>
            <w:vAlign w:val="center"/>
          </w:tcPr>
          <w:p>
            <w:pPr>
              <w:widowControl/>
              <w:spacing w:line="240" w:lineRule="exact"/>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5534" w:type="dxa"/>
            <w:tcBorders>
              <w:top w:val="single" w:color="auto" w:sz="4" w:space="0"/>
              <w:left w:val="nil"/>
              <w:bottom w:val="single" w:color="auto" w:sz="4" w:space="0"/>
              <w:right w:val="single" w:color="auto" w:sz="4" w:space="0"/>
            </w:tcBorders>
            <w:vAlign w:val="center"/>
          </w:tcPr>
          <w:p>
            <w:pPr>
              <w:widowControl/>
              <w:spacing w:line="240" w:lineRule="exact"/>
              <w:ind w:right="82" w:rightChars="39"/>
              <w:rPr>
                <w:rFonts w:hint="eastAsia" w:ascii="宋体" w:hAnsi="宋体" w:eastAsia="宋体" w:cs="宋体"/>
                <w:kern w:val="0"/>
                <w:sz w:val="24"/>
                <w:szCs w:val="24"/>
              </w:rPr>
            </w:pPr>
            <w:r>
              <w:rPr>
                <w:rFonts w:hint="eastAsia" w:ascii="宋体" w:hAnsi="宋体" w:eastAsia="宋体" w:cs="宋体"/>
                <w:kern w:val="0"/>
                <w:sz w:val="24"/>
                <w:szCs w:val="24"/>
              </w:rPr>
              <w:t>投标文件载明的供货范围、货物包装方式、检验标准和方法、运输方式等不符合</w:t>
            </w:r>
            <w:r>
              <w:rPr>
                <w:rFonts w:hint="eastAsia" w:ascii="宋体" w:hAnsi="宋体" w:eastAsia="宋体" w:cs="宋体"/>
                <w:kern w:val="0"/>
                <w:sz w:val="24"/>
                <w:szCs w:val="24"/>
                <w:lang w:eastAsia="zh-CN"/>
              </w:rPr>
              <w:t>招标文件</w:t>
            </w:r>
            <w:r>
              <w:rPr>
                <w:rFonts w:hint="eastAsia" w:ascii="宋体" w:hAnsi="宋体" w:eastAsia="宋体" w:cs="宋体"/>
                <w:kern w:val="0"/>
                <w:sz w:val="24"/>
                <w:szCs w:val="24"/>
              </w:rPr>
              <w:t>文件的要求；</w:t>
            </w:r>
          </w:p>
        </w:tc>
        <w:tc>
          <w:tcPr>
            <w:tcW w:w="64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8"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4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c>
          <w:tcPr>
            <w:tcW w:w="65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p>
        </w:tc>
      </w:tr>
      <w:tr>
        <w:tblPrEx>
          <w:tblCellMar>
            <w:top w:w="0" w:type="dxa"/>
            <w:left w:w="108" w:type="dxa"/>
            <w:bottom w:w="0" w:type="dxa"/>
            <w:right w:w="108" w:type="dxa"/>
          </w:tblCellMar>
        </w:tblPrEx>
        <w:trPr>
          <w:trHeight w:val="714" w:hRule="atLeast"/>
        </w:trPr>
        <w:tc>
          <w:tcPr>
            <w:tcW w:w="6051"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是否符合通过</w:t>
            </w:r>
          </w:p>
        </w:tc>
        <w:tc>
          <w:tcPr>
            <w:tcW w:w="1297"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1297"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95"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1442" w:hRule="atLeast"/>
        </w:trPr>
        <w:tc>
          <w:tcPr>
            <w:tcW w:w="9940" w:type="dxa"/>
            <w:gridSpan w:val="8"/>
            <w:tcBorders>
              <w:top w:val="single" w:color="auto" w:sz="4" w:space="0"/>
              <w:left w:val="nil"/>
              <w:bottom w:val="nil"/>
              <w:right w:val="nil"/>
            </w:tcBorders>
            <w:vAlign w:val="center"/>
          </w:tcPr>
          <w:p>
            <w:pPr>
              <w:widowControl/>
              <w:jc w:val="left"/>
              <w:rPr>
                <w:rFonts w:hint="eastAsia"/>
              </w:rPr>
            </w:pPr>
            <w:r>
              <w:rPr>
                <w:rFonts w:hint="eastAsia"/>
              </w:rPr>
              <w:t>备注：1、上述各项中用“√”表示符合或不符合</w:t>
            </w:r>
          </w:p>
          <w:p>
            <w:pPr>
              <w:pStyle w:val="4"/>
              <w:numPr>
                <w:ilvl w:val="1"/>
                <w:numId w:val="0"/>
              </w:numPr>
              <w:ind w:left="960" w:leftChars="0"/>
              <w:rPr>
                <w:rFonts w:hint="eastAsia" w:ascii="Calibri" w:hAnsi="Calibri" w:eastAsia="宋体" w:cs="Times New Roman"/>
                <w:b w:val="0"/>
                <w:bCs w:val="0"/>
                <w:w w:val="100"/>
                <w:kern w:val="2"/>
                <w:sz w:val="21"/>
                <w:szCs w:val="22"/>
                <w:lang w:val="en-US" w:eastAsia="zh-CN" w:bidi="ar-SA"/>
              </w:rPr>
            </w:pPr>
            <w:r>
              <w:rPr>
                <w:rFonts w:hint="eastAsia" w:ascii="Calibri" w:hAnsi="Calibri" w:eastAsia="宋体" w:cs="Times New Roman"/>
                <w:b w:val="0"/>
                <w:bCs w:val="0"/>
                <w:w w:val="100"/>
                <w:kern w:val="2"/>
                <w:sz w:val="21"/>
                <w:szCs w:val="22"/>
                <w:lang w:val="en-US" w:eastAsia="zh-CN" w:bidi="ar-SA"/>
              </w:rPr>
              <w:t>评标委员会签字：</w:t>
            </w:r>
          </w:p>
          <w:p>
            <w:pPr>
              <w:pStyle w:val="4"/>
              <w:numPr>
                <w:ilvl w:val="1"/>
                <w:numId w:val="0"/>
              </w:numPr>
              <w:ind w:left="960" w:leftChars="0"/>
              <w:rPr>
                <w:rFonts w:hint="eastAsia"/>
              </w:rPr>
            </w:pPr>
          </w:p>
        </w:tc>
      </w:tr>
    </w:tbl>
    <w:p>
      <w:pPr>
        <w:pStyle w:val="29"/>
        <w:rPr>
          <w:rFonts w:hint="eastAsia"/>
        </w:rPr>
      </w:pPr>
    </w:p>
    <w:p>
      <w:pPr>
        <w:pStyle w:val="29"/>
        <w:rPr>
          <w:rFonts w:hint="eastAsia"/>
        </w:rPr>
      </w:pPr>
    </w:p>
    <w:p>
      <w:pPr>
        <w:pStyle w:val="29"/>
        <w:rPr>
          <w:rFonts w:hint="eastAsia"/>
        </w:rPr>
      </w:pPr>
    </w:p>
    <w:p>
      <w:pPr>
        <w:pStyle w:val="161"/>
        <w:spacing w:line="360" w:lineRule="auto"/>
        <w:jc w:val="center"/>
        <w:rPr>
          <w:rFonts w:ascii="宋体" w:hAnsi="宋体"/>
          <w:b/>
          <w:color w:val="000000" w:themeColor="text1"/>
          <w:sz w:val="28"/>
          <w14:textFill>
            <w14:solidFill>
              <w14:schemeClr w14:val="tx1"/>
            </w14:solidFill>
          </w14:textFill>
        </w:rPr>
      </w:pPr>
      <w:r>
        <w:rPr>
          <w:rFonts w:hint="eastAsia" w:ascii="宋体" w:hAnsi="宋体"/>
          <w:b/>
          <w:color w:val="000000" w:themeColor="text1"/>
          <w:sz w:val="28"/>
          <w14:textFill>
            <w14:solidFill>
              <w14:schemeClr w14:val="tx1"/>
            </w14:solidFill>
          </w14:textFill>
        </w:rPr>
        <w:t>本次招标投标报价K1权重</w:t>
      </w:r>
      <w:r>
        <w:rPr>
          <w:rFonts w:ascii="宋体" w:hAnsi="宋体"/>
          <w:b/>
          <w:color w:val="000000" w:themeColor="text1"/>
          <w:sz w:val="28"/>
          <w14:textFill>
            <w14:solidFill>
              <w14:schemeClr w14:val="tx1"/>
            </w14:solidFill>
          </w14:textFill>
        </w:rPr>
        <w:t>30%</w:t>
      </w:r>
      <w:r>
        <w:rPr>
          <w:rFonts w:hint="eastAsia" w:ascii="宋体" w:hAnsi="宋体"/>
          <w:b/>
          <w:color w:val="000000" w:themeColor="text1"/>
          <w:sz w:val="28"/>
          <w14:textFill>
            <w14:solidFill>
              <w14:schemeClr w14:val="tx1"/>
            </w14:solidFill>
          </w14:textFill>
        </w:rPr>
        <w:t>、技术K2权重7</w:t>
      </w:r>
      <w:r>
        <w:rPr>
          <w:rFonts w:ascii="宋体" w:hAnsi="宋体"/>
          <w:b/>
          <w:color w:val="000000" w:themeColor="text1"/>
          <w:sz w:val="28"/>
          <w14:textFill>
            <w14:solidFill>
              <w14:schemeClr w14:val="tx1"/>
            </w14:solidFill>
          </w14:textFill>
        </w:rPr>
        <w:t>0%</w:t>
      </w:r>
      <w:r>
        <w:rPr>
          <w:rFonts w:hint="eastAsia" w:ascii="宋体" w:hAnsi="宋体"/>
          <w:b/>
          <w:color w:val="000000" w:themeColor="text1"/>
          <w:sz w:val="28"/>
          <w14:textFill>
            <w14:solidFill>
              <w14:schemeClr w14:val="tx1"/>
            </w14:solidFill>
          </w14:textFill>
        </w:rPr>
        <w:t>评分标准</w:t>
      </w:r>
    </w:p>
    <w:tbl>
      <w:tblPr>
        <w:tblStyle w:val="20"/>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327"/>
        <w:gridCol w:w="881"/>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31" w:type="dxa"/>
            <w:vAlign w:val="center"/>
          </w:tcPr>
          <w:p>
            <w:pPr>
              <w:pStyle w:val="161"/>
              <w:snapToGrid w:val="0"/>
              <w:spacing w:before="100" w:beforeAutospacing="1" w:after="100" w:afterAutospacing="1"/>
              <w:jc w:val="center"/>
              <w:rPr>
                <w:rFonts w:ascii="宋体" w:hAnsi="宋体"/>
                <w:color w:val="auto"/>
              </w:rPr>
            </w:pPr>
            <w:r>
              <w:rPr>
                <w:rFonts w:hint="eastAsia" w:ascii="宋体" w:hAnsi="宋体"/>
                <w:color w:val="auto"/>
              </w:rPr>
              <w:t>项目</w:t>
            </w:r>
          </w:p>
        </w:tc>
        <w:tc>
          <w:tcPr>
            <w:tcW w:w="1327" w:type="dxa"/>
            <w:vAlign w:val="center"/>
          </w:tcPr>
          <w:p>
            <w:pPr>
              <w:pStyle w:val="161"/>
              <w:snapToGrid w:val="0"/>
              <w:spacing w:before="100" w:beforeAutospacing="1" w:after="100" w:afterAutospacing="1"/>
              <w:jc w:val="center"/>
              <w:rPr>
                <w:rFonts w:ascii="宋体" w:hAnsi="宋体"/>
                <w:color w:val="auto"/>
              </w:rPr>
            </w:pPr>
            <w:r>
              <w:rPr>
                <w:rFonts w:hint="eastAsia" w:ascii="宋体" w:hAnsi="宋体"/>
                <w:color w:val="auto"/>
              </w:rPr>
              <w:t>评标因素</w:t>
            </w:r>
          </w:p>
        </w:tc>
        <w:tc>
          <w:tcPr>
            <w:tcW w:w="881" w:type="dxa"/>
            <w:vAlign w:val="center"/>
          </w:tcPr>
          <w:p>
            <w:pPr>
              <w:pStyle w:val="161"/>
              <w:snapToGrid w:val="0"/>
              <w:spacing w:before="100" w:beforeAutospacing="1" w:after="100" w:afterAutospacing="1"/>
              <w:jc w:val="center"/>
              <w:rPr>
                <w:rFonts w:ascii="宋体" w:hAnsi="宋体"/>
                <w:color w:val="auto"/>
              </w:rPr>
            </w:pPr>
            <w:r>
              <w:rPr>
                <w:rFonts w:hint="eastAsia" w:ascii="宋体" w:hAnsi="宋体"/>
                <w:color w:val="auto"/>
              </w:rPr>
              <w:t>分值</w:t>
            </w:r>
          </w:p>
        </w:tc>
        <w:tc>
          <w:tcPr>
            <w:tcW w:w="7121" w:type="dxa"/>
            <w:tcBorders>
              <w:top w:val="single" w:color="auto" w:sz="4" w:space="0"/>
              <w:bottom w:val="nil"/>
            </w:tcBorders>
            <w:vAlign w:val="center"/>
          </w:tcPr>
          <w:p>
            <w:pPr>
              <w:widowControl/>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31" w:type="dxa"/>
            <w:vAlign w:val="center"/>
          </w:tcPr>
          <w:p>
            <w:pPr>
              <w:pStyle w:val="161"/>
              <w:snapToGrid w:val="0"/>
              <w:spacing w:before="100" w:beforeAutospacing="1" w:after="100" w:afterAutospacing="1"/>
              <w:jc w:val="center"/>
              <w:rPr>
                <w:rFonts w:hint="default" w:ascii="宋体" w:hAnsi="宋体" w:eastAsiaTheme="minorEastAsia"/>
                <w:color w:val="auto"/>
                <w:lang w:val="en-US" w:eastAsia="zh-CN"/>
              </w:rPr>
            </w:pPr>
            <w:r>
              <w:rPr>
                <w:rFonts w:hint="eastAsia" w:ascii="宋体" w:hAnsi="宋体"/>
                <w:color w:val="auto"/>
                <w:lang w:eastAsia="zh-CN"/>
              </w:rPr>
              <w:t>报价得分</w:t>
            </w:r>
            <w:r>
              <w:rPr>
                <w:rFonts w:hint="eastAsia" w:ascii="宋体" w:hAnsi="宋体"/>
                <w:color w:val="auto"/>
                <w:lang w:val="en-US" w:eastAsia="zh-CN"/>
              </w:rPr>
              <w:t>30分</w:t>
            </w:r>
          </w:p>
        </w:tc>
        <w:tc>
          <w:tcPr>
            <w:tcW w:w="1327" w:type="dxa"/>
            <w:vAlign w:val="center"/>
          </w:tcPr>
          <w:p>
            <w:pPr>
              <w:pStyle w:val="161"/>
              <w:snapToGrid w:val="0"/>
              <w:spacing w:before="100" w:beforeAutospacing="1" w:after="100" w:afterAutospacing="1"/>
              <w:jc w:val="center"/>
              <w:rPr>
                <w:rFonts w:hint="eastAsia" w:ascii="宋体" w:hAnsi="宋体"/>
                <w:color w:val="auto"/>
              </w:rPr>
            </w:pPr>
          </w:p>
        </w:tc>
        <w:tc>
          <w:tcPr>
            <w:tcW w:w="881" w:type="dxa"/>
            <w:vAlign w:val="center"/>
          </w:tcPr>
          <w:p>
            <w:pPr>
              <w:pStyle w:val="161"/>
              <w:snapToGrid w:val="0"/>
              <w:spacing w:before="100" w:beforeAutospacing="1" w:after="100" w:afterAutospacing="1"/>
              <w:jc w:val="center"/>
              <w:rPr>
                <w:rFonts w:hint="default" w:ascii="宋体" w:hAnsi="宋体" w:eastAsiaTheme="minorEastAsia"/>
                <w:color w:val="auto"/>
                <w:lang w:val="en-US" w:eastAsia="zh-CN"/>
              </w:rPr>
            </w:pPr>
            <w:r>
              <w:rPr>
                <w:rFonts w:hint="eastAsia" w:ascii="宋体" w:hAnsi="宋体"/>
                <w:color w:val="auto"/>
                <w:lang w:val="en-US" w:eastAsia="zh-CN"/>
              </w:rPr>
              <w:t>30</w:t>
            </w:r>
          </w:p>
        </w:tc>
        <w:tc>
          <w:tcPr>
            <w:tcW w:w="7121" w:type="dxa"/>
            <w:tcBorders>
              <w:top w:val="single" w:color="auto" w:sz="4" w:space="0"/>
              <w:bottom w:val="nil"/>
            </w:tcBorders>
            <w:vAlign w:val="center"/>
          </w:tcPr>
          <w:p>
            <w:pPr>
              <w:widowControl/>
              <w:jc w:val="left"/>
              <w:rPr>
                <w:rFonts w:hint="eastAsia" w:ascii="宋体" w:hAnsi="宋体" w:cs="宋体"/>
                <w:color w:val="000000" w:themeColor="text1"/>
                <w:sz w:val="24"/>
                <w:szCs w:val="24"/>
                <w14:textFill>
                  <w14:solidFill>
                    <w14:schemeClr w14:val="tx1"/>
                  </w14:solidFill>
                </w14:textFill>
              </w:rPr>
            </w:pPr>
            <w:r>
              <w:rPr>
                <w:rFonts w:hint="eastAsia" w:ascii="宋体" w:hAnsi="宋体" w:eastAsia="宋体" w:cs="宋体"/>
                <w:i w:val="0"/>
                <w:iCs w:val="0"/>
                <w:color w:val="auto"/>
                <w:sz w:val="24"/>
                <w:szCs w:val="24"/>
                <w:highlight w:val="none"/>
                <w:u w:val="none"/>
              </w:rPr>
              <w:t>有效的投标报价中的最低价为评标基准价，按照下列公式计算每个投标人的投标价格得分。投标报价得分＝（评标基准价/投标报价）×价格权重×100。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631" w:type="dxa"/>
            <w:vMerge w:val="restart"/>
            <w:vAlign w:val="center"/>
          </w:tcPr>
          <w:p>
            <w:pPr>
              <w:pStyle w:val="161"/>
              <w:snapToGrid w:val="0"/>
              <w:spacing w:before="100" w:beforeAutospacing="1" w:after="100" w:afterAutospacing="1"/>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K2技术标</w:t>
            </w:r>
            <w:r>
              <w:rPr>
                <w:rFonts w:hint="eastAsia" w:ascii="宋体" w:hAnsi="宋体"/>
                <w:color w:val="000000" w:themeColor="text1"/>
                <w:lang w:val="en-US" w:eastAsia="zh-CN"/>
                <w14:textFill>
                  <w14:solidFill>
                    <w14:schemeClr w14:val="tx1"/>
                  </w14:solidFill>
                </w14:textFill>
              </w:rPr>
              <w:t>70</w:t>
            </w:r>
            <w:r>
              <w:rPr>
                <w:rFonts w:hint="eastAsia" w:ascii="宋体" w:hAnsi="宋体"/>
                <w:color w:val="000000" w:themeColor="text1"/>
                <w14:textFill>
                  <w14:solidFill>
                    <w14:schemeClr w14:val="tx1"/>
                  </w14:solidFill>
                </w14:textFill>
              </w:rPr>
              <w:t>分</w:t>
            </w:r>
          </w:p>
        </w:tc>
        <w:tc>
          <w:tcPr>
            <w:tcW w:w="1327" w:type="dxa"/>
            <w:vMerge w:val="restart"/>
            <w:vAlign w:val="center"/>
          </w:tcPr>
          <w:p>
            <w:pPr>
              <w:pStyle w:val="161"/>
              <w:snapToGrid w:val="0"/>
              <w:spacing w:before="100" w:beforeAutospacing="1" w:after="100" w:afterAutospacing="1"/>
              <w:jc w:val="center"/>
              <w:rPr>
                <w:rFonts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产品质量</w:t>
            </w:r>
          </w:p>
          <w:p>
            <w:pPr>
              <w:pStyle w:val="161"/>
              <w:snapToGrid w:val="0"/>
              <w:spacing w:before="100" w:beforeAutospacing="1" w:after="100" w:afterAutospacing="1"/>
              <w:jc w:val="center"/>
              <w:rPr>
                <w:rFonts w:ascii="宋体" w:hAnsi="宋体"/>
                <w:color w:val="000000" w:themeColor="text1"/>
                <w14:textFill>
                  <w14:solidFill>
                    <w14:schemeClr w14:val="tx1"/>
                  </w14:solidFill>
                </w14:textFill>
              </w:rPr>
            </w:pPr>
          </w:p>
        </w:tc>
        <w:tc>
          <w:tcPr>
            <w:tcW w:w="881" w:type="dxa"/>
            <w:vAlign w:val="center"/>
          </w:tcPr>
          <w:p>
            <w:pPr>
              <w:pStyle w:val="161"/>
              <w:snapToGrid w:val="0"/>
              <w:spacing w:before="100" w:beforeAutospacing="1" w:after="100" w:afterAutospacing="1"/>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0-20</w:t>
            </w:r>
          </w:p>
        </w:tc>
        <w:tc>
          <w:tcPr>
            <w:tcW w:w="7121" w:type="dxa"/>
            <w:vAlign w:val="center"/>
          </w:tcPr>
          <w:p>
            <w:pPr>
              <w:snapToGrid w:val="0"/>
              <w:spacing w:before="100" w:beforeAutospacing="1" w:after="100" w:afterAutospacing="1" w:line="3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投标方在应标过程中应充分考虑用户需求，在产品选型过程中， 提供的投标产品应是质量、性能优良，并满足 用户对产品质量、使用、等方面的需求，且是完全满 足招标文件技术参数和技术规格要求的产品，得基本分15 分； 经评审比较：所投产品的技术参数、质量和性能更优的， 可视评审意见情况加分，最多加 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631" w:type="dxa"/>
            <w:vMerge w:val="continue"/>
            <w:vAlign w:val="center"/>
          </w:tcPr>
          <w:p>
            <w:pPr>
              <w:pStyle w:val="161"/>
              <w:snapToGrid w:val="0"/>
              <w:spacing w:before="100" w:beforeAutospacing="1" w:after="100" w:afterAutospacing="1"/>
              <w:jc w:val="center"/>
              <w:rPr>
                <w:rFonts w:ascii="宋体" w:hAnsi="宋体"/>
                <w:color w:val="000000" w:themeColor="text1"/>
                <w14:textFill>
                  <w14:solidFill>
                    <w14:schemeClr w14:val="tx1"/>
                  </w14:solidFill>
                </w14:textFill>
              </w:rPr>
            </w:pPr>
          </w:p>
        </w:tc>
        <w:tc>
          <w:tcPr>
            <w:tcW w:w="1327" w:type="dxa"/>
            <w:vMerge w:val="restart"/>
            <w:vAlign w:val="center"/>
          </w:tcPr>
          <w:p>
            <w:pPr>
              <w:pStyle w:val="161"/>
              <w:snapToGrid w:val="0"/>
              <w:spacing w:before="100" w:beforeAutospacing="1" w:after="100" w:afterAutospacing="1"/>
              <w:jc w:val="center"/>
              <w:rPr>
                <w:rFonts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检测报告及本地售后</w:t>
            </w:r>
          </w:p>
          <w:p>
            <w:pPr>
              <w:pStyle w:val="161"/>
              <w:snapToGrid w:val="0"/>
              <w:spacing w:before="100" w:beforeAutospacing="1" w:after="100" w:afterAutospacing="1"/>
              <w:jc w:val="center"/>
              <w:rPr>
                <w:rFonts w:ascii="宋体" w:hAnsi="宋体"/>
                <w:color w:val="000000" w:themeColor="text1"/>
                <w14:textFill>
                  <w14:solidFill>
                    <w14:schemeClr w14:val="tx1"/>
                  </w14:solidFill>
                </w14:textFill>
              </w:rPr>
            </w:pPr>
          </w:p>
        </w:tc>
        <w:tc>
          <w:tcPr>
            <w:tcW w:w="881" w:type="dxa"/>
            <w:vAlign w:val="center"/>
          </w:tcPr>
          <w:p>
            <w:pPr>
              <w:pStyle w:val="161"/>
              <w:snapToGrid w:val="0"/>
              <w:spacing w:before="100" w:beforeAutospacing="1" w:after="100" w:afterAutospacing="1"/>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0～16</w:t>
            </w:r>
          </w:p>
        </w:tc>
        <w:tc>
          <w:tcPr>
            <w:tcW w:w="7121" w:type="dxa"/>
            <w:vAlign w:val="center"/>
          </w:tcPr>
          <w:p>
            <w:pPr>
              <w:snapToGrid w:val="0"/>
              <w:spacing w:before="100" w:beforeAutospacing="1" w:after="100" w:afterAutospacing="1" w:line="300" w:lineRule="exact"/>
              <w:rPr>
                <w:rFonts w:hint="default" w:ascii="宋体" w:hAnsi="宋体" w:eastAsia="宋体" w:cs="宋体"/>
                <w:color w:val="000000"/>
                <w:kern w:val="2"/>
                <w:sz w:val="21"/>
                <w:szCs w:val="21"/>
                <w:lang w:val="en-US" w:eastAsia="zh-CN" w:bidi="ar-SA"/>
              </w:rPr>
            </w:pPr>
            <w:r>
              <w:rPr>
                <w:rFonts w:hint="eastAsia" w:ascii="宋体" w:hAnsi="宋体" w:cs="宋体"/>
                <w:color w:val="000000" w:themeColor="text1"/>
                <w:sz w:val="24"/>
                <w:szCs w:val="24"/>
                <w:lang w:val="en-US" w:eastAsia="zh-CN"/>
                <w14:textFill>
                  <w14:solidFill>
                    <w14:schemeClr w14:val="tx1"/>
                  </w14:solidFill>
                </w14:textFill>
              </w:rPr>
              <w:t>提供了产品的检测或检验报告或合格证明等材料10分；在本地有售后地点（需提供房屋租赁合同或公司营业执照）6分。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631" w:type="dxa"/>
            <w:vMerge w:val="continue"/>
            <w:vAlign w:val="center"/>
          </w:tcPr>
          <w:p>
            <w:pPr>
              <w:pStyle w:val="161"/>
              <w:snapToGrid w:val="0"/>
              <w:spacing w:before="100" w:beforeAutospacing="1" w:after="100" w:afterAutospacing="1"/>
              <w:jc w:val="center"/>
              <w:rPr>
                <w:rFonts w:ascii="宋体" w:hAnsi="宋体"/>
                <w:color w:val="000000" w:themeColor="text1"/>
                <w14:textFill>
                  <w14:solidFill>
                    <w14:schemeClr w14:val="tx1"/>
                  </w14:solidFill>
                </w14:textFill>
              </w:rPr>
            </w:pPr>
          </w:p>
        </w:tc>
        <w:tc>
          <w:tcPr>
            <w:tcW w:w="1327" w:type="dxa"/>
            <w:vMerge w:val="restart"/>
            <w:vAlign w:val="center"/>
          </w:tcPr>
          <w:p>
            <w:pPr>
              <w:pStyle w:val="161"/>
              <w:snapToGrid w:val="0"/>
              <w:spacing w:before="100" w:beforeAutospacing="1" w:after="100" w:afterAutospacing="1"/>
              <w:jc w:val="both"/>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项目实施 方案及计划</w:t>
            </w:r>
          </w:p>
          <w:p>
            <w:pPr>
              <w:pStyle w:val="161"/>
              <w:snapToGrid w:val="0"/>
              <w:spacing w:before="100" w:beforeAutospacing="1" w:after="100" w:afterAutospacing="1"/>
              <w:jc w:val="both"/>
              <w:rPr>
                <w:rFonts w:ascii="宋体" w:hAnsi="宋体"/>
                <w:color w:val="000000" w:themeColor="text1"/>
                <w:highlight w:val="cyan"/>
                <w14:textFill>
                  <w14:solidFill>
                    <w14:schemeClr w14:val="tx1"/>
                  </w14:solidFill>
                </w14:textFill>
              </w:rPr>
            </w:pPr>
          </w:p>
        </w:tc>
        <w:tc>
          <w:tcPr>
            <w:tcW w:w="881" w:type="dxa"/>
            <w:vAlign w:val="center"/>
          </w:tcPr>
          <w:p>
            <w:pPr>
              <w:pStyle w:val="161"/>
              <w:snapToGrid w:val="0"/>
              <w:spacing w:before="100" w:beforeAutospacing="1" w:after="100" w:afterAutospacing="1"/>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0-13</w:t>
            </w:r>
          </w:p>
        </w:tc>
        <w:tc>
          <w:tcPr>
            <w:tcW w:w="7121" w:type="dxa"/>
            <w:vAlign w:val="center"/>
          </w:tcPr>
          <w:p>
            <w:pPr>
              <w:snapToGrid w:val="0"/>
              <w:spacing w:before="100" w:beforeAutospacing="1" w:after="100" w:afterAutospacing="1" w:line="300" w:lineRule="exact"/>
              <w:rPr>
                <w:rFonts w:hint="eastAsia" w:ascii="宋体" w:hAnsi="宋体" w:eastAsia="宋体" w:cs="宋体"/>
                <w:color w:val="000000"/>
                <w:kern w:val="2"/>
                <w:sz w:val="21"/>
                <w:szCs w:val="21"/>
                <w:lang w:val="en-US" w:eastAsia="zh-CN" w:bidi="ar-SA"/>
              </w:rPr>
            </w:pPr>
            <w:r>
              <w:rPr>
                <w:rFonts w:hint="eastAsia" w:ascii="宋体" w:hAnsi="宋体" w:cs="宋体"/>
                <w:color w:val="000000" w:themeColor="text1"/>
                <w:sz w:val="24"/>
                <w:szCs w:val="24"/>
                <w:lang w:val="en-US" w:eastAsia="zh-CN"/>
                <w14:textFill>
                  <w14:solidFill>
                    <w14:schemeClr w14:val="tx1"/>
                  </w14:solidFill>
                </w14:textFill>
              </w:rPr>
              <w:t xml:space="preserve">根据投标人项目实施方案是否科学、合理、完善等进行综合打分。 实施方案须具备完善的供货计划及人员（列明相关的管理人员情 况），符合实际情况的实施计划、质量保障措施、科学有效的管 理、运输配送体系齐全，人员配备合理等。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31" w:type="dxa"/>
            <w:vMerge w:val="continue"/>
            <w:vAlign w:val="center"/>
          </w:tcPr>
          <w:p>
            <w:pPr>
              <w:pStyle w:val="161"/>
              <w:snapToGrid w:val="0"/>
              <w:spacing w:before="100" w:beforeAutospacing="1" w:after="100" w:afterAutospacing="1"/>
              <w:jc w:val="center"/>
              <w:rPr>
                <w:rFonts w:ascii="宋体" w:hAnsi="宋体"/>
                <w:color w:val="000000" w:themeColor="text1"/>
                <w14:textFill>
                  <w14:solidFill>
                    <w14:schemeClr w14:val="tx1"/>
                  </w14:solidFill>
                </w14:textFill>
              </w:rPr>
            </w:pPr>
          </w:p>
        </w:tc>
        <w:tc>
          <w:tcPr>
            <w:tcW w:w="1327" w:type="dxa"/>
            <w:vMerge w:val="restart"/>
            <w:vAlign w:val="center"/>
          </w:tcPr>
          <w:p>
            <w:pPr>
              <w:pStyle w:val="161"/>
              <w:snapToGrid w:val="0"/>
              <w:spacing w:before="100" w:beforeAutospacing="1" w:after="100" w:afterAutospacing="1"/>
              <w:jc w:val="center"/>
              <w:rPr>
                <w:rFonts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 xml:space="preserve">样品 </w:t>
            </w:r>
          </w:p>
          <w:p>
            <w:pPr>
              <w:pStyle w:val="161"/>
              <w:snapToGrid w:val="0"/>
              <w:spacing w:before="100" w:beforeAutospacing="1" w:after="100" w:afterAutospacing="1"/>
              <w:jc w:val="center"/>
              <w:rPr>
                <w:rFonts w:ascii="宋体" w:hAnsi="宋体"/>
                <w:color w:val="000000" w:themeColor="text1"/>
                <w14:textFill>
                  <w14:solidFill>
                    <w14:schemeClr w14:val="tx1"/>
                  </w14:solidFill>
                </w14:textFill>
              </w:rPr>
            </w:pPr>
          </w:p>
        </w:tc>
        <w:tc>
          <w:tcPr>
            <w:tcW w:w="881" w:type="dxa"/>
            <w:vAlign w:val="center"/>
          </w:tcPr>
          <w:p>
            <w:pPr>
              <w:pStyle w:val="161"/>
              <w:snapToGrid w:val="0"/>
              <w:spacing w:before="100" w:beforeAutospacing="1" w:after="100" w:afterAutospacing="1"/>
              <w:jc w:val="center"/>
              <w:rPr>
                <w:rFonts w:hint="default" w:ascii="宋体" w:hAnsi="宋体" w:eastAsia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0-10</w:t>
            </w:r>
          </w:p>
        </w:tc>
        <w:tc>
          <w:tcPr>
            <w:tcW w:w="7121" w:type="dxa"/>
            <w:vAlign w:val="center"/>
          </w:tcPr>
          <w:p>
            <w:pPr>
              <w:snapToGrid w:val="0"/>
              <w:spacing w:before="100" w:beforeAutospacing="1" w:after="100" w:afterAutospacing="1" w:line="300" w:lineRule="exact"/>
              <w:rPr>
                <w:rFonts w:hint="eastAsia" w:ascii="宋体" w:hAnsi="宋体" w:eastAsia="宋体" w:cs="宋体"/>
                <w:color w:val="000000"/>
                <w:kern w:val="2"/>
                <w:sz w:val="21"/>
                <w:szCs w:val="21"/>
                <w:lang w:val="en-US" w:eastAsia="zh-CN" w:bidi="ar-SA"/>
              </w:rPr>
            </w:pPr>
            <w:r>
              <w:rPr>
                <w:rFonts w:hint="eastAsia" w:ascii="宋体" w:hAnsi="宋体" w:cs="宋体"/>
                <w:color w:val="000000" w:themeColor="text1"/>
                <w:sz w:val="24"/>
                <w:szCs w:val="24"/>
                <w:lang w:val="en-US" w:eastAsia="zh-CN"/>
                <w14:textFill>
                  <w14:solidFill>
                    <w14:schemeClr w14:val="tx1"/>
                  </w14:solidFill>
                </w14:textFill>
              </w:rPr>
              <w:t xml:space="preserve">对样品的颜色、光泽、硬度等的综合评审。 未提供样品的，本项不得分。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1" w:type="dxa"/>
            <w:vMerge w:val="continue"/>
            <w:vAlign w:val="center"/>
          </w:tcPr>
          <w:p>
            <w:pPr>
              <w:pStyle w:val="161"/>
              <w:snapToGrid w:val="0"/>
              <w:spacing w:before="100" w:beforeAutospacing="1" w:after="100" w:afterAutospacing="1"/>
              <w:jc w:val="center"/>
              <w:rPr>
                <w:rFonts w:ascii="宋体" w:hAnsi="宋体"/>
                <w:color w:val="000000" w:themeColor="text1"/>
                <w14:textFill>
                  <w14:solidFill>
                    <w14:schemeClr w14:val="tx1"/>
                  </w14:solidFill>
                </w14:textFill>
              </w:rPr>
            </w:pPr>
          </w:p>
        </w:tc>
        <w:tc>
          <w:tcPr>
            <w:tcW w:w="1327" w:type="dxa"/>
            <w:vAlign w:val="center"/>
          </w:tcPr>
          <w:p>
            <w:pPr>
              <w:pStyle w:val="161"/>
              <w:snapToGrid w:val="0"/>
              <w:spacing w:before="100" w:beforeAutospacing="1" w:after="100" w:afterAutospacing="1"/>
              <w:jc w:val="center"/>
              <w:rPr>
                <w:rFonts w:ascii="宋体" w:hAnsi="宋体"/>
                <w:color w:val="000000" w:themeColor="text1"/>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相关业绩</w:t>
            </w:r>
          </w:p>
          <w:p>
            <w:pPr>
              <w:pStyle w:val="161"/>
              <w:snapToGrid w:val="0"/>
              <w:spacing w:before="100" w:beforeAutospacing="1" w:after="100" w:afterAutospacing="1"/>
              <w:jc w:val="center"/>
              <w:rPr>
                <w:rFonts w:ascii="宋体" w:hAnsi="宋体"/>
                <w:color w:val="000000" w:themeColor="text1"/>
                <w14:textFill>
                  <w14:solidFill>
                    <w14:schemeClr w14:val="tx1"/>
                  </w14:solidFill>
                </w14:textFill>
              </w:rPr>
            </w:pPr>
          </w:p>
        </w:tc>
        <w:tc>
          <w:tcPr>
            <w:tcW w:w="881" w:type="dxa"/>
            <w:vAlign w:val="center"/>
          </w:tcPr>
          <w:p>
            <w:pPr>
              <w:pStyle w:val="161"/>
              <w:snapToGrid w:val="0"/>
              <w:spacing w:before="100" w:beforeAutospacing="1" w:after="100" w:afterAutospacing="1"/>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0-10</w:t>
            </w:r>
          </w:p>
        </w:tc>
        <w:tc>
          <w:tcPr>
            <w:tcW w:w="7121" w:type="dxa"/>
            <w:vAlign w:val="center"/>
          </w:tcPr>
          <w:p>
            <w:pPr>
              <w:snapToGrid w:val="0"/>
              <w:spacing w:before="100" w:beforeAutospacing="1" w:after="100" w:afterAutospacing="1" w:line="30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投标人近三年(20</w:t>
            </w:r>
            <w:r>
              <w:rPr>
                <w:rFonts w:hint="eastAsia" w:ascii="宋体" w:hAnsi="宋体" w:cs="宋体"/>
                <w:color w:val="000000" w:themeColor="text1"/>
                <w:kern w:val="2"/>
                <w:sz w:val="24"/>
                <w:szCs w:val="24"/>
                <w:lang w:val="en-US" w:eastAsia="zh-CN" w:bidi="ar-SA"/>
                <w14:textFill>
                  <w14:solidFill>
                    <w14:schemeClr w14:val="tx1"/>
                  </w14:solidFill>
                </w14:textFill>
              </w:rPr>
              <w:t>19</w:t>
            </w:r>
            <w:r>
              <w:rPr>
                <w:rFonts w:hint="eastAsia" w:ascii="宋体" w:hAnsi="宋体" w:eastAsia="宋体" w:cs="宋体"/>
                <w:color w:val="000000" w:themeColor="text1"/>
                <w:kern w:val="2"/>
                <w:sz w:val="24"/>
                <w:szCs w:val="24"/>
                <w:lang w:val="en-US" w:eastAsia="zh-CN" w:bidi="ar-SA"/>
                <w14:textFill>
                  <w14:solidFill>
                    <w14:schemeClr w14:val="tx1"/>
                  </w14:solidFill>
                </w14:textFill>
              </w:rPr>
              <w:t>年9月1日至今)已完成类似项目业绩；每提供 1项类似项目有效业绩的加2分，本项最多加</w:t>
            </w:r>
            <w:r>
              <w:rPr>
                <w:rFonts w:hint="eastAsia" w:ascii="宋体" w:hAnsi="宋体" w:cs="宋体"/>
                <w:color w:val="000000" w:themeColor="text1"/>
                <w:kern w:val="2"/>
                <w:sz w:val="24"/>
                <w:szCs w:val="24"/>
                <w:lang w:val="en-US" w:eastAsia="zh-CN" w:bidi="ar-SA"/>
                <w14:textFill>
                  <w14:solidFill>
                    <w14:schemeClr w14:val="tx1"/>
                  </w14:solidFill>
                </w14:textFill>
              </w:rPr>
              <w:t>10</w:t>
            </w:r>
            <w:r>
              <w:rPr>
                <w:rFonts w:hint="eastAsia" w:ascii="宋体" w:hAnsi="宋体" w:eastAsia="宋体" w:cs="宋体"/>
                <w:color w:val="000000" w:themeColor="text1"/>
                <w:kern w:val="2"/>
                <w:sz w:val="24"/>
                <w:szCs w:val="24"/>
                <w:lang w:val="en-US" w:eastAsia="zh-CN" w:bidi="ar-SA"/>
                <w14:textFill>
                  <w14:solidFill>
                    <w14:schemeClr w14:val="tx1"/>
                  </w14:solidFill>
                </w14:textFill>
              </w:rPr>
              <w:t xml:space="preserve">分； 注：业绩证明材料详见投标人须知前附表，未提供业绩证明材料 或是经评标委员会认定未无效业绩的，本项不得分。 有效业绩的认定标准：详见投标人须知前附表。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631" w:type="dxa"/>
            <w:vMerge w:val="continue"/>
            <w:vAlign w:val="center"/>
          </w:tcPr>
          <w:p>
            <w:pPr>
              <w:pStyle w:val="161"/>
              <w:snapToGrid w:val="0"/>
              <w:spacing w:before="100" w:beforeAutospacing="1" w:after="100" w:afterAutospacing="1"/>
              <w:jc w:val="center"/>
              <w:rPr>
                <w:rFonts w:ascii="宋体" w:hAnsi="宋体"/>
                <w:color w:val="auto"/>
              </w:rPr>
            </w:pPr>
          </w:p>
        </w:tc>
        <w:tc>
          <w:tcPr>
            <w:tcW w:w="1327" w:type="dxa"/>
            <w:vAlign w:val="center"/>
          </w:tcPr>
          <w:p>
            <w:pPr>
              <w:pStyle w:val="161"/>
              <w:snapToGrid w:val="0"/>
              <w:spacing w:before="100" w:beforeAutospacing="1" w:after="100" w:afterAutospacing="1"/>
              <w:jc w:val="center"/>
              <w:rPr>
                <w:rFonts w:ascii="宋体" w:hAnsi="宋体"/>
                <w:color w:val="auto"/>
              </w:rPr>
            </w:pPr>
            <w:r>
              <w:rPr>
                <w:rFonts w:hint="eastAsia" w:ascii="宋体" w:hAnsi="宋体"/>
                <w:color w:val="auto"/>
              </w:rPr>
              <w:t>标函质量</w:t>
            </w:r>
          </w:p>
        </w:tc>
        <w:tc>
          <w:tcPr>
            <w:tcW w:w="881" w:type="dxa"/>
            <w:vAlign w:val="center"/>
          </w:tcPr>
          <w:p>
            <w:pPr>
              <w:pStyle w:val="161"/>
              <w:snapToGrid w:val="0"/>
              <w:spacing w:before="100" w:beforeAutospacing="1" w:after="100" w:afterAutospacing="1"/>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0～1</w:t>
            </w:r>
          </w:p>
        </w:tc>
        <w:tc>
          <w:tcPr>
            <w:tcW w:w="7121" w:type="dxa"/>
            <w:vAlign w:val="center"/>
          </w:tcPr>
          <w:p>
            <w:pPr>
              <w:snapToGrid w:val="0"/>
              <w:spacing w:before="100" w:beforeAutospacing="1" w:after="100" w:afterAutospacing="1" w:line="30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根据标函目录、页码指向准确，内容无涂改、错页、漏页现象， 装订规范，统一侧面胶装等情况进行综合评审。</w:t>
            </w:r>
          </w:p>
          <w:p>
            <w:pPr>
              <w:snapToGrid w:val="0"/>
              <w:spacing w:before="100" w:beforeAutospacing="1" w:after="100" w:afterAutospacing="1" w:line="30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p>
        </w:tc>
      </w:tr>
    </w:tbl>
    <w:p>
      <w:pPr>
        <w:pStyle w:val="2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23.9.2.1 对于投标报价的评分，按以下方法进行：</w:t>
      </w:r>
    </w:p>
    <w:p>
      <w:pPr>
        <w:pStyle w:val="2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a.评标委员会对进入投标报价评分的投标人的投标报价进行评审，主要评审是否有计算错误、缺漏项、投标报价合理性等，并对其投标报价进行修正。</w:t>
      </w:r>
    </w:p>
    <w:p>
      <w:pPr>
        <w:pStyle w:val="2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b.确定评标基准价：最低报价为评标基准价。</w:t>
      </w:r>
    </w:p>
    <w:p>
      <w:pPr>
        <w:pStyle w:val="2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投标报价评审：</w:t>
      </w:r>
    </w:p>
    <w:p>
      <w:pPr>
        <w:pStyle w:val="2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评标委员会对投标报价评审按照下述评标方法进行评定。</w:t>
      </w:r>
    </w:p>
    <w:p>
      <w:pPr>
        <w:pStyle w:val="2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投标报价得分=（评标基准价/投标报价）×100</w:t>
      </w:r>
    </w:p>
    <w:p>
      <w:pPr>
        <w:pStyle w:val="2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总得分=经济标得分×K1+技术标得分×K2</w:t>
      </w:r>
    </w:p>
    <w:p>
      <w:pPr>
        <w:pStyle w:val="2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评标委员会按照投标人最终得分由高到底顺序确定出各投标人排名顺序。</w:t>
      </w:r>
    </w:p>
    <w:p>
      <w:pPr>
        <w:pStyle w:val="2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23.9.2.2 在价格评审中，若评标委员会发现投标人以明显低于市场或成本的价格投标，而投标人又未在投标文件中提供有力证据证明其报价合理的，评标委员会可以认定该投标以低于成本的价格投标。被认定为低于成本价格的投标文件将按废标处理。</w:t>
      </w:r>
    </w:p>
    <w:p>
      <w:pPr>
        <w:pStyle w:val="2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23.9.2.3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国内业绩应当考虑投标企业近三年的类似销售业绩，以确定投标人类似项目的经验及组织管理能力等。</w:t>
      </w:r>
    </w:p>
    <w:p>
      <w:pPr>
        <w:pStyle w:val="2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23.9.3 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中标候选人。</w:t>
      </w:r>
    </w:p>
    <w:p>
      <w:pPr>
        <w:pStyle w:val="2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23.9.4 最低报价不作为中标的唯一依据。招标人不承诺将合同授予报价最低的投标人。</w:t>
      </w:r>
    </w:p>
    <w:p>
      <w:pPr>
        <w:pStyle w:val="2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23.9.5 经评标委员会评议，认为所有投标报价过高、并且超出了招标人承受能力的项目，可以不确立中标人，做为流标处理。</w:t>
      </w:r>
    </w:p>
    <w:p>
      <w:pPr>
        <w:pStyle w:val="29"/>
        <w:rPr>
          <w:rFonts w:hint="eastAsia" w:ascii="宋体" w:hAnsi="宋体" w:eastAsia="宋体" w:cs="宋体"/>
          <w:color w:val="auto"/>
          <w:kern w:val="2"/>
          <w:sz w:val="24"/>
          <w:szCs w:val="24"/>
          <w:highlight w:val="none"/>
          <w:lang w:val="en-US" w:eastAsia="zh-CN" w:bidi="ar-SA"/>
        </w:rPr>
      </w:pPr>
    </w:p>
    <w:p>
      <w:pPr>
        <w:pStyle w:val="29"/>
        <w:rPr>
          <w:rFonts w:hint="eastAsia" w:ascii="宋体" w:hAnsi="宋体" w:eastAsia="宋体" w:cs="宋体"/>
          <w:color w:val="auto"/>
          <w:kern w:val="2"/>
          <w:sz w:val="24"/>
          <w:szCs w:val="24"/>
          <w:highlight w:val="none"/>
          <w:lang w:val="en-US" w:eastAsia="zh-CN" w:bidi="ar-SA"/>
        </w:rPr>
      </w:pPr>
    </w:p>
    <w:p>
      <w:pPr>
        <w:pStyle w:val="29"/>
        <w:rPr>
          <w:rFonts w:hint="eastAsia"/>
        </w:rPr>
      </w:pPr>
    </w:p>
    <w:p>
      <w:pPr>
        <w:pStyle w:val="29"/>
        <w:rPr>
          <w:rFonts w:hint="eastAsia"/>
        </w:rPr>
      </w:pPr>
    </w:p>
    <w:p>
      <w:pPr>
        <w:pStyle w:val="29"/>
        <w:rPr>
          <w:rFonts w:hint="eastAsia"/>
        </w:rPr>
      </w:pPr>
    </w:p>
    <w:p>
      <w:pPr>
        <w:pStyle w:val="29"/>
        <w:rPr>
          <w:rFonts w:hint="eastAsia"/>
        </w:rPr>
      </w:pPr>
    </w:p>
    <w:p>
      <w:pPr>
        <w:pStyle w:val="29"/>
        <w:rPr>
          <w:rFonts w:hint="eastAsia"/>
        </w:rPr>
      </w:pPr>
    </w:p>
    <w:p>
      <w:pPr>
        <w:spacing w:line="360" w:lineRule="auto"/>
        <w:rPr>
          <w:rFonts w:hint="eastAsia" w:ascii="宋体" w:hAnsi="宋体" w:eastAsia="宋体" w:cs="宋体"/>
          <w:color w:val="auto"/>
          <w:sz w:val="28"/>
          <w:szCs w:val="28"/>
          <w:highlight w:val="none"/>
        </w:rPr>
      </w:pPr>
      <w:bookmarkStart w:id="144" w:name="EBa48645eff2ee4582a36f886367fb689c"/>
      <w:bookmarkEnd w:id="144"/>
      <w:bookmarkStart w:id="145" w:name="EBd94eec444fd142b58a162bbb861e5405"/>
      <w:r>
        <w:rPr>
          <w:rFonts w:hint="eastAsia" w:ascii="宋体" w:hAnsi="宋体" w:eastAsia="宋体" w:cs="宋体"/>
          <w:color w:val="auto"/>
          <w:sz w:val="28"/>
          <w:szCs w:val="28"/>
          <w:highlight w:val="none"/>
        </w:rPr>
        <w:t xml:space="preserve"> </w:t>
      </w:r>
      <w:bookmarkEnd w:id="145"/>
    </w:p>
    <w:p>
      <w:pPr>
        <w:pStyle w:val="10"/>
        <w:tabs>
          <w:tab w:val="left" w:pos="0"/>
        </w:tabs>
        <w:spacing w:line="360" w:lineRule="auto"/>
        <w:ind w:left="0" w:leftChars="0" w:firstLine="0" w:firstLineChars="0"/>
        <w:jc w:val="center"/>
        <w:outlineLvl w:val="0"/>
        <w:rPr>
          <w:rFonts w:hint="eastAsia" w:ascii="宋体" w:hAnsi="宋体" w:eastAsia="宋体" w:cs="宋体"/>
          <w:b/>
          <w:color w:val="auto"/>
          <w:sz w:val="36"/>
          <w:szCs w:val="36"/>
          <w:highlight w:val="none"/>
        </w:rPr>
      </w:pPr>
      <w:r>
        <w:rPr>
          <w:rFonts w:hint="eastAsia" w:ascii="宋体" w:hAnsi="宋体" w:eastAsia="宋体" w:cs="宋体"/>
          <w:color w:val="auto"/>
          <w:sz w:val="28"/>
          <w:szCs w:val="28"/>
          <w:highlight w:val="none"/>
        </w:rPr>
        <w:br w:type="page"/>
      </w:r>
      <w:bookmarkStart w:id="146" w:name="_Toc503463635"/>
      <w:bookmarkStart w:id="147" w:name="_Toc28450"/>
      <w:r>
        <w:rPr>
          <w:rFonts w:hint="eastAsia" w:ascii="宋体" w:hAnsi="宋体" w:eastAsia="宋体" w:cs="宋体"/>
          <w:b/>
          <w:color w:val="auto"/>
          <w:sz w:val="36"/>
          <w:szCs w:val="36"/>
          <w:highlight w:val="none"/>
        </w:rPr>
        <w:t>第五</w:t>
      </w:r>
      <w:r>
        <w:rPr>
          <w:rFonts w:hint="eastAsia" w:ascii="宋体" w:hAnsi="宋体" w:cs="宋体"/>
          <w:b/>
          <w:color w:val="auto"/>
          <w:sz w:val="36"/>
          <w:szCs w:val="36"/>
          <w:highlight w:val="none"/>
          <w:lang w:val="en-US" w:eastAsia="zh-CN"/>
        </w:rPr>
        <w:t>章</w:t>
      </w:r>
      <w:r>
        <w:rPr>
          <w:rFonts w:hint="eastAsia" w:ascii="宋体" w:hAnsi="宋体" w:eastAsia="宋体" w:cs="宋体"/>
          <w:b/>
          <w:color w:val="auto"/>
          <w:sz w:val="36"/>
          <w:szCs w:val="36"/>
          <w:highlight w:val="none"/>
        </w:rPr>
        <w:t xml:space="preserve">   政府采购合同</w:t>
      </w:r>
      <w:bookmarkEnd w:id="146"/>
      <w:bookmarkEnd w:id="147"/>
    </w:p>
    <w:p>
      <w:pPr>
        <w:spacing w:line="360" w:lineRule="auto"/>
        <w:rPr>
          <w:rFonts w:hint="eastAsia" w:ascii="宋体" w:hAnsi="宋体" w:eastAsia="宋体" w:cs="宋体"/>
          <w:color w:val="auto"/>
          <w:sz w:val="28"/>
          <w:szCs w:val="28"/>
          <w:highlight w:val="none"/>
        </w:rPr>
      </w:pPr>
      <w:bookmarkStart w:id="148" w:name="EB835308aa585640bcbdb7859c5d572516"/>
    </w:p>
    <w:p>
      <w:pPr>
        <w:pStyle w:val="75"/>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一、合同格式：</w:t>
      </w:r>
    </w:p>
    <w:p>
      <w:pPr>
        <w:pStyle w:val="75"/>
        <w:spacing w:line="360" w:lineRule="auto"/>
        <w:jc w:val="center"/>
        <w:rPr>
          <w:rFonts w:hint="eastAsia" w:ascii="宋体" w:hAnsi="宋体" w:eastAsia="宋体" w:cs="宋体"/>
          <w:b/>
          <w:color w:val="auto"/>
          <w:sz w:val="24"/>
          <w:szCs w:val="24"/>
          <w:highlight w:val="none"/>
        </w:rPr>
      </w:pPr>
    </w:p>
    <w:p>
      <w:pPr>
        <w:pStyle w:val="75"/>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政府采购合同</w:t>
      </w:r>
    </w:p>
    <w:p>
      <w:pPr>
        <w:pStyle w:val="75"/>
        <w:spacing w:line="360" w:lineRule="auto"/>
        <w:jc w:val="center"/>
        <w:rPr>
          <w:rFonts w:hint="eastAsia" w:ascii="宋体" w:hAnsi="宋体" w:eastAsia="宋体" w:cs="宋体"/>
          <w:b/>
          <w:color w:val="auto"/>
          <w:sz w:val="24"/>
          <w:szCs w:val="24"/>
          <w:highlight w:val="none"/>
        </w:rPr>
      </w:pPr>
    </w:p>
    <w:p>
      <w:pPr>
        <w:pStyle w:val="75"/>
        <w:spacing w:line="360" w:lineRule="auto"/>
        <w:jc w:val="center"/>
        <w:rPr>
          <w:rFonts w:hint="eastAsia" w:ascii="宋体" w:hAnsi="宋体" w:eastAsia="宋体" w:cs="宋体"/>
          <w:b/>
          <w:color w:val="auto"/>
          <w:sz w:val="24"/>
          <w:szCs w:val="24"/>
          <w:highlight w:val="none"/>
        </w:rPr>
      </w:pPr>
    </w:p>
    <w:p>
      <w:pPr>
        <w:pStyle w:val="75"/>
        <w:spacing w:line="360" w:lineRule="auto"/>
        <w:jc w:val="center"/>
        <w:rPr>
          <w:rFonts w:hint="eastAsia" w:ascii="宋体" w:hAnsi="宋体" w:eastAsia="宋体" w:cs="宋体"/>
          <w:b/>
          <w:color w:val="auto"/>
          <w:sz w:val="24"/>
          <w:szCs w:val="24"/>
          <w:highlight w:val="none"/>
        </w:rPr>
      </w:pPr>
    </w:p>
    <w:p>
      <w:pPr>
        <w:pStyle w:val="75"/>
        <w:spacing w:line="360" w:lineRule="auto"/>
        <w:ind w:firstLine="1197" w:firstLineChars="49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r>
        <w:rPr>
          <w:rFonts w:hint="eastAsia" w:ascii="宋体" w:hAnsi="宋体" w:eastAsia="宋体" w:cs="宋体"/>
          <w:b/>
          <w:color w:val="auto"/>
          <w:sz w:val="24"/>
          <w:szCs w:val="24"/>
          <w:highlight w:val="none"/>
          <w:u w:val="single"/>
        </w:rPr>
        <w:t xml:space="preserve">                    </w:t>
      </w:r>
    </w:p>
    <w:p>
      <w:pPr>
        <w:pStyle w:val="75"/>
        <w:spacing w:before="312" w:beforeLines="100" w:line="360" w:lineRule="auto"/>
        <w:ind w:firstLine="1197" w:firstLineChars="497"/>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项目编号:</w:t>
      </w:r>
      <w:r>
        <w:rPr>
          <w:rFonts w:hint="eastAsia" w:ascii="宋体" w:hAnsi="宋体" w:eastAsia="宋体" w:cs="宋体"/>
          <w:b/>
          <w:color w:val="auto"/>
          <w:sz w:val="24"/>
          <w:szCs w:val="24"/>
          <w:highlight w:val="none"/>
          <w:u w:val="single"/>
        </w:rPr>
        <w:t xml:space="preserve">                    </w:t>
      </w:r>
    </w:p>
    <w:p>
      <w:pPr>
        <w:pStyle w:val="75"/>
        <w:spacing w:before="312" w:beforeLines="100" w:line="360" w:lineRule="auto"/>
        <w:ind w:firstLine="1197" w:firstLineChars="497"/>
        <w:rPr>
          <w:rFonts w:hint="eastAsia" w:ascii="宋体" w:hAnsi="宋体" w:eastAsia="宋体" w:cs="宋体"/>
          <w:b/>
          <w:color w:val="auto"/>
          <w:sz w:val="24"/>
          <w:szCs w:val="24"/>
          <w:highlight w:val="none"/>
          <w:u w:val="single"/>
        </w:rPr>
      </w:pPr>
      <w:r>
        <w:rPr>
          <w:rFonts w:hint="eastAsia" w:ascii="宋体" w:hAnsi="宋体" w:eastAsia="宋体" w:cs="宋体"/>
          <w:b/>
          <w:bCs/>
          <w:color w:val="auto"/>
          <w:kern w:val="0"/>
          <w:sz w:val="24"/>
          <w:szCs w:val="24"/>
          <w:highlight w:val="none"/>
        </w:rPr>
        <w:t>合同编号:</w:t>
      </w:r>
      <w:r>
        <w:rPr>
          <w:rFonts w:hint="eastAsia" w:ascii="宋体" w:hAnsi="宋体" w:eastAsia="宋体" w:cs="宋体"/>
          <w:b/>
          <w:color w:val="auto"/>
          <w:sz w:val="24"/>
          <w:szCs w:val="24"/>
          <w:highlight w:val="none"/>
          <w:u w:val="single"/>
        </w:rPr>
        <w:t xml:space="preserve">                    </w:t>
      </w:r>
    </w:p>
    <w:p>
      <w:pPr>
        <w:pStyle w:val="75"/>
        <w:spacing w:before="312" w:beforeLines="100" w:line="360" w:lineRule="auto"/>
        <w:jc w:val="center"/>
        <w:rPr>
          <w:rFonts w:hint="eastAsia" w:ascii="宋体" w:hAnsi="宋体" w:eastAsia="宋体" w:cs="宋体"/>
          <w:b/>
          <w:color w:val="auto"/>
          <w:sz w:val="24"/>
          <w:szCs w:val="24"/>
          <w:highlight w:val="none"/>
          <w:u w:val="single"/>
        </w:rPr>
      </w:pPr>
    </w:p>
    <w:p>
      <w:pPr>
        <w:pStyle w:val="75"/>
        <w:spacing w:before="312" w:beforeLines="100" w:line="360" w:lineRule="auto"/>
        <w:jc w:val="center"/>
        <w:rPr>
          <w:rFonts w:hint="eastAsia" w:ascii="宋体" w:hAnsi="宋体" w:eastAsia="宋体" w:cs="宋体"/>
          <w:b/>
          <w:color w:val="auto"/>
          <w:sz w:val="24"/>
          <w:szCs w:val="24"/>
          <w:highlight w:val="none"/>
          <w:u w:val="single"/>
        </w:rPr>
      </w:pPr>
    </w:p>
    <w:p>
      <w:pPr>
        <w:pStyle w:val="75"/>
        <w:spacing w:before="312" w:beforeLines="100" w:line="360" w:lineRule="auto"/>
        <w:jc w:val="center"/>
        <w:rPr>
          <w:rFonts w:hint="eastAsia" w:ascii="宋体" w:hAnsi="宋体" w:eastAsia="宋体" w:cs="宋体"/>
          <w:b/>
          <w:color w:val="auto"/>
          <w:sz w:val="24"/>
          <w:szCs w:val="24"/>
          <w:highlight w:val="none"/>
          <w:u w:val="single"/>
        </w:rPr>
      </w:pPr>
    </w:p>
    <w:p>
      <w:pPr>
        <w:pStyle w:val="75"/>
        <w:spacing w:before="312" w:beforeLines="100" w:line="360" w:lineRule="auto"/>
        <w:jc w:val="center"/>
        <w:rPr>
          <w:rFonts w:hint="eastAsia" w:ascii="宋体" w:hAnsi="宋体" w:eastAsia="宋体" w:cs="宋体"/>
          <w:b/>
          <w:color w:val="auto"/>
          <w:sz w:val="24"/>
          <w:szCs w:val="24"/>
          <w:highlight w:val="none"/>
          <w:u w:val="single"/>
        </w:rPr>
      </w:pPr>
    </w:p>
    <w:p>
      <w:pPr>
        <w:pStyle w:val="75"/>
        <w:spacing w:line="360" w:lineRule="auto"/>
        <w:ind w:firstLine="1205" w:firstLineChars="5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    方:</w:t>
      </w:r>
      <w:r>
        <w:rPr>
          <w:rFonts w:hint="eastAsia" w:ascii="宋体" w:hAnsi="宋体" w:eastAsia="宋体" w:cs="宋体"/>
          <w:b/>
          <w:color w:val="auto"/>
          <w:sz w:val="24"/>
          <w:szCs w:val="24"/>
          <w:highlight w:val="none"/>
          <w:u w:val="single"/>
        </w:rPr>
        <w:t xml:space="preserve">                    </w:t>
      </w:r>
    </w:p>
    <w:p>
      <w:pPr>
        <w:pStyle w:val="75"/>
        <w:spacing w:before="312" w:beforeLines="100" w:line="360" w:lineRule="auto"/>
        <w:ind w:firstLine="1205" w:firstLineChars="500"/>
        <w:rPr>
          <w:rFonts w:hint="eastAsia" w:ascii="宋体" w:hAnsi="宋体" w:eastAsia="宋体" w:cs="宋体"/>
          <w:b/>
          <w:color w:val="auto"/>
          <w:kern w:val="0"/>
          <w:sz w:val="24"/>
          <w:szCs w:val="24"/>
          <w:highlight w:val="none"/>
          <w:u w:val="single"/>
        </w:rPr>
      </w:pPr>
      <w:r>
        <w:rPr>
          <w:rFonts w:hint="eastAsia" w:ascii="宋体" w:hAnsi="宋体" w:eastAsia="宋体" w:cs="宋体"/>
          <w:b/>
          <w:color w:val="auto"/>
          <w:sz w:val="24"/>
          <w:szCs w:val="24"/>
          <w:highlight w:val="none"/>
        </w:rPr>
        <w:t>乙    方:</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
          <w:color w:val="auto"/>
          <w:kern w:val="0"/>
          <w:sz w:val="24"/>
          <w:szCs w:val="24"/>
          <w:highlight w:val="none"/>
          <w:u w:val="single"/>
        </w:rPr>
        <w:br w:type="page"/>
      </w:r>
    </w:p>
    <w:p>
      <w:pPr>
        <w:pStyle w:val="75"/>
        <w:spacing w:before="312" w:beforeLines="10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（甲方）所需</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(项目名称)经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以</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（项目编号）招标文件在国内以公开招标方式进行采购。经评标委员会确定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（乙方）为中标人。甲、乙双方根据《中华人民共和国政府采购法》、《中华人民共和国合同法》等相关法律以及本项目招标文件的规定，经平等协商达成合同如下：</w:t>
      </w:r>
    </w:p>
    <w:p>
      <w:pPr>
        <w:pStyle w:val="75"/>
        <w:widowControl/>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一、合同文件</w:t>
      </w:r>
    </w:p>
    <w:p>
      <w:pPr>
        <w:pStyle w:val="75"/>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本合同所附下列文件是构成本合同不可分割的部分：</w:t>
      </w:r>
    </w:p>
    <w:p>
      <w:pPr>
        <w:pStyle w:val="75"/>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（一）本项目招标文件</w:t>
      </w:r>
    </w:p>
    <w:p>
      <w:pPr>
        <w:pStyle w:val="75"/>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（二）中标人投标文件</w:t>
      </w:r>
    </w:p>
    <w:p>
      <w:pPr>
        <w:pStyle w:val="75"/>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（三）合同格式、合同条款</w:t>
      </w:r>
    </w:p>
    <w:p>
      <w:pPr>
        <w:pStyle w:val="75"/>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（四）中标人在评标过程中做出的有关澄清、说明或者补正文件</w:t>
      </w:r>
    </w:p>
    <w:p>
      <w:pPr>
        <w:pStyle w:val="75"/>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（五）中标通知书</w:t>
      </w:r>
    </w:p>
    <w:p>
      <w:pPr>
        <w:pStyle w:val="75"/>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（六）本合同附件</w:t>
      </w:r>
    </w:p>
    <w:p>
      <w:pPr>
        <w:pStyle w:val="75"/>
        <w:widowControl/>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二、合同的范围和条件</w:t>
      </w:r>
    </w:p>
    <w:p>
      <w:pPr>
        <w:pStyle w:val="75"/>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本合同的范围和条件应与上述合同文件的规定相一致。</w:t>
      </w:r>
    </w:p>
    <w:p>
      <w:pPr>
        <w:pStyle w:val="75"/>
        <w:widowControl/>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三、货物、数量及规格</w:t>
      </w:r>
    </w:p>
    <w:p>
      <w:pPr>
        <w:pStyle w:val="75"/>
        <w:widowControl/>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本合同所提供的货物、数量及规格详见合同货物清单（附件一）（同投标文件中报价明细表，下同）。</w:t>
      </w:r>
    </w:p>
    <w:p>
      <w:pPr>
        <w:pStyle w:val="75"/>
        <w:widowControl/>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四、合同金额</w:t>
      </w:r>
    </w:p>
    <w:p>
      <w:pPr>
        <w:pStyle w:val="75"/>
        <w:widowControl/>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根据上述合同文件要求，合同金额为人民币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。（分项价格详见合同货物清单）。</w:t>
      </w:r>
    </w:p>
    <w:p>
      <w:pPr>
        <w:pStyle w:val="75"/>
        <w:widowControl/>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乙方开户单位：</w:t>
      </w:r>
    </w:p>
    <w:p>
      <w:pPr>
        <w:pStyle w:val="75"/>
        <w:widowControl/>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帐号：</w:t>
      </w:r>
    </w:p>
    <w:p>
      <w:pPr>
        <w:pStyle w:val="75"/>
        <w:widowControl/>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五、付款途径</w:t>
      </w:r>
    </w:p>
    <w:p>
      <w:pPr>
        <w:pStyle w:val="75"/>
        <w:widowControl/>
        <w:snapToGrid w:val="0"/>
        <w:spacing w:line="360"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国库集中支付   □甲方支付    □ 国库与甲方共同支付</w:t>
      </w:r>
    </w:p>
    <w:p>
      <w:pPr>
        <w:pStyle w:val="75"/>
        <w:widowControl/>
        <w:snapToGrid w:val="0"/>
        <w:spacing w:line="360"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财政性资金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          □ 自筹性资金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pPr>
        <w:pStyle w:val="75"/>
        <w:widowControl/>
        <w:snapToGrid w:val="0"/>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六、付款方式</w:t>
      </w:r>
      <w:r>
        <w:rPr>
          <w:rFonts w:hint="eastAsia" w:ascii="宋体" w:hAnsi="宋体" w:eastAsia="宋体" w:cs="宋体"/>
          <w:b/>
          <w:bCs/>
          <w:color w:val="auto"/>
          <w:sz w:val="24"/>
          <w:szCs w:val="24"/>
          <w:highlight w:val="none"/>
          <w:lang w:val="en-US" w:eastAsia="zh-CN"/>
        </w:rPr>
        <w:t>及备注说明</w:t>
      </w:r>
    </w:p>
    <w:p>
      <w:pPr>
        <w:pStyle w:val="75"/>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付款方式：</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u w:val="single"/>
        </w:rPr>
        <w:t>；</w:t>
      </w:r>
    </w:p>
    <w:p>
      <w:pPr>
        <w:pStyle w:val="75"/>
        <w:spacing w:line="360" w:lineRule="auto"/>
        <w:ind w:firstLine="480" w:firstLineChars="200"/>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lang w:val="en-US" w:eastAsia="zh-CN"/>
        </w:rPr>
        <w:t>备注：1、合同签订后根据采购人需求供货并验收完毕；验收时产生的费用由供应商支付。2、</w:t>
      </w:r>
      <w:r>
        <w:rPr>
          <w:rFonts w:hint="eastAsia" w:ascii="宋体" w:hAnsi="宋体" w:cs="宋体"/>
          <w:color w:val="auto"/>
          <w:spacing w:val="0"/>
          <w:kern w:val="2"/>
          <w:position w:val="0"/>
          <w:sz w:val="24"/>
          <w:szCs w:val="24"/>
          <w:highlight w:val="none"/>
          <w:lang w:val="en-US" w:eastAsia="zh-CN" w:bidi="ar-SA"/>
        </w:rPr>
        <w:t>供货产品的剩余有效期不得低于总效期的三分之二，若甲方使用前发现所供物资出现技术参数不满足要求、破损、临期产品，中标供应商负责免费跟换。</w:t>
      </w:r>
      <w:r>
        <w:rPr>
          <w:rFonts w:hint="eastAsia" w:ascii="宋体" w:hAnsi="宋体" w:eastAsia="宋体" w:cs="宋体"/>
          <w:color w:val="auto"/>
          <w:spacing w:val="0"/>
          <w:sz w:val="24"/>
          <w:szCs w:val="24"/>
          <w:highlight w:val="none"/>
          <w:u w:val="none"/>
          <w:lang w:val="en-US" w:eastAsia="zh-CN"/>
        </w:rPr>
        <w:t>；</w:t>
      </w:r>
    </w:p>
    <w:p>
      <w:pPr>
        <w:pStyle w:val="75"/>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七、交付日期、地点</w:t>
      </w:r>
    </w:p>
    <w:p>
      <w:pPr>
        <w:pStyle w:val="7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1、交付日期：合同签订后根据采购人需求供货</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验收完毕。</w:t>
      </w:r>
    </w:p>
    <w:p>
      <w:pPr>
        <w:pStyle w:val="75"/>
        <w:tabs>
          <w:tab w:val="left" w:pos="955"/>
        </w:tabs>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2、交付地点：</w:t>
      </w:r>
      <w:r>
        <w:rPr>
          <w:rFonts w:hint="eastAsia" w:ascii="宋体" w:hAnsi="宋体" w:eastAsia="宋体" w:cs="宋体"/>
          <w:color w:val="auto"/>
          <w:sz w:val="24"/>
          <w:szCs w:val="24"/>
          <w:highlight w:val="none"/>
          <w:u w:val="single"/>
        </w:rPr>
        <w:t>采购人指定地点。</w:t>
      </w:r>
    </w:p>
    <w:p>
      <w:pPr>
        <w:pStyle w:val="75"/>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八、履约保证金</w:t>
      </w:r>
    </w:p>
    <w:p>
      <w:pPr>
        <w:pStyle w:val="7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履约保证金在项目交付验收合格无质量问题后，填写《履约保证金退付表》、《政府采购项目验收单》和资金往来收款收据20个工作日内退还。</w:t>
      </w:r>
    </w:p>
    <w:p>
      <w:pPr>
        <w:pStyle w:val="75"/>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九、合同生效</w:t>
      </w:r>
    </w:p>
    <w:p>
      <w:pPr>
        <w:pStyle w:val="7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本合同经甲乙双方签字盖章，乙方提交履约保证金后，经新疆</w:t>
      </w:r>
      <w:r>
        <w:rPr>
          <w:rFonts w:hint="eastAsia" w:ascii="宋体" w:hAnsi="宋体" w:eastAsia="宋体" w:cs="宋体"/>
          <w:color w:val="auto"/>
          <w:sz w:val="24"/>
          <w:szCs w:val="24"/>
          <w:highlight w:val="none"/>
          <w:lang w:val="en-US" w:eastAsia="zh-CN"/>
        </w:rPr>
        <w:t>政采云</w:t>
      </w:r>
      <w:r>
        <w:rPr>
          <w:rFonts w:hint="eastAsia" w:ascii="宋体" w:hAnsi="宋体" w:eastAsia="宋体" w:cs="宋体"/>
          <w:color w:val="auto"/>
          <w:sz w:val="24"/>
          <w:szCs w:val="24"/>
          <w:highlight w:val="none"/>
        </w:rPr>
        <w:t>备案后生效。</w:t>
      </w:r>
    </w:p>
    <w:p>
      <w:pPr>
        <w:pStyle w:val="75"/>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十、合同保存</w:t>
      </w:r>
    </w:p>
    <w:p>
      <w:pPr>
        <w:pStyle w:val="7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本合同一式五份，甲方一份，乙方一份，方同级财政部门两份。</w:t>
      </w:r>
    </w:p>
    <w:p>
      <w:pPr>
        <w:pStyle w:val="75"/>
        <w:spacing w:line="360" w:lineRule="auto"/>
        <w:ind w:firstLine="480" w:firstLineChars="200"/>
        <w:rPr>
          <w:rFonts w:hint="eastAsia" w:ascii="宋体" w:hAnsi="宋体" w:eastAsia="宋体" w:cs="宋体"/>
          <w:color w:val="auto"/>
          <w:sz w:val="24"/>
          <w:szCs w:val="24"/>
          <w:highlight w:val="none"/>
        </w:rPr>
      </w:pPr>
    </w:p>
    <w:p>
      <w:pPr>
        <w:pStyle w:val="75"/>
        <w:spacing w:line="360" w:lineRule="auto"/>
        <w:ind w:firstLine="480" w:firstLineChars="200"/>
        <w:rPr>
          <w:rFonts w:hint="eastAsia" w:ascii="宋体" w:hAnsi="宋体" w:eastAsia="宋体" w:cs="宋体"/>
          <w:color w:val="auto"/>
          <w:sz w:val="24"/>
          <w:szCs w:val="24"/>
          <w:highlight w:val="none"/>
        </w:rPr>
      </w:pPr>
    </w:p>
    <w:p>
      <w:pPr>
        <w:pStyle w:val="75"/>
        <w:spacing w:line="360" w:lineRule="auto"/>
        <w:ind w:firstLine="723" w:firstLine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    方：                            乙    方：</w:t>
      </w:r>
    </w:p>
    <w:p>
      <w:pPr>
        <w:pStyle w:val="75"/>
        <w:spacing w:line="360" w:lineRule="auto"/>
        <w:ind w:firstLine="723" w:firstLineChars="300"/>
        <w:rPr>
          <w:rFonts w:hint="eastAsia" w:ascii="宋体" w:hAnsi="宋体" w:eastAsia="宋体" w:cs="宋体"/>
          <w:b/>
          <w:color w:val="auto"/>
          <w:sz w:val="24"/>
          <w:szCs w:val="24"/>
          <w:highlight w:val="none"/>
        </w:rPr>
      </w:pPr>
    </w:p>
    <w:p>
      <w:pPr>
        <w:pStyle w:val="75"/>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                      单位名称(公章)：</w:t>
      </w:r>
    </w:p>
    <w:p>
      <w:pPr>
        <w:pStyle w:val="75"/>
        <w:spacing w:line="360" w:lineRule="auto"/>
        <w:rPr>
          <w:rFonts w:hint="eastAsia" w:ascii="宋体" w:hAnsi="宋体" w:eastAsia="宋体" w:cs="宋体"/>
          <w:color w:val="auto"/>
          <w:sz w:val="24"/>
          <w:szCs w:val="24"/>
          <w:highlight w:val="none"/>
        </w:rPr>
      </w:pPr>
    </w:p>
    <w:p>
      <w:pPr>
        <w:pStyle w:val="75"/>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法定代表人或授权代理人：（签字）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法定代表人或授权代理人：（签字）</w:t>
      </w:r>
    </w:p>
    <w:p>
      <w:pPr>
        <w:pStyle w:val="75"/>
        <w:spacing w:line="360" w:lineRule="auto"/>
        <w:rPr>
          <w:rFonts w:hint="eastAsia" w:ascii="宋体" w:hAnsi="宋体" w:eastAsia="宋体" w:cs="宋体"/>
          <w:color w:val="auto"/>
          <w:sz w:val="24"/>
          <w:szCs w:val="24"/>
          <w:highlight w:val="none"/>
        </w:rPr>
      </w:pPr>
    </w:p>
    <w:p>
      <w:pPr>
        <w:pStyle w:val="75"/>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    话：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w:t>
      </w:r>
    </w:p>
    <w:p>
      <w:pPr>
        <w:pStyle w:val="75"/>
        <w:spacing w:line="360" w:lineRule="auto"/>
        <w:ind w:firstLine="720" w:firstLineChars="300"/>
        <w:rPr>
          <w:rFonts w:hint="eastAsia" w:ascii="宋体" w:hAnsi="宋体" w:eastAsia="宋体" w:cs="宋体"/>
          <w:color w:val="auto"/>
          <w:sz w:val="24"/>
          <w:szCs w:val="24"/>
          <w:highlight w:val="none"/>
        </w:rPr>
      </w:pPr>
    </w:p>
    <w:p>
      <w:pPr>
        <w:pStyle w:val="75"/>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签订日期：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签订日期：</w:t>
      </w:r>
    </w:p>
    <w:p>
      <w:pPr>
        <w:pStyle w:val="75"/>
        <w:spacing w:line="360" w:lineRule="auto"/>
        <w:rPr>
          <w:rFonts w:hint="eastAsia" w:ascii="宋体" w:hAnsi="宋体" w:eastAsia="宋体" w:cs="宋体"/>
          <w:b/>
          <w:color w:val="auto"/>
          <w:sz w:val="28"/>
          <w:szCs w:val="28"/>
          <w:highlight w:val="none"/>
        </w:rPr>
      </w:pPr>
    </w:p>
    <w:p>
      <w:pPr>
        <w:pStyle w:val="75"/>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kern w:val="0"/>
          <w:sz w:val="28"/>
          <w:szCs w:val="28"/>
          <w:highlight w:val="none"/>
        </w:rPr>
        <w:br w:type="page"/>
      </w:r>
      <w:r>
        <w:rPr>
          <w:rFonts w:hint="eastAsia" w:ascii="宋体" w:hAnsi="宋体" w:eastAsia="宋体" w:cs="宋体"/>
          <w:b/>
          <w:color w:val="auto"/>
          <w:sz w:val="24"/>
          <w:szCs w:val="24"/>
          <w:highlight w:val="none"/>
        </w:rPr>
        <w:t>二、合同条款</w:t>
      </w:r>
    </w:p>
    <w:p>
      <w:pPr>
        <w:pStyle w:val="7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甲方在本项目中所需货物和服</w:t>
      </w:r>
      <w:r>
        <w:rPr>
          <w:rFonts w:hint="eastAsia" w:ascii="宋体" w:hAnsi="宋体" w:eastAsia="宋体" w:cs="宋体"/>
          <w:color w:val="auto"/>
          <w:sz w:val="24"/>
          <w:szCs w:val="24"/>
          <w:highlight w:val="none"/>
          <w:u w:val="none"/>
        </w:rPr>
        <w:t>务由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none"/>
        </w:rPr>
        <w:t>在国</w:t>
      </w:r>
      <w:r>
        <w:rPr>
          <w:rFonts w:hint="eastAsia" w:ascii="宋体" w:hAnsi="宋体" w:eastAsia="宋体" w:cs="宋体"/>
          <w:color w:val="auto"/>
          <w:sz w:val="24"/>
          <w:szCs w:val="24"/>
          <w:highlight w:val="none"/>
        </w:rPr>
        <w:t xml:space="preserve">内进行公开招标，经评标委员会评定，确定乙方为中标人。甲乙双方根据《中华人民共和国政府采购法》、《中华人民共和国合同法》等相关法律法规以及本项目招标文件的规定，经平等协商达成合同如下： </w:t>
      </w:r>
      <w:bookmarkStart w:id="149" w:name="_Toc175644041"/>
      <w:bookmarkStart w:id="150" w:name="_Toc86202594"/>
    </w:p>
    <w:p>
      <w:pPr>
        <w:pStyle w:val="75"/>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一、定义</w:t>
      </w:r>
      <w:bookmarkEnd w:id="149"/>
      <w:bookmarkEnd w:id="150"/>
    </w:p>
    <w:p>
      <w:pPr>
        <w:pStyle w:val="7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除非另有特别解释或说明，在本合同及与本合同相关的，双方另行签署的其他文件（包括但不限于本合同的附件）中，下述词语均依如下定义进行解释：</w:t>
      </w:r>
    </w:p>
    <w:p>
      <w:pPr>
        <w:pStyle w:val="75"/>
        <w:tabs>
          <w:tab w:val="left" w:pos="360"/>
          <w:tab w:val="left" w:pos="201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1、“合同”指甲乙双方签署的，与本项目相关的协议、附件、附录和其他一切文件，还包括招标文件、投标文件中的相关内容及其有效补充文件。</w:t>
      </w:r>
    </w:p>
    <w:p>
      <w:pPr>
        <w:pStyle w:val="75"/>
        <w:tabs>
          <w:tab w:val="left" w:pos="360"/>
          <w:tab w:val="left" w:pos="201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2、“附件”是指与本合同的订立、履行有关的，经甲乙双方认可的，对本合同约定的内容进行细化、补充、修改、变更的文件、图纸、音像制品等资料。</w:t>
      </w:r>
    </w:p>
    <w:p>
      <w:pPr>
        <w:pStyle w:val="75"/>
        <w:tabs>
          <w:tab w:val="left" w:pos="360"/>
          <w:tab w:val="left" w:pos="201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3、“货物”指合同货物清单（附件1）（同投标文件中货物明细表，下同）中所规定的硬件、软件、安装材料、备件及专用器具、文件资料等内容。</w:t>
      </w:r>
    </w:p>
    <w:p>
      <w:pPr>
        <w:pStyle w:val="75"/>
        <w:tabs>
          <w:tab w:val="left" w:pos="360"/>
          <w:tab w:val="left" w:pos="201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pPr>
        <w:pStyle w:val="75"/>
        <w:tabs>
          <w:tab w:val="left" w:pos="360"/>
          <w:tab w:val="left" w:pos="201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5、“检验”指按照本合同约定的标准对合同货物进行的检测与查验。</w:t>
      </w:r>
    </w:p>
    <w:p>
      <w:pPr>
        <w:pStyle w:val="75"/>
        <w:tabs>
          <w:tab w:val="left" w:pos="360"/>
          <w:tab w:val="left" w:pos="201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6、“政府采购项目验收单”指甲、乙双方验收完成后由合同双方签署的最终验收确认书。</w:t>
      </w:r>
    </w:p>
    <w:p>
      <w:pPr>
        <w:pStyle w:val="75"/>
        <w:tabs>
          <w:tab w:val="left" w:pos="360"/>
          <w:tab w:val="left" w:pos="201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7、“技术资料”指安装、调试、使用、维修合同货物所应具备的产品使用说明书和／或使用指南、操作手册、维修指南、服务手册、电路图、产品演示等文件。</w:t>
      </w:r>
    </w:p>
    <w:p>
      <w:pPr>
        <w:pStyle w:val="75"/>
        <w:tabs>
          <w:tab w:val="left" w:pos="36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8、“保修期”指自验收单签署之日起，乙方免费对所卖给甲方货物更换整件或零部件，维修、保养及技术支持、产品升级并以自担费用方式保证项目正常运行的时期。</w:t>
      </w:r>
    </w:p>
    <w:p>
      <w:pPr>
        <w:pStyle w:val="75"/>
        <w:tabs>
          <w:tab w:val="left" w:pos="360"/>
          <w:tab w:val="left" w:pos="201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9、“第三人”是指本合同双方以外的任何中国境内、外的自然人、法人或其他经济组织。</w:t>
      </w:r>
    </w:p>
    <w:p>
      <w:pPr>
        <w:pStyle w:val="75"/>
        <w:tabs>
          <w:tab w:val="left" w:pos="480"/>
          <w:tab w:val="left" w:pos="201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10、“法律、法规”是指由中国有关部门制定的法律、行政法规、地方性法规、规章及其他规范性文件以及经全国人民代表大会常务委员会批准的中国缔结、参加的国际条（公）约的有关规定。</w:t>
      </w:r>
    </w:p>
    <w:p>
      <w:pPr>
        <w:pStyle w:val="75"/>
        <w:tabs>
          <w:tab w:val="left" w:pos="480"/>
          <w:tab w:val="left" w:pos="201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11、“招标文件”指采购代理机构发布的本项目招标文件。</w:t>
      </w:r>
    </w:p>
    <w:p>
      <w:pPr>
        <w:pStyle w:val="75"/>
        <w:tabs>
          <w:tab w:val="left" w:pos="480"/>
          <w:tab w:val="left" w:pos="201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12、“投标文件”指乙方按照本项目招标文件的要求编制和投递，并最终经采购代理机构接收的投标文件。</w:t>
      </w:r>
    </w:p>
    <w:p>
      <w:pPr>
        <w:pStyle w:val="75"/>
        <w:spacing w:line="360" w:lineRule="auto"/>
        <w:ind w:firstLine="501" w:firstLineChars="208"/>
        <w:rPr>
          <w:rFonts w:hint="eastAsia" w:ascii="宋体" w:hAnsi="宋体" w:eastAsia="宋体" w:cs="宋体"/>
          <w:b/>
          <w:bCs/>
          <w:color w:val="auto"/>
          <w:sz w:val="24"/>
          <w:szCs w:val="24"/>
          <w:highlight w:val="none"/>
        </w:rPr>
      </w:pPr>
      <w:bookmarkStart w:id="151" w:name="_Toc175644043"/>
      <w:bookmarkStart w:id="152" w:name="_Toc86202595"/>
      <w:r>
        <w:rPr>
          <w:rFonts w:hint="eastAsia" w:ascii="宋体" w:hAnsi="宋体" w:eastAsia="宋体" w:cs="宋体"/>
          <w:b/>
          <w:bCs/>
          <w:color w:val="auto"/>
          <w:sz w:val="24"/>
          <w:szCs w:val="24"/>
          <w:highlight w:val="none"/>
        </w:rPr>
        <w:t>二、货物、数量及规格</w:t>
      </w:r>
    </w:p>
    <w:p>
      <w:pPr>
        <w:pStyle w:val="7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本合同所提供的货物、数量及规格详见合同货物清单（附件一）（同投标文件中报价明细表）。</w:t>
      </w:r>
    </w:p>
    <w:p>
      <w:pPr>
        <w:pStyle w:val="75"/>
        <w:tabs>
          <w:tab w:val="left" w:pos="480"/>
          <w:tab w:val="left" w:pos="1413"/>
        </w:tabs>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三、合同价格</w:t>
      </w:r>
      <w:bookmarkEnd w:id="151"/>
      <w:bookmarkEnd w:id="152"/>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1、合同金额详见合同格式。</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3、合同货物详细目录及销售价格详见合同格式附件1合同货物清单（同投标文件中报价明细表）。</w:t>
      </w:r>
      <w:bookmarkStart w:id="153" w:name="_Toc86202596"/>
      <w:bookmarkStart w:id="154" w:name="_Toc175644044"/>
    </w:p>
    <w:p>
      <w:pPr>
        <w:pStyle w:val="75"/>
        <w:tabs>
          <w:tab w:val="left" w:pos="480"/>
          <w:tab w:val="left" w:pos="1413"/>
        </w:tabs>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w:t>
      </w:r>
      <w:bookmarkEnd w:id="153"/>
      <w:bookmarkEnd w:id="154"/>
      <w:r>
        <w:rPr>
          <w:rFonts w:hint="eastAsia" w:ascii="宋体" w:hAnsi="宋体" w:eastAsia="宋体" w:cs="宋体"/>
          <w:b/>
          <w:color w:val="auto"/>
          <w:sz w:val="24"/>
          <w:szCs w:val="24"/>
          <w:highlight w:val="none"/>
        </w:rPr>
        <w:t>付款</w:t>
      </w:r>
    </w:p>
    <w:p>
      <w:pPr>
        <w:pStyle w:val="75"/>
        <w:tabs>
          <w:tab w:val="left" w:pos="360"/>
          <w:tab w:val="left" w:pos="480"/>
          <w:tab w:val="left" w:pos="84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1、双方因本合同发生的一切费用均以人民币结算及支付。</w:t>
      </w:r>
    </w:p>
    <w:p>
      <w:pPr>
        <w:pStyle w:val="75"/>
        <w:tabs>
          <w:tab w:val="left" w:pos="360"/>
          <w:tab w:val="left" w:pos="480"/>
          <w:tab w:val="left" w:pos="84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2、双方的帐户名称、开户银行及帐号以本合同提供的为准。</w:t>
      </w:r>
    </w:p>
    <w:p>
      <w:pPr>
        <w:pStyle w:val="75"/>
        <w:tabs>
          <w:tab w:val="left" w:pos="360"/>
          <w:tab w:val="left" w:pos="480"/>
          <w:tab w:val="left" w:pos="84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pacing w:val="-6"/>
          <w:sz w:val="24"/>
          <w:szCs w:val="24"/>
          <w:highlight w:val="none"/>
        </w:rPr>
        <w:t>付款途径：按照招标文件第二</w:t>
      </w:r>
      <w:r>
        <w:rPr>
          <w:rFonts w:hint="eastAsia" w:ascii="宋体" w:hAnsi="宋体" w:eastAsia="宋体" w:cs="宋体"/>
          <w:bCs/>
          <w:color w:val="auto"/>
          <w:spacing w:val="-6"/>
          <w:sz w:val="24"/>
          <w:szCs w:val="24"/>
          <w:highlight w:val="none"/>
        </w:rPr>
        <w:t>部分“投标人须知前附表”第27项的规定。</w:t>
      </w:r>
    </w:p>
    <w:p>
      <w:pPr>
        <w:pStyle w:val="76"/>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6"/>
          <w:sz w:val="24"/>
          <w:szCs w:val="24"/>
          <w:highlight w:val="none"/>
        </w:rPr>
        <w:t>、付款方式：按照招标文件第二</w:t>
      </w:r>
      <w:r>
        <w:rPr>
          <w:rFonts w:hint="eastAsia" w:ascii="宋体" w:hAnsi="宋体" w:eastAsia="宋体" w:cs="宋体"/>
          <w:bCs/>
          <w:color w:val="auto"/>
          <w:spacing w:val="-6"/>
          <w:sz w:val="24"/>
          <w:szCs w:val="24"/>
          <w:highlight w:val="none"/>
        </w:rPr>
        <w:t>部分“投标人须知前附表”第28项的规定。</w:t>
      </w:r>
    </w:p>
    <w:p>
      <w:pPr>
        <w:pStyle w:val="75"/>
        <w:tabs>
          <w:tab w:val="left" w:pos="360"/>
          <w:tab w:val="left" w:pos="480"/>
          <w:tab w:val="left" w:pos="840"/>
          <w:tab w:val="left" w:pos="1413"/>
        </w:tabs>
        <w:spacing w:line="360" w:lineRule="auto"/>
        <w:ind w:firstLine="480" w:firstLineChars="200"/>
        <w:rPr>
          <w:rFonts w:hint="eastAsia" w:ascii="宋体" w:hAnsi="宋体" w:eastAsia="宋体" w:cs="宋体"/>
          <w:color w:val="auto"/>
          <w:sz w:val="24"/>
          <w:szCs w:val="24"/>
          <w:highlight w:val="none"/>
        </w:rPr>
      </w:pPr>
      <w:bookmarkStart w:id="155" w:name="_Toc86202597"/>
      <w:r>
        <w:rPr>
          <w:rFonts w:hint="eastAsia" w:ascii="宋体" w:hAnsi="宋体" w:eastAsia="宋体" w:cs="宋体"/>
          <w:color w:val="auto"/>
          <w:sz w:val="24"/>
          <w:szCs w:val="24"/>
          <w:highlight w:val="none"/>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pPr>
        <w:pStyle w:val="75"/>
        <w:tabs>
          <w:tab w:val="left" w:pos="360"/>
          <w:tab w:val="left" w:pos="480"/>
          <w:tab w:val="left" w:pos="84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6、甲方直接与乙方付款结算，采购代理机构不对其付款承担连带责任或任何其它责任，在任何情形下乙方亦只能直接向甲方追索而不应当向采购代理机构追索。</w:t>
      </w:r>
    </w:p>
    <w:p>
      <w:pPr>
        <w:pStyle w:val="75"/>
        <w:tabs>
          <w:tab w:val="left" w:pos="480"/>
          <w:tab w:val="left" w:pos="1413"/>
        </w:tabs>
        <w:spacing w:line="360" w:lineRule="auto"/>
        <w:ind w:firstLine="482" w:firstLineChars="200"/>
        <w:rPr>
          <w:rFonts w:hint="eastAsia" w:ascii="宋体" w:hAnsi="宋体" w:eastAsia="宋体" w:cs="宋体"/>
          <w:b/>
          <w:color w:val="auto"/>
          <w:sz w:val="24"/>
          <w:szCs w:val="24"/>
          <w:highlight w:val="none"/>
        </w:rPr>
      </w:pPr>
      <w:bookmarkStart w:id="156" w:name="_Toc175644045"/>
      <w:r>
        <w:rPr>
          <w:rFonts w:hint="eastAsia" w:ascii="宋体" w:hAnsi="宋体" w:eastAsia="宋体" w:cs="宋体"/>
          <w:b/>
          <w:color w:val="auto"/>
          <w:sz w:val="24"/>
          <w:szCs w:val="24"/>
          <w:highlight w:val="none"/>
        </w:rPr>
        <w:t>五、</w:t>
      </w:r>
      <w:bookmarkEnd w:id="155"/>
      <w:bookmarkEnd w:id="156"/>
      <w:r>
        <w:rPr>
          <w:rFonts w:hint="eastAsia" w:ascii="宋体" w:hAnsi="宋体" w:eastAsia="宋体" w:cs="宋体"/>
          <w:b/>
          <w:color w:val="auto"/>
          <w:sz w:val="24"/>
          <w:szCs w:val="24"/>
          <w:highlight w:val="none"/>
        </w:rPr>
        <w:t>交付</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1、乙方负责办理运输和保险，将货物运抵交货地点。有关运输、保险和装卸等一切相关的费用由乙方承担。</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2、货物应运至甲方指定地点，并卸至甲方指定位置，开箱清点及初步检验时双方应派人员参加。</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3、所有货物运抵现场并且安装完毕经检验合格交付甲方，该日期为交付日期。双方签署交付收货单后为交付完毕。交付完毕货物所有权发生转移，此前货物毁坏的风险由乙方承担。</w:t>
      </w:r>
    </w:p>
    <w:p>
      <w:pPr>
        <w:pStyle w:val="75"/>
        <w:tabs>
          <w:tab w:val="left" w:pos="360"/>
          <w:tab w:val="left" w:pos="480"/>
          <w:tab w:val="left" w:pos="1413"/>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6"/>
          <w:sz w:val="24"/>
          <w:szCs w:val="24"/>
          <w:highlight w:val="none"/>
        </w:rPr>
        <w:t>交付日期：按照招标文件第二</w:t>
      </w:r>
      <w:r>
        <w:rPr>
          <w:rFonts w:hint="eastAsia" w:ascii="宋体" w:hAnsi="宋体" w:eastAsia="宋体" w:cs="宋体"/>
          <w:bCs/>
          <w:color w:val="auto"/>
          <w:spacing w:val="-6"/>
          <w:sz w:val="24"/>
          <w:szCs w:val="24"/>
          <w:highlight w:val="none"/>
        </w:rPr>
        <w:t>部分“投标人须知前附表”第29项的规定。</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pacing w:val="-6"/>
          <w:sz w:val="24"/>
          <w:szCs w:val="24"/>
          <w:highlight w:val="none"/>
        </w:rPr>
        <w:t>交付地点</w:t>
      </w:r>
      <w:bookmarkStart w:id="157" w:name="_Toc86202598"/>
      <w:bookmarkStart w:id="158" w:name="_Toc175644046"/>
      <w:r>
        <w:rPr>
          <w:rFonts w:hint="eastAsia" w:ascii="宋体" w:hAnsi="宋体" w:eastAsia="宋体" w:cs="宋体"/>
          <w:color w:val="auto"/>
          <w:spacing w:val="-6"/>
          <w:sz w:val="24"/>
          <w:szCs w:val="24"/>
          <w:highlight w:val="none"/>
        </w:rPr>
        <w:t>：按照招标文件第二</w:t>
      </w:r>
      <w:r>
        <w:rPr>
          <w:rFonts w:hint="eastAsia" w:ascii="宋体" w:hAnsi="宋体" w:eastAsia="宋体" w:cs="宋体"/>
          <w:bCs/>
          <w:color w:val="auto"/>
          <w:spacing w:val="-6"/>
          <w:sz w:val="24"/>
          <w:szCs w:val="24"/>
          <w:highlight w:val="none"/>
        </w:rPr>
        <w:t>部分“投标人须知前附表”第30项的规定。</w:t>
      </w:r>
    </w:p>
    <w:p>
      <w:pPr>
        <w:pStyle w:val="75"/>
        <w:tabs>
          <w:tab w:val="left" w:pos="360"/>
          <w:tab w:val="left" w:pos="480"/>
          <w:tab w:val="left" w:pos="1413"/>
        </w:tabs>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六、包装和标记</w:t>
      </w:r>
      <w:bookmarkEnd w:id="157"/>
      <w:bookmarkEnd w:id="158"/>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1、乙方交付的所有合同货物应具有适于运输的坚固包装，并且乙方应根据合同货物的不同特性和要求采取防潮、防雨、防锈、防震、防腐等保护措施，以确保合同货物安全无损地送达交货地点。</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2、凡由于乙方对合同货物包装不善、标记不明、防护措施不当或在合同货物装箱前保管不良，致使合同货物遭到损坏或丢失，乙方应负责免费修理或更换，并承担由此给甲方造成的一切损失。</w:t>
      </w:r>
      <w:bookmarkStart w:id="159" w:name="_Toc86202599"/>
      <w:bookmarkStart w:id="160" w:name="_Toc175644047"/>
    </w:p>
    <w:p>
      <w:pPr>
        <w:pStyle w:val="75"/>
        <w:tabs>
          <w:tab w:val="left" w:pos="360"/>
          <w:tab w:val="left" w:pos="480"/>
          <w:tab w:val="left" w:pos="1413"/>
        </w:tabs>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七、质量标准和检验</w:t>
      </w:r>
      <w:bookmarkEnd w:id="159"/>
      <w:r>
        <w:rPr>
          <w:rFonts w:hint="eastAsia" w:ascii="宋体" w:hAnsi="宋体" w:eastAsia="宋体" w:cs="宋体"/>
          <w:b/>
          <w:color w:val="auto"/>
          <w:sz w:val="24"/>
          <w:szCs w:val="24"/>
          <w:highlight w:val="none"/>
        </w:rPr>
        <w:t>方式</w:t>
      </w:r>
      <w:bookmarkEnd w:id="160"/>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1、乙方应保证提供给甲方的合同货物是货物生产厂商原造的，全新、未使用过的，是用一流的工艺和优质材料制造而成的，并完全符合本项目招标文件规定的质量、性能和规格的要求。</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4、乙方应保证所提供的货物经正确安装、合理操作和维护保养在其使用寿命期内具有令甲方满意的性能，并对由于合同货物的设计、工艺或材料的缺陷而发生的任何故障负责。</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6、甲方对合同货物的数量、规格和质量的检验，应依据本项目招标文件中的有关规定进行。</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7、若检验时发现货物数量不足、规格与合同要求不符或开箱时虽然货物外包装完好无损，但箱内货物短缺或损伤，双方应签署书面形式证明，乙方应根据该证明及时补足或更换。</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pPr>
        <w:pStyle w:val="75"/>
        <w:tabs>
          <w:tab w:val="left" w:pos="360"/>
          <w:tab w:val="left" w:pos="480"/>
          <w:tab w:val="left" w:pos="1413"/>
        </w:tabs>
        <w:spacing w:line="360" w:lineRule="auto"/>
        <w:ind w:firstLine="482" w:firstLineChars="200"/>
        <w:rPr>
          <w:rFonts w:hint="eastAsia" w:ascii="宋体" w:hAnsi="宋体" w:eastAsia="宋体" w:cs="宋体"/>
          <w:b/>
          <w:color w:val="auto"/>
          <w:sz w:val="24"/>
          <w:szCs w:val="24"/>
          <w:highlight w:val="none"/>
        </w:rPr>
      </w:pPr>
      <w:bookmarkStart w:id="161" w:name="_Toc86202601"/>
      <w:bookmarkStart w:id="162" w:name="_Toc175644048"/>
      <w:r>
        <w:rPr>
          <w:rFonts w:hint="eastAsia" w:ascii="宋体" w:hAnsi="宋体" w:eastAsia="宋体" w:cs="宋体"/>
          <w:b/>
          <w:color w:val="auto"/>
          <w:sz w:val="24"/>
          <w:szCs w:val="24"/>
          <w:highlight w:val="none"/>
        </w:rPr>
        <w:t>八、技术服务和保修责任</w:t>
      </w:r>
      <w:bookmarkEnd w:id="161"/>
      <w:bookmarkEnd w:id="162"/>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1、乙方对合同货物、服务的保修期按照招标文件第二</w:t>
      </w:r>
      <w:r>
        <w:rPr>
          <w:rFonts w:hint="eastAsia" w:ascii="宋体" w:hAnsi="宋体" w:eastAsia="宋体" w:cs="宋体"/>
          <w:bCs/>
          <w:color w:val="auto"/>
          <w:sz w:val="24"/>
          <w:szCs w:val="24"/>
          <w:highlight w:val="none"/>
        </w:rPr>
        <w:t>部分“投标人须知前附表”第25项的规定</w:t>
      </w:r>
      <w:r>
        <w:rPr>
          <w:rFonts w:hint="eastAsia" w:ascii="宋体" w:hAnsi="宋体" w:eastAsia="宋体" w:cs="宋体"/>
          <w:color w:val="auto"/>
          <w:sz w:val="24"/>
          <w:szCs w:val="24"/>
          <w:highlight w:val="none"/>
        </w:rPr>
        <w:t>。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4、在免费保修期内，如果由于乙方更换、修理和续补货物或更换服务，而造成本合同不得不停止运行，保修期应依照停止运行的实际时间加以延长，如因此给甲方造成损失，乙方应负责赔偿。</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合同签订后及货物使用中，如涉及增加或改进安全性的软件升级问题，无论甲方是否知晓或是否向乙方提出，乙方均应当在其刚开始应用该等软件时的第一时间内，立即主动地、无条件地给与免费更新并调试完好。</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7、若由于甲方提出增加并不涉及安全性的新功能而引起的软件升级，相关成本费由甲方承担，乙方不得赚取利润或拒绝、拖延。</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8、若由于乙方增加并不涉及安全性的新功能引起软件升级，而且甲方愿意增加该新功能时，由双方协商解决。</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pacing w:val="-6"/>
          <w:sz w:val="24"/>
          <w:szCs w:val="24"/>
          <w:highlight w:val="none"/>
        </w:rPr>
        <w:t>乙方保证，乙方依据本合同提供的货物、服务及相关的软件和技术资料，乙方均已得到有关知识产权的权利人的合法授权，如发生涉及到专利权、著作权、商标权等争议，乙方负责处理，并承担由此引起的全部法律及经济责任。</w:t>
      </w:r>
    </w:p>
    <w:p>
      <w:pPr>
        <w:pStyle w:val="75"/>
        <w:tabs>
          <w:tab w:val="left" w:pos="360"/>
          <w:tab w:val="left" w:pos="480"/>
          <w:tab w:val="left" w:pos="1413"/>
        </w:tabs>
        <w:spacing w:line="360" w:lineRule="auto"/>
        <w:ind w:firstLine="482" w:firstLineChars="200"/>
        <w:rPr>
          <w:rFonts w:hint="eastAsia" w:ascii="宋体" w:hAnsi="宋体" w:eastAsia="宋体" w:cs="宋体"/>
          <w:b/>
          <w:color w:val="auto"/>
          <w:sz w:val="24"/>
          <w:szCs w:val="24"/>
          <w:highlight w:val="none"/>
        </w:rPr>
      </w:pPr>
      <w:bookmarkStart w:id="163" w:name="_Toc175644049"/>
      <w:bookmarkStart w:id="164" w:name="_Toc86202602"/>
      <w:r>
        <w:rPr>
          <w:rFonts w:hint="eastAsia" w:ascii="宋体" w:hAnsi="宋体" w:eastAsia="宋体" w:cs="宋体"/>
          <w:b/>
          <w:color w:val="auto"/>
          <w:sz w:val="24"/>
          <w:szCs w:val="24"/>
          <w:highlight w:val="none"/>
        </w:rPr>
        <w:t>九、违约责任</w:t>
      </w:r>
      <w:bookmarkEnd w:id="163"/>
      <w:bookmarkEnd w:id="164"/>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1）在甲方同意延长的期限内交付全部货物、提供服务并承担由此给甲方造成的直接损失及甲方因此产生的对第三方的责任。</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3）根据货物、服务低劣程度、损坏程度以及使甲方所遭受的损失及甲方因此产生的对第三方的责任，经双方商定降低货物、服务的价格或赔偿甲方所遭受的损失及甲方因此产生的对第三方的责任。</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4）按合同规定的同种货币将甲方所退货物已支付的货款全部退还给甲方，并承担由此发生的直接损失和相关费用及甲方因此产生的对第三方的责任。</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5）甲方有权部分或全部解除合同并要求乙方赔偿由此造成的损失及甲方因此产生的对第三方的责任。此时甲方可采取必要的补救措施，相关费用由乙方承担。</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6）此外，上述情形下甲方为采取必要的补救措施或因防止损失扩大而支出的合理费用应由乙方承担。</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6"/>
          <w:sz w:val="24"/>
          <w:szCs w:val="24"/>
          <w:highlight w:val="none"/>
        </w:rPr>
        <w:t>除有另行约定外，甲方如延期付款，每逾期1日，按应付金额0.3‰支付违约金；乙方如延期交付，每延迟1日，按应交付货物总额0.3‰支付违约金。</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bookmarkStart w:id="165" w:name="_Toc86202603"/>
      <w:r>
        <w:rPr>
          <w:rFonts w:hint="eastAsia" w:ascii="宋体" w:hAnsi="宋体" w:eastAsia="宋体" w:cs="宋体"/>
          <w:color w:val="auto"/>
          <w:sz w:val="24"/>
          <w:szCs w:val="24"/>
          <w:highlight w:val="none"/>
        </w:rPr>
        <w:t>5、当违约行为给对方造成损失时，若违约金不足以弥补全部损失，违约方还应当赔偿对方因此所受全部损失。当构成严重违约时，对方可以单方面决定解除或终止合同履行，违约方同时还应当承担违约或赔偿责任。</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7、以上各项交付的违约金并不影响违约方履行合同的各项义务。</w:t>
      </w:r>
    </w:p>
    <w:p>
      <w:pPr>
        <w:pStyle w:val="75"/>
        <w:tabs>
          <w:tab w:val="left" w:pos="360"/>
          <w:tab w:val="left" w:pos="480"/>
          <w:tab w:val="left" w:pos="1413"/>
        </w:tabs>
        <w:spacing w:line="360" w:lineRule="auto"/>
        <w:ind w:firstLine="482" w:firstLineChars="200"/>
        <w:rPr>
          <w:rFonts w:hint="eastAsia" w:ascii="宋体" w:hAnsi="宋体" w:eastAsia="宋体" w:cs="宋体"/>
          <w:b/>
          <w:color w:val="auto"/>
          <w:sz w:val="24"/>
          <w:szCs w:val="24"/>
          <w:highlight w:val="none"/>
        </w:rPr>
      </w:pPr>
      <w:bookmarkStart w:id="166" w:name="_Toc175644050"/>
      <w:r>
        <w:rPr>
          <w:rFonts w:hint="eastAsia" w:ascii="宋体" w:hAnsi="宋体" w:eastAsia="宋体" w:cs="宋体"/>
          <w:b/>
          <w:color w:val="auto"/>
          <w:sz w:val="24"/>
          <w:szCs w:val="24"/>
          <w:highlight w:val="none"/>
        </w:rPr>
        <w:t>十、不可抗力</w:t>
      </w:r>
      <w:bookmarkEnd w:id="165"/>
      <w:bookmarkEnd w:id="166"/>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1、不可抗力指下列事件：战争、动乱、瘟疫、严重火灾、洪水、地震、风暴或其他自然灾害，以及本合同各方不可预见、不可防止并不能避免或克服的一切其他因素及事件。</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pPr>
        <w:pStyle w:val="75"/>
        <w:tabs>
          <w:tab w:val="left" w:pos="360"/>
          <w:tab w:val="left" w:pos="480"/>
          <w:tab w:val="left" w:pos="1413"/>
          <w:tab w:val="left" w:pos="1531"/>
          <w:tab w:val="left" w:pos="19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4、合同各方应根据不可抗力对本合同履行的影响程度，协商确定是否终止本合同，或是继续履行本合同。</w:t>
      </w:r>
      <w:bookmarkStart w:id="167" w:name="_Toc175644051"/>
      <w:bookmarkStart w:id="168" w:name="_Toc86202604"/>
    </w:p>
    <w:p>
      <w:pPr>
        <w:pStyle w:val="75"/>
        <w:tabs>
          <w:tab w:val="left" w:pos="360"/>
          <w:tab w:val="left" w:pos="480"/>
          <w:tab w:val="left" w:pos="1413"/>
        </w:tabs>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十一、联系方式</w:t>
      </w:r>
      <w:bookmarkEnd w:id="167"/>
      <w:bookmarkEnd w:id="168"/>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双方发出的与本合同有关的通知或回复均应发至招标文件与投标文件中的通讯地址，一方变更通讯地址或帐号，应自变更之日起3个工作日内，将变更后的地址通知对方。变更方不履行通知义务的，应对此造成的一切后果承担法律责任。</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3、上述发出通知、回复的费用由发出一方承担。</w:t>
      </w:r>
    </w:p>
    <w:p>
      <w:pPr>
        <w:pStyle w:val="75"/>
        <w:tabs>
          <w:tab w:val="left" w:pos="360"/>
          <w:tab w:val="left" w:pos="480"/>
          <w:tab w:val="left" w:pos="1413"/>
        </w:tabs>
        <w:spacing w:line="360" w:lineRule="auto"/>
        <w:ind w:firstLine="482" w:firstLineChars="200"/>
        <w:rPr>
          <w:rFonts w:hint="eastAsia" w:ascii="宋体" w:hAnsi="宋体" w:eastAsia="宋体" w:cs="宋体"/>
          <w:b/>
          <w:color w:val="auto"/>
          <w:sz w:val="24"/>
          <w:szCs w:val="24"/>
          <w:highlight w:val="none"/>
        </w:rPr>
      </w:pPr>
      <w:bookmarkStart w:id="169" w:name="_Toc175644052"/>
      <w:bookmarkStart w:id="170" w:name="_Toc86202605"/>
      <w:r>
        <w:rPr>
          <w:rFonts w:hint="eastAsia" w:ascii="宋体" w:hAnsi="宋体" w:eastAsia="宋体" w:cs="宋体"/>
          <w:b/>
          <w:color w:val="auto"/>
          <w:sz w:val="24"/>
          <w:szCs w:val="24"/>
          <w:highlight w:val="none"/>
        </w:rPr>
        <w:t>十二、保密条款</w:t>
      </w:r>
      <w:bookmarkEnd w:id="169"/>
      <w:bookmarkEnd w:id="170"/>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1、任何一方对其获知的本合同及附件中其他各方的商业秘密和国家秘密负有保密义务。</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bookmarkStart w:id="171" w:name="_Toc86202606"/>
      <w:r>
        <w:rPr>
          <w:rFonts w:hint="eastAsia" w:ascii="宋体" w:hAnsi="宋体" w:eastAsia="宋体" w:cs="宋体"/>
          <w:color w:val="auto"/>
          <w:sz w:val="24"/>
          <w:szCs w:val="24"/>
          <w:highlight w:val="none"/>
        </w:rPr>
        <w:t>2、在下列情形下：当发布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此外的其他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pPr>
        <w:pStyle w:val="75"/>
        <w:tabs>
          <w:tab w:val="left" w:pos="360"/>
          <w:tab w:val="left" w:pos="480"/>
          <w:tab w:val="left" w:pos="1413"/>
        </w:tabs>
        <w:spacing w:line="360" w:lineRule="auto"/>
        <w:ind w:firstLine="482" w:firstLineChars="200"/>
        <w:rPr>
          <w:rFonts w:hint="eastAsia" w:ascii="宋体" w:hAnsi="宋体" w:eastAsia="宋体" w:cs="宋体"/>
          <w:b/>
          <w:color w:val="auto"/>
          <w:sz w:val="24"/>
          <w:szCs w:val="24"/>
          <w:highlight w:val="none"/>
        </w:rPr>
      </w:pPr>
      <w:bookmarkStart w:id="172" w:name="_Toc175644053"/>
      <w:r>
        <w:rPr>
          <w:rFonts w:hint="eastAsia" w:ascii="宋体" w:hAnsi="宋体" w:eastAsia="宋体" w:cs="宋体"/>
          <w:b/>
          <w:color w:val="auto"/>
          <w:sz w:val="24"/>
          <w:szCs w:val="24"/>
          <w:highlight w:val="none"/>
        </w:rPr>
        <w:t>十三、合同的解释</w:t>
      </w:r>
      <w:bookmarkEnd w:id="171"/>
      <w:bookmarkEnd w:id="172"/>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1、任何一方对本合同及其附件的解释均应遵循诚实信用原则,依照本合同签订时有效的中国法律、法规以及通常的理解进行。</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2、本合同标题仅供查阅方便，并非对本合同的诠释或解释；本合同中以日表述的时间期限均指自然日。</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3、对本合同的任何解释均应以书面做出。</w:t>
      </w:r>
    </w:p>
    <w:p>
      <w:pPr>
        <w:pStyle w:val="75"/>
        <w:tabs>
          <w:tab w:val="left" w:pos="360"/>
          <w:tab w:val="left" w:pos="480"/>
          <w:tab w:val="left" w:pos="1413"/>
        </w:tabs>
        <w:spacing w:line="360" w:lineRule="auto"/>
        <w:ind w:firstLine="482" w:firstLineChars="200"/>
        <w:rPr>
          <w:rFonts w:hint="eastAsia" w:ascii="宋体" w:hAnsi="宋体" w:eastAsia="宋体" w:cs="宋体"/>
          <w:b/>
          <w:color w:val="auto"/>
          <w:sz w:val="24"/>
          <w:szCs w:val="24"/>
          <w:highlight w:val="none"/>
        </w:rPr>
      </w:pPr>
      <w:bookmarkStart w:id="173" w:name="_Toc86202607"/>
      <w:bookmarkStart w:id="174" w:name="_Toc175644054"/>
      <w:r>
        <w:rPr>
          <w:rFonts w:hint="eastAsia" w:ascii="宋体" w:hAnsi="宋体" w:eastAsia="宋体" w:cs="宋体"/>
          <w:b/>
          <w:color w:val="auto"/>
          <w:sz w:val="24"/>
          <w:szCs w:val="24"/>
          <w:highlight w:val="none"/>
        </w:rPr>
        <w:t>十四、合同的终止</w:t>
      </w:r>
      <w:bookmarkEnd w:id="173"/>
      <w:bookmarkEnd w:id="174"/>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1、本合同因下列原因而终止：</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1）本合同正常履行完毕；</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2）合同双方协议终止本合同的履行；</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3）不可抗力事件导致本合同无法履行或履行不必要；</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4）任何一方行使解除权，解除本合同。</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2、对本合同终止有过错的一方应赔偿另一方因合同终止而受到的损失。对合同终止双方均无过错的，则各自承担所受到的损失。</w:t>
      </w:r>
    </w:p>
    <w:p>
      <w:pPr>
        <w:pStyle w:val="75"/>
        <w:tabs>
          <w:tab w:val="left" w:pos="360"/>
          <w:tab w:val="left" w:pos="480"/>
          <w:tab w:val="left" w:pos="1413"/>
        </w:tabs>
        <w:spacing w:line="360" w:lineRule="auto"/>
        <w:ind w:firstLine="482" w:firstLineChars="200"/>
        <w:rPr>
          <w:rFonts w:hint="eastAsia" w:ascii="宋体" w:hAnsi="宋体" w:eastAsia="宋体" w:cs="宋体"/>
          <w:b/>
          <w:color w:val="auto"/>
          <w:sz w:val="24"/>
          <w:szCs w:val="24"/>
          <w:highlight w:val="none"/>
        </w:rPr>
      </w:pPr>
      <w:bookmarkStart w:id="175" w:name="_Toc175644055"/>
      <w:bookmarkStart w:id="176" w:name="_Toc86202608"/>
      <w:r>
        <w:rPr>
          <w:rFonts w:hint="eastAsia" w:ascii="宋体" w:hAnsi="宋体" w:eastAsia="宋体" w:cs="宋体"/>
          <w:b/>
          <w:color w:val="auto"/>
          <w:sz w:val="24"/>
          <w:szCs w:val="24"/>
          <w:highlight w:val="none"/>
        </w:rPr>
        <w:t>十五、法律适用</w:t>
      </w:r>
      <w:bookmarkEnd w:id="175"/>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1、本合同及附件的订立、效力、解释、履行、争议的解决等适用本合同签订时有效的中华人民共和国法律、法规的有关规定。</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pPr>
        <w:pStyle w:val="75"/>
        <w:tabs>
          <w:tab w:val="left" w:pos="360"/>
          <w:tab w:val="left" w:pos="480"/>
          <w:tab w:val="left" w:pos="1413"/>
        </w:tabs>
        <w:spacing w:line="360" w:lineRule="auto"/>
        <w:ind w:firstLine="482" w:firstLineChars="200"/>
        <w:rPr>
          <w:rFonts w:hint="eastAsia" w:ascii="宋体" w:hAnsi="宋体" w:eastAsia="宋体" w:cs="宋体"/>
          <w:b/>
          <w:color w:val="auto"/>
          <w:sz w:val="24"/>
          <w:szCs w:val="24"/>
          <w:highlight w:val="none"/>
        </w:rPr>
      </w:pPr>
      <w:bookmarkStart w:id="177" w:name="_Toc175644056"/>
      <w:r>
        <w:rPr>
          <w:rFonts w:hint="eastAsia" w:ascii="宋体" w:hAnsi="宋体" w:eastAsia="宋体" w:cs="宋体"/>
          <w:b/>
          <w:color w:val="auto"/>
          <w:sz w:val="24"/>
          <w:szCs w:val="24"/>
          <w:highlight w:val="none"/>
        </w:rPr>
        <w:t>十六、权利的保留</w:t>
      </w:r>
      <w:bookmarkEnd w:id="176"/>
      <w:bookmarkEnd w:id="177"/>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pPr>
        <w:pStyle w:val="75"/>
        <w:tabs>
          <w:tab w:val="left" w:pos="360"/>
          <w:tab w:val="left" w:pos="480"/>
          <w:tab w:val="left" w:pos="1413"/>
        </w:tabs>
        <w:spacing w:line="360" w:lineRule="auto"/>
        <w:ind w:firstLine="482" w:firstLineChars="200"/>
        <w:rPr>
          <w:rFonts w:hint="eastAsia" w:ascii="宋体" w:hAnsi="宋体" w:eastAsia="宋体" w:cs="宋体"/>
          <w:b/>
          <w:color w:val="auto"/>
          <w:sz w:val="24"/>
          <w:szCs w:val="24"/>
          <w:highlight w:val="none"/>
        </w:rPr>
      </w:pPr>
      <w:bookmarkStart w:id="178" w:name="_Toc86202609"/>
      <w:bookmarkStart w:id="179" w:name="_Toc175644057"/>
      <w:r>
        <w:rPr>
          <w:rFonts w:hint="eastAsia" w:ascii="宋体" w:hAnsi="宋体" w:eastAsia="宋体" w:cs="宋体"/>
          <w:b/>
          <w:color w:val="auto"/>
          <w:sz w:val="24"/>
          <w:szCs w:val="24"/>
          <w:highlight w:val="none"/>
        </w:rPr>
        <w:t>十七、争议的解决</w:t>
      </w:r>
      <w:bookmarkEnd w:id="178"/>
      <w:bookmarkEnd w:id="179"/>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1、合同双方应通过友好协商解决因解释﹑执行本合同所发生的和本合同有关的一切争议。如果经协商不能达成协议，可以采用以下方式解决（按照招标文件第二</w:t>
      </w:r>
      <w:r>
        <w:rPr>
          <w:rFonts w:hint="eastAsia" w:ascii="宋体" w:hAnsi="宋体" w:eastAsia="宋体" w:cs="宋体"/>
          <w:bCs/>
          <w:color w:val="auto"/>
          <w:sz w:val="24"/>
          <w:szCs w:val="24"/>
          <w:highlight w:val="none"/>
        </w:rPr>
        <w:t>部分“投标人须知前附表”第32项的规定</w:t>
      </w:r>
      <w:r>
        <w:rPr>
          <w:rFonts w:hint="eastAsia" w:ascii="宋体" w:hAnsi="宋体" w:eastAsia="宋体" w:cs="宋体"/>
          <w:color w:val="auto"/>
          <w:sz w:val="24"/>
          <w:szCs w:val="24"/>
          <w:highlight w:val="none"/>
        </w:rPr>
        <w:t>）：（1）提交兵团仲裁委员会仲裁；（2）向甲方所在地人民法院起诉。</w:t>
      </w:r>
    </w:p>
    <w:p>
      <w:pPr>
        <w:pStyle w:val="75"/>
        <w:tabs>
          <w:tab w:val="left" w:pos="360"/>
          <w:tab w:val="left" w:pos="480"/>
          <w:tab w:val="left" w:pos="1413"/>
        </w:tab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pPr>
        <w:pStyle w:val="75"/>
        <w:tabs>
          <w:tab w:val="left" w:pos="360"/>
          <w:tab w:val="left" w:pos="480"/>
          <w:tab w:val="left" w:pos="14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3、在争议解决期间，除了诉讼或仲裁进行过程中正在解决的那部分问题外，合同其余部分应继续履行。</w:t>
      </w:r>
    </w:p>
    <w:p>
      <w:pPr>
        <w:pStyle w:val="75"/>
        <w:tabs>
          <w:tab w:val="left" w:pos="360"/>
          <w:tab w:val="left" w:pos="480"/>
          <w:tab w:val="left" w:pos="1413"/>
        </w:tabs>
        <w:spacing w:line="360" w:lineRule="auto"/>
        <w:ind w:firstLine="482" w:firstLineChars="200"/>
        <w:rPr>
          <w:rFonts w:hint="eastAsia" w:ascii="宋体" w:hAnsi="宋体" w:eastAsia="宋体" w:cs="宋体"/>
          <w:b/>
          <w:color w:val="auto"/>
          <w:sz w:val="24"/>
          <w:szCs w:val="24"/>
          <w:highlight w:val="none"/>
        </w:rPr>
      </w:pPr>
      <w:bookmarkStart w:id="180" w:name="_Toc175644059"/>
      <w:bookmarkStart w:id="181" w:name="_Toc86202611"/>
      <w:r>
        <w:rPr>
          <w:rFonts w:hint="eastAsia" w:ascii="宋体" w:hAnsi="宋体" w:eastAsia="宋体" w:cs="宋体"/>
          <w:b/>
          <w:color w:val="auto"/>
          <w:sz w:val="24"/>
          <w:szCs w:val="24"/>
          <w:highlight w:val="none"/>
        </w:rPr>
        <w:t>十八、合同的生效</w:t>
      </w:r>
      <w:bookmarkEnd w:id="180"/>
      <w:bookmarkEnd w:id="181"/>
    </w:p>
    <w:p>
      <w:pPr>
        <w:pStyle w:val="7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本合同经甲乙双方法定代表人或授权代理人签字加盖单位公章，乙方按时、足额提交履约保证金，</w:t>
      </w:r>
      <w:r>
        <w:rPr>
          <w:rFonts w:hint="eastAsia" w:ascii="宋体" w:hAnsi="宋体" w:cs="宋体"/>
          <w:color w:val="auto"/>
          <w:sz w:val="24"/>
          <w:szCs w:val="24"/>
          <w:highlight w:val="none"/>
          <w:lang w:eastAsia="zh-CN"/>
        </w:rPr>
        <w:t>新疆政采云</w:t>
      </w:r>
      <w:r>
        <w:rPr>
          <w:rFonts w:hint="eastAsia" w:ascii="宋体" w:hAnsi="宋体" w:eastAsia="宋体" w:cs="宋体"/>
          <w:color w:val="auto"/>
          <w:sz w:val="24"/>
          <w:szCs w:val="24"/>
          <w:highlight w:val="none"/>
        </w:rPr>
        <w:t>备案后生效。</w:t>
      </w:r>
    </w:p>
    <w:p>
      <w:pPr>
        <w:pStyle w:val="75"/>
        <w:tabs>
          <w:tab w:val="left" w:pos="360"/>
          <w:tab w:val="left" w:pos="480"/>
          <w:tab w:val="left" w:pos="1413"/>
        </w:tabs>
        <w:spacing w:line="360" w:lineRule="auto"/>
        <w:ind w:firstLine="482" w:firstLineChars="200"/>
        <w:rPr>
          <w:rFonts w:hint="eastAsia" w:ascii="宋体" w:hAnsi="宋体" w:eastAsia="宋体" w:cs="宋体"/>
          <w:b/>
          <w:color w:val="auto"/>
          <w:sz w:val="24"/>
          <w:szCs w:val="24"/>
          <w:highlight w:val="none"/>
        </w:rPr>
      </w:pPr>
      <w:bookmarkStart w:id="182" w:name="_Toc175644060"/>
      <w:bookmarkStart w:id="183" w:name="_Toc86202612"/>
      <w:r>
        <w:rPr>
          <w:rFonts w:hint="eastAsia" w:ascii="宋体" w:hAnsi="宋体" w:eastAsia="宋体" w:cs="宋体"/>
          <w:b/>
          <w:color w:val="auto"/>
          <w:sz w:val="24"/>
          <w:szCs w:val="24"/>
          <w:highlight w:val="none"/>
        </w:rPr>
        <w:t>十九、其他约定事项</w:t>
      </w:r>
      <w:bookmarkEnd w:id="182"/>
      <w:bookmarkEnd w:id="183"/>
    </w:p>
    <w:p>
      <w:pPr>
        <w:pStyle w:val="7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1、本合同中的附件均为本合同不可分割的部分，与本合同具有相同的法律效力。</w:t>
      </w:r>
    </w:p>
    <w:p>
      <w:pPr>
        <w:pStyle w:val="7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2、不得将合同转让给第三人，有关分包事项或服务委托等须事先取得甲方和采购代理机构书面同意并且须遵守相关法律、法规；有关联合投标须在本次招标允许的情况下并须符合本次招标的全部规定。</w:t>
      </w:r>
    </w:p>
    <w:p>
      <w:pPr>
        <w:pStyle w:val="75"/>
        <w:spacing w:line="360" w:lineRule="auto"/>
        <w:ind w:firstLine="480" w:firstLineChars="200"/>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3、本合同一式五份，具有同等法律效力。</w:t>
      </w:r>
    </w:p>
    <w:bookmarkEnd w:id="148"/>
    <w:p>
      <w:pPr>
        <w:pStyle w:val="33"/>
        <w:spacing w:line="360" w:lineRule="auto"/>
        <w:rPr>
          <w:rFonts w:hint="eastAsia" w:ascii="宋体" w:hAnsi="宋体" w:eastAsia="宋体" w:cs="宋体"/>
          <w:color w:val="auto"/>
          <w:sz w:val="28"/>
          <w:szCs w:val="28"/>
          <w:highlight w:val="none"/>
        </w:rPr>
      </w:pPr>
    </w:p>
    <w:p>
      <w:pPr>
        <w:pStyle w:val="33"/>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tabs>
          <w:tab w:val="left" w:pos="360"/>
          <w:tab w:val="left" w:pos="480"/>
          <w:tab w:val="left" w:pos="1413"/>
        </w:tabs>
        <w:spacing w:line="360" w:lineRule="auto"/>
        <w:rPr>
          <w:rFonts w:hint="eastAsia" w:ascii="宋体" w:hAnsi="宋体" w:eastAsia="宋体" w:cs="宋体"/>
          <w:color w:val="auto"/>
          <w:sz w:val="28"/>
          <w:szCs w:val="28"/>
          <w:highlight w:val="none"/>
        </w:rPr>
      </w:pPr>
    </w:p>
    <w:p>
      <w:pPr>
        <w:pStyle w:val="10"/>
        <w:tabs>
          <w:tab w:val="left" w:pos="0"/>
        </w:tabs>
        <w:spacing w:line="360" w:lineRule="auto"/>
        <w:ind w:left="0" w:leftChars="0" w:firstLine="0" w:firstLineChars="0"/>
        <w:jc w:val="center"/>
        <w:outlineLvl w:val="0"/>
        <w:rPr>
          <w:rFonts w:hint="eastAsia" w:ascii="宋体" w:hAnsi="宋体" w:eastAsia="宋体" w:cs="宋体"/>
          <w:b/>
          <w:color w:val="auto"/>
          <w:sz w:val="28"/>
          <w:szCs w:val="28"/>
          <w:highlight w:val="none"/>
        </w:rPr>
      </w:pPr>
      <w:bookmarkStart w:id="184" w:name="_Toc503463636"/>
    </w:p>
    <w:p>
      <w:pPr>
        <w:pStyle w:val="10"/>
        <w:tabs>
          <w:tab w:val="left" w:pos="0"/>
        </w:tabs>
        <w:spacing w:line="360" w:lineRule="auto"/>
        <w:ind w:left="0" w:leftChars="0" w:firstLine="0" w:firstLineChars="0"/>
        <w:jc w:val="center"/>
        <w:outlineLvl w:val="0"/>
        <w:rPr>
          <w:rFonts w:hint="eastAsia" w:ascii="宋体" w:hAnsi="宋体" w:eastAsia="宋体" w:cs="宋体"/>
          <w:b/>
          <w:color w:val="auto"/>
          <w:sz w:val="40"/>
          <w:szCs w:val="40"/>
          <w:highlight w:val="none"/>
        </w:rPr>
      </w:pPr>
      <w:bookmarkStart w:id="185" w:name="_Toc17527"/>
      <w:r>
        <w:rPr>
          <w:rFonts w:hint="eastAsia" w:ascii="宋体" w:hAnsi="宋体" w:eastAsia="宋体" w:cs="宋体"/>
          <w:b/>
          <w:color w:val="auto"/>
          <w:sz w:val="40"/>
          <w:szCs w:val="40"/>
          <w:highlight w:val="none"/>
        </w:rPr>
        <w:t>文件格式</w:t>
      </w:r>
      <w:bookmarkEnd w:id="184"/>
      <w:bookmarkEnd w:id="185"/>
    </w:p>
    <w:p>
      <w:pPr>
        <w:spacing w:line="360" w:lineRule="auto"/>
        <w:rPr>
          <w:rFonts w:hint="eastAsia" w:ascii="宋体" w:hAnsi="宋体" w:eastAsia="宋体" w:cs="宋体"/>
          <w:color w:val="auto"/>
          <w:sz w:val="28"/>
          <w:szCs w:val="28"/>
          <w:highlight w:val="none"/>
        </w:rPr>
      </w:pPr>
    </w:p>
    <w:p>
      <w:pPr>
        <w:pStyle w:val="77"/>
        <w:spacing w:after="100" w:afterAutospacing="1"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  录</w:t>
      </w:r>
    </w:p>
    <w:p>
      <w:pPr>
        <w:pStyle w:val="77"/>
        <w:spacing w:after="100" w:afterAutospacing="1"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一、投标文件封面</w:t>
      </w:r>
    </w:p>
    <w:p>
      <w:pPr>
        <w:pStyle w:val="77"/>
        <w:spacing w:after="100" w:afterAutospacing="1"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二、营业执照</w:t>
      </w:r>
    </w:p>
    <w:p>
      <w:pPr>
        <w:pStyle w:val="77"/>
        <w:spacing w:after="100" w:afterAutospacing="1"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三、授权委托人近三个月的社保证明，提供近一年经审计的财务报告，中小企业声明函原件</w:t>
      </w:r>
    </w:p>
    <w:p>
      <w:pPr>
        <w:pStyle w:val="77"/>
        <w:spacing w:after="100" w:afterAutospacing="1"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、法定代表人身份证明及授权委托书</w:t>
      </w:r>
    </w:p>
    <w:p>
      <w:pPr>
        <w:pStyle w:val="77"/>
        <w:spacing w:after="100" w:afterAutospacing="1"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、投标保证金</w:t>
      </w:r>
    </w:p>
    <w:p>
      <w:pPr>
        <w:pStyle w:val="77"/>
        <w:spacing w:after="100" w:afterAutospacing="1"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信用信息查询记录</w:t>
      </w:r>
    </w:p>
    <w:p>
      <w:pPr>
        <w:pStyle w:val="77"/>
        <w:spacing w:after="100" w:afterAutospacing="1"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、供应商认为有必要提供的声明及文件资料</w:t>
      </w:r>
    </w:p>
    <w:p>
      <w:pPr>
        <w:pStyle w:val="77"/>
        <w:spacing w:after="100" w:afterAutospacing="1"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、《中华人民共和国政府采购法》第二十二条应当具备的条件；</w:t>
      </w:r>
    </w:p>
    <w:p>
      <w:pPr>
        <w:pStyle w:val="77"/>
        <w:spacing w:after="100" w:afterAutospacing="1"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、不参与围标串标承诺书</w:t>
      </w:r>
    </w:p>
    <w:p>
      <w:pPr>
        <w:pStyle w:val="77"/>
        <w:spacing w:after="100" w:afterAutospacing="1"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十、投标函</w:t>
      </w:r>
    </w:p>
    <w:p>
      <w:pPr>
        <w:pStyle w:val="77"/>
        <w:spacing w:after="100" w:afterAutospacing="1"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十一</w:t>
      </w:r>
      <w:r>
        <w:rPr>
          <w:rFonts w:hint="eastAsia" w:ascii="宋体" w:hAnsi="宋体" w:eastAsia="宋体" w:cs="宋体"/>
          <w:color w:val="auto"/>
          <w:sz w:val="24"/>
          <w:szCs w:val="24"/>
          <w:highlight w:val="none"/>
        </w:rPr>
        <w:t>、开标一览表</w:t>
      </w:r>
    </w:p>
    <w:p>
      <w:pPr>
        <w:pStyle w:val="77"/>
        <w:spacing w:after="100" w:afterAutospacing="1"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、投标报价明细表</w:t>
      </w:r>
    </w:p>
    <w:p>
      <w:pPr>
        <w:pStyle w:val="77"/>
        <w:spacing w:after="100" w:afterAutospacing="1"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、商务条款偏离说明表</w:t>
      </w:r>
    </w:p>
    <w:p>
      <w:pPr>
        <w:pStyle w:val="77"/>
        <w:spacing w:after="100" w:afterAutospacing="1"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十四、技术规格偏离表</w:t>
      </w:r>
    </w:p>
    <w:p>
      <w:pPr>
        <w:pStyle w:val="77"/>
        <w:spacing w:after="100" w:afterAutospacing="1"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、中、小微企业声明函</w:t>
      </w:r>
    </w:p>
    <w:p>
      <w:pPr>
        <w:pStyle w:val="77"/>
        <w:spacing w:after="100" w:afterAutospacing="1"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、供应商认为有必要提供的其他资料</w:t>
      </w:r>
    </w:p>
    <w:p>
      <w:pPr>
        <w:pStyle w:val="77"/>
        <w:spacing w:after="100" w:afterAutospacing="1"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、投标人自行编写的技术文件</w:t>
      </w:r>
    </w:p>
    <w:p>
      <w:pPr>
        <w:pStyle w:val="77"/>
        <w:spacing w:after="100" w:afterAutospacing="1"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十九</w:t>
      </w:r>
      <w:r>
        <w:rPr>
          <w:rFonts w:hint="eastAsia" w:ascii="宋体" w:hAnsi="宋体" w:eastAsia="宋体" w:cs="宋体"/>
          <w:color w:val="auto"/>
          <w:sz w:val="24"/>
          <w:szCs w:val="24"/>
          <w:highlight w:val="none"/>
        </w:rPr>
        <w:t>、其他材料</w:t>
      </w:r>
    </w:p>
    <w:p>
      <w:pPr>
        <w:spacing w:line="360" w:lineRule="auto"/>
        <w:rPr>
          <w:rFonts w:hint="eastAsia" w:ascii="宋体" w:hAnsi="宋体" w:eastAsia="宋体" w:cs="宋体"/>
          <w:color w:val="auto"/>
          <w:sz w:val="28"/>
          <w:szCs w:val="28"/>
          <w:highlight w:val="none"/>
        </w:rPr>
      </w:pPr>
    </w:p>
    <w:p>
      <w:pPr>
        <w:pStyle w:val="78"/>
        <w:spacing w:line="360" w:lineRule="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79"/>
        <w:spacing w:line="360" w:lineRule="auto"/>
        <w:outlineLvl w:val="2"/>
        <w:rPr>
          <w:rFonts w:hint="eastAsia" w:ascii="宋体" w:hAnsi="宋体" w:eastAsia="宋体" w:cs="宋体"/>
          <w:color w:val="auto"/>
          <w:sz w:val="28"/>
          <w:szCs w:val="28"/>
          <w:highlight w:val="none"/>
        </w:rPr>
      </w:pPr>
      <w:bookmarkStart w:id="186" w:name="_Toc256000033"/>
      <w:r>
        <w:rPr>
          <w:rFonts w:hint="eastAsia" w:ascii="宋体" w:hAnsi="宋体" w:eastAsia="宋体" w:cs="宋体"/>
          <w:color w:val="auto"/>
          <w:sz w:val="28"/>
          <w:szCs w:val="28"/>
          <w:highlight w:val="none"/>
        </w:rPr>
        <w:t>一、投标文件封面</w:t>
      </w:r>
      <w:bookmarkEnd w:id="186"/>
    </w:p>
    <w:p>
      <w:pPr>
        <w:pStyle w:val="34"/>
        <w:spacing w:line="360" w:lineRule="auto"/>
        <w:rPr>
          <w:rFonts w:hint="eastAsia" w:ascii="宋体" w:hAnsi="宋体" w:eastAsia="宋体" w:cs="宋体"/>
          <w:b/>
          <w:color w:val="auto"/>
          <w:sz w:val="28"/>
          <w:szCs w:val="28"/>
          <w:highlight w:val="none"/>
        </w:rPr>
      </w:pPr>
    </w:p>
    <w:p>
      <w:pPr>
        <w:pStyle w:val="34"/>
        <w:spacing w:line="360" w:lineRule="auto"/>
        <w:jc w:val="center"/>
        <w:rPr>
          <w:rFonts w:hint="eastAsia" w:ascii="宋体" w:hAnsi="宋体" w:eastAsia="宋体" w:cs="宋体"/>
          <w:color w:val="auto"/>
          <w:sz w:val="28"/>
          <w:szCs w:val="28"/>
          <w:highlight w:val="none"/>
        </w:rPr>
      </w:pPr>
    </w:p>
    <w:p>
      <w:pPr>
        <w:pStyle w:val="34"/>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pPr>
        <w:pStyle w:val="34"/>
        <w:spacing w:line="360" w:lineRule="auto"/>
        <w:jc w:val="center"/>
        <w:rPr>
          <w:rFonts w:hint="eastAsia" w:ascii="宋体" w:hAnsi="宋体" w:eastAsia="宋体" w:cs="宋体"/>
          <w:color w:val="auto"/>
          <w:sz w:val="28"/>
          <w:szCs w:val="28"/>
          <w:highlight w:val="none"/>
        </w:rPr>
      </w:pPr>
    </w:p>
    <w:p>
      <w:pPr>
        <w:pStyle w:val="34"/>
        <w:spacing w:line="360" w:lineRule="auto"/>
        <w:ind w:firstLine="1680" w:firstLineChars="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项目编号</w:t>
      </w:r>
      <w:r>
        <w:rPr>
          <w:rFonts w:hint="eastAsia" w:ascii="宋体" w:hAnsi="宋体" w:eastAsia="宋体" w:cs="宋体"/>
          <w:color w:val="auto"/>
          <w:sz w:val="28"/>
          <w:szCs w:val="28"/>
          <w:highlight w:val="none"/>
        </w:rPr>
        <w:t>）</w:t>
      </w:r>
    </w:p>
    <w:p>
      <w:pPr>
        <w:pStyle w:val="34"/>
        <w:spacing w:line="360" w:lineRule="auto"/>
        <w:jc w:val="center"/>
        <w:rPr>
          <w:rFonts w:hint="eastAsia" w:ascii="宋体" w:hAnsi="宋体" w:eastAsia="宋体" w:cs="宋体"/>
          <w:color w:val="auto"/>
          <w:sz w:val="28"/>
          <w:szCs w:val="28"/>
          <w:highlight w:val="none"/>
        </w:rPr>
      </w:pPr>
    </w:p>
    <w:p>
      <w:pPr>
        <w:pStyle w:val="34"/>
        <w:spacing w:line="360" w:lineRule="auto"/>
        <w:jc w:val="center"/>
        <w:rPr>
          <w:rFonts w:hint="eastAsia" w:ascii="宋体" w:hAnsi="宋体" w:eastAsia="宋体" w:cs="宋体"/>
          <w:color w:val="auto"/>
          <w:sz w:val="28"/>
          <w:szCs w:val="28"/>
          <w:highlight w:val="none"/>
        </w:rPr>
      </w:pPr>
    </w:p>
    <w:p>
      <w:pPr>
        <w:pStyle w:val="34"/>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投标文件</w:t>
      </w:r>
    </w:p>
    <w:p>
      <w:pPr>
        <w:pStyle w:val="34"/>
        <w:spacing w:line="360" w:lineRule="auto"/>
        <w:jc w:val="center"/>
        <w:rPr>
          <w:rFonts w:hint="eastAsia" w:ascii="宋体" w:hAnsi="宋体" w:eastAsia="宋体" w:cs="宋体"/>
          <w:color w:val="auto"/>
          <w:sz w:val="28"/>
          <w:szCs w:val="28"/>
          <w:highlight w:val="none"/>
        </w:rPr>
      </w:pPr>
    </w:p>
    <w:p>
      <w:pPr>
        <w:pStyle w:val="34"/>
        <w:spacing w:line="360" w:lineRule="auto"/>
        <w:jc w:val="center"/>
        <w:rPr>
          <w:rFonts w:hint="eastAsia" w:ascii="宋体" w:hAnsi="宋体" w:eastAsia="宋体" w:cs="宋体"/>
          <w:color w:val="auto"/>
          <w:sz w:val="28"/>
          <w:szCs w:val="28"/>
          <w:highlight w:val="none"/>
        </w:rPr>
      </w:pPr>
    </w:p>
    <w:p>
      <w:pPr>
        <w:pStyle w:val="34"/>
        <w:spacing w:line="360" w:lineRule="auto"/>
        <w:jc w:val="center"/>
        <w:rPr>
          <w:rFonts w:hint="eastAsia" w:ascii="宋体" w:hAnsi="宋体" w:eastAsia="宋体" w:cs="宋体"/>
          <w:b/>
          <w:color w:val="auto"/>
          <w:sz w:val="28"/>
          <w:szCs w:val="28"/>
          <w:highlight w:val="none"/>
        </w:rPr>
      </w:pPr>
    </w:p>
    <w:p>
      <w:pPr>
        <w:pStyle w:val="34"/>
        <w:spacing w:line="360" w:lineRule="auto"/>
        <w:jc w:val="center"/>
        <w:rPr>
          <w:rFonts w:hint="eastAsia" w:ascii="宋体" w:hAnsi="宋体" w:eastAsia="宋体" w:cs="宋体"/>
          <w:b/>
          <w:color w:val="auto"/>
          <w:sz w:val="28"/>
          <w:szCs w:val="28"/>
          <w:highlight w:val="none"/>
        </w:rPr>
      </w:pPr>
    </w:p>
    <w:p>
      <w:pPr>
        <w:pStyle w:val="34"/>
        <w:spacing w:line="360" w:lineRule="auto"/>
        <w:jc w:val="center"/>
        <w:rPr>
          <w:rFonts w:hint="eastAsia" w:ascii="宋体" w:hAnsi="宋体" w:eastAsia="宋体" w:cs="宋体"/>
          <w:b/>
          <w:color w:val="auto"/>
          <w:sz w:val="28"/>
          <w:szCs w:val="28"/>
          <w:highlight w:val="none"/>
        </w:rPr>
      </w:pPr>
    </w:p>
    <w:p>
      <w:pPr>
        <w:pStyle w:val="34"/>
        <w:spacing w:line="360" w:lineRule="auto"/>
        <w:jc w:val="center"/>
        <w:rPr>
          <w:rFonts w:hint="eastAsia" w:ascii="宋体" w:hAnsi="宋体" w:eastAsia="宋体" w:cs="宋体"/>
          <w:b/>
          <w:color w:val="auto"/>
          <w:sz w:val="28"/>
          <w:szCs w:val="28"/>
          <w:highlight w:val="none"/>
        </w:rPr>
      </w:pPr>
    </w:p>
    <w:p>
      <w:pPr>
        <w:pStyle w:val="34"/>
        <w:spacing w:line="360" w:lineRule="auto"/>
        <w:jc w:val="center"/>
        <w:rPr>
          <w:rFonts w:hint="eastAsia" w:ascii="宋体" w:hAnsi="宋体" w:eastAsia="宋体" w:cs="宋体"/>
          <w:b/>
          <w:color w:val="auto"/>
          <w:sz w:val="28"/>
          <w:szCs w:val="28"/>
          <w:highlight w:val="none"/>
        </w:rPr>
      </w:pPr>
    </w:p>
    <w:p>
      <w:pPr>
        <w:pStyle w:val="34"/>
        <w:spacing w:line="360" w:lineRule="auto"/>
        <w:jc w:val="center"/>
        <w:rPr>
          <w:rFonts w:hint="eastAsia" w:ascii="宋体" w:hAnsi="宋体" w:eastAsia="宋体" w:cs="宋体"/>
          <w:b/>
          <w:color w:val="auto"/>
          <w:sz w:val="28"/>
          <w:szCs w:val="28"/>
          <w:highlight w:val="none"/>
        </w:rPr>
      </w:pPr>
    </w:p>
    <w:p>
      <w:pPr>
        <w:pStyle w:val="34"/>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公章</w:t>
      </w:r>
      <w:r>
        <w:rPr>
          <w:rFonts w:hint="eastAsia" w:ascii="宋体" w:hAnsi="宋体" w:eastAsia="宋体" w:cs="宋体"/>
          <w:color w:val="auto"/>
          <w:sz w:val="28"/>
          <w:szCs w:val="28"/>
          <w:highlight w:val="none"/>
        </w:rPr>
        <w:t>）</w:t>
      </w:r>
    </w:p>
    <w:p>
      <w:pPr>
        <w:pStyle w:val="34"/>
        <w:spacing w:line="360" w:lineRule="auto"/>
        <w:ind w:firstLine="1960" w:firstLineChars="700"/>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lang w:eastAsia="zh-CN"/>
        </w:rPr>
        <w:t>（</w:t>
      </w:r>
      <w:r>
        <w:rPr>
          <w:rFonts w:hint="eastAsia" w:ascii="宋体" w:hAnsi="宋体" w:cs="宋体"/>
          <w:color w:val="auto"/>
          <w:sz w:val="28"/>
          <w:szCs w:val="28"/>
          <w:highlight w:val="none"/>
          <w:u w:val="none"/>
          <w:lang w:val="en-US" w:eastAsia="zh-CN"/>
        </w:rPr>
        <w:t>签字或盖章</w:t>
      </w:r>
      <w:r>
        <w:rPr>
          <w:rFonts w:hint="eastAsia" w:ascii="宋体" w:hAnsi="宋体" w:eastAsia="宋体" w:cs="宋体"/>
          <w:color w:val="auto"/>
          <w:sz w:val="28"/>
          <w:szCs w:val="28"/>
          <w:highlight w:val="none"/>
          <w:u w:val="none"/>
          <w:lang w:eastAsia="zh-CN"/>
        </w:rPr>
        <w:t>）</w:t>
      </w:r>
    </w:p>
    <w:p>
      <w:pPr>
        <w:pStyle w:val="34"/>
        <w:spacing w:line="360" w:lineRule="auto"/>
        <w:ind w:firstLine="1960" w:firstLineChars="7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（年/月/日）</w:t>
      </w:r>
    </w:p>
    <w:p>
      <w:pPr>
        <w:pStyle w:val="34"/>
        <w:spacing w:line="360" w:lineRule="auto"/>
        <w:jc w:val="center"/>
        <w:rPr>
          <w:rFonts w:hint="eastAsia" w:ascii="宋体" w:hAnsi="宋体" w:eastAsia="宋体" w:cs="宋体"/>
          <w:color w:val="auto"/>
          <w:sz w:val="28"/>
          <w:szCs w:val="28"/>
          <w:highlight w:val="none"/>
        </w:rPr>
      </w:pPr>
    </w:p>
    <w:p>
      <w:pPr>
        <w:pStyle w:val="80"/>
        <w:tabs>
          <w:tab w:val="left" w:pos="0"/>
        </w:tabs>
        <w:spacing w:line="360" w:lineRule="auto"/>
        <w:ind w:left="0" w:leftChars="0" w:firstLine="0" w:firstLineChars="0"/>
        <w:rPr>
          <w:rFonts w:hint="eastAsia" w:ascii="宋体" w:hAnsi="宋体" w:eastAsia="宋体" w:cs="宋体"/>
          <w:b/>
          <w:color w:val="auto"/>
          <w:sz w:val="28"/>
          <w:szCs w:val="28"/>
          <w:highlight w:val="none"/>
        </w:rPr>
      </w:pPr>
    </w:p>
    <w:p>
      <w:pPr>
        <w:pStyle w:val="81"/>
        <w:spacing w:line="360" w:lineRule="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82"/>
        <w:spacing w:line="360" w:lineRule="auto"/>
        <w:outlineLvl w:val="2"/>
        <w:rPr>
          <w:rFonts w:hint="eastAsia" w:ascii="宋体" w:hAnsi="宋体" w:eastAsia="宋体" w:cs="宋体"/>
          <w:color w:val="auto"/>
          <w:sz w:val="28"/>
          <w:szCs w:val="28"/>
          <w:highlight w:val="none"/>
        </w:rPr>
      </w:pPr>
      <w:bookmarkStart w:id="187" w:name="_Toc256000035"/>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营业执照</w:t>
      </w:r>
      <w:bookmarkEnd w:id="187"/>
    </w:p>
    <w:p>
      <w:pPr>
        <w:pStyle w:val="8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说明：此处上传营业执照、组织机构代码证、税务登记证，如三证合一，只需要导入营业执照即可。</w:t>
      </w:r>
    </w:p>
    <w:p>
      <w:pPr>
        <w:pStyle w:val="84"/>
        <w:spacing w:line="360" w:lineRule="auto"/>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Start w:id="188" w:name="_Toc256000036"/>
    </w:p>
    <w:p>
      <w:pPr>
        <w:pStyle w:val="84"/>
        <w:spacing w:line="360" w:lineRule="auto"/>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三、授权委托人近三个月的社保证明、提供近一年经审计的财务报告，中小企业声明函原件。</w:t>
      </w:r>
    </w:p>
    <w:p>
      <w:pPr>
        <w:pStyle w:val="84"/>
        <w:spacing w:line="360" w:lineRule="auto"/>
        <w:outlineLvl w:val="2"/>
        <w:rPr>
          <w:rFonts w:hint="eastAsia" w:ascii="宋体" w:hAnsi="宋体" w:eastAsia="宋体" w:cs="宋体"/>
          <w:color w:val="auto"/>
          <w:sz w:val="28"/>
          <w:szCs w:val="28"/>
          <w:highlight w:val="none"/>
        </w:rPr>
      </w:pPr>
    </w:p>
    <w:p>
      <w:pPr>
        <w:pStyle w:val="84"/>
        <w:spacing w:line="360" w:lineRule="auto"/>
        <w:outlineLvl w:val="2"/>
        <w:rPr>
          <w:rFonts w:hint="eastAsia" w:ascii="宋体" w:hAnsi="宋体" w:eastAsia="宋体" w:cs="宋体"/>
          <w:color w:val="auto"/>
          <w:sz w:val="28"/>
          <w:szCs w:val="28"/>
          <w:highlight w:val="none"/>
          <w:lang w:val="en-US" w:eastAsia="zh-CN"/>
        </w:rPr>
      </w:pPr>
    </w:p>
    <w:p>
      <w:pPr>
        <w:pStyle w:val="84"/>
        <w:spacing w:line="360" w:lineRule="auto"/>
        <w:outlineLvl w:val="2"/>
        <w:rPr>
          <w:rFonts w:hint="eastAsia" w:ascii="宋体" w:hAnsi="宋体" w:eastAsia="宋体" w:cs="宋体"/>
          <w:color w:val="auto"/>
          <w:sz w:val="28"/>
          <w:szCs w:val="28"/>
          <w:highlight w:val="none"/>
          <w:lang w:val="en-US" w:eastAsia="zh-CN"/>
        </w:rPr>
      </w:pPr>
    </w:p>
    <w:p>
      <w:pPr>
        <w:pStyle w:val="84"/>
        <w:spacing w:line="360" w:lineRule="auto"/>
        <w:outlineLvl w:val="2"/>
        <w:rPr>
          <w:rFonts w:hint="eastAsia" w:ascii="宋体" w:hAnsi="宋体" w:eastAsia="宋体" w:cs="宋体"/>
          <w:color w:val="auto"/>
          <w:sz w:val="28"/>
          <w:szCs w:val="28"/>
          <w:highlight w:val="none"/>
          <w:lang w:val="en-US" w:eastAsia="zh-CN"/>
        </w:rPr>
      </w:pPr>
    </w:p>
    <w:p>
      <w:pPr>
        <w:pStyle w:val="84"/>
        <w:spacing w:line="360" w:lineRule="auto"/>
        <w:outlineLvl w:val="2"/>
        <w:rPr>
          <w:rFonts w:hint="eastAsia" w:ascii="宋体" w:hAnsi="宋体" w:eastAsia="宋体" w:cs="宋体"/>
          <w:color w:val="auto"/>
          <w:sz w:val="28"/>
          <w:szCs w:val="28"/>
          <w:highlight w:val="none"/>
          <w:lang w:val="en-US" w:eastAsia="zh-CN"/>
        </w:rPr>
      </w:pPr>
    </w:p>
    <w:p>
      <w:pPr>
        <w:pStyle w:val="84"/>
        <w:spacing w:line="360" w:lineRule="auto"/>
        <w:outlineLvl w:val="2"/>
        <w:rPr>
          <w:rFonts w:hint="eastAsia" w:ascii="宋体" w:hAnsi="宋体" w:eastAsia="宋体" w:cs="宋体"/>
          <w:color w:val="auto"/>
          <w:sz w:val="28"/>
          <w:szCs w:val="28"/>
          <w:highlight w:val="none"/>
          <w:lang w:val="en-US" w:eastAsia="zh-CN"/>
        </w:rPr>
      </w:pPr>
    </w:p>
    <w:p>
      <w:pPr>
        <w:pStyle w:val="84"/>
        <w:spacing w:line="360" w:lineRule="auto"/>
        <w:outlineLvl w:val="2"/>
        <w:rPr>
          <w:rFonts w:hint="eastAsia" w:ascii="宋体" w:hAnsi="宋体" w:eastAsia="宋体" w:cs="宋体"/>
          <w:color w:val="auto"/>
          <w:sz w:val="28"/>
          <w:szCs w:val="28"/>
          <w:highlight w:val="none"/>
          <w:lang w:val="en-US" w:eastAsia="zh-CN"/>
        </w:rPr>
      </w:pPr>
    </w:p>
    <w:p>
      <w:pPr>
        <w:pStyle w:val="84"/>
        <w:spacing w:line="360" w:lineRule="auto"/>
        <w:outlineLvl w:val="2"/>
        <w:rPr>
          <w:rFonts w:hint="eastAsia" w:ascii="宋体" w:hAnsi="宋体" w:eastAsia="宋体" w:cs="宋体"/>
          <w:color w:val="auto"/>
          <w:sz w:val="28"/>
          <w:szCs w:val="28"/>
          <w:highlight w:val="none"/>
          <w:lang w:val="en-US" w:eastAsia="zh-CN"/>
        </w:rPr>
      </w:pPr>
    </w:p>
    <w:p>
      <w:pPr>
        <w:pStyle w:val="84"/>
        <w:spacing w:line="360" w:lineRule="auto"/>
        <w:outlineLvl w:val="2"/>
        <w:rPr>
          <w:rFonts w:hint="eastAsia" w:ascii="宋体" w:hAnsi="宋体" w:eastAsia="宋体" w:cs="宋体"/>
          <w:color w:val="auto"/>
          <w:sz w:val="28"/>
          <w:szCs w:val="28"/>
          <w:highlight w:val="none"/>
          <w:lang w:val="en-US" w:eastAsia="zh-CN"/>
        </w:rPr>
      </w:pPr>
    </w:p>
    <w:p>
      <w:pPr>
        <w:pStyle w:val="84"/>
        <w:spacing w:line="360" w:lineRule="auto"/>
        <w:outlineLvl w:val="2"/>
        <w:rPr>
          <w:rFonts w:hint="eastAsia" w:ascii="宋体" w:hAnsi="宋体" w:eastAsia="宋体" w:cs="宋体"/>
          <w:color w:val="auto"/>
          <w:sz w:val="28"/>
          <w:szCs w:val="28"/>
          <w:highlight w:val="none"/>
          <w:lang w:val="en-US" w:eastAsia="zh-CN"/>
        </w:rPr>
      </w:pPr>
    </w:p>
    <w:p>
      <w:pPr>
        <w:pStyle w:val="84"/>
        <w:spacing w:line="360" w:lineRule="auto"/>
        <w:outlineLvl w:val="2"/>
        <w:rPr>
          <w:rFonts w:hint="eastAsia" w:ascii="宋体" w:hAnsi="宋体" w:eastAsia="宋体" w:cs="宋体"/>
          <w:color w:val="auto"/>
          <w:sz w:val="28"/>
          <w:szCs w:val="28"/>
          <w:highlight w:val="none"/>
          <w:lang w:val="en-US" w:eastAsia="zh-CN"/>
        </w:rPr>
      </w:pPr>
    </w:p>
    <w:p>
      <w:pPr>
        <w:pStyle w:val="84"/>
        <w:spacing w:line="360" w:lineRule="auto"/>
        <w:outlineLvl w:val="2"/>
        <w:rPr>
          <w:rFonts w:hint="eastAsia" w:ascii="宋体" w:hAnsi="宋体" w:eastAsia="宋体" w:cs="宋体"/>
          <w:color w:val="auto"/>
          <w:sz w:val="28"/>
          <w:szCs w:val="28"/>
          <w:highlight w:val="none"/>
          <w:lang w:val="en-US" w:eastAsia="zh-CN"/>
        </w:rPr>
      </w:pPr>
    </w:p>
    <w:p>
      <w:pPr>
        <w:pStyle w:val="84"/>
        <w:spacing w:line="360" w:lineRule="auto"/>
        <w:outlineLvl w:val="2"/>
        <w:rPr>
          <w:rFonts w:hint="eastAsia" w:ascii="宋体" w:hAnsi="宋体" w:eastAsia="宋体" w:cs="宋体"/>
          <w:color w:val="auto"/>
          <w:sz w:val="28"/>
          <w:szCs w:val="28"/>
          <w:highlight w:val="none"/>
          <w:lang w:val="en-US" w:eastAsia="zh-CN"/>
        </w:rPr>
      </w:pPr>
    </w:p>
    <w:p>
      <w:pPr>
        <w:pStyle w:val="84"/>
        <w:spacing w:line="360" w:lineRule="auto"/>
        <w:outlineLvl w:val="2"/>
        <w:rPr>
          <w:rFonts w:hint="eastAsia" w:ascii="宋体" w:hAnsi="宋体" w:eastAsia="宋体" w:cs="宋体"/>
          <w:color w:val="auto"/>
          <w:sz w:val="28"/>
          <w:szCs w:val="28"/>
          <w:highlight w:val="none"/>
          <w:lang w:val="en-US" w:eastAsia="zh-CN"/>
        </w:rPr>
      </w:pPr>
    </w:p>
    <w:p>
      <w:pPr>
        <w:pStyle w:val="84"/>
        <w:spacing w:line="360" w:lineRule="auto"/>
        <w:outlineLvl w:val="2"/>
        <w:rPr>
          <w:rFonts w:hint="eastAsia" w:ascii="宋体" w:hAnsi="宋体" w:eastAsia="宋体" w:cs="宋体"/>
          <w:color w:val="auto"/>
          <w:sz w:val="28"/>
          <w:szCs w:val="28"/>
          <w:highlight w:val="none"/>
          <w:lang w:val="en-US" w:eastAsia="zh-CN"/>
        </w:rPr>
      </w:pPr>
    </w:p>
    <w:p>
      <w:pPr>
        <w:pStyle w:val="84"/>
        <w:spacing w:line="360" w:lineRule="auto"/>
        <w:outlineLvl w:val="2"/>
        <w:rPr>
          <w:rFonts w:hint="eastAsia" w:ascii="宋体" w:hAnsi="宋体" w:eastAsia="宋体" w:cs="宋体"/>
          <w:color w:val="auto"/>
          <w:sz w:val="28"/>
          <w:szCs w:val="28"/>
          <w:highlight w:val="none"/>
          <w:lang w:val="en-US" w:eastAsia="zh-CN"/>
        </w:rPr>
      </w:pPr>
    </w:p>
    <w:p>
      <w:pPr>
        <w:pStyle w:val="84"/>
        <w:spacing w:line="360" w:lineRule="auto"/>
        <w:outlineLvl w:val="2"/>
        <w:rPr>
          <w:rFonts w:hint="eastAsia" w:ascii="宋体" w:hAnsi="宋体" w:eastAsia="宋体" w:cs="宋体"/>
          <w:color w:val="auto"/>
          <w:sz w:val="28"/>
          <w:szCs w:val="28"/>
          <w:highlight w:val="none"/>
          <w:lang w:val="en-US" w:eastAsia="zh-CN"/>
        </w:rPr>
      </w:pPr>
    </w:p>
    <w:p>
      <w:pPr>
        <w:pStyle w:val="84"/>
        <w:spacing w:line="360" w:lineRule="auto"/>
        <w:outlineLvl w:val="2"/>
        <w:rPr>
          <w:rFonts w:hint="eastAsia" w:ascii="宋体" w:hAnsi="宋体" w:eastAsia="宋体" w:cs="宋体"/>
          <w:color w:val="auto"/>
          <w:sz w:val="28"/>
          <w:szCs w:val="28"/>
          <w:highlight w:val="none"/>
          <w:lang w:val="en-US" w:eastAsia="zh-CN"/>
        </w:rPr>
      </w:pPr>
    </w:p>
    <w:p>
      <w:pPr>
        <w:pStyle w:val="84"/>
        <w:spacing w:line="360" w:lineRule="auto"/>
        <w:outlineLvl w:val="2"/>
        <w:rPr>
          <w:rFonts w:hint="eastAsia" w:ascii="宋体" w:hAnsi="宋体" w:eastAsia="宋体" w:cs="宋体"/>
          <w:color w:val="auto"/>
          <w:sz w:val="28"/>
          <w:szCs w:val="28"/>
          <w:highlight w:val="none"/>
          <w:lang w:val="en-US" w:eastAsia="zh-CN"/>
        </w:rPr>
      </w:pPr>
    </w:p>
    <w:p>
      <w:pPr>
        <w:pStyle w:val="84"/>
        <w:spacing w:line="360" w:lineRule="auto"/>
        <w:outlineLvl w:val="2"/>
        <w:rPr>
          <w:rFonts w:hint="eastAsia" w:ascii="宋体" w:hAnsi="宋体" w:eastAsia="宋体" w:cs="宋体"/>
          <w:color w:val="auto"/>
          <w:sz w:val="28"/>
          <w:szCs w:val="28"/>
          <w:highlight w:val="none"/>
          <w:lang w:val="en-US" w:eastAsia="zh-CN"/>
        </w:rPr>
      </w:pPr>
    </w:p>
    <w:p>
      <w:pPr>
        <w:pStyle w:val="84"/>
        <w:spacing w:line="360" w:lineRule="auto"/>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rPr>
        <w:t>法定代表人身份证明及授权委托书</w:t>
      </w:r>
      <w:bookmarkEnd w:id="188"/>
    </w:p>
    <w:p>
      <w:pPr>
        <w:pStyle w:val="85"/>
        <w:spacing w:line="360" w:lineRule="auto"/>
        <w:outlineLvl w:val="9"/>
        <w:rPr>
          <w:rFonts w:hint="eastAsia" w:ascii="宋体" w:hAnsi="宋体" w:eastAsia="宋体" w:cs="宋体"/>
          <w:color w:val="auto"/>
          <w:sz w:val="24"/>
          <w:szCs w:val="24"/>
          <w:highlight w:val="none"/>
          <w:lang w:eastAsia="zh-CN"/>
        </w:rPr>
      </w:pPr>
      <w:bookmarkStart w:id="189" w:name="_Toc480371721"/>
      <w:bookmarkStart w:id="190" w:name="_Toc480368595"/>
      <w:bookmarkStart w:id="191" w:name="_Toc480368424"/>
      <w:bookmarkStart w:id="192" w:name="_Toc256000037"/>
      <w:bookmarkStart w:id="193" w:name="_Toc480368653"/>
      <w:bookmarkStart w:id="194" w:name="_Toc468535482"/>
      <w:r>
        <w:rPr>
          <w:rFonts w:hint="eastAsia" w:ascii="宋体" w:hAnsi="宋体" w:eastAsia="宋体" w:cs="宋体"/>
          <w:color w:val="auto"/>
          <w:sz w:val="24"/>
          <w:szCs w:val="24"/>
          <w:highlight w:val="none"/>
        </w:rPr>
        <w:t>法定代表人资格证明文件</w:t>
      </w:r>
      <w:bookmarkEnd w:id="189"/>
      <w:bookmarkEnd w:id="190"/>
      <w:bookmarkEnd w:id="191"/>
      <w:bookmarkEnd w:id="192"/>
      <w:bookmarkEnd w:id="193"/>
      <w:bookmarkEnd w:id="194"/>
    </w:p>
    <w:p>
      <w:pPr>
        <w:pStyle w:val="86"/>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（代理机构名称）</w:t>
      </w:r>
      <w:r>
        <w:rPr>
          <w:rFonts w:hint="eastAsia" w:ascii="宋体" w:hAnsi="宋体" w:eastAsia="宋体" w:cs="宋体"/>
          <w:color w:val="auto"/>
          <w:sz w:val="24"/>
          <w:szCs w:val="24"/>
          <w:highlight w:val="none"/>
        </w:rPr>
        <w:t>：</w:t>
      </w:r>
    </w:p>
    <w:p>
      <w:pPr>
        <w:pStyle w:val="86"/>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公司法定代表人，代表我公司办理一切社会公务事宜，具有法律效力。 </w:t>
      </w:r>
    </w:p>
    <w:p>
      <w:pPr>
        <w:pStyle w:val="86"/>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附法定代表人基本情况： </w:t>
      </w:r>
    </w:p>
    <w:p>
      <w:pPr>
        <w:pStyle w:val="86"/>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pStyle w:val="86"/>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pStyle w:val="86"/>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u w:val="single"/>
        </w:rPr>
        <w:t xml:space="preserve">                       </w:t>
      </w:r>
    </w:p>
    <w:p>
      <w:pPr>
        <w:pStyle w:val="86"/>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pPr>
        <w:pStyle w:val="86"/>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bl>
      <w:tblPr>
        <w:tblStyle w:val="20"/>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pPr>
              <w:pStyle w:val="86"/>
              <w:adjustRightInd w:val="0"/>
              <w:snapToGrid w:val="0"/>
              <w:spacing w:line="360" w:lineRule="auto"/>
              <w:jc w:val="center"/>
              <w:rPr>
                <w:rFonts w:hint="eastAsia" w:ascii="宋体" w:hAnsi="宋体" w:eastAsia="宋体" w:cs="宋体"/>
                <w:color w:val="auto"/>
                <w:sz w:val="24"/>
                <w:szCs w:val="24"/>
                <w:highlight w:val="none"/>
              </w:rPr>
            </w:pPr>
          </w:p>
          <w:p>
            <w:pPr>
              <w:pStyle w:val="86"/>
              <w:adjustRightInd w:val="0"/>
              <w:snapToGrid w:val="0"/>
              <w:spacing w:line="360" w:lineRule="auto"/>
              <w:jc w:val="center"/>
              <w:rPr>
                <w:rFonts w:hint="eastAsia" w:ascii="宋体" w:hAnsi="宋体" w:eastAsia="宋体" w:cs="宋体"/>
                <w:color w:val="auto"/>
                <w:sz w:val="24"/>
                <w:szCs w:val="24"/>
                <w:highlight w:val="none"/>
              </w:rPr>
            </w:pPr>
          </w:p>
          <w:p>
            <w:pPr>
              <w:pStyle w:val="86"/>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法定代表人《居民身份证》扫描件</w:t>
            </w:r>
          </w:p>
        </w:tc>
      </w:tr>
    </w:tbl>
    <w:p>
      <w:pPr>
        <w:pStyle w:val="86"/>
        <w:adjustRightInd w:val="0"/>
        <w:snapToGrid w:val="0"/>
        <w:spacing w:line="360" w:lineRule="auto"/>
        <w:rPr>
          <w:rFonts w:hint="eastAsia" w:ascii="宋体" w:hAnsi="宋体" w:eastAsia="宋体" w:cs="宋体"/>
          <w:color w:val="auto"/>
          <w:sz w:val="24"/>
          <w:szCs w:val="24"/>
          <w:highlight w:val="none"/>
        </w:rPr>
      </w:pPr>
    </w:p>
    <w:p>
      <w:pPr>
        <w:pStyle w:val="86"/>
        <w:tabs>
          <w:tab w:val="left" w:pos="750"/>
        </w:tabs>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投标人名称（</w:t>
      </w:r>
      <w:r>
        <w:rPr>
          <w:rFonts w:hint="eastAsia" w:ascii="宋体" w:hAnsi="宋体" w:cs="宋体"/>
          <w:color w:val="auto"/>
          <w:sz w:val="24"/>
          <w:szCs w:val="24"/>
          <w:highlight w:val="none"/>
          <w:lang w:eastAsia="zh-CN"/>
        </w:rPr>
        <w:t>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86"/>
        <w:tabs>
          <w:tab w:val="left" w:pos="750"/>
        </w:tabs>
        <w:adjustRightInd w:val="0"/>
        <w:snapToGrid w:val="0"/>
        <w:spacing w:line="360" w:lineRule="auto"/>
        <w:rPr>
          <w:rFonts w:hint="eastAsia" w:ascii="宋体" w:hAnsi="宋体" w:eastAsia="宋体" w:cs="宋体"/>
          <w:color w:val="auto"/>
          <w:sz w:val="24"/>
          <w:szCs w:val="24"/>
          <w:highlight w:val="none"/>
        </w:rPr>
      </w:pPr>
    </w:p>
    <w:p>
      <w:pPr>
        <w:pStyle w:val="86"/>
        <w:tabs>
          <w:tab w:val="left" w:pos="750"/>
        </w:tabs>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eastAsia="zh-CN"/>
        </w:rPr>
        <w:t>签字及盖章</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u w:val="single"/>
        </w:rPr>
        <w:t xml:space="preserve">           </w:t>
      </w:r>
    </w:p>
    <w:p>
      <w:pPr>
        <w:pStyle w:val="86"/>
        <w:tabs>
          <w:tab w:val="left" w:pos="750"/>
        </w:tabs>
        <w:adjustRightInd w:val="0"/>
        <w:snapToGrid w:val="0"/>
        <w:spacing w:line="360" w:lineRule="auto"/>
        <w:rPr>
          <w:rFonts w:hint="eastAsia" w:ascii="宋体" w:hAnsi="宋体" w:eastAsia="宋体" w:cs="宋体"/>
          <w:color w:val="auto"/>
          <w:sz w:val="24"/>
          <w:szCs w:val="24"/>
          <w:highlight w:val="none"/>
        </w:rPr>
      </w:pPr>
    </w:p>
    <w:p>
      <w:pPr>
        <w:pStyle w:val="86"/>
        <w:tabs>
          <w:tab w:val="left" w:pos="750"/>
        </w:tabs>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bookmarkStart w:id="195" w:name="_Toc468535483"/>
    </w:p>
    <w:p>
      <w:pPr>
        <w:pStyle w:val="85"/>
        <w:spacing w:line="360" w:lineRule="auto"/>
        <w:outlineLvl w:val="9"/>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w:t>
      </w:r>
      <w:bookmarkStart w:id="196" w:name="_Toc480368654"/>
      <w:bookmarkStart w:id="197" w:name="_Toc480368425"/>
      <w:bookmarkStart w:id="198" w:name="_Toc480371722"/>
      <w:bookmarkStart w:id="199" w:name="_Toc480368596"/>
    </w:p>
    <w:p>
      <w:pPr>
        <w:pStyle w:val="85"/>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b w:val="0"/>
          <w:color w:val="auto"/>
          <w:highlight w:val="none"/>
        </w:rPr>
        <w:br w:type="page"/>
      </w:r>
      <w:bookmarkStart w:id="200" w:name="_Toc256000039"/>
      <w:r>
        <w:rPr>
          <w:rFonts w:hint="eastAsia" w:ascii="宋体" w:hAnsi="宋体" w:eastAsia="宋体" w:cs="宋体"/>
          <w:color w:val="auto"/>
          <w:sz w:val="24"/>
          <w:szCs w:val="24"/>
          <w:highlight w:val="none"/>
        </w:rPr>
        <w:t>法定代表人授权书</w:t>
      </w:r>
      <w:bookmarkEnd w:id="195"/>
      <w:bookmarkEnd w:id="196"/>
      <w:bookmarkEnd w:id="197"/>
      <w:bookmarkEnd w:id="198"/>
      <w:bookmarkEnd w:id="199"/>
      <w:bookmarkEnd w:id="200"/>
    </w:p>
    <w:p>
      <w:pPr>
        <w:pStyle w:val="86"/>
        <w:spacing w:line="360" w:lineRule="auto"/>
        <w:rPr>
          <w:rFonts w:hint="eastAsia" w:ascii="宋体" w:hAnsi="宋体" w:eastAsia="宋体" w:cs="宋体"/>
          <w:color w:val="auto"/>
          <w:sz w:val="24"/>
          <w:szCs w:val="24"/>
          <w:highlight w:val="none"/>
          <w:u w:val="single"/>
        </w:rPr>
      </w:pPr>
    </w:p>
    <w:p>
      <w:pPr>
        <w:pStyle w:val="8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（代理机构名称）</w:t>
      </w:r>
      <w:r>
        <w:rPr>
          <w:rFonts w:hint="eastAsia" w:ascii="宋体" w:hAnsi="宋体" w:eastAsia="宋体" w:cs="宋体"/>
          <w:color w:val="auto"/>
          <w:sz w:val="24"/>
          <w:szCs w:val="24"/>
          <w:highlight w:val="none"/>
        </w:rPr>
        <w:t>：</w:t>
      </w:r>
    </w:p>
    <w:p>
      <w:pPr>
        <w:pStyle w:val="8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同志为我公司参加贵单位组织的编号为</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 目 名 称）</w:t>
      </w:r>
      <w:r>
        <w:rPr>
          <w:rFonts w:hint="eastAsia" w:ascii="宋体" w:hAnsi="宋体" w:eastAsia="宋体" w:cs="宋体"/>
          <w:color w:val="auto"/>
          <w:sz w:val="24"/>
          <w:szCs w:val="24"/>
          <w:highlight w:val="none"/>
        </w:rPr>
        <w:t>采购活动的投标代表人，全权代表我公司处理在该项目采购活动中的一切事宜。代理期限从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日止。 </w:t>
      </w:r>
    </w:p>
    <w:p>
      <w:pPr>
        <w:pStyle w:val="86"/>
        <w:spacing w:line="360" w:lineRule="auto"/>
        <w:rPr>
          <w:rFonts w:hint="eastAsia" w:ascii="宋体" w:hAnsi="宋体" w:eastAsia="宋体" w:cs="宋体"/>
          <w:color w:val="auto"/>
          <w:sz w:val="24"/>
          <w:szCs w:val="24"/>
          <w:highlight w:val="none"/>
        </w:rPr>
      </w:pPr>
    </w:p>
    <w:p>
      <w:pPr>
        <w:pStyle w:val="8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cs="宋体"/>
          <w:color w:val="auto"/>
          <w:sz w:val="24"/>
          <w:szCs w:val="24"/>
          <w:highlight w:val="none"/>
          <w:lang w:eastAsia="zh-CN"/>
        </w:rPr>
        <w:t>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8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cs="宋体"/>
          <w:color w:val="auto"/>
          <w:sz w:val="24"/>
          <w:szCs w:val="24"/>
          <w:highlight w:val="none"/>
          <w:lang w:eastAsia="zh-CN"/>
        </w:rPr>
        <w:t>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8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86"/>
        <w:spacing w:line="360" w:lineRule="auto"/>
        <w:rPr>
          <w:rFonts w:hint="eastAsia" w:ascii="宋体" w:hAnsi="宋体" w:eastAsia="宋体" w:cs="宋体"/>
          <w:color w:val="auto"/>
          <w:sz w:val="24"/>
          <w:szCs w:val="24"/>
          <w:highlight w:val="none"/>
        </w:rPr>
      </w:pPr>
    </w:p>
    <w:p>
      <w:pPr>
        <w:pStyle w:val="8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pPr>
        <w:pStyle w:val="8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代理人工作单位：</w:t>
      </w:r>
      <w:r>
        <w:rPr>
          <w:rFonts w:hint="eastAsia" w:ascii="宋体" w:hAnsi="宋体" w:eastAsia="宋体" w:cs="宋体"/>
          <w:color w:val="auto"/>
          <w:sz w:val="24"/>
          <w:szCs w:val="24"/>
          <w:highlight w:val="none"/>
          <w:u w:val="single"/>
        </w:rPr>
        <w:t xml:space="preserve">                          </w:t>
      </w:r>
    </w:p>
    <w:p>
      <w:pPr>
        <w:pStyle w:val="8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p>
    <w:p>
      <w:pPr>
        <w:pStyle w:val="86"/>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pStyle w:val="86"/>
        <w:adjustRightInd w:val="0"/>
        <w:snapToGrid w:val="0"/>
        <w:spacing w:line="360" w:lineRule="auto"/>
        <w:ind w:left="-88" w:leftChars="-42" w:firstLine="600" w:firstLineChars="250"/>
        <w:rPr>
          <w:rFonts w:hint="eastAsia" w:ascii="宋体" w:hAnsi="宋体" w:eastAsia="宋体" w:cs="宋体"/>
          <w:color w:val="auto"/>
          <w:sz w:val="24"/>
          <w:szCs w:val="24"/>
          <w:highlight w:val="none"/>
          <w:u w:val="single"/>
        </w:rPr>
      </w:pPr>
    </w:p>
    <w:tbl>
      <w:tblPr>
        <w:tblStyle w:val="20"/>
        <w:tblW w:w="4496" w:type="pct"/>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5000" w:type="pct"/>
            <w:tcBorders>
              <w:top w:val="single" w:color="auto" w:sz="4" w:space="0"/>
              <w:left w:val="single" w:color="auto" w:sz="4" w:space="0"/>
              <w:bottom w:val="single" w:color="auto" w:sz="4" w:space="0"/>
              <w:right w:val="single" w:color="auto" w:sz="4" w:space="0"/>
            </w:tcBorders>
            <w:noWrap w:val="0"/>
            <w:vAlign w:val="top"/>
          </w:tcPr>
          <w:p>
            <w:pPr>
              <w:pStyle w:val="86"/>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粘贴被授权人身份证（扫描件）</w:t>
            </w:r>
          </w:p>
        </w:tc>
      </w:tr>
    </w:tbl>
    <w:p>
      <w:pPr>
        <w:pStyle w:val="87"/>
        <w:spacing w:line="360" w:lineRule="auto"/>
        <w:outlineLvl w:val="2"/>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投标保证金</w:t>
      </w:r>
    </w:p>
    <w:p>
      <w:pPr>
        <w:pStyle w:val="89"/>
        <w:spacing w:line="360" w:lineRule="auto"/>
        <w:outlineLvl w:val="2"/>
        <w:rPr>
          <w:rFonts w:hint="eastAsia" w:ascii="宋体" w:hAnsi="宋体" w:eastAsia="宋体" w:cs="宋体"/>
          <w:color w:val="auto"/>
          <w:sz w:val="28"/>
          <w:szCs w:val="28"/>
          <w:highlight w:val="none"/>
          <w:lang w:eastAsia="zh-CN"/>
        </w:rPr>
      </w:pPr>
      <w:r>
        <w:rPr>
          <w:rFonts w:hint="eastAsia" w:ascii="宋体" w:hAnsi="宋体" w:eastAsia="宋体" w:cs="宋体"/>
          <w:color w:val="auto"/>
          <w:sz w:val="24"/>
          <w:szCs w:val="24"/>
          <w:highlight w:val="none"/>
        </w:rPr>
        <w:t>说明：此处上传保证金打款凭证及基本户开户许可证及保证金收据</w:t>
      </w:r>
    </w:p>
    <w:p>
      <w:pPr>
        <w:pStyle w:val="94"/>
        <w:outlineLvl w:val="2"/>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br w:type="page"/>
      </w:r>
      <w:bookmarkStart w:id="201" w:name="_Toc256000042"/>
      <w:r>
        <w:rPr>
          <w:rFonts w:hint="eastAsia" w:ascii="宋体" w:hAnsi="宋体" w:eastAsia="宋体" w:cs="宋体"/>
          <w:color w:val="auto"/>
          <w:sz w:val="28"/>
          <w:szCs w:val="28"/>
          <w:highlight w:val="none"/>
          <w:lang w:val="en-US" w:eastAsia="zh-CN"/>
        </w:rPr>
        <w:t>六、</w:t>
      </w:r>
      <w:r>
        <w:rPr>
          <w:rFonts w:hint="eastAsia" w:ascii="宋体" w:hAnsi="宋体" w:eastAsia="宋体" w:cs="宋体"/>
          <w:color w:val="auto"/>
          <w:sz w:val="28"/>
          <w:szCs w:val="28"/>
          <w:highlight w:val="none"/>
        </w:rPr>
        <w:t>信用信息查询记录</w:t>
      </w:r>
    </w:p>
    <w:p>
      <w:pPr>
        <w:pStyle w:val="12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说明：此处上传信用中国、中国政府采购网、“裁判文书”（wenshu.court.gov.cn/）查询的无行贿犯罪记录网页截图（以上截图须包括单位名称、法人姓名、查询内容及查询时间，查询时间应在招标公告发出后）；</w:t>
      </w:r>
    </w:p>
    <w:p>
      <w:pPr>
        <w:pStyle w:val="12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90"/>
        <w:spacing w:line="360" w:lineRule="auto"/>
        <w:outlineLvl w:val="2"/>
        <w:rPr>
          <w:rFonts w:hint="eastAsia" w:ascii="宋体" w:hAnsi="宋体" w:eastAsia="宋体" w:cs="宋体"/>
          <w:color w:val="auto"/>
          <w:sz w:val="28"/>
          <w:szCs w:val="28"/>
          <w:highlight w:val="none"/>
        </w:rPr>
      </w:pPr>
    </w:p>
    <w:p>
      <w:pPr>
        <w:pStyle w:val="90"/>
        <w:spacing w:line="360" w:lineRule="auto"/>
        <w:outlineLvl w:val="2"/>
        <w:rPr>
          <w:rFonts w:hint="eastAsia" w:ascii="宋体" w:hAnsi="宋体" w:eastAsia="宋体" w:cs="宋体"/>
          <w:color w:val="auto"/>
          <w:sz w:val="28"/>
          <w:szCs w:val="28"/>
          <w:highlight w:val="none"/>
        </w:rPr>
      </w:pPr>
    </w:p>
    <w:p>
      <w:pPr>
        <w:pStyle w:val="90"/>
        <w:spacing w:line="360" w:lineRule="auto"/>
        <w:outlineLvl w:val="2"/>
        <w:rPr>
          <w:rFonts w:hint="eastAsia" w:ascii="宋体" w:hAnsi="宋体" w:eastAsia="宋体" w:cs="宋体"/>
          <w:color w:val="auto"/>
          <w:sz w:val="28"/>
          <w:szCs w:val="28"/>
          <w:highlight w:val="none"/>
        </w:rPr>
      </w:pPr>
    </w:p>
    <w:p>
      <w:pPr>
        <w:pStyle w:val="90"/>
        <w:spacing w:line="360" w:lineRule="auto"/>
        <w:outlineLvl w:val="2"/>
        <w:rPr>
          <w:rFonts w:hint="eastAsia" w:ascii="宋体" w:hAnsi="宋体" w:eastAsia="宋体" w:cs="宋体"/>
          <w:color w:val="auto"/>
          <w:sz w:val="28"/>
          <w:szCs w:val="28"/>
          <w:highlight w:val="none"/>
        </w:rPr>
      </w:pPr>
    </w:p>
    <w:p>
      <w:pPr>
        <w:pStyle w:val="90"/>
        <w:spacing w:line="360" w:lineRule="auto"/>
        <w:outlineLvl w:val="2"/>
        <w:rPr>
          <w:rFonts w:hint="eastAsia" w:ascii="宋体" w:hAnsi="宋体" w:eastAsia="宋体" w:cs="宋体"/>
          <w:color w:val="auto"/>
          <w:sz w:val="28"/>
          <w:szCs w:val="28"/>
          <w:highlight w:val="none"/>
        </w:rPr>
      </w:pPr>
    </w:p>
    <w:p>
      <w:pPr>
        <w:pStyle w:val="90"/>
        <w:spacing w:line="360" w:lineRule="auto"/>
        <w:outlineLvl w:val="2"/>
        <w:rPr>
          <w:rFonts w:hint="eastAsia" w:ascii="宋体" w:hAnsi="宋体" w:eastAsia="宋体" w:cs="宋体"/>
          <w:color w:val="auto"/>
          <w:sz w:val="28"/>
          <w:szCs w:val="28"/>
          <w:highlight w:val="none"/>
        </w:rPr>
      </w:pPr>
    </w:p>
    <w:p>
      <w:pPr>
        <w:pStyle w:val="90"/>
        <w:spacing w:line="360" w:lineRule="auto"/>
        <w:outlineLvl w:val="2"/>
        <w:rPr>
          <w:rFonts w:hint="eastAsia" w:ascii="宋体" w:hAnsi="宋体" w:eastAsia="宋体" w:cs="宋体"/>
          <w:color w:val="auto"/>
          <w:sz w:val="28"/>
          <w:szCs w:val="28"/>
          <w:highlight w:val="none"/>
        </w:rPr>
      </w:pPr>
    </w:p>
    <w:p>
      <w:pPr>
        <w:pStyle w:val="90"/>
        <w:spacing w:line="360" w:lineRule="auto"/>
        <w:outlineLvl w:val="2"/>
        <w:rPr>
          <w:rFonts w:hint="eastAsia" w:ascii="宋体" w:hAnsi="宋体" w:eastAsia="宋体" w:cs="宋体"/>
          <w:color w:val="auto"/>
          <w:sz w:val="28"/>
          <w:szCs w:val="28"/>
          <w:highlight w:val="none"/>
        </w:rPr>
      </w:pPr>
    </w:p>
    <w:p>
      <w:pPr>
        <w:pStyle w:val="90"/>
        <w:spacing w:line="360" w:lineRule="auto"/>
        <w:outlineLvl w:val="2"/>
        <w:rPr>
          <w:rFonts w:hint="eastAsia" w:ascii="宋体" w:hAnsi="宋体" w:eastAsia="宋体" w:cs="宋体"/>
          <w:color w:val="auto"/>
          <w:sz w:val="28"/>
          <w:szCs w:val="28"/>
          <w:highlight w:val="none"/>
        </w:rPr>
      </w:pPr>
    </w:p>
    <w:p>
      <w:pPr>
        <w:pStyle w:val="90"/>
        <w:spacing w:line="360" w:lineRule="auto"/>
        <w:outlineLvl w:val="2"/>
        <w:rPr>
          <w:rFonts w:hint="eastAsia" w:ascii="宋体" w:hAnsi="宋体" w:eastAsia="宋体" w:cs="宋体"/>
          <w:color w:val="auto"/>
          <w:sz w:val="28"/>
          <w:szCs w:val="28"/>
          <w:highlight w:val="none"/>
        </w:rPr>
      </w:pPr>
    </w:p>
    <w:p>
      <w:pPr>
        <w:pStyle w:val="90"/>
        <w:spacing w:line="360" w:lineRule="auto"/>
        <w:outlineLvl w:val="2"/>
        <w:rPr>
          <w:rFonts w:hint="eastAsia" w:ascii="宋体" w:hAnsi="宋体" w:eastAsia="宋体" w:cs="宋体"/>
          <w:color w:val="auto"/>
          <w:sz w:val="28"/>
          <w:szCs w:val="28"/>
          <w:highlight w:val="none"/>
        </w:rPr>
      </w:pPr>
    </w:p>
    <w:p>
      <w:pPr>
        <w:pStyle w:val="90"/>
        <w:spacing w:line="360" w:lineRule="auto"/>
        <w:outlineLvl w:val="2"/>
        <w:rPr>
          <w:rFonts w:hint="eastAsia" w:ascii="宋体" w:hAnsi="宋体" w:eastAsia="宋体" w:cs="宋体"/>
          <w:color w:val="auto"/>
          <w:sz w:val="28"/>
          <w:szCs w:val="28"/>
          <w:highlight w:val="none"/>
        </w:rPr>
      </w:pPr>
    </w:p>
    <w:p>
      <w:pPr>
        <w:pStyle w:val="90"/>
        <w:spacing w:line="360" w:lineRule="auto"/>
        <w:outlineLvl w:val="2"/>
        <w:rPr>
          <w:rFonts w:hint="eastAsia" w:ascii="宋体" w:hAnsi="宋体" w:eastAsia="宋体" w:cs="宋体"/>
          <w:color w:val="auto"/>
          <w:sz w:val="28"/>
          <w:szCs w:val="28"/>
          <w:highlight w:val="none"/>
        </w:rPr>
      </w:pPr>
    </w:p>
    <w:p>
      <w:pPr>
        <w:pStyle w:val="90"/>
        <w:spacing w:line="360" w:lineRule="auto"/>
        <w:outlineLvl w:val="2"/>
        <w:rPr>
          <w:rFonts w:hint="eastAsia" w:ascii="宋体" w:hAnsi="宋体" w:eastAsia="宋体" w:cs="宋体"/>
          <w:color w:val="auto"/>
          <w:sz w:val="28"/>
          <w:szCs w:val="28"/>
          <w:highlight w:val="none"/>
        </w:rPr>
      </w:pPr>
    </w:p>
    <w:p>
      <w:pPr>
        <w:pStyle w:val="90"/>
        <w:spacing w:line="360" w:lineRule="auto"/>
        <w:outlineLvl w:val="2"/>
        <w:rPr>
          <w:rFonts w:hint="eastAsia" w:ascii="宋体" w:hAnsi="宋体" w:eastAsia="宋体" w:cs="宋体"/>
          <w:color w:val="auto"/>
          <w:sz w:val="28"/>
          <w:szCs w:val="28"/>
          <w:highlight w:val="none"/>
        </w:rPr>
      </w:pPr>
    </w:p>
    <w:p>
      <w:pPr>
        <w:pStyle w:val="90"/>
        <w:spacing w:line="360" w:lineRule="auto"/>
        <w:outlineLvl w:val="2"/>
        <w:rPr>
          <w:rFonts w:hint="eastAsia" w:ascii="宋体" w:hAnsi="宋体" w:eastAsia="宋体" w:cs="宋体"/>
          <w:color w:val="auto"/>
          <w:sz w:val="28"/>
          <w:szCs w:val="28"/>
          <w:highlight w:val="none"/>
        </w:rPr>
      </w:pPr>
    </w:p>
    <w:p>
      <w:pPr>
        <w:pStyle w:val="90"/>
        <w:spacing w:line="360" w:lineRule="auto"/>
        <w:outlineLvl w:val="2"/>
        <w:rPr>
          <w:rFonts w:hint="eastAsia" w:ascii="宋体" w:hAnsi="宋体" w:eastAsia="宋体" w:cs="宋体"/>
          <w:color w:val="auto"/>
          <w:sz w:val="28"/>
          <w:szCs w:val="28"/>
          <w:highlight w:val="none"/>
        </w:rPr>
      </w:pPr>
    </w:p>
    <w:p>
      <w:pPr>
        <w:pStyle w:val="90"/>
        <w:spacing w:line="360" w:lineRule="auto"/>
        <w:outlineLvl w:val="2"/>
        <w:rPr>
          <w:rFonts w:hint="eastAsia" w:ascii="宋体" w:hAnsi="宋体" w:eastAsia="宋体" w:cs="宋体"/>
          <w:color w:val="auto"/>
          <w:sz w:val="28"/>
          <w:szCs w:val="28"/>
          <w:highlight w:val="none"/>
        </w:rPr>
      </w:pPr>
    </w:p>
    <w:p>
      <w:pPr>
        <w:pStyle w:val="90"/>
        <w:spacing w:line="360" w:lineRule="auto"/>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供应商认为有必要提供的声明及文件资料</w:t>
      </w:r>
      <w:bookmarkEnd w:id="201"/>
    </w:p>
    <w:p>
      <w:pPr>
        <w:pStyle w:val="53"/>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①供应商自觉抵制政府采购领域商业贿赂行为承诺书；</w:t>
      </w:r>
    </w:p>
    <w:p>
      <w:pPr>
        <w:pStyle w:val="53"/>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②节能产品、环境标志产品证明文件；</w:t>
      </w:r>
    </w:p>
    <w:p>
      <w:pPr>
        <w:pStyle w:val="53"/>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 3 \* GB3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③</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类似项目业绩表；</w:t>
      </w:r>
    </w:p>
    <w:p>
      <w:pPr>
        <w:pStyle w:val="91"/>
        <w:spacing w:line="360" w:lineRule="auto"/>
        <w:jc w:val="both"/>
        <w:outlineLvl w:val="9"/>
        <w:rPr>
          <w:rFonts w:hint="eastAsia" w:ascii="宋体" w:hAnsi="宋体" w:eastAsia="宋体" w:cs="宋体"/>
          <w:b w:val="0"/>
          <w:color w:val="auto"/>
          <w:sz w:val="24"/>
          <w:szCs w:val="24"/>
          <w:highlight w:val="none"/>
          <w:lang w:eastAsia="zh-CN"/>
        </w:rPr>
      </w:pPr>
      <w:bookmarkStart w:id="202" w:name="_Toc480368602"/>
      <w:bookmarkStart w:id="203" w:name="_Toc480368660"/>
      <w:bookmarkStart w:id="204" w:name="_Toc468535489"/>
      <w:bookmarkStart w:id="205" w:name="_Toc480368431"/>
      <w:bookmarkStart w:id="206" w:name="_Toc480371728"/>
      <w:bookmarkStart w:id="207" w:name="_Toc256000043"/>
      <w:r>
        <w:rPr>
          <w:rFonts w:hint="eastAsia" w:ascii="宋体" w:hAnsi="宋体" w:eastAsia="宋体" w:cs="宋体"/>
          <w:b w:val="0"/>
          <w:color w:val="auto"/>
          <w:sz w:val="24"/>
          <w:szCs w:val="24"/>
          <w:highlight w:val="none"/>
          <w:lang w:eastAsia="zh-CN"/>
        </w:rPr>
        <w:t>附：</w:t>
      </w:r>
      <w:r>
        <w:rPr>
          <w:rFonts w:hint="eastAsia" w:ascii="宋体" w:hAnsi="宋体" w:eastAsia="宋体" w:cs="宋体"/>
          <w:b w:val="0"/>
          <w:color w:val="auto"/>
          <w:sz w:val="24"/>
          <w:szCs w:val="24"/>
          <w:highlight w:val="none"/>
        </w:rPr>
        <w:t>类似项目业绩表</w:t>
      </w:r>
      <w:bookmarkEnd w:id="202"/>
      <w:bookmarkEnd w:id="203"/>
      <w:bookmarkEnd w:id="204"/>
      <w:bookmarkEnd w:id="205"/>
      <w:bookmarkEnd w:id="206"/>
      <w:bookmarkEnd w:id="207"/>
    </w:p>
    <w:p>
      <w:pPr>
        <w:pStyle w:val="92"/>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92"/>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tbl>
      <w:tblPr>
        <w:tblStyle w:val="20"/>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noWrap w:val="0"/>
            <w:vAlign w:val="center"/>
          </w:tcPr>
          <w:p>
            <w:pPr>
              <w:pStyle w:val="9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200" w:type="dxa"/>
            <w:noWrap w:val="0"/>
            <w:vAlign w:val="top"/>
          </w:tcPr>
          <w:p>
            <w:pPr>
              <w:pStyle w:val="92"/>
              <w:tabs>
                <w:tab w:val="left" w:pos="2265"/>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pPr>
              <w:pStyle w:val="9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项目单位名称</w:t>
            </w:r>
          </w:p>
        </w:tc>
        <w:tc>
          <w:tcPr>
            <w:tcW w:w="7200" w:type="dxa"/>
            <w:noWrap w:val="0"/>
            <w:vAlign w:val="top"/>
          </w:tcPr>
          <w:p>
            <w:pPr>
              <w:pStyle w:val="92"/>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pPr>
              <w:pStyle w:val="9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项目单位联系人姓名及联系方式</w:t>
            </w:r>
          </w:p>
        </w:tc>
        <w:tc>
          <w:tcPr>
            <w:tcW w:w="7200" w:type="dxa"/>
            <w:noWrap w:val="0"/>
            <w:vAlign w:val="top"/>
          </w:tcPr>
          <w:p>
            <w:pPr>
              <w:pStyle w:val="92"/>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noWrap w:val="0"/>
            <w:vAlign w:val="center"/>
          </w:tcPr>
          <w:p>
            <w:pPr>
              <w:pStyle w:val="9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7200" w:type="dxa"/>
            <w:noWrap w:val="0"/>
            <w:vAlign w:val="top"/>
          </w:tcPr>
          <w:p>
            <w:pPr>
              <w:pStyle w:val="92"/>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noWrap w:val="0"/>
            <w:vAlign w:val="center"/>
          </w:tcPr>
          <w:p>
            <w:pPr>
              <w:pStyle w:val="9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p>
            <w:pPr>
              <w:pStyle w:val="9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7200" w:type="dxa"/>
            <w:noWrap w:val="0"/>
            <w:vAlign w:val="top"/>
          </w:tcPr>
          <w:p>
            <w:pPr>
              <w:pStyle w:val="92"/>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noWrap w:val="0"/>
            <w:vAlign w:val="center"/>
          </w:tcPr>
          <w:p>
            <w:pPr>
              <w:pStyle w:val="9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项目实施时间</w:t>
            </w:r>
          </w:p>
        </w:tc>
        <w:tc>
          <w:tcPr>
            <w:tcW w:w="7200" w:type="dxa"/>
            <w:noWrap w:val="0"/>
            <w:vAlign w:val="top"/>
          </w:tcPr>
          <w:p>
            <w:pPr>
              <w:pStyle w:val="92"/>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noWrap w:val="0"/>
            <w:vAlign w:val="center"/>
          </w:tcPr>
          <w:p>
            <w:pPr>
              <w:pStyle w:val="92"/>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项目内容说明</w:t>
            </w:r>
          </w:p>
        </w:tc>
        <w:tc>
          <w:tcPr>
            <w:tcW w:w="7200" w:type="dxa"/>
            <w:noWrap w:val="0"/>
            <w:vAlign w:val="top"/>
          </w:tcPr>
          <w:p>
            <w:pPr>
              <w:pStyle w:val="92"/>
              <w:spacing w:line="360" w:lineRule="auto"/>
              <w:jc w:val="center"/>
              <w:rPr>
                <w:rFonts w:hint="eastAsia" w:ascii="宋体" w:hAnsi="宋体" w:eastAsia="宋体" w:cs="宋体"/>
                <w:color w:val="auto"/>
                <w:sz w:val="24"/>
                <w:szCs w:val="24"/>
                <w:highlight w:val="none"/>
              </w:rPr>
            </w:pPr>
          </w:p>
        </w:tc>
      </w:tr>
    </w:tbl>
    <w:p>
      <w:pPr>
        <w:pStyle w:val="92"/>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说明：1．每个合同须单独附表，并附上相关证明材料，否则专家在评审时将不予采信；</w:t>
      </w:r>
    </w:p>
    <w:p>
      <w:pPr>
        <w:pStyle w:val="92"/>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2．项目内容请详细说明所承担的具体工作内容；</w:t>
      </w:r>
    </w:p>
    <w:p>
      <w:pPr>
        <w:pStyle w:val="92"/>
        <w:adjustRightInd w:val="0"/>
        <w:snapToGrid w:val="0"/>
        <w:spacing w:line="360" w:lineRule="auto"/>
        <w:rPr>
          <w:rFonts w:hint="eastAsia" w:ascii="宋体" w:hAnsi="宋体" w:eastAsia="宋体" w:cs="宋体"/>
          <w:color w:val="auto"/>
          <w:sz w:val="24"/>
          <w:szCs w:val="24"/>
          <w:highlight w:val="none"/>
        </w:rPr>
      </w:pPr>
    </w:p>
    <w:p>
      <w:pPr>
        <w:pStyle w:val="92"/>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投标人法定代表人（</w:t>
      </w:r>
      <w:r>
        <w:rPr>
          <w:rFonts w:hint="eastAsia" w:ascii="宋体" w:hAnsi="宋体" w:cs="宋体"/>
          <w:color w:val="auto"/>
          <w:sz w:val="24"/>
          <w:szCs w:val="24"/>
          <w:highlight w:val="none"/>
          <w:lang w:eastAsia="zh-CN"/>
        </w:rPr>
        <w:t>签字及盖章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92"/>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cs="宋体"/>
          <w:color w:val="auto"/>
          <w:sz w:val="24"/>
          <w:szCs w:val="24"/>
          <w:highlight w:val="none"/>
          <w:lang w:eastAsia="zh-CN"/>
        </w:rPr>
        <w:t>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92"/>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pStyle w:val="93"/>
        <w:spacing w:line="360" w:lineRule="auto"/>
        <w:outlineLvl w:val="2"/>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br w:type="page"/>
      </w:r>
      <w:bookmarkStart w:id="208" w:name="_Toc256000044"/>
      <w:r>
        <w:rPr>
          <w:rFonts w:hint="eastAsia" w:ascii="宋体" w:hAnsi="宋体" w:eastAsia="宋体" w:cs="宋体"/>
          <w:color w:val="auto"/>
          <w:sz w:val="28"/>
          <w:szCs w:val="28"/>
          <w:highlight w:val="none"/>
          <w:lang w:val="en-US" w:eastAsia="zh-CN"/>
        </w:rPr>
        <w:t>八、</w:t>
      </w:r>
      <w:r>
        <w:rPr>
          <w:rFonts w:hint="eastAsia" w:ascii="宋体" w:hAnsi="宋体" w:eastAsia="宋体" w:cs="宋体"/>
          <w:color w:val="auto"/>
          <w:sz w:val="28"/>
          <w:szCs w:val="28"/>
          <w:highlight w:val="none"/>
        </w:rPr>
        <w:t>《中华人民共和国政府采购法》第二十二条应当具备的条件；</w:t>
      </w:r>
      <w:bookmarkEnd w:id="208"/>
    </w:p>
    <w:p>
      <w:pPr>
        <w:pStyle w:val="63"/>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①具有独立承担民事责任的能力；</w:t>
      </w:r>
    </w:p>
    <w:p>
      <w:pPr>
        <w:pStyle w:val="63"/>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②具有良好的商业信誉和健全的财务会计制度；</w:t>
      </w:r>
    </w:p>
    <w:p>
      <w:pPr>
        <w:pStyle w:val="63"/>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 3 \* GB3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③</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具有履行合同所必需的设备和专业技术能力；</w:t>
      </w:r>
    </w:p>
    <w:p>
      <w:pPr>
        <w:pStyle w:val="63"/>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 4 \* GB3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④</w: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有依法缴纳税收和社会保障资金的良好记录；</w:t>
      </w:r>
    </w:p>
    <w:p>
      <w:pPr>
        <w:pStyle w:val="63"/>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⑤参加政府采购活动前三年内，在经营活动中没有重大违法记录；</w:t>
      </w:r>
    </w:p>
    <w:p>
      <w:pPr>
        <w:pStyle w:val="63"/>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⑥法律、行政法规规定的其他条件。</w:t>
      </w:r>
    </w:p>
    <w:p>
      <w:pPr>
        <w:pStyle w:val="94"/>
        <w:spacing w:line="360" w:lineRule="auto"/>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bookmarkStart w:id="209" w:name="_Toc256000045"/>
      <w:r>
        <w:rPr>
          <w:rFonts w:hint="eastAsia" w:ascii="宋体" w:hAnsi="宋体" w:eastAsia="宋体" w:cs="宋体"/>
          <w:color w:val="auto"/>
          <w:sz w:val="28"/>
          <w:szCs w:val="28"/>
          <w:highlight w:val="none"/>
          <w:lang w:val="en-US" w:eastAsia="zh-CN"/>
        </w:rPr>
        <w:t>九、</w:t>
      </w:r>
      <w:r>
        <w:rPr>
          <w:rFonts w:hint="eastAsia" w:ascii="宋体" w:hAnsi="宋体" w:eastAsia="宋体" w:cs="宋体"/>
          <w:color w:val="auto"/>
          <w:sz w:val="28"/>
          <w:szCs w:val="28"/>
          <w:highlight w:val="none"/>
        </w:rPr>
        <w:t>不参与围标串标承诺书</w:t>
      </w:r>
      <w:bookmarkEnd w:id="209"/>
    </w:p>
    <w:p>
      <w:pPr>
        <w:pStyle w:val="9"/>
        <w:spacing w:line="240" w:lineRule="auto"/>
        <w:ind w:firstLine="480" w:firstLineChars="200"/>
        <w:rPr>
          <w:rFonts w:hint="eastAsia" w:ascii="宋体" w:hAnsi="宋体" w:eastAsia="宋体" w:cs="宋体"/>
          <w:color w:val="auto"/>
          <w:sz w:val="24"/>
          <w:szCs w:val="24"/>
          <w:highlight w:val="none"/>
        </w:rPr>
      </w:pPr>
    </w:p>
    <w:p>
      <w:pPr>
        <w:pStyle w:val="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本人作为</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的法人，清楚知晓我公司本项目投标活动，对以下事项作出承诺：</w:t>
      </w:r>
    </w:p>
    <w:p>
      <w:pPr>
        <w:pStyle w:val="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一、我单位遵循公开、公平、公正、诚实守信的原则，依法依规参与本项目竞标。</w:t>
      </w:r>
    </w:p>
    <w:p>
      <w:pPr>
        <w:pStyle w:val="9"/>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二、我单位在本项目招标投标活动中，未参与围标串标。</w:t>
      </w:r>
    </w:p>
    <w:p>
      <w:pPr>
        <w:pStyle w:val="9"/>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pStyle w:val="92"/>
        <w:adjustRightInd w:val="0"/>
        <w:snapToGrid w:val="0"/>
        <w:spacing w:line="360" w:lineRule="auto"/>
        <w:rPr>
          <w:rFonts w:hint="eastAsia" w:ascii="宋体" w:hAnsi="宋体" w:eastAsia="宋体" w:cs="宋体"/>
          <w:color w:val="auto"/>
          <w:sz w:val="24"/>
          <w:szCs w:val="24"/>
          <w:highlight w:val="none"/>
        </w:rPr>
      </w:pPr>
    </w:p>
    <w:p>
      <w:pPr>
        <w:pStyle w:val="92"/>
        <w:adjustRightInd w:val="0"/>
        <w:snapToGrid w:val="0"/>
        <w:spacing w:line="360" w:lineRule="auto"/>
        <w:rPr>
          <w:rFonts w:hint="eastAsia" w:ascii="宋体" w:hAnsi="宋体" w:eastAsia="宋体" w:cs="宋体"/>
          <w:color w:val="auto"/>
          <w:sz w:val="24"/>
          <w:szCs w:val="24"/>
          <w:highlight w:val="none"/>
        </w:rPr>
      </w:pPr>
    </w:p>
    <w:p>
      <w:pPr>
        <w:pStyle w:val="92"/>
        <w:adjustRightInd w:val="0"/>
        <w:snapToGrid w:val="0"/>
        <w:spacing w:line="360" w:lineRule="auto"/>
        <w:rPr>
          <w:rFonts w:hint="eastAsia" w:ascii="宋体" w:hAnsi="宋体" w:eastAsia="宋体" w:cs="宋体"/>
          <w:color w:val="auto"/>
          <w:sz w:val="24"/>
          <w:szCs w:val="24"/>
          <w:highlight w:val="none"/>
        </w:rPr>
      </w:pPr>
    </w:p>
    <w:p>
      <w:pPr>
        <w:pStyle w:val="92"/>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投标人法定代表人（</w:t>
      </w:r>
      <w:r>
        <w:rPr>
          <w:rFonts w:hint="eastAsia" w:ascii="宋体" w:hAnsi="宋体" w:cs="宋体"/>
          <w:color w:val="auto"/>
          <w:sz w:val="24"/>
          <w:szCs w:val="24"/>
          <w:highlight w:val="none"/>
          <w:lang w:eastAsia="zh-CN"/>
        </w:rPr>
        <w:t>签字及盖章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92"/>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cs="宋体"/>
          <w:color w:val="auto"/>
          <w:sz w:val="24"/>
          <w:szCs w:val="24"/>
          <w:highlight w:val="none"/>
          <w:lang w:eastAsia="zh-CN"/>
        </w:rPr>
        <w:t>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92"/>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pStyle w:val="96"/>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br w:type="page"/>
      </w:r>
    </w:p>
    <w:p>
      <w:pPr>
        <w:pStyle w:val="98"/>
        <w:spacing w:line="360" w:lineRule="auto"/>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十、</w:t>
      </w:r>
      <w:r>
        <w:rPr>
          <w:rFonts w:hint="eastAsia" w:ascii="宋体" w:hAnsi="宋体" w:eastAsia="宋体" w:cs="宋体"/>
          <w:color w:val="auto"/>
          <w:sz w:val="28"/>
          <w:szCs w:val="28"/>
          <w:highlight w:val="none"/>
        </w:rPr>
        <w:t>投标函</w:t>
      </w:r>
    </w:p>
    <w:p>
      <w:pPr>
        <w:pStyle w:val="99"/>
        <w:widowControl/>
        <w:spacing w:line="24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Style w:val="99"/>
        <w:widowControl/>
        <w:spacing w:line="36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99"/>
        <w:widowControl/>
        <w:spacing w:line="36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(投标人名称)授权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(投标人授权代理人姓名)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(职务、职称)为我方代表，参加贵方组织的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项目名称、项目编号、包号</w:t>
      </w:r>
      <w:r>
        <w:rPr>
          <w:rFonts w:hint="eastAsia" w:ascii="宋体" w:hAnsi="宋体" w:eastAsia="宋体" w:cs="宋体"/>
          <w:color w:val="auto"/>
          <w:sz w:val="24"/>
          <w:szCs w:val="24"/>
          <w:highlight w:val="none"/>
        </w:rPr>
        <w:t>)招标的有关活动，并对此项目进行投标。为此：</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1、我方同意在本项目招标文件中规定的投标有效期内遵守本投标文件中的承诺且在此期限期满之前均具有约束力。</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2、我方承诺已经具备《中华人民共和国政府采购法》中规定的参加政府采购活动的供应商应当具备的条件：</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5）参加此项采购活动前三年内，在经营活动中没有重大违法记录；</w:t>
      </w:r>
    </w:p>
    <w:p>
      <w:pPr>
        <w:pStyle w:val="10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3、提供投标人须知规定的投标文件，包括</w:t>
      </w:r>
      <w:r>
        <w:rPr>
          <w:rFonts w:hint="eastAsia" w:ascii="宋体" w:hAnsi="宋体" w:eastAsia="宋体" w:cs="宋体"/>
          <w:color w:val="auto"/>
          <w:spacing w:val="0"/>
          <w:kern w:val="2"/>
          <w:position w:val="0"/>
          <w:sz w:val="24"/>
          <w:szCs w:val="24"/>
          <w:highlight w:val="none"/>
          <w:lang w:val="en-US" w:eastAsia="zh-CN" w:bidi="ar-SA"/>
        </w:rPr>
        <w:t>投标文件正本1份，副本2份，</w:t>
      </w:r>
      <w:r>
        <w:rPr>
          <w:rFonts w:hint="eastAsia" w:ascii="宋体" w:hAnsi="宋体" w:cs="宋体"/>
          <w:color w:val="auto"/>
          <w:spacing w:val="0"/>
          <w:kern w:val="2"/>
          <w:position w:val="0"/>
          <w:sz w:val="24"/>
          <w:szCs w:val="24"/>
          <w:highlight w:val="none"/>
          <w:lang w:val="en-US" w:eastAsia="zh-CN" w:bidi="ar-SA"/>
        </w:rPr>
        <w:t>开标一览表1份，</w:t>
      </w:r>
      <w:r>
        <w:rPr>
          <w:rFonts w:hint="eastAsia" w:ascii="宋体" w:hAnsi="宋体" w:eastAsia="宋体" w:cs="宋体"/>
          <w:color w:val="auto"/>
          <w:spacing w:val="0"/>
          <w:kern w:val="2"/>
          <w:position w:val="0"/>
          <w:sz w:val="24"/>
          <w:szCs w:val="24"/>
          <w:highlight w:val="none"/>
          <w:lang w:val="en-US" w:eastAsia="zh-CN" w:bidi="ar-SA"/>
        </w:rPr>
        <w:t>电子版3套</w:t>
      </w:r>
      <w:r>
        <w:rPr>
          <w:rFonts w:hint="eastAsia" w:ascii="宋体" w:hAnsi="宋体" w:eastAsia="宋体" w:cs="宋体"/>
          <w:color w:val="auto"/>
          <w:sz w:val="24"/>
          <w:szCs w:val="24"/>
          <w:highlight w:val="none"/>
        </w:rPr>
        <w:t>。</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4、按招标文件要求提供和交付的货物及相关服务的投标报价详见开标一览表。</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5、保证忠实地执行双方所签订的合同，并承担合同规定的责任和义务。</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6、我方承诺完全满足和响应招标文件中的各项技术和服务要求，若有偏差，已在投标文件偏离表中予以明确特别说明。</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7、我方承诺：完全理解投标报价若超过项目预算时，投标将被拒绝。</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8、我方承诺：与在本项目中设计编制技术规格的机构及其附属机构无任何直接隶属关系和利益关联。</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9、如果在开标后规定的投标有效期内撤回投标，我方的投标保证金可被贵方没收。</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10、我方完全理解贵方不一定接受最低价的投标或收到的任何投标。</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11、我方承诺：投标文件所提供的一切资料及</w:t>
      </w:r>
      <w:r>
        <w:rPr>
          <w:rFonts w:hint="eastAsia" w:ascii="宋体" w:hAnsi="宋体" w:eastAsia="宋体" w:cs="宋体"/>
          <w:color w:val="auto"/>
          <w:sz w:val="24"/>
          <w:szCs w:val="24"/>
          <w:highlight w:val="none"/>
          <w:lang w:val="en-US" w:eastAsia="zh-CN"/>
        </w:rPr>
        <w:t>政采云</w:t>
      </w:r>
      <w:r>
        <w:rPr>
          <w:rFonts w:hint="eastAsia" w:ascii="宋体" w:hAnsi="宋体" w:eastAsia="宋体" w:cs="宋体"/>
          <w:color w:val="auto"/>
          <w:sz w:val="24"/>
          <w:szCs w:val="24"/>
          <w:highlight w:val="none"/>
        </w:rPr>
        <w:t>平台申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12、我方已详细审核全部投标文件，包括投标文件修改书（如有的话）、参考资料及有关附件，确认无误。</w:t>
      </w:r>
    </w:p>
    <w:p>
      <w:pPr>
        <w:pStyle w:val="99"/>
        <w:widowControl/>
        <w:spacing w:line="360" w:lineRule="auto"/>
        <w:ind w:left="0" w:leftChars="0" w:firstLine="480"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pacing w:val="-6"/>
          <w:sz w:val="24"/>
          <w:szCs w:val="24"/>
          <w:highlight w:val="none"/>
        </w:rPr>
        <w:t>我方承诺：采购人若需追加采购本项目招标文件所列货物及相关服务的，在不改变合同其他实质性条款的前提下，按相同或更优惠的折扣率保证供货。</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14、我方承诺：如所报货物属国家强制认证产品的，均已通过认证且在有效期内，否则，由此产生的一切法律责任由我方承担。</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15、我方承诺：接受招标文件中的全部条款且无任何异议，保证遵守招标文件的规定。</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pacing w:val="-11"/>
          <w:sz w:val="24"/>
          <w:szCs w:val="24"/>
          <w:highlight w:val="none"/>
        </w:rPr>
        <w:t>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1）提供虚假材料谋取中标、成交的；</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2）采取不正当手段诋毁、排挤其他供应商的；</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3）与采购人、其他供应商或者采购代理机构工作人员恶意串通的；</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4）向采购人、采购代理机构工作人员行贿或者提供其他不正当利益的；</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5）在采购过程中与采购人进行协商谈判的；</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6）拒绝有关部门监督检查或提供虚假情况的。</w:t>
      </w:r>
    </w:p>
    <w:p>
      <w:pPr>
        <w:pStyle w:val="10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与本投标有关的一切往来通讯请寄：</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地址：____________________________________________________</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邮编：____________　</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　</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w:t>
      </w:r>
    </w:p>
    <w:p>
      <w:pPr>
        <w:pStyle w:val="99"/>
        <w:widowControl/>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投标人法定代表人或授权代理人联系电话，e-mail：</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99"/>
        <w:widowControl/>
        <w:spacing w:line="360" w:lineRule="auto"/>
        <w:ind w:left="101" w:leftChars="48"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投标人法定代表人</w:t>
      </w:r>
      <w:r>
        <w:rPr>
          <w:rFonts w:hint="eastAsia" w:ascii="宋体" w:hAnsi="宋体" w:cs="宋体"/>
          <w:b/>
          <w:color w:val="auto"/>
          <w:sz w:val="24"/>
          <w:szCs w:val="24"/>
          <w:highlight w:val="none"/>
          <w:lang w:eastAsia="zh-CN"/>
        </w:rPr>
        <w:t>签字及盖章</w:t>
      </w:r>
      <w:r>
        <w:rPr>
          <w:rFonts w:hint="eastAsia" w:ascii="宋体" w:hAnsi="宋体" w:eastAsia="宋体" w:cs="宋体"/>
          <w:b/>
          <w:color w:val="auto"/>
          <w:sz w:val="24"/>
          <w:szCs w:val="24"/>
          <w:highlight w:val="none"/>
        </w:rPr>
        <w:t>：</w:t>
      </w:r>
    </w:p>
    <w:p>
      <w:pPr>
        <w:pStyle w:val="99"/>
        <w:widowControl/>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投标人公章：</w:t>
      </w:r>
    </w:p>
    <w:p>
      <w:pPr>
        <w:pStyle w:val="99"/>
        <w:widowControl/>
        <w:spacing w:line="360" w:lineRule="auto"/>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日　期：</w:t>
      </w:r>
    </w:p>
    <w:p>
      <w:pPr>
        <w:pStyle w:val="99"/>
        <w:widowControl/>
        <w:spacing w:line="360" w:lineRule="auto"/>
        <w:ind w:left="0" w:leftChars="0"/>
        <w:rPr>
          <w:rFonts w:hint="eastAsia" w:ascii="宋体" w:hAnsi="宋体" w:eastAsia="宋体" w:cs="宋体"/>
          <w:color w:val="auto"/>
          <w:sz w:val="24"/>
          <w:szCs w:val="24"/>
          <w:highlight w:val="none"/>
        </w:rPr>
      </w:pPr>
    </w:p>
    <w:p>
      <w:pPr>
        <w:pStyle w:val="99"/>
        <w:widowControl/>
        <w:spacing w:line="360" w:lineRule="auto"/>
        <w:ind w:left="0" w:leftChars="0"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说明：除可填报项目外，对本投标函的任何修改将被视为非实质性响应投标，从而导致该投标被拒绝。</w:t>
      </w:r>
    </w:p>
    <w:p>
      <w:pPr>
        <w:pStyle w:val="101"/>
        <w:spacing w:after="0" w:line="360" w:lineRule="auto"/>
        <w:rPr>
          <w:rFonts w:hint="eastAsia" w:ascii="宋体" w:hAnsi="宋体" w:eastAsia="宋体" w:cs="宋体"/>
          <w:b/>
          <w:color w:val="auto"/>
          <w:sz w:val="24"/>
          <w:szCs w:val="24"/>
          <w:highlight w:val="none"/>
        </w:rPr>
      </w:pPr>
    </w:p>
    <w:p>
      <w:pPr>
        <w:pStyle w:val="102"/>
        <w:spacing w:line="360" w:lineRule="auto"/>
        <w:outlineLvl w:val="2"/>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br w:type="page"/>
      </w:r>
      <w:bookmarkStart w:id="210" w:name="_Toc256000049"/>
      <w:r>
        <w:rPr>
          <w:rFonts w:hint="eastAsia" w:ascii="宋体" w:hAnsi="宋体" w:eastAsia="宋体" w:cs="宋体"/>
          <w:color w:val="auto"/>
          <w:sz w:val="28"/>
          <w:szCs w:val="28"/>
          <w:highlight w:val="none"/>
          <w:lang w:val="en-US" w:eastAsia="zh-CN"/>
        </w:rPr>
        <w:t>十一、</w:t>
      </w:r>
      <w:r>
        <w:rPr>
          <w:rFonts w:hint="eastAsia" w:ascii="宋体" w:hAnsi="宋体" w:eastAsia="宋体" w:cs="宋体"/>
          <w:color w:val="auto"/>
          <w:sz w:val="28"/>
          <w:szCs w:val="28"/>
          <w:highlight w:val="none"/>
        </w:rPr>
        <w:t>开标一览表</w:t>
      </w:r>
      <w:bookmarkEnd w:id="210"/>
    </w:p>
    <w:p>
      <w:pPr>
        <w:pStyle w:val="105"/>
        <w:spacing w:line="240" w:lineRule="auto"/>
        <w:ind w:left="0" w:leftChars="0" w:firstLine="0" w:firstLineChars="0"/>
        <w:rPr>
          <w:rFonts w:hint="eastAsia" w:ascii="宋体" w:hAnsi="宋体" w:eastAsia="宋体" w:cs="宋体"/>
          <w:color w:val="auto"/>
          <w:sz w:val="24"/>
          <w:szCs w:val="24"/>
          <w:highlight w:val="none"/>
        </w:rPr>
      </w:pPr>
    </w:p>
    <w:p>
      <w:pPr>
        <w:pStyle w:val="105"/>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价格单位：元</w:t>
      </w:r>
    </w:p>
    <w:tbl>
      <w:tblPr>
        <w:tblStyle w:val="2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6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05" w:type="dxa"/>
            <w:tcBorders>
              <w:bottom w:val="single" w:color="auto" w:sz="4" w:space="0"/>
            </w:tcBorders>
            <w:noWrap w:val="0"/>
            <w:vAlign w:val="center"/>
          </w:tcPr>
          <w:p>
            <w:pPr>
              <w:pStyle w:val="103"/>
              <w:tabs>
                <w:tab w:val="left" w:pos="1337"/>
              </w:tabs>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分包名称</w:t>
            </w:r>
          </w:p>
        </w:tc>
        <w:tc>
          <w:tcPr>
            <w:tcW w:w="6975" w:type="dxa"/>
            <w:tcBorders>
              <w:bottom w:val="single" w:color="auto" w:sz="4" w:space="0"/>
            </w:tcBorders>
            <w:noWrap w:val="0"/>
            <w:vAlign w:val="center"/>
          </w:tcPr>
          <w:p>
            <w:pPr>
              <w:pStyle w:val="103"/>
              <w:tabs>
                <w:tab w:val="left" w:pos="1337"/>
              </w:tabs>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205" w:type="dxa"/>
            <w:noWrap w:val="0"/>
            <w:vAlign w:val="center"/>
          </w:tcPr>
          <w:p>
            <w:pPr>
              <w:pStyle w:val="103"/>
              <w:tabs>
                <w:tab w:val="left" w:pos="1337"/>
              </w:tabs>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 标 总 价</w:t>
            </w:r>
          </w:p>
        </w:tc>
        <w:tc>
          <w:tcPr>
            <w:tcW w:w="6975" w:type="dxa"/>
            <w:noWrap w:val="0"/>
            <w:vAlign w:val="top"/>
          </w:tcPr>
          <w:p>
            <w:pPr>
              <w:pStyle w:val="103"/>
              <w:tabs>
                <w:tab w:val="left" w:pos="1337"/>
              </w:tabs>
              <w:spacing w:line="360" w:lineRule="auto"/>
              <w:rPr>
                <w:rFonts w:hint="eastAsia" w:ascii="宋体" w:hAnsi="宋体" w:eastAsia="宋体" w:cs="宋体"/>
                <w:bCs/>
                <w:color w:val="auto"/>
                <w:sz w:val="24"/>
                <w:szCs w:val="24"/>
                <w:highlight w:val="none"/>
              </w:rPr>
            </w:pPr>
          </w:p>
          <w:p>
            <w:pPr>
              <w:pStyle w:val="103"/>
              <w:tabs>
                <w:tab w:val="left" w:pos="1337"/>
              </w:tabs>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p>
          <w:p>
            <w:pPr>
              <w:pStyle w:val="103"/>
              <w:tabs>
                <w:tab w:val="left" w:pos="1337"/>
              </w:tabs>
              <w:spacing w:line="360" w:lineRule="auto"/>
              <w:rPr>
                <w:rFonts w:hint="eastAsia" w:ascii="宋体" w:hAnsi="宋体" w:eastAsia="宋体" w:cs="宋体"/>
                <w:bCs/>
                <w:color w:val="auto"/>
                <w:sz w:val="24"/>
                <w:szCs w:val="24"/>
                <w:highlight w:val="none"/>
              </w:rPr>
            </w:pPr>
          </w:p>
          <w:p>
            <w:pPr>
              <w:pStyle w:val="103"/>
              <w:tabs>
                <w:tab w:val="left" w:pos="1337"/>
              </w:tabs>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p>
          <w:p>
            <w:pPr>
              <w:pStyle w:val="103"/>
              <w:tabs>
                <w:tab w:val="left" w:pos="1337"/>
              </w:tabs>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2205" w:type="dxa"/>
            <w:noWrap w:val="0"/>
            <w:vAlign w:val="center"/>
          </w:tcPr>
          <w:p>
            <w:pPr>
              <w:pStyle w:val="103"/>
              <w:tabs>
                <w:tab w:val="left" w:pos="1337"/>
              </w:tabs>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交货期</w:t>
            </w:r>
          </w:p>
        </w:tc>
        <w:tc>
          <w:tcPr>
            <w:tcW w:w="6975" w:type="dxa"/>
            <w:noWrap w:val="0"/>
            <w:vAlign w:val="center"/>
          </w:tcPr>
          <w:p>
            <w:pPr>
              <w:pStyle w:val="103"/>
              <w:tabs>
                <w:tab w:val="left" w:pos="1337"/>
              </w:tabs>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pPr>
              <w:pStyle w:val="103"/>
              <w:tabs>
                <w:tab w:val="left" w:pos="1337"/>
              </w:tabs>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备注：</w:t>
            </w:r>
            <w:r>
              <w:rPr>
                <w:rFonts w:hint="eastAsia" w:ascii="宋体" w:hAnsi="宋体" w:eastAsia="宋体" w:cs="宋体"/>
                <w:color w:val="auto"/>
                <w:sz w:val="24"/>
                <w:szCs w:val="24"/>
                <w:highlight w:val="none"/>
              </w:rPr>
              <w:t xml:space="preserve">                                                                     </w:t>
            </w:r>
          </w:p>
        </w:tc>
      </w:tr>
    </w:tbl>
    <w:p>
      <w:pPr>
        <w:pStyle w:val="10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投标人严格按照规定的格式填写。投标总价为优惠后报价，并作为评审及定标的依据。</w:t>
      </w:r>
    </w:p>
    <w:p>
      <w:pPr>
        <w:pStyle w:val="10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任何有选择或有条件的投标总价或表中某一包填写多个报价，均将导致投标被拒绝。</w:t>
      </w:r>
    </w:p>
    <w:p>
      <w:pPr>
        <w:pStyle w:val="103"/>
        <w:spacing w:line="360" w:lineRule="auto"/>
        <w:rPr>
          <w:rFonts w:hint="eastAsia" w:ascii="宋体" w:hAnsi="宋体" w:eastAsia="宋体" w:cs="宋体"/>
          <w:color w:val="auto"/>
          <w:sz w:val="24"/>
          <w:szCs w:val="24"/>
          <w:highlight w:val="none"/>
        </w:rPr>
      </w:pPr>
    </w:p>
    <w:p>
      <w:pPr>
        <w:pStyle w:val="103"/>
        <w:spacing w:line="360" w:lineRule="auto"/>
        <w:rPr>
          <w:rFonts w:hint="eastAsia" w:ascii="宋体" w:hAnsi="宋体" w:eastAsia="宋体" w:cs="宋体"/>
          <w:color w:val="auto"/>
          <w:sz w:val="24"/>
          <w:szCs w:val="24"/>
          <w:highlight w:val="none"/>
        </w:rPr>
      </w:pPr>
    </w:p>
    <w:p>
      <w:pPr>
        <w:pStyle w:val="103"/>
        <w:spacing w:line="360" w:lineRule="auto"/>
        <w:rPr>
          <w:rFonts w:hint="eastAsia" w:ascii="宋体" w:hAnsi="宋体" w:eastAsia="宋体" w:cs="宋体"/>
          <w:color w:val="auto"/>
          <w:sz w:val="24"/>
          <w:szCs w:val="24"/>
          <w:highlight w:val="none"/>
        </w:rPr>
      </w:pPr>
    </w:p>
    <w:p>
      <w:pPr>
        <w:pStyle w:val="103"/>
        <w:spacing w:line="360" w:lineRule="auto"/>
        <w:rPr>
          <w:rFonts w:hint="eastAsia" w:ascii="宋体" w:hAnsi="宋体" w:eastAsia="宋体" w:cs="宋体"/>
          <w:color w:val="auto"/>
          <w:sz w:val="28"/>
          <w:szCs w:val="28"/>
          <w:highlight w:val="none"/>
        </w:rPr>
      </w:pPr>
    </w:p>
    <w:p>
      <w:pPr>
        <w:pStyle w:val="106"/>
        <w:spacing w:line="360" w:lineRule="auto"/>
        <w:outlineLvl w:val="2"/>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br w:type="page"/>
      </w:r>
      <w:bookmarkStart w:id="211" w:name="_Toc256000050"/>
      <w:r>
        <w:rPr>
          <w:rFonts w:hint="eastAsia" w:ascii="宋体" w:hAnsi="宋体" w:eastAsia="宋体" w:cs="宋体"/>
          <w:color w:val="auto"/>
          <w:sz w:val="28"/>
          <w:szCs w:val="28"/>
          <w:highlight w:val="none"/>
          <w:lang w:val="en-US" w:eastAsia="zh-CN"/>
        </w:rPr>
        <w:t>十二、</w:t>
      </w:r>
      <w:r>
        <w:rPr>
          <w:rFonts w:hint="eastAsia" w:ascii="宋体" w:hAnsi="宋体" w:eastAsia="宋体" w:cs="宋体"/>
          <w:color w:val="auto"/>
          <w:sz w:val="28"/>
          <w:szCs w:val="28"/>
          <w:highlight w:val="none"/>
        </w:rPr>
        <w:t>投标报价明细表</w:t>
      </w:r>
      <w:bookmarkEnd w:id="211"/>
    </w:p>
    <w:p>
      <w:pPr>
        <w:pStyle w:val="107"/>
        <w:spacing w:line="240" w:lineRule="auto"/>
        <w:ind w:left="0" w:leftChars="0" w:firstLine="0" w:firstLineChars="0"/>
        <w:rPr>
          <w:rFonts w:hint="eastAsia" w:ascii="宋体" w:hAnsi="宋体" w:eastAsia="宋体" w:cs="宋体"/>
          <w:color w:val="auto"/>
          <w:sz w:val="24"/>
          <w:szCs w:val="24"/>
          <w:highlight w:val="none"/>
        </w:rPr>
      </w:pPr>
    </w:p>
    <w:p>
      <w:pPr>
        <w:pStyle w:val="107"/>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价格单位：元</w:t>
      </w:r>
    </w:p>
    <w:tbl>
      <w:tblPr>
        <w:tblStyle w:val="20"/>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410"/>
        <w:gridCol w:w="327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1" w:type="dxa"/>
            <w:tcBorders>
              <w:top w:val="single" w:color="auto" w:sz="12" w:space="0"/>
              <w:left w:val="single" w:color="auto" w:sz="12" w:space="0"/>
              <w:bottom w:val="single" w:color="auto" w:sz="4" w:space="0"/>
            </w:tcBorders>
            <w:noWrap w:val="0"/>
            <w:vAlign w:val="center"/>
          </w:tcPr>
          <w:p>
            <w:pPr>
              <w:pStyle w:val="108"/>
              <w:tabs>
                <w:tab w:val="left" w:pos="1337"/>
              </w:tabs>
              <w:spacing w:line="360" w:lineRule="auto"/>
              <w:ind w:left="-42"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2410" w:type="dxa"/>
            <w:tcBorders>
              <w:top w:val="single" w:color="auto" w:sz="12" w:space="0"/>
              <w:bottom w:val="single" w:color="auto" w:sz="4" w:space="0"/>
            </w:tcBorders>
            <w:noWrap w:val="0"/>
            <w:vAlign w:val="center"/>
          </w:tcPr>
          <w:p>
            <w:pPr>
              <w:pStyle w:val="108"/>
              <w:tabs>
                <w:tab w:val="left" w:pos="1337"/>
              </w:tabs>
              <w:spacing w:line="360" w:lineRule="auto"/>
              <w:ind w:left="-42"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78" w:type="dxa"/>
            <w:tcBorders>
              <w:top w:val="single" w:color="auto" w:sz="12" w:space="0"/>
              <w:bottom w:val="single" w:color="auto" w:sz="4" w:space="0"/>
            </w:tcBorders>
            <w:noWrap w:val="0"/>
            <w:vAlign w:val="center"/>
          </w:tcPr>
          <w:p>
            <w:pPr>
              <w:pStyle w:val="108"/>
              <w:tabs>
                <w:tab w:val="left" w:pos="1337"/>
              </w:tabs>
              <w:spacing w:line="360" w:lineRule="auto"/>
              <w:ind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056" w:type="dxa"/>
            <w:gridSpan w:val="3"/>
            <w:tcBorders>
              <w:top w:val="single" w:color="auto" w:sz="12" w:space="0"/>
              <w:bottom w:val="single" w:color="auto" w:sz="4" w:space="0"/>
              <w:right w:val="single" w:color="auto" w:sz="12" w:space="0"/>
            </w:tcBorders>
            <w:noWrap w:val="0"/>
            <w:vAlign w:val="center"/>
          </w:tcPr>
          <w:p>
            <w:pPr>
              <w:pStyle w:val="108"/>
              <w:tabs>
                <w:tab w:val="left" w:pos="1337"/>
              </w:tabs>
              <w:spacing w:line="360" w:lineRule="auto"/>
              <w:ind w:left="-42"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1" w:type="dxa"/>
            <w:vMerge w:val="restart"/>
            <w:tcBorders>
              <w:left w:val="single" w:color="auto" w:sz="12" w:space="0"/>
            </w:tcBorders>
            <w:noWrap w:val="0"/>
            <w:vAlign w:val="center"/>
          </w:tcPr>
          <w:p>
            <w:pPr>
              <w:pStyle w:val="108"/>
              <w:tabs>
                <w:tab w:val="left" w:pos="1337"/>
              </w:tabs>
              <w:spacing w:line="360" w:lineRule="auto"/>
              <w:ind w:left="-42" w:right="-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10" w:type="dxa"/>
            <w:vMerge w:val="restart"/>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3278" w:type="dxa"/>
            <w:vMerge w:val="restart"/>
            <w:noWrap w:val="0"/>
            <w:vAlign w:val="center"/>
          </w:tcPr>
          <w:p>
            <w:pPr>
              <w:pStyle w:val="108"/>
              <w:tabs>
                <w:tab w:val="left" w:pos="1337"/>
              </w:tabs>
              <w:spacing w:line="360" w:lineRule="auto"/>
              <w:ind w:left="-42" w:right="-42"/>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品牌、型号</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产地、</w:t>
            </w:r>
            <w:r>
              <w:rPr>
                <w:rFonts w:hint="eastAsia" w:ascii="宋体" w:hAnsi="宋体" w:eastAsia="宋体" w:cs="宋体"/>
                <w:color w:val="auto"/>
                <w:sz w:val="24"/>
                <w:szCs w:val="24"/>
                <w:highlight w:val="none"/>
                <w:lang w:val="en-US" w:eastAsia="zh-CN"/>
              </w:rPr>
              <w:t>技术参数</w:t>
            </w:r>
          </w:p>
        </w:tc>
        <w:tc>
          <w:tcPr>
            <w:tcW w:w="3056" w:type="dxa"/>
            <w:gridSpan w:val="3"/>
            <w:tcBorders>
              <w:right w:val="single" w:color="auto" w:sz="12" w:space="0"/>
            </w:tcBorders>
            <w:noWrap w:val="0"/>
            <w:vAlign w:val="center"/>
          </w:tcPr>
          <w:p>
            <w:pPr>
              <w:pStyle w:val="10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1" w:type="dxa"/>
            <w:vMerge w:val="continue"/>
            <w:tcBorders>
              <w:left w:val="single" w:color="auto" w:sz="12" w:space="0"/>
            </w:tcBorders>
            <w:noWrap w:val="0"/>
            <w:vAlign w:val="center"/>
          </w:tcPr>
          <w:p>
            <w:pPr>
              <w:pStyle w:val="108"/>
              <w:tabs>
                <w:tab w:val="left" w:pos="1337"/>
              </w:tabs>
              <w:spacing w:line="360" w:lineRule="auto"/>
              <w:ind w:left="-42" w:right="-42"/>
              <w:jc w:val="center"/>
              <w:rPr>
                <w:rFonts w:hint="eastAsia" w:ascii="宋体" w:hAnsi="宋体" w:eastAsia="宋体" w:cs="宋体"/>
                <w:color w:val="auto"/>
                <w:sz w:val="24"/>
                <w:szCs w:val="24"/>
                <w:highlight w:val="none"/>
              </w:rPr>
            </w:pPr>
          </w:p>
        </w:tc>
        <w:tc>
          <w:tcPr>
            <w:tcW w:w="2410" w:type="dxa"/>
            <w:vMerge w:val="continue"/>
            <w:noWrap w:val="0"/>
            <w:vAlign w:val="center"/>
          </w:tcPr>
          <w:p>
            <w:pPr>
              <w:pStyle w:val="108"/>
              <w:tabs>
                <w:tab w:val="left" w:pos="1337"/>
              </w:tabs>
              <w:spacing w:line="360" w:lineRule="auto"/>
              <w:ind w:left="-42" w:right="-42"/>
              <w:jc w:val="center"/>
              <w:rPr>
                <w:rFonts w:hint="eastAsia" w:ascii="宋体" w:hAnsi="宋体" w:eastAsia="宋体" w:cs="宋体"/>
                <w:color w:val="auto"/>
                <w:sz w:val="24"/>
                <w:szCs w:val="24"/>
                <w:highlight w:val="none"/>
              </w:rPr>
            </w:pPr>
          </w:p>
        </w:tc>
        <w:tc>
          <w:tcPr>
            <w:tcW w:w="3278" w:type="dxa"/>
            <w:vMerge w:val="continue"/>
            <w:noWrap w:val="0"/>
            <w:vAlign w:val="center"/>
          </w:tcPr>
          <w:p>
            <w:pPr>
              <w:pStyle w:val="108"/>
              <w:tabs>
                <w:tab w:val="left" w:pos="1337"/>
              </w:tabs>
              <w:spacing w:line="360" w:lineRule="auto"/>
              <w:ind w:left="-42" w:right="-42"/>
              <w:jc w:val="center"/>
              <w:rPr>
                <w:rFonts w:hint="eastAsia" w:ascii="宋体" w:hAnsi="宋体" w:eastAsia="宋体" w:cs="宋体"/>
                <w:color w:val="auto"/>
                <w:sz w:val="24"/>
                <w:szCs w:val="24"/>
                <w:highlight w:val="none"/>
              </w:rPr>
            </w:pPr>
          </w:p>
        </w:tc>
        <w:tc>
          <w:tcPr>
            <w:tcW w:w="955" w:type="dxa"/>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955" w:type="dxa"/>
            <w:noWrap w:val="0"/>
            <w:vAlign w:val="center"/>
          </w:tcPr>
          <w:p>
            <w:pPr>
              <w:pStyle w:val="108"/>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46" w:type="dxa"/>
            <w:tcBorders>
              <w:right w:val="single" w:color="auto" w:sz="12" w:space="0"/>
            </w:tcBorders>
            <w:noWrap w:val="0"/>
            <w:vAlign w:val="center"/>
          </w:tcPr>
          <w:p>
            <w:pPr>
              <w:pStyle w:val="108"/>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1" w:type="dxa"/>
            <w:tcBorders>
              <w:left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10" w:type="dxa"/>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3278" w:type="dxa"/>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1146" w:type="dxa"/>
            <w:tcBorders>
              <w:right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1" w:type="dxa"/>
            <w:tcBorders>
              <w:left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10" w:type="dxa"/>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3278" w:type="dxa"/>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1146" w:type="dxa"/>
            <w:tcBorders>
              <w:right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1" w:type="dxa"/>
            <w:tcBorders>
              <w:left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410" w:type="dxa"/>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3278" w:type="dxa"/>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1146" w:type="dxa"/>
            <w:tcBorders>
              <w:right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1" w:type="dxa"/>
            <w:tcBorders>
              <w:left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410" w:type="dxa"/>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278" w:type="dxa"/>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1146" w:type="dxa"/>
            <w:tcBorders>
              <w:right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1" w:type="dxa"/>
            <w:tcBorders>
              <w:left w:val="single" w:color="auto" w:sz="12" w:space="0"/>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2410" w:type="dxa"/>
            <w:tcBorders>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货物费用小计</w:t>
            </w:r>
          </w:p>
        </w:tc>
        <w:tc>
          <w:tcPr>
            <w:tcW w:w="3278" w:type="dxa"/>
            <w:tcBorders>
              <w:bottom w:val="single" w:color="auto" w:sz="12" w:space="0"/>
            </w:tcBorders>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tcBorders>
              <w:bottom w:val="single" w:color="auto" w:sz="12" w:space="0"/>
            </w:tcBorders>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tcBorders>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1146" w:type="dxa"/>
            <w:tcBorders>
              <w:bottom w:val="single" w:color="auto" w:sz="12" w:space="0"/>
              <w:right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1" w:type="dxa"/>
            <w:tcBorders>
              <w:left w:val="single" w:color="auto" w:sz="12" w:space="0"/>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2410" w:type="dxa"/>
            <w:tcBorders>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安装调试费用</w:t>
            </w:r>
          </w:p>
        </w:tc>
        <w:tc>
          <w:tcPr>
            <w:tcW w:w="3278" w:type="dxa"/>
            <w:tcBorders>
              <w:bottom w:val="single" w:color="auto" w:sz="12" w:space="0"/>
            </w:tcBorders>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tcBorders>
              <w:bottom w:val="single" w:color="auto" w:sz="12" w:space="0"/>
            </w:tcBorders>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tcBorders>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1146" w:type="dxa"/>
            <w:tcBorders>
              <w:bottom w:val="single" w:color="auto" w:sz="12" w:space="0"/>
              <w:right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1" w:type="dxa"/>
            <w:tcBorders>
              <w:left w:val="single" w:color="auto" w:sz="12" w:space="0"/>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2410" w:type="dxa"/>
            <w:tcBorders>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维护与技术支持费用</w:t>
            </w:r>
          </w:p>
        </w:tc>
        <w:tc>
          <w:tcPr>
            <w:tcW w:w="3278" w:type="dxa"/>
            <w:tcBorders>
              <w:bottom w:val="single" w:color="auto" w:sz="12" w:space="0"/>
            </w:tcBorders>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tcBorders>
              <w:bottom w:val="single" w:color="auto" w:sz="12" w:space="0"/>
            </w:tcBorders>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tcBorders>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1146" w:type="dxa"/>
            <w:tcBorders>
              <w:bottom w:val="single" w:color="auto" w:sz="12" w:space="0"/>
              <w:right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1" w:type="dxa"/>
            <w:tcBorders>
              <w:left w:val="single" w:color="auto" w:sz="12" w:space="0"/>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2410" w:type="dxa"/>
            <w:tcBorders>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培训费用</w:t>
            </w:r>
          </w:p>
        </w:tc>
        <w:tc>
          <w:tcPr>
            <w:tcW w:w="3278" w:type="dxa"/>
            <w:tcBorders>
              <w:bottom w:val="single" w:color="auto" w:sz="12" w:space="0"/>
            </w:tcBorders>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tcBorders>
              <w:bottom w:val="single" w:color="auto" w:sz="12" w:space="0"/>
            </w:tcBorders>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tcBorders>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1146" w:type="dxa"/>
            <w:tcBorders>
              <w:bottom w:val="single" w:color="auto" w:sz="12" w:space="0"/>
              <w:right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1" w:type="dxa"/>
            <w:tcBorders>
              <w:left w:val="single" w:color="auto" w:sz="12" w:space="0"/>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2410" w:type="dxa"/>
            <w:tcBorders>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备品备件费用</w:t>
            </w:r>
          </w:p>
        </w:tc>
        <w:tc>
          <w:tcPr>
            <w:tcW w:w="3278" w:type="dxa"/>
            <w:tcBorders>
              <w:bottom w:val="single" w:color="auto" w:sz="12" w:space="0"/>
            </w:tcBorders>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tcBorders>
              <w:bottom w:val="single" w:color="auto" w:sz="12" w:space="0"/>
            </w:tcBorders>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tcBorders>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1146" w:type="dxa"/>
            <w:tcBorders>
              <w:bottom w:val="single" w:color="auto" w:sz="12" w:space="0"/>
              <w:right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1" w:type="dxa"/>
            <w:tcBorders>
              <w:left w:val="single" w:color="auto" w:sz="12" w:space="0"/>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2410" w:type="dxa"/>
            <w:tcBorders>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运输与保险费用</w:t>
            </w:r>
          </w:p>
        </w:tc>
        <w:tc>
          <w:tcPr>
            <w:tcW w:w="3278" w:type="dxa"/>
            <w:tcBorders>
              <w:bottom w:val="single" w:color="auto" w:sz="12" w:space="0"/>
            </w:tcBorders>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tcBorders>
              <w:bottom w:val="single" w:color="auto" w:sz="12" w:space="0"/>
            </w:tcBorders>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tcBorders>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1146" w:type="dxa"/>
            <w:tcBorders>
              <w:bottom w:val="single" w:color="auto" w:sz="12" w:space="0"/>
              <w:right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1" w:type="dxa"/>
            <w:tcBorders>
              <w:left w:val="single" w:color="auto" w:sz="12" w:space="0"/>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2410" w:type="dxa"/>
            <w:tcBorders>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3278" w:type="dxa"/>
            <w:tcBorders>
              <w:bottom w:val="single" w:color="auto" w:sz="12" w:space="0"/>
            </w:tcBorders>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tcBorders>
              <w:bottom w:val="single" w:color="auto" w:sz="12" w:space="0"/>
            </w:tcBorders>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tcBorders>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1146" w:type="dxa"/>
            <w:tcBorders>
              <w:bottom w:val="single" w:color="auto" w:sz="12" w:space="0"/>
              <w:right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51" w:type="dxa"/>
            <w:tcBorders>
              <w:left w:val="single" w:color="auto" w:sz="12" w:space="0"/>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2410" w:type="dxa"/>
            <w:tcBorders>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3278" w:type="dxa"/>
            <w:tcBorders>
              <w:bottom w:val="single" w:color="auto" w:sz="12" w:space="0"/>
            </w:tcBorders>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tcBorders>
              <w:bottom w:val="single" w:color="auto" w:sz="12" w:space="0"/>
            </w:tcBorders>
            <w:noWrap w:val="0"/>
            <w:vAlign w:val="top"/>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955" w:type="dxa"/>
            <w:tcBorders>
              <w:bottom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c>
          <w:tcPr>
            <w:tcW w:w="1146" w:type="dxa"/>
            <w:tcBorders>
              <w:bottom w:val="single" w:color="auto" w:sz="12" w:space="0"/>
              <w:right w:val="single" w:color="auto" w:sz="12" w:space="0"/>
            </w:tcBorders>
            <w:noWrap w:val="0"/>
            <w:vAlign w:val="center"/>
          </w:tcPr>
          <w:p>
            <w:pPr>
              <w:pStyle w:val="108"/>
              <w:tabs>
                <w:tab w:val="left" w:pos="1337"/>
              </w:tabs>
              <w:spacing w:line="360" w:lineRule="auto"/>
              <w:jc w:val="center"/>
              <w:rPr>
                <w:rFonts w:hint="eastAsia" w:ascii="宋体" w:hAnsi="宋体" w:eastAsia="宋体" w:cs="宋体"/>
                <w:color w:val="auto"/>
                <w:sz w:val="24"/>
                <w:szCs w:val="24"/>
                <w:highlight w:val="none"/>
              </w:rPr>
            </w:pPr>
          </w:p>
        </w:tc>
      </w:tr>
    </w:tbl>
    <w:p>
      <w:pPr>
        <w:pStyle w:val="108"/>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lang w:val="en-US" w:eastAsia="zh-CN"/>
        </w:rPr>
        <w:t>1、</w:t>
      </w:r>
      <w:r>
        <w:rPr>
          <w:rFonts w:hint="eastAsia" w:ascii="宋体" w:hAnsi="宋体" w:eastAsia="宋体" w:cs="宋体"/>
          <w:bCs/>
          <w:color w:val="auto"/>
          <w:sz w:val="24"/>
          <w:szCs w:val="24"/>
          <w:highlight w:val="none"/>
        </w:rPr>
        <w:t>投标人必须填写报价明细表，否则将导致投标被拒绝。</w:t>
      </w:r>
    </w:p>
    <w:p>
      <w:pPr>
        <w:pStyle w:val="108"/>
        <w:spacing w:line="360" w:lineRule="auto"/>
        <w:ind w:firstLine="720" w:firstLineChars="3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2、投标人应按照自身实际情况填报技术参数，技术参数不得原搬招标文件。</w:t>
      </w:r>
    </w:p>
    <w:p>
      <w:pPr>
        <w:pStyle w:val="108"/>
        <w:spacing w:line="360" w:lineRule="auto"/>
        <w:ind w:right="480"/>
        <w:jc w:val="right"/>
        <w:rPr>
          <w:rFonts w:hint="eastAsia" w:ascii="宋体" w:hAnsi="宋体" w:eastAsia="宋体" w:cs="宋体"/>
          <w:color w:val="auto"/>
          <w:sz w:val="28"/>
          <w:szCs w:val="28"/>
          <w:highlight w:val="none"/>
          <w:lang w:eastAsia="zh-CN"/>
        </w:rPr>
      </w:pPr>
      <w:r>
        <w:rPr>
          <w:rFonts w:hint="eastAsia" w:ascii="宋体" w:hAnsi="宋体" w:eastAsia="宋体" w:cs="宋体"/>
          <w:color w:val="auto"/>
          <w:sz w:val="24"/>
          <w:szCs w:val="24"/>
          <w:highlight w:val="none"/>
        </w:rPr>
        <w:t>年   月   日</w:t>
      </w:r>
      <w:r>
        <w:rPr>
          <w:rFonts w:hint="eastAsia" w:ascii="宋体" w:hAnsi="宋体" w:eastAsia="宋体" w:cs="宋体"/>
          <w:color w:val="auto"/>
          <w:sz w:val="28"/>
          <w:szCs w:val="28"/>
          <w:highlight w:val="none"/>
        </w:rPr>
        <w:t xml:space="preserve"> </w:t>
      </w:r>
      <w:bookmarkStart w:id="212" w:name="_Toc256000051"/>
    </w:p>
    <w:p>
      <w:pPr>
        <w:pStyle w:val="109"/>
        <w:spacing w:line="360" w:lineRule="auto"/>
        <w:outlineLvl w:val="2"/>
        <w:rPr>
          <w:rFonts w:hint="eastAsia" w:ascii="宋体" w:hAnsi="宋体" w:eastAsia="宋体" w:cs="宋体"/>
          <w:color w:val="auto"/>
          <w:sz w:val="28"/>
          <w:szCs w:val="28"/>
          <w:highlight w:val="none"/>
        </w:rPr>
      </w:pPr>
    </w:p>
    <w:p>
      <w:pPr>
        <w:pStyle w:val="109"/>
        <w:spacing w:line="360" w:lineRule="auto"/>
        <w:outlineLvl w:val="2"/>
        <w:rPr>
          <w:rFonts w:hint="eastAsia" w:ascii="宋体" w:hAnsi="宋体" w:eastAsia="宋体" w:cs="宋体"/>
          <w:color w:val="auto"/>
          <w:sz w:val="28"/>
          <w:szCs w:val="28"/>
          <w:highlight w:val="none"/>
          <w:lang w:val="en-US" w:eastAsia="zh-CN"/>
        </w:rPr>
      </w:pPr>
    </w:p>
    <w:p>
      <w:pPr>
        <w:pStyle w:val="109"/>
        <w:spacing w:line="360" w:lineRule="auto"/>
        <w:outlineLvl w:val="2"/>
        <w:rPr>
          <w:rFonts w:hint="eastAsia" w:ascii="宋体" w:hAnsi="宋体" w:eastAsia="宋体" w:cs="宋体"/>
          <w:color w:val="auto"/>
          <w:sz w:val="28"/>
          <w:szCs w:val="28"/>
          <w:highlight w:val="none"/>
          <w:lang w:val="en-US" w:eastAsia="zh-CN"/>
        </w:rPr>
      </w:pPr>
    </w:p>
    <w:p>
      <w:pPr>
        <w:pStyle w:val="109"/>
        <w:spacing w:line="360" w:lineRule="auto"/>
        <w:outlineLvl w:val="2"/>
        <w:rPr>
          <w:rFonts w:hint="eastAsia" w:ascii="宋体" w:hAnsi="宋体" w:eastAsia="宋体" w:cs="宋体"/>
          <w:color w:val="auto"/>
          <w:sz w:val="28"/>
          <w:szCs w:val="28"/>
          <w:highlight w:val="none"/>
          <w:lang w:val="en-US" w:eastAsia="zh-CN"/>
        </w:rPr>
      </w:pPr>
    </w:p>
    <w:bookmarkEnd w:id="212"/>
    <w:p>
      <w:pPr>
        <w:pStyle w:val="112"/>
        <w:spacing w:line="360" w:lineRule="auto"/>
        <w:outlineLvl w:val="2"/>
        <w:rPr>
          <w:rFonts w:hint="eastAsia" w:ascii="宋体" w:hAnsi="宋体" w:eastAsia="宋体" w:cs="宋体"/>
          <w:color w:val="auto"/>
          <w:sz w:val="28"/>
          <w:szCs w:val="28"/>
          <w:highlight w:val="none"/>
        </w:rPr>
      </w:pPr>
      <w:bookmarkStart w:id="213" w:name="_Toc256000052"/>
      <w:r>
        <w:rPr>
          <w:rFonts w:hint="eastAsia" w:ascii="宋体" w:hAnsi="宋体" w:eastAsia="宋体" w:cs="宋体"/>
          <w:color w:val="auto"/>
          <w:sz w:val="28"/>
          <w:szCs w:val="28"/>
          <w:highlight w:val="none"/>
          <w:lang w:val="en-US" w:eastAsia="zh-CN"/>
        </w:rPr>
        <w:t>十三、</w:t>
      </w:r>
      <w:r>
        <w:rPr>
          <w:rFonts w:hint="eastAsia" w:ascii="宋体" w:hAnsi="宋体" w:eastAsia="宋体" w:cs="宋体"/>
          <w:color w:val="auto"/>
          <w:sz w:val="28"/>
          <w:szCs w:val="28"/>
          <w:highlight w:val="none"/>
        </w:rPr>
        <w:t>商务条款偏离说明表</w:t>
      </w:r>
      <w:bookmarkEnd w:id="213"/>
    </w:p>
    <w:p>
      <w:pPr>
        <w:pStyle w:val="113"/>
        <w:adjustRightInd w:val="0"/>
        <w:snapToGrid w:val="0"/>
        <w:spacing w:line="240" w:lineRule="auto"/>
        <w:rPr>
          <w:rFonts w:hint="eastAsia" w:ascii="宋体" w:hAnsi="宋体" w:eastAsia="宋体" w:cs="宋体"/>
          <w:color w:val="auto"/>
          <w:sz w:val="24"/>
          <w:szCs w:val="24"/>
          <w:highlight w:val="none"/>
        </w:rPr>
      </w:pPr>
    </w:p>
    <w:p>
      <w:pPr>
        <w:pStyle w:val="113"/>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13"/>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2874"/>
        <w:gridCol w:w="2744"/>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308"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90"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招标文件要求部分</w:t>
            </w:r>
          </w:p>
        </w:tc>
        <w:tc>
          <w:tcPr>
            <w:tcW w:w="1518"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投标服务</w:t>
            </w:r>
          </w:p>
          <w:p>
            <w:pPr>
              <w:pStyle w:val="11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响应部分</w:t>
            </w:r>
          </w:p>
        </w:tc>
        <w:tc>
          <w:tcPr>
            <w:tcW w:w="1584"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308"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90"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c>
          <w:tcPr>
            <w:tcW w:w="1584"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308"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90"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c>
          <w:tcPr>
            <w:tcW w:w="1584"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308"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90"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c>
          <w:tcPr>
            <w:tcW w:w="1584"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308"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90"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c>
          <w:tcPr>
            <w:tcW w:w="1584"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308"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90"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c>
          <w:tcPr>
            <w:tcW w:w="1584"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308"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590"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c>
          <w:tcPr>
            <w:tcW w:w="1584"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308"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590"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c>
          <w:tcPr>
            <w:tcW w:w="1584"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308"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590"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c>
          <w:tcPr>
            <w:tcW w:w="1584"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308"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590"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c>
          <w:tcPr>
            <w:tcW w:w="1584"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308"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90"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c>
          <w:tcPr>
            <w:tcW w:w="1518"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c>
          <w:tcPr>
            <w:tcW w:w="1584" w:type="pct"/>
            <w:tcBorders>
              <w:top w:val="single" w:color="auto" w:sz="4" w:space="0"/>
              <w:left w:val="single" w:color="auto" w:sz="4" w:space="0"/>
              <w:bottom w:val="single" w:color="auto" w:sz="4" w:space="0"/>
              <w:right w:val="single" w:color="auto" w:sz="4" w:space="0"/>
            </w:tcBorders>
            <w:noWrap w:val="0"/>
            <w:vAlign w:val="center"/>
          </w:tcPr>
          <w:p>
            <w:pPr>
              <w:pStyle w:val="113"/>
              <w:spacing w:line="360" w:lineRule="auto"/>
              <w:rPr>
                <w:rFonts w:hint="eastAsia" w:ascii="宋体" w:hAnsi="宋体" w:eastAsia="宋体" w:cs="宋体"/>
                <w:color w:val="auto"/>
                <w:sz w:val="24"/>
                <w:szCs w:val="24"/>
                <w:highlight w:val="none"/>
              </w:rPr>
            </w:pPr>
          </w:p>
        </w:tc>
      </w:tr>
    </w:tbl>
    <w:p>
      <w:pPr>
        <w:pStyle w:val="113"/>
        <w:adjustRightInd w:val="0"/>
        <w:snapToGrid w:val="0"/>
        <w:spacing w:line="360" w:lineRule="auto"/>
        <w:rPr>
          <w:rFonts w:hint="eastAsia" w:ascii="宋体" w:hAnsi="宋体" w:eastAsia="宋体" w:cs="宋体"/>
          <w:color w:val="auto"/>
          <w:sz w:val="24"/>
          <w:szCs w:val="24"/>
          <w:highlight w:val="none"/>
        </w:rPr>
      </w:pPr>
    </w:p>
    <w:p>
      <w:pPr>
        <w:pStyle w:val="113"/>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投标人法定代表人（</w:t>
      </w:r>
      <w:r>
        <w:rPr>
          <w:rFonts w:hint="eastAsia" w:ascii="宋体" w:hAnsi="宋体" w:cs="宋体"/>
          <w:color w:val="auto"/>
          <w:sz w:val="24"/>
          <w:szCs w:val="24"/>
          <w:highlight w:val="none"/>
          <w:lang w:eastAsia="zh-CN"/>
        </w:rPr>
        <w:t>签字及盖章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113"/>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cs="宋体"/>
          <w:color w:val="auto"/>
          <w:sz w:val="24"/>
          <w:szCs w:val="24"/>
          <w:highlight w:val="none"/>
          <w:lang w:eastAsia="zh-CN"/>
        </w:rPr>
        <w:t>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113"/>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pPr>
        <w:pStyle w:val="114"/>
        <w:spacing w:after="0" w:line="360" w:lineRule="auto"/>
        <w:rPr>
          <w:rFonts w:hint="eastAsia" w:ascii="宋体" w:hAnsi="宋体" w:eastAsia="宋体" w:cs="宋体"/>
          <w:color w:val="auto"/>
          <w:sz w:val="28"/>
          <w:szCs w:val="28"/>
          <w:highlight w:val="none"/>
        </w:rPr>
      </w:pPr>
    </w:p>
    <w:p>
      <w:pPr>
        <w:pStyle w:val="97"/>
        <w:outlineLvl w:val="2"/>
        <w:rPr>
          <w:rFonts w:hint="eastAsia" w:ascii="宋体" w:hAnsi="宋体" w:eastAsia="宋体" w:cs="宋体"/>
          <w:color w:val="auto"/>
          <w:sz w:val="28"/>
          <w:szCs w:val="28"/>
          <w:highlight w:val="none"/>
        </w:rPr>
      </w:pPr>
    </w:p>
    <w:p>
      <w:pPr>
        <w:rPr>
          <w:rFonts w:hint="eastAsia" w:ascii="宋体" w:hAnsi="宋体" w:eastAsia="宋体" w:cs="宋体"/>
          <w:b/>
          <w:color w:val="auto"/>
          <w:kern w:val="0"/>
          <w:sz w:val="28"/>
          <w:szCs w:val="28"/>
          <w:highlight w:val="none"/>
          <w:lang w:val="en-US" w:eastAsia="zh-CN" w:bidi="ar-SA"/>
        </w:rPr>
      </w:pPr>
      <w:bookmarkStart w:id="214" w:name="_Toc256000053"/>
      <w:r>
        <w:rPr>
          <w:rFonts w:hint="eastAsia" w:ascii="宋体" w:hAnsi="宋体" w:eastAsia="宋体" w:cs="宋体"/>
          <w:b/>
          <w:color w:val="auto"/>
          <w:kern w:val="0"/>
          <w:sz w:val="28"/>
          <w:szCs w:val="28"/>
          <w:highlight w:val="none"/>
          <w:lang w:val="en-US" w:eastAsia="zh-CN" w:bidi="ar-SA"/>
        </w:rPr>
        <w:t>十</w:t>
      </w:r>
      <w:r>
        <w:rPr>
          <w:rFonts w:hint="eastAsia" w:ascii="宋体" w:hAnsi="宋体" w:cs="宋体"/>
          <w:b/>
          <w:color w:val="auto"/>
          <w:kern w:val="0"/>
          <w:sz w:val="28"/>
          <w:szCs w:val="28"/>
          <w:highlight w:val="none"/>
          <w:lang w:val="en-US" w:eastAsia="zh-CN" w:bidi="ar-SA"/>
        </w:rPr>
        <w:t>四</w:t>
      </w:r>
      <w:r>
        <w:rPr>
          <w:rFonts w:hint="eastAsia" w:ascii="宋体" w:hAnsi="宋体" w:eastAsia="宋体" w:cs="宋体"/>
          <w:b/>
          <w:color w:val="auto"/>
          <w:kern w:val="0"/>
          <w:sz w:val="28"/>
          <w:szCs w:val="28"/>
          <w:highlight w:val="none"/>
          <w:lang w:val="en-US" w:eastAsia="zh-CN" w:bidi="ar-SA"/>
        </w:rPr>
        <w:t>、技术规格偏离表</w:t>
      </w:r>
    </w:p>
    <w:p>
      <w:pPr>
        <w:spacing w:line="240" w:lineRule="auto"/>
        <w:rPr>
          <w:rFonts w:hint="eastAsia" w:ascii="宋体" w:hAnsi="宋体" w:eastAsia="宋体" w:cs="宋体"/>
          <w:b w:val="0"/>
          <w:bCs/>
          <w:color w:val="auto"/>
          <w:sz w:val="24"/>
          <w:szCs w:val="24"/>
          <w:highlight w:val="none"/>
        </w:rPr>
      </w:pPr>
    </w:p>
    <w:p>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单位名称：　　　　　　　　　　　　　　日期：　　年　　月　　日</w:t>
      </w:r>
    </w:p>
    <w:tbl>
      <w:tblPr>
        <w:tblStyle w:val="2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1"/>
        <w:gridCol w:w="1340"/>
        <w:gridCol w:w="2681"/>
        <w:gridCol w:w="2680"/>
        <w:gridCol w:w="1465"/>
        <w:gridCol w:w="11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72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4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268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要求规格型号技术参数</w:t>
            </w:r>
          </w:p>
        </w:tc>
        <w:tc>
          <w:tcPr>
            <w:tcW w:w="268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提供规格型号技术参数</w:t>
            </w:r>
          </w:p>
        </w:tc>
        <w:tc>
          <w:tcPr>
            <w:tcW w:w="1465"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偏离方向</w:t>
            </w:r>
          </w:p>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正</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负</w:t>
            </w:r>
          </w:p>
        </w:tc>
        <w:tc>
          <w:tcPr>
            <w:tcW w:w="116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72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40" w:type="dxa"/>
            <w:noWrap w:val="0"/>
            <w:vAlign w:val="center"/>
          </w:tcPr>
          <w:p>
            <w:pPr>
              <w:spacing w:line="360" w:lineRule="auto"/>
              <w:jc w:val="center"/>
              <w:rPr>
                <w:rFonts w:hint="eastAsia" w:ascii="宋体" w:hAnsi="宋体" w:eastAsia="宋体" w:cs="宋体"/>
                <w:color w:val="auto"/>
                <w:sz w:val="24"/>
                <w:szCs w:val="24"/>
                <w:highlight w:val="none"/>
              </w:rPr>
            </w:pPr>
          </w:p>
        </w:tc>
        <w:tc>
          <w:tcPr>
            <w:tcW w:w="2681" w:type="dxa"/>
            <w:noWrap w:val="0"/>
            <w:vAlign w:val="center"/>
          </w:tcPr>
          <w:p>
            <w:pPr>
              <w:spacing w:line="360" w:lineRule="auto"/>
              <w:jc w:val="center"/>
              <w:rPr>
                <w:rFonts w:hint="eastAsia" w:ascii="宋体" w:hAnsi="宋体" w:eastAsia="宋体" w:cs="宋体"/>
                <w:color w:val="auto"/>
                <w:sz w:val="24"/>
                <w:szCs w:val="24"/>
                <w:highlight w:val="none"/>
              </w:rPr>
            </w:pPr>
          </w:p>
        </w:tc>
        <w:tc>
          <w:tcPr>
            <w:tcW w:w="2680" w:type="dxa"/>
            <w:noWrap w:val="0"/>
            <w:vAlign w:val="center"/>
          </w:tcPr>
          <w:p>
            <w:pPr>
              <w:spacing w:line="360" w:lineRule="auto"/>
              <w:jc w:val="center"/>
              <w:rPr>
                <w:rFonts w:hint="eastAsia" w:ascii="宋体" w:hAnsi="宋体" w:eastAsia="宋体" w:cs="宋体"/>
                <w:color w:val="auto"/>
                <w:sz w:val="24"/>
                <w:szCs w:val="24"/>
                <w:highlight w:val="none"/>
              </w:rPr>
            </w:pPr>
          </w:p>
        </w:tc>
        <w:tc>
          <w:tcPr>
            <w:tcW w:w="1465" w:type="dxa"/>
            <w:noWrap w:val="0"/>
            <w:vAlign w:val="center"/>
          </w:tcPr>
          <w:p>
            <w:pPr>
              <w:spacing w:line="360" w:lineRule="auto"/>
              <w:jc w:val="center"/>
              <w:rPr>
                <w:rFonts w:hint="eastAsia" w:ascii="宋体" w:hAnsi="宋体" w:eastAsia="宋体" w:cs="宋体"/>
                <w:color w:val="auto"/>
                <w:sz w:val="24"/>
                <w:szCs w:val="24"/>
                <w:highlight w:val="none"/>
              </w:rPr>
            </w:pPr>
          </w:p>
        </w:tc>
        <w:tc>
          <w:tcPr>
            <w:tcW w:w="1160" w:type="dxa"/>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72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40" w:type="dxa"/>
            <w:noWrap w:val="0"/>
            <w:vAlign w:val="center"/>
          </w:tcPr>
          <w:p>
            <w:pPr>
              <w:spacing w:line="360" w:lineRule="auto"/>
              <w:jc w:val="center"/>
              <w:rPr>
                <w:rFonts w:hint="eastAsia" w:ascii="宋体" w:hAnsi="宋体" w:eastAsia="宋体" w:cs="宋体"/>
                <w:color w:val="auto"/>
                <w:sz w:val="24"/>
                <w:szCs w:val="24"/>
                <w:highlight w:val="none"/>
              </w:rPr>
            </w:pPr>
          </w:p>
        </w:tc>
        <w:tc>
          <w:tcPr>
            <w:tcW w:w="2681" w:type="dxa"/>
            <w:noWrap w:val="0"/>
            <w:vAlign w:val="center"/>
          </w:tcPr>
          <w:p>
            <w:pPr>
              <w:spacing w:line="360" w:lineRule="auto"/>
              <w:jc w:val="center"/>
              <w:rPr>
                <w:rFonts w:hint="eastAsia" w:ascii="宋体" w:hAnsi="宋体" w:eastAsia="宋体" w:cs="宋体"/>
                <w:color w:val="auto"/>
                <w:sz w:val="24"/>
                <w:szCs w:val="24"/>
                <w:highlight w:val="none"/>
              </w:rPr>
            </w:pPr>
          </w:p>
        </w:tc>
        <w:tc>
          <w:tcPr>
            <w:tcW w:w="2680" w:type="dxa"/>
            <w:noWrap w:val="0"/>
            <w:vAlign w:val="center"/>
          </w:tcPr>
          <w:p>
            <w:pPr>
              <w:spacing w:line="360" w:lineRule="auto"/>
              <w:jc w:val="center"/>
              <w:rPr>
                <w:rFonts w:hint="eastAsia" w:ascii="宋体" w:hAnsi="宋体" w:eastAsia="宋体" w:cs="宋体"/>
                <w:color w:val="auto"/>
                <w:sz w:val="24"/>
                <w:szCs w:val="24"/>
                <w:highlight w:val="none"/>
              </w:rPr>
            </w:pPr>
          </w:p>
        </w:tc>
        <w:tc>
          <w:tcPr>
            <w:tcW w:w="1465" w:type="dxa"/>
            <w:noWrap w:val="0"/>
            <w:vAlign w:val="center"/>
          </w:tcPr>
          <w:p>
            <w:pPr>
              <w:spacing w:line="360" w:lineRule="auto"/>
              <w:jc w:val="center"/>
              <w:rPr>
                <w:rFonts w:hint="eastAsia" w:ascii="宋体" w:hAnsi="宋体" w:eastAsia="宋体" w:cs="宋体"/>
                <w:color w:val="auto"/>
                <w:sz w:val="24"/>
                <w:szCs w:val="24"/>
                <w:highlight w:val="none"/>
              </w:rPr>
            </w:pPr>
          </w:p>
        </w:tc>
        <w:tc>
          <w:tcPr>
            <w:tcW w:w="1160" w:type="dxa"/>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5" w:hRule="atLeast"/>
          <w:jc w:val="center"/>
        </w:trPr>
        <w:tc>
          <w:tcPr>
            <w:tcW w:w="72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40" w:type="dxa"/>
            <w:noWrap w:val="0"/>
            <w:vAlign w:val="center"/>
          </w:tcPr>
          <w:p>
            <w:pPr>
              <w:spacing w:line="360" w:lineRule="auto"/>
              <w:jc w:val="center"/>
              <w:rPr>
                <w:rFonts w:hint="eastAsia" w:ascii="宋体" w:hAnsi="宋体" w:eastAsia="宋体" w:cs="宋体"/>
                <w:color w:val="auto"/>
                <w:sz w:val="24"/>
                <w:szCs w:val="24"/>
                <w:highlight w:val="none"/>
              </w:rPr>
            </w:pPr>
          </w:p>
        </w:tc>
        <w:tc>
          <w:tcPr>
            <w:tcW w:w="2681" w:type="dxa"/>
            <w:noWrap w:val="0"/>
            <w:vAlign w:val="center"/>
          </w:tcPr>
          <w:p>
            <w:pPr>
              <w:spacing w:line="360" w:lineRule="auto"/>
              <w:jc w:val="center"/>
              <w:rPr>
                <w:rFonts w:hint="eastAsia" w:ascii="宋体" w:hAnsi="宋体" w:eastAsia="宋体" w:cs="宋体"/>
                <w:color w:val="auto"/>
                <w:sz w:val="24"/>
                <w:szCs w:val="24"/>
                <w:highlight w:val="none"/>
              </w:rPr>
            </w:pPr>
          </w:p>
        </w:tc>
        <w:tc>
          <w:tcPr>
            <w:tcW w:w="2680" w:type="dxa"/>
            <w:noWrap w:val="0"/>
            <w:vAlign w:val="center"/>
          </w:tcPr>
          <w:p>
            <w:pPr>
              <w:spacing w:line="360" w:lineRule="auto"/>
              <w:jc w:val="center"/>
              <w:rPr>
                <w:rFonts w:hint="eastAsia" w:ascii="宋体" w:hAnsi="宋体" w:eastAsia="宋体" w:cs="宋体"/>
                <w:color w:val="auto"/>
                <w:sz w:val="24"/>
                <w:szCs w:val="24"/>
                <w:highlight w:val="none"/>
              </w:rPr>
            </w:pPr>
          </w:p>
        </w:tc>
        <w:tc>
          <w:tcPr>
            <w:tcW w:w="1465" w:type="dxa"/>
            <w:noWrap w:val="0"/>
            <w:vAlign w:val="center"/>
          </w:tcPr>
          <w:p>
            <w:pPr>
              <w:spacing w:line="360" w:lineRule="auto"/>
              <w:jc w:val="center"/>
              <w:rPr>
                <w:rFonts w:hint="eastAsia" w:ascii="宋体" w:hAnsi="宋体" w:eastAsia="宋体" w:cs="宋体"/>
                <w:color w:val="auto"/>
                <w:sz w:val="24"/>
                <w:szCs w:val="24"/>
                <w:highlight w:val="none"/>
              </w:rPr>
            </w:pPr>
          </w:p>
        </w:tc>
        <w:tc>
          <w:tcPr>
            <w:tcW w:w="1160" w:type="dxa"/>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72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4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68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68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465"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60"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备注：技术规格偏离表须按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逐项列明，不得漏项。</w:t>
      </w:r>
    </w:p>
    <w:p>
      <w:pPr>
        <w:spacing w:line="360" w:lineRule="auto"/>
        <w:rPr>
          <w:rFonts w:hint="eastAsia" w:ascii="宋体" w:hAnsi="宋体" w:eastAsia="宋体" w:cs="宋体"/>
          <w:color w:val="auto"/>
          <w:sz w:val="24"/>
          <w:szCs w:val="24"/>
          <w:highlight w:val="none"/>
        </w:rPr>
      </w:pPr>
    </w:p>
    <w:p>
      <w:pPr>
        <w:pStyle w:val="100"/>
        <w:keepNext w:val="0"/>
        <w:keepLines w:val="0"/>
        <w:pageBreakBefore w:val="0"/>
        <w:kinsoku/>
        <w:wordWrap/>
        <w:overflowPunct/>
        <w:topLinePunct w:val="0"/>
        <w:autoSpaceDE/>
        <w:autoSpaceDN/>
        <w:bidi w:val="0"/>
        <w:adjustRightInd/>
        <w:spacing w:line="360" w:lineRule="auto"/>
        <w:ind w:firstLine="720" w:firstLineChars="3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公章</w:t>
      </w:r>
      <w:r>
        <w:rPr>
          <w:rFonts w:hint="eastAsia" w:ascii="宋体" w:hAnsi="宋体" w:eastAsia="宋体" w:cs="宋体"/>
          <w:color w:val="auto"/>
          <w:sz w:val="24"/>
          <w:szCs w:val="24"/>
          <w:highlight w:val="none"/>
        </w:rPr>
        <w:t>）</w:t>
      </w:r>
    </w:p>
    <w:p>
      <w:pPr>
        <w:pStyle w:val="100"/>
        <w:keepNext w:val="0"/>
        <w:keepLines w:val="0"/>
        <w:pageBreakBefore w:val="0"/>
        <w:kinsoku/>
        <w:wordWrap/>
        <w:overflowPunct/>
        <w:topLinePunct w:val="0"/>
        <w:autoSpaceDE/>
        <w:autoSpaceDN/>
        <w:bidi w:val="0"/>
        <w:adjustRightInd/>
        <w:spacing w:line="360" w:lineRule="auto"/>
        <w:ind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签字及盖章</w:t>
      </w:r>
      <w:r>
        <w:rPr>
          <w:rFonts w:hint="eastAsia" w:ascii="宋体" w:hAnsi="宋体" w:eastAsia="宋体" w:cs="宋体"/>
          <w:color w:val="auto"/>
          <w:sz w:val="24"/>
          <w:szCs w:val="24"/>
          <w:highlight w:val="none"/>
        </w:rPr>
        <w:t>）</w:t>
      </w:r>
    </w:p>
    <w:p>
      <w:pPr>
        <w:pStyle w:val="145"/>
        <w:keepNext w:val="0"/>
        <w:keepLines w:val="0"/>
        <w:pageBreakBefore w:val="0"/>
        <w:kinsoku/>
        <w:wordWrap/>
        <w:overflowPunct/>
        <w:topLinePunct w:val="0"/>
        <w:autoSpaceDE/>
        <w:autoSpaceDN/>
        <w:bidi w:val="0"/>
        <w:adjustRightInd/>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（年/月/日）</w:t>
      </w:r>
    </w:p>
    <w:p>
      <w:pPr>
        <w:pStyle w:val="97"/>
        <w:spacing w:line="360" w:lineRule="auto"/>
        <w:outlineLvl w:val="2"/>
        <w:rPr>
          <w:rFonts w:hint="eastAsia" w:ascii="宋体" w:hAnsi="宋体" w:eastAsia="宋体" w:cs="宋体"/>
          <w:color w:val="auto"/>
          <w:sz w:val="24"/>
          <w:szCs w:val="24"/>
          <w:highlight w:val="none"/>
          <w:lang w:val="en-US" w:eastAsia="zh-CN"/>
        </w:rPr>
      </w:pPr>
    </w:p>
    <w:p>
      <w:pPr>
        <w:pStyle w:val="97"/>
        <w:outlineLvl w:val="2"/>
        <w:rPr>
          <w:rFonts w:hint="eastAsia" w:ascii="宋体" w:hAnsi="宋体" w:eastAsia="宋体" w:cs="宋体"/>
          <w:color w:val="auto"/>
          <w:sz w:val="28"/>
          <w:szCs w:val="28"/>
          <w:highlight w:val="none"/>
          <w:lang w:val="en-US" w:eastAsia="zh-CN"/>
        </w:rPr>
      </w:pPr>
    </w:p>
    <w:p>
      <w:pPr>
        <w:pStyle w:val="97"/>
        <w:outlineLvl w:val="2"/>
        <w:rPr>
          <w:rFonts w:hint="eastAsia" w:ascii="宋体" w:hAnsi="宋体" w:eastAsia="宋体" w:cs="宋体"/>
          <w:color w:val="auto"/>
          <w:sz w:val="28"/>
          <w:szCs w:val="28"/>
          <w:highlight w:val="none"/>
          <w:lang w:val="en-US" w:eastAsia="zh-CN"/>
        </w:rPr>
      </w:pPr>
    </w:p>
    <w:p>
      <w:pPr>
        <w:pStyle w:val="97"/>
        <w:outlineLvl w:val="2"/>
        <w:rPr>
          <w:rFonts w:hint="eastAsia" w:ascii="宋体" w:hAnsi="宋体" w:eastAsia="宋体" w:cs="宋体"/>
          <w:color w:val="auto"/>
          <w:sz w:val="28"/>
          <w:szCs w:val="28"/>
          <w:highlight w:val="none"/>
          <w:lang w:val="en-US" w:eastAsia="zh-CN"/>
        </w:rPr>
      </w:pPr>
    </w:p>
    <w:p>
      <w:pPr>
        <w:pStyle w:val="97"/>
        <w:outlineLvl w:val="2"/>
        <w:rPr>
          <w:rFonts w:hint="eastAsia" w:ascii="宋体" w:hAnsi="宋体" w:eastAsia="宋体" w:cs="宋体"/>
          <w:color w:val="auto"/>
          <w:sz w:val="28"/>
          <w:szCs w:val="28"/>
          <w:highlight w:val="none"/>
          <w:lang w:val="en-US" w:eastAsia="zh-CN"/>
        </w:rPr>
      </w:pPr>
    </w:p>
    <w:p>
      <w:pPr>
        <w:pStyle w:val="97"/>
        <w:outlineLvl w:val="2"/>
        <w:rPr>
          <w:rFonts w:hint="eastAsia" w:ascii="宋体" w:hAnsi="宋体" w:eastAsia="宋体" w:cs="宋体"/>
          <w:color w:val="auto"/>
          <w:sz w:val="28"/>
          <w:szCs w:val="28"/>
          <w:highlight w:val="none"/>
          <w:lang w:val="en-US" w:eastAsia="zh-CN"/>
        </w:rPr>
      </w:pPr>
    </w:p>
    <w:p>
      <w:pPr>
        <w:pStyle w:val="97"/>
        <w:outlineLvl w:val="2"/>
        <w:rPr>
          <w:rFonts w:hint="eastAsia" w:ascii="宋体" w:hAnsi="宋体" w:eastAsia="宋体" w:cs="宋体"/>
          <w:color w:val="auto"/>
          <w:sz w:val="28"/>
          <w:szCs w:val="28"/>
          <w:highlight w:val="none"/>
          <w:lang w:val="en-US" w:eastAsia="zh-CN"/>
        </w:rPr>
      </w:pPr>
    </w:p>
    <w:p>
      <w:pPr>
        <w:pStyle w:val="97"/>
        <w:outlineLvl w:val="2"/>
        <w:rPr>
          <w:rFonts w:hint="eastAsia" w:ascii="宋体" w:hAnsi="宋体" w:eastAsia="宋体" w:cs="宋体"/>
          <w:color w:val="auto"/>
          <w:sz w:val="28"/>
          <w:szCs w:val="28"/>
          <w:highlight w:val="none"/>
          <w:lang w:val="en-US" w:eastAsia="zh-CN"/>
        </w:rPr>
      </w:pPr>
    </w:p>
    <w:p>
      <w:pPr>
        <w:pStyle w:val="97"/>
        <w:outlineLvl w:val="2"/>
        <w:rPr>
          <w:rFonts w:hint="eastAsia" w:ascii="宋体" w:hAnsi="宋体" w:eastAsia="宋体" w:cs="宋体"/>
          <w:color w:val="auto"/>
          <w:sz w:val="28"/>
          <w:szCs w:val="28"/>
          <w:highlight w:val="none"/>
          <w:lang w:val="en-US" w:eastAsia="zh-CN"/>
        </w:rPr>
      </w:pPr>
    </w:p>
    <w:p>
      <w:pPr>
        <w:pStyle w:val="97"/>
        <w:outlineLvl w:val="2"/>
        <w:rPr>
          <w:rFonts w:hint="eastAsia" w:ascii="宋体" w:hAnsi="宋体" w:eastAsia="宋体" w:cs="宋体"/>
          <w:color w:val="auto"/>
          <w:sz w:val="28"/>
          <w:szCs w:val="28"/>
          <w:highlight w:val="none"/>
          <w:lang w:val="en-US" w:eastAsia="zh-CN"/>
        </w:rPr>
      </w:pPr>
    </w:p>
    <w:p>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十六、相关承诺（格式自拟）</w:t>
      </w:r>
    </w:p>
    <w:p>
      <w:pPr>
        <w:pStyle w:val="97"/>
        <w:outlineLvl w:val="2"/>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内容：2、供货进度和最终供货数量由甲方根据当地实际需要进行；</w:t>
      </w:r>
    </w:p>
    <w:p>
      <w:pPr>
        <w:pStyle w:val="97"/>
        <w:outlineLvl w:val="2"/>
        <w:rPr>
          <w:rFonts w:hint="eastAsia" w:ascii="宋体" w:hAnsi="宋体" w:eastAsia="宋体" w:cs="宋体"/>
          <w:color w:val="auto"/>
          <w:sz w:val="28"/>
          <w:szCs w:val="28"/>
          <w:highlight w:val="none"/>
          <w:lang w:val="en-US" w:eastAsia="zh-CN"/>
        </w:rPr>
      </w:pPr>
    </w:p>
    <w:p>
      <w:pP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br w:type="page"/>
      </w:r>
    </w:p>
    <w:p>
      <w:pPr>
        <w:rPr>
          <w:rFonts w:hint="eastAsia" w:ascii="宋体" w:hAnsi="宋体" w:eastAsia="宋体" w:cs="宋体"/>
          <w:b/>
          <w:color w:val="auto"/>
          <w:kern w:val="0"/>
          <w:sz w:val="28"/>
          <w:szCs w:val="28"/>
          <w:highlight w:val="none"/>
          <w:lang w:val="en-US" w:eastAsia="zh-CN" w:bidi="ar-SA"/>
        </w:rPr>
      </w:pPr>
      <w:r>
        <w:rPr>
          <w:rFonts w:hint="eastAsia" w:ascii="宋体" w:hAnsi="宋体" w:eastAsia="宋体" w:cs="宋体"/>
          <w:b/>
          <w:color w:val="auto"/>
          <w:kern w:val="0"/>
          <w:sz w:val="28"/>
          <w:szCs w:val="28"/>
          <w:highlight w:val="none"/>
          <w:lang w:val="en-US" w:eastAsia="zh-CN" w:bidi="ar-SA"/>
        </w:rPr>
        <w:t>十</w:t>
      </w:r>
      <w:r>
        <w:rPr>
          <w:rFonts w:hint="eastAsia" w:ascii="宋体" w:hAnsi="宋体" w:cs="宋体"/>
          <w:b/>
          <w:color w:val="auto"/>
          <w:kern w:val="0"/>
          <w:sz w:val="28"/>
          <w:szCs w:val="28"/>
          <w:highlight w:val="none"/>
          <w:lang w:val="en-US" w:eastAsia="zh-CN" w:bidi="ar-SA"/>
        </w:rPr>
        <w:t>七</w:t>
      </w:r>
      <w:r>
        <w:rPr>
          <w:rFonts w:hint="eastAsia" w:ascii="宋体" w:hAnsi="宋体" w:eastAsia="宋体" w:cs="宋体"/>
          <w:b/>
          <w:color w:val="auto"/>
          <w:kern w:val="0"/>
          <w:sz w:val="28"/>
          <w:szCs w:val="28"/>
          <w:highlight w:val="none"/>
          <w:lang w:val="en-US" w:eastAsia="zh-CN" w:bidi="ar-SA"/>
        </w:rPr>
        <w:t>、中小企业声明函(货物)</w:t>
      </w:r>
    </w:p>
    <w:p>
      <w:pPr>
        <w:ind w:left="1280"/>
        <w:rPr>
          <w:rFonts w:ascii="仿宋" w:hAnsi="仿宋" w:eastAsia="仿宋"/>
          <w:color w:val="auto"/>
          <w:sz w:val="32"/>
          <w:szCs w:val="32"/>
        </w:rPr>
      </w:pPr>
    </w:p>
    <w:p>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本公司（联合体）郑重声明，根据《政府采购促进中小企业发展管理办法》（财库[2020]46号）的规定，本公司（联合体）参加</w:t>
      </w:r>
      <w:r>
        <w:rPr>
          <w:rFonts w:hint="eastAsia" w:ascii="仿宋" w:hAnsi="仿宋" w:eastAsia="仿宋"/>
          <w:i/>
          <w:color w:val="auto"/>
          <w:sz w:val="32"/>
          <w:szCs w:val="32"/>
          <w:u w:val="single"/>
        </w:rPr>
        <w:t>（单位名称）</w:t>
      </w:r>
      <w:r>
        <w:rPr>
          <w:rFonts w:hint="eastAsia" w:ascii="仿宋" w:hAnsi="仿宋" w:eastAsia="仿宋"/>
          <w:color w:val="auto"/>
          <w:sz w:val="32"/>
          <w:szCs w:val="32"/>
        </w:rPr>
        <w:t>的</w:t>
      </w:r>
      <w:r>
        <w:rPr>
          <w:rFonts w:hint="eastAsia" w:ascii="仿宋" w:hAnsi="仿宋" w:eastAsia="仿宋"/>
          <w:i/>
          <w:color w:val="auto"/>
          <w:sz w:val="32"/>
          <w:szCs w:val="32"/>
          <w:u w:val="single"/>
        </w:rPr>
        <w:t>（项目名称）</w:t>
      </w:r>
      <w:r>
        <w:rPr>
          <w:rFonts w:hint="eastAsia" w:ascii="仿宋" w:hAnsi="仿宋" w:eastAsia="仿宋"/>
          <w:color w:val="auto"/>
          <w:sz w:val="32"/>
          <w:szCs w:val="32"/>
        </w:rPr>
        <w:t>采购活动，提供的货物全部由符合政策要求的中小企业制造。相关企业（含联合体中的中小企业、签订分包意向协议的中小企业）的具体情况如下：</w:t>
      </w:r>
    </w:p>
    <w:p>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i/>
          <w:color w:val="auto"/>
          <w:sz w:val="32"/>
          <w:szCs w:val="32"/>
          <w:u w:val="single"/>
        </w:rPr>
        <w:t>（标的名称）</w:t>
      </w:r>
      <w:r>
        <w:rPr>
          <w:rFonts w:hint="eastAsia" w:ascii="仿宋" w:hAnsi="仿宋" w:eastAsia="仿宋"/>
          <w:color w:val="auto"/>
          <w:sz w:val="32"/>
          <w:szCs w:val="32"/>
        </w:rPr>
        <w:t>，属于</w:t>
      </w:r>
      <w:r>
        <w:rPr>
          <w:rFonts w:hint="eastAsia" w:ascii="仿宋" w:hAnsi="仿宋" w:eastAsia="仿宋"/>
          <w:i/>
          <w:color w:val="auto"/>
          <w:sz w:val="32"/>
          <w:szCs w:val="32"/>
          <w:u w:val="single"/>
        </w:rPr>
        <w:t>（采购文件中明确的所属行业）</w:t>
      </w:r>
      <w:r>
        <w:rPr>
          <w:rFonts w:hint="eastAsia" w:ascii="仿宋" w:hAnsi="仿宋" w:eastAsia="仿宋"/>
          <w:color w:val="auto"/>
          <w:sz w:val="32"/>
          <w:szCs w:val="32"/>
        </w:rPr>
        <w:t>；制造商为</w:t>
      </w:r>
      <w:r>
        <w:rPr>
          <w:rFonts w:hint="eastAsia" w:ascii="仿宋" w:hAnsi="仿宋" w:eastAsia="仿宋"/>
          <w:i/>
          <w:color w:val="auto"/>
          <w:sz w:val="32"/>
          <w:szCs w:val="32"/>
          <w:u w:val="single"/>
        </w:rPr>
        <w:t>（企业名称）</w:t>
      </w:r>
      <w:r>
        <w:rPr>
          <w:rFonts w:hint="eastAsia" w:ascii="仿宋" w:hAnsi="仿宋" w:eastAsia="仿宋"/>
          <w:color w:val="auto"/>
          <w:sz w:val="32"/>
          <w:szCs w:val="32"/>
        </w:rPr>
        <w:t>，从业人员</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人，营业收入为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万元，资产总额为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w:t>
      </w:r>
      <w:r>
        <w:rPr>
          <w:rStyle w:val="26"/>
          <w:rFonts w:ascii="仿宋" w:hAnsi="仿宋" w:eastAsia="仿宋"/>
          <w:color w:val="auto"/>
          <w:sz w:val="32"/>
          <w:szCs w:val="32"/>
        </w:rPr>
        <w:footnoteReference w:id="0"/>
      </w:r>
      <w:r>
        <w:rPr>
          <w:rFonts w:hint="eastAsia" w:ascii="仿宋" w:hAnsi="仿宋" w:eastAsia="仿宋"/>
          <w:color w:val="auto"/>
          <w:sz w:val="32"/>
          <w:szCs w:val="32"/>
        </w:rPr>
        <w:t>，属于</w:t>
      </w:r>
      <w:r>
        <w:rPr>
          <w:rFonts w:hint="eastAsia" w:ascii="仿宋" w:hAnsi="仿宋" w:eastAsia="仿宋"/>
          <w:i/>
          <w:color w:val="auto"/>
          <w:sz w:val="32"/>
          <w:szCs w:val="32"/>
          <w:u w:val="single"/>
        </w:rPr>
        <w:t>（中型企业、小型企业、微型企业）</w:t>
      </w:r>
      <w:r>
        <w:rPr>
          <w:rFonts w:hint="eastAsia" w:ascii="仿宋" w:hAnsi="仿宋" w:eastAsia="仿宋"/>
          <w:color w:val="auto"/>
          <w:sz w:val="32"/>
          <w:szCs w:val="32"/>
        </w:rPr>
        <w:t>；</w:t>
      </w:r>
    </w:p>
    <w:p>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2. </w:t>
      </w:r>
      <w:r>
        <w:rPr>
          <w:rFonts w:hint="eastAsia" w:ascii="仿宋" w:hAnsi="仿宋" w:eastAsia="仿宋"/>
          <w:i/>
          <w:color w:val="auto"/>
          <w:sz w:val="32"/>
          <w:szCs w:val="32"/>
          <w:u w:val="single"/>
        </w:rPr>
        <w:t>（标的名称）</w:t>
      </w:r>
      <w:r>
        <w:rPr>
          <w:rFonts w:hint="eastAsia" w:ascii="仿宋" w:hAnsi="仿宋" w:eastAsia="仿宋"/>
          <w:color w:val="auto"/>
          <w:sz w:val="32"/>
          <w:szCs w:val="32"/>
        </w:rPr>
        <w:t>，属于</w:t>
      </w:r>
      <w:r>
        <w:rPr>
          <w:rFonts w:hint="eastAsia" w:ascii="仿宋" w:hAnsi="仿宋" w:eastAsia="仿宋"/>
          <w:i/>
          <w:color w:val="auto"/>
          <w:sz w:val="32"/>
          <w:szCs w:val="32"/>
          <w:u w:val="single"/>
        </w:rPr>
        <w:t>（采购文件中明确的所属行业）</w:t>
      </w:r>
      <w:r>
        <w:rPr>
          <w:rFonts w:hint="eastAsia" w:ascii="仿宋" w:hAnsi="仿宋" w:eastAsia="仿宋"/>
          <w:color w:val="auto"/>
          <w:sz w:val="32"/>
          <w:szCs w:val="32"/>
        </w:rPr>
        <w:t>；制造商为</w:t>
      </w:r>
      <w:r>
        <w:rPr>
          <w:rFonts w:hint="eastAsia" w:ascii="仿宋" w:hAnsi="仿宋" w:eastAsia="仿宋"/>
          <w:i/>
          <w:color w:val="auto"/>
          <w:sz w:val="32"/>
          <w:szCs w:val="32"/>
          <w:u w:val="single"/>
        </w:rPr>
        <w:t>（企业名称）</w:t>
      </w:r>
      <w:r>
        <w:rPr>
          <w:rFonts w:hint="eastAsia" w:ascii="仿宋" w:hAnsi="仿宋" w:eastAsia="仿宋"/>
          <w:color w:val="auto"/>
          <w:sz w:val="32"/>
          <w:szCs w:val="32"/>
        </w:rPr>
        <w:t>，从业人员</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人，营业收入为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万元，资产总额为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万元，属于</w:t>
      </w:r>
      <w:r>
        <w:rPr>
          <w:rFonts w:hint="eastAsia" w:ascii="仿宋" w:hAnsi="仿宋" w:eastAsia="仿宋"/>
          <w:i/>
          <w:color w:val="auto"/>
          <w:sz w:val="32"/>
          <w:szCs w:val="32"/>
          <w:u w:val="single"/>
        </w:rPr>
        <w:t>（中型企业、小型企业、微型企业）</w:t>
      </w:r>
      <w:r>
        <w:rPr>
          <w:rFonts w:hint="eastAsia" w:ascii="仿宋" w:hAnsi="仿宋" w:eastAsia="仿宋"/>
          <w:color w:val="auto"/>
          <w:sz w:val="32"/>
          <w:szCs w:val="32"/>
        </w:rPr>
        <w:t>；</w:t>
      </w:r>
    </w:p>
    <w:p>
      <w:pPr>
        <w:snapToGrid w:val="0"/>
        <w:spacing w:line="336" w:lineRule="auto"/>
        <w:ind w:firstLine="640" w:firstLineChars="200"/>
        <w:rPr>
          <w:rFonts w:ascii="仿宋" w:hAnsi="仿宋" w:eastAsia="仿宋"/>
          <w:color w:val="auto"/>
          <w:sz w:val="32"/>
          <w:szCs w:val="32"/>
        </w:rPr>
      </w:pPr>
      <w:r>
        <w:rPr>
          <w:rFonts w:ascii="仿宋" w:hAnsi="仿宋" w:eastAsia="仿宋"/>
          <w:color w:val="auto"/>
          <w:sz w:val="32"/>
          <w:szCs w:val="32"/>
        </w:rPr>
        <w:t>……</w:t>
      </w:r>
    </w:p>
    <w:p>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以上企业，不属于大企业的分支机构，不存在控股股东为大企业的情形，也不存在与大企业的负责人为同一人的情形。</w:t>
      </w:r>
    </w:p>
    <w:p>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本企业对上述声明内容的真实性负责。如有虚假，将依法承担相应责任。</w:t>
      </w:r>
    </w:p>
    <w:p>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                      企业名称（盖章）：</w:t>
      </w:r>
    </w:p>
    <w:p>
      <w:pPr>
        <w:snapToGrid w:val="0"/>
        <w:spacing w:line="336"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rPr>
        <w:t xml:space="preserve">                      日期：</w:t>
      </w:r>
    </w:p>
    <w:p>
      <w:pPr>
        <w:snapToGrid w:val="0"/>
        <w:spacing w:line="336" w:lineRule="auto"/>
        <w:ind w:firstLine="640" w:firstLineChars="200"/>
        <w:rPr>
          <w:rFonts w:ascii="仿宋" w:hAnsi="仿宋" w:eastAsia="仿宋"/>
          <w:color w:val="auto"/>
          <w:sz w:val="32"/>
          <w:szCs w:val="32"/>
        </w:rPr>
      </w:pPr>
    </w:p>
    <w:p>
      <w:pPr>
        <w:pStyle w:val="117"/>
        <w:spacing w:line="360" w:lineRule="auto"/>
        <w:ind w:right="-88"/>
        <w:jc w:val="right"/>
        <w:rPr>
          <w:rFonts w:hint="eastAsia" w:ascii="宋体" w:hAnsi="宋体" w:eastAsia="宋体" w:cs="宋体"/>
          <w:color w:val="auto"/>
          <w:sz w:val="24"/>
          <w:szCs w:val="24"/>
          <w:highlight w:val="none"/>
        </w:rPr>
      </w:pPr>
    </w:p>
    <w:p>
      <w:pPr>
        <w:pStyle w:val="120"/>
        <w:spacing w:line="360" w:lineRule="auto"/>
        <w:ind w:right="-58" w:firstLine="1094" w:firstLineChars="391"/>
        <w:rPr>
          <w:rFonts w:hint="eastAsia" w:ascii="宋体" w:hAnsi="宋体" w:eastAsia="宋体" w:cs="宋体"/>
          <w:color w:val="auto"/>
          <w:sz w:val="28"/>
          <w:szCs w:val="28"/>
          <w:highlight w:val="none"/>
          <w:lang w:val="en-US" w:eastAsia="zh-CN"/>
        </w:rPr>
      </w:pPr>
    </w:p>
    <w:p>
      <w:pP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lang w:val="en-US" w:eastAsia="zh-CN"/>
        </w:rPr>
        <w:br w:type="page"/>
      </w:r>
    </w:p>
    <w:p>
      <w:pPr>
        <w:pStyle w:val="147"/>
        <w:spacing w:line="360" w:lineRule="auto"/>
        <w:ind w:right="-97"/>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政府采购政策情况表（如有时）</w:t>
      </w:r>
    </w:p>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717"/>
        <w:gridCol w:w="1757"/>
        <w:gridCol w:w="47"/>
        <w:gridCol w:w="1510"/>
        <w:gridCol w:w="1868"/>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79" w:type="dxa"/>
            <w:vMerge w:val="restart"/>
            <w:tcBorders>
              <w:top w:val="single" w:color="auto" w:sz="4" w:space="0"/>
              <w:left w:val="single" w:color="auto" w:sz="4" w:space="0"/>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中小企业扶持政策</w:t>
            </w:r>
          </w:p>
        </w:tc>
        <w:tc>
          <w:tcPr>
            <w:tcW w:w="8621" w:type="dxa"/>
            <w:gridSpan w:val="6"/>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如属所列情形的，请在括号内打“√”：</w:t>
            </w:r>
          </w:p>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（）小型、微型企业投标且提供本企业制造的产品。</w:t>
            </w:r>
          </w:p>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1"/>
              <w:widowControl/>
              <w:spacing w:line="360" w:lineRule="auto"/>
              <w:jc w:val="left"/>
              <w:rPr>
                <w:rFonts w:hint="eastAsia" w:ascii="宋体" w:hAnsi="宋体" w:eastAsia="宋体" w:cs="宋体"/>
                <w:color w:val="auto"/>
                <w:sz w:val="24"/>
                <w:szCs w:val="24"/>
                <w:highlight w:val="none"/>
              </w:rPr>
            </w:pPr>
          </w:p>
        </w:tc>
        <w:tc>
          <w:tcPr>
            <w:tcW w:w="1717"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1804" w:type="dxa"/>
            <w:gridSpan w:val="2"/>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品牌型号</w:t>
            </w:r>
          </w:p>
        </w:tc>
        <w:tc>
          <w:tcPr>
            <w:tcW w:w="1510"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1868"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企业类型</w:t>
            </w:r>
          </w:p>
        </w:tc>
        <w:tc>
          <w:tcPr>
            <w:tcW w:w="1722"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1"/>
              <w:widowControl/>
              <w:spacing w:line="360" w:lineRule="auto"/>
              <w:jc w:val="left"/>
              <w:rPr>
                <w:rFonts w:hint="eastAsia" w:ascii="宋体" w:hAnsi="宋体" w:eastAsia="宋体" w:cs="宋体"/>
                <w:color w:val="auto"/>
                <w:sz w:val="24"/>
                <w:szCs w:val="24"/>
                <w:highlight w:val="none"/>
              </w:rPr>
            </w:pPr>
          </w:p>
        </w:tc>
        <w:tc>
          <w:tcPr>
            <w:tcW w:w="1717"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510"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868"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722"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1"/>
              <w:widowControl/>
              <w:spacing w:line="360" w:lineRule="auto"/>
              <w:jc w:val="left"/>
              <w:rPr>
                <w:rFonts w:hint="eastAsia" w:ascii="宋体" w:hAnsi="宋体" w:eastAsia="宋体" w:cs="宋体"/>
                <w:color w:val="auto"/>
                <w:sz w:val="24"/>
                <w:szCs w:val="24"/>
                <w:highlight w:val="none"/>
              </w:rPr>
            </w:pPr>
          </w:p>
        </w:tc>
        <w:tc>
          <w:tcPr>
            <w:tcW w:w="1717"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510"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868"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722"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79" w:type="dxa"/>
            <w:vMerge w:val="continue"/>
            <w:tcBorders>
              <w:top w:val="single" w:color="auto" w:sz="4" w:space="0"/>
              <w:left w:val="single" w:color="auto" w:sz="4" w:space="0"/>
              <w:bottom w:val="single" w:color="auto" w:sz="4" w:space="0"/>
              <w:right w:val="single" w:color="auto" w:sz="4" w:space="0"/>
            </w:tcBorders>
            <w:noWrap w:val="0"/>
            <w:vAlign w:val="center"/>
          </w:tcPr>
          <w:p>
            <w:pPr>
              <w:pStyle w:val="121"/>
              <w:widowControl/>
              <w:spacing w:line="360" w:lineRule="auto"/>
              <w:jc w:val="left"/>
              <w:rPr>
                <w:rFonts w:hint="eastAsia" w:ascii="宋体" w:hAnsi="宋体" w:eastAsia="宋体" w:cs="宋体"/>
                <w:color w:val="auto"/>
                <w:sz w:val="24"/>
                <w:szCs w:val="24"/>
                <w:highlight w:val="none"/>
              </w:rPr>
            </w:pPr>
          </w:p>
        </w:tc>
        <w:tc>
          <w:tcPr>
            <w:tcW w:w="6899" w:type="dxa"/>
            <w:gridSpan w:val="5"/>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小型、微型企业产品金额合计</w:t>
            </w:r>
          </w:p>
        </w:tc>
        <w:tc>
          <w:tcPr>
            <w:tcW w:w="1722"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79" w:type="dxa"/>
            <w:tcBorders>
              <w:top w:val="single" w:color="auto" w:sz="4" w:space="0"/>
              <w:left w:val="single" w:color="auto" w:sz="4" w:space="0"/>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w:t>
            </w:r>
          </w:p>
        </w:tc>
        <w:tc>
          <w:tcPr>
            <w:tcW w:w="8621" w:type="dxa"/>
            <w:gridSpan w:val="6"/>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如属于监狱企业，须提供由省级以上监狱管理局、戒毒管理局(含新疆生产建设兵团)出具的属于监狱企业的证明文件。</w:t>
            </w:r>
          </w:p>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证明材料见</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第至页。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79" w:type="dxa"/>
            <w:vMerge w:val="restart"/>
            <w:tcBorders>
              <w:top w:val="nil"/>
              <w:left w:val="single" w:color="auto" w:sz="4" w:space="0"/>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节能产品（非强制节能产品）</w:t>
            </w:r>
          </w:p>
        </w:tc>
        <w:tc>
          <w:tcPr>
            <w:tcW w:w="1717"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1804" w:type="dxa"/>
            <w:gridSpan w:val="2"/>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品牌型号</w:t>
            </w:r>
          </w:p>
        </w:tc>
        <w:tc>
          <w:tcPr>
            <w:tcW w:w="1510"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1868"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节能认证证书编号</w:t>
            </w:r>
          </w:p>
        </w:tc>
        <w:tc>
          <w:tcPr>
            <w:tcW w:w="1722"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79" w:type="dxa"/>
            <w:vMerge w:val="continue"/>
            <w:tcBorders>
              <w:top w:val="nil"/>
              <w:left w:val="single" w:color="auto" w:sz="4" w:space="0"/>
              <w:bottom w:val="single" w:color="auto" w:sz="4" w:space="0"/>
              <w:right w:val="single" w:color="auto" w:sz="4" w:space="0"/>
            </w:tcBorders>
            <w:noWrap w:val="0"/>
            <w:vAlign w:val="center"/>
          </w:tcPr>
          <w:p>
            <w:pPr>
              <w:pStyle w:val="121"/>
              <w:widowControl/>
              <w:spacing w:line="360" w:lineRule="auto"/>
              <w:jc w:val="left"/>
              <w:rPr>
                <w:rFonts w:hint="eastAsia" w:ascii="宋体" w:hAnsi="宋体" w:eastAsia="宋体" w:cs="宋体"/>
                <w:color w:val="auto"/>
                <w:sz w:val="24"/>
                <w:szCs w:val="24"/>
                <w:highlight w:val="none"/>
              </w:rPr>
            </w:pPr>
          </w:p>
        </w:tc>
        <w:tc>
          <w:tcPr>
            <w:tcW w:w="1717"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510"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868"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722"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79" w:type="dxa"/>
            <w:vMerge w:val="continue"/>
            <w:tcBorders>
              <w:top w:val="nil"/>
              <w:left w:val="single" w:color="auto" w:sz="4" w:space="0"/>
              <w:bottom w:val="single" w:color="auto" w:sz="4" w:space="0"/>
              <w:right w:val="single" w:color="auto" w:sz="4" w:space="0"/>
            </w:tcBorders>
            <w:noWrap w:val="0"/>
            <w:vAlign w:val="center"/>
          </w:tcPr>
          <w:p>
            <w:pPr>
              <w:pStyle w:val="121"/>
              <w:widowControl/>
              <w:spacing w:line="360" w:lineRule="auto"/>
              <w:jc w:val="left"/>
              <w:rPr>
                <w:rFonts w:hint="eastAsia" w:ascii="宋体" w:hAnsi="宋体" w:eastAsia="宋体" w:cs="宋体"/>
                <w:color w:val="auto"/>
                <w:sz w:val="24"/>
                <w:szCs w:val="24"/>
                <w:highlight w:val="none"/>
              </w:rPr>
            </w:pPr>
          </w:p>
        </w:tc>
        <w:tc>
          <w:tcPr>
            <w:tcW w:w="1717"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510"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868"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722"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79" w:type="dxa"/>
            <w:vMerge w:val="continue"/>
            <w:tcBorders>
              <w:top w:val="nil"/>
              <w:left w:val="single" w:color="auto" w:sz="4" w:space="0"/>
              <w:bottom w:val="single" w:color="auto" w:sz="4" w:space="0"/>
              <w:right w:val="single" w:color="auto" w:sz="4" w:space="0"/>
            </w:tcBorders>
            <w:noWrap w:val="0"/>
            <w:vAlign w:val="center"/>
          </w:tcPr>
          <w:p>
            <w:pPr>
              <w:pStyle w:val="121"/>
              <w:widowControl/>
              <w:spacing w:line="360" w:lineRule="auto"/>
              <w:jc w:val="left"/>
              <w:rPr>
                <w:rFonts w:hint="eastAsia" w:ascii="宋体" w:hAnsi="宋体" w:eastAsia="宋体" w:cs="宋体"/>
                <w:color w:val="auto"/>
                <w:sz w:val="24"/>
                <w:szCs w:val="24"/>
                <w:highlight w:val="none"/>
              </w:rPr>
            </w:pPr>
          </w:p>
        </w:tc>
        <w:tc>
          <w:tcPr>
            <w:tcW w:w="6899" w:type="dxa"/>
            <w:gridSpan w:val="5"/>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节能产品（不包括强制节能产品）金额合计</w:t>
            </w:r>
          </w:p>
        </w:tc>
        <w:tc>
          <w:tcPr>
            <w:tcW w:w="1722"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79" w:type="dxa"/>
            <w:vMerge w:val="continue"/>
            <w:tcBorders>
              <w:top w:val="nil"/>
              <w:left w:val="single" w:color="auto" w:sz="4" w:space="0"/>
              <w:bottom w:val="single" w:color="auto" w:sz="4" w:space="0"/>
              <w:right w:val="single" w:color="auto" w:sz="4" w:space="0"/>
            </w:tcBorders>
            <w:noWrap w:val="0"/>
            <w:vAlign w:val="center"/>
          </w:tcPr>
          <w:p>
            <w:pPr>
              <w:pStyle w:val="121"/>
              <w:widowControl/>
              <w:spacing w:line="360" w:lineRule="auto"/>
              <w:jc w:val="left"/>
              <w:rPr>
                <w:rFonts w:hint="eastAsia" w:ascii="宋体" w:hAnsi="宋体" w:eastAsia="宋体" w:cs="宋体"/>
                <w:color w:val="auto"/>
                <w:sz w:val="24"/>
                <w:szCs w:val="24"/>
                <w:highlight w:val="none"/>
              </w:rPr>
            </w:pPr>
          </w:p>
        </w:tc>
        <w:tc>
          <w:tcPr>
            <w:tcW w:w="6899" w:type="dxa"/>
            <w:gridSpan w:val="5"/>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比重（节能产品金额/采购预算金额）</w:t>
            </w:r>
          </w:p>
        </w:tc>
        <w:tc>
          <w:tcPr>
            <w:tcW w:w="1722"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79" w:type="dxa"/>
            <w:vMerge w:val="continue"/>
            <w:tcBorders>
              <w:top w:val="nil"/>
              <w:left w:val="single" w:color="auto" w:sz="4" w:space="0"/>
              <w:bottom w:val="single" w:color="auto" w:sz="4" w:space="0"/>
              <w:right w:val="single" w:color="auto" w:sz="4" w:space="0"/>
            </w:tcBorders>
            <w:noWrap w:val="0"/>
            <w:vAlign w:val="center"/>
          </w:tcPr>
          <w:p>
            <w:pPr>
              <w:pStyle w:val="121"/>
              <w:widowControl/>
              <w:spacing w:line="360" w:lineRule="auto"/>
              <w:jc w:val="left"/>
              <w:rPr>
                <w:rFonts w:hint="eastAsia" w:ascii="宋体" w:hAnsi="宋体" w:eastAsia="宋体" w:cs="宋体"/>
                <w:color w:val="auto"/>
                <w:sz w:val="24"/>
                <w:szCs w:val="24"/>
                <w:highlight w:val="none"/>
              </w:rPr>
            </w:pPr>
          </w:p>
        </w:tc>
        <w:tc>
          <w:tcPr>
            <w:tcW w:w="8621" w:type="dxa"/>
            <w:gridSpan w:val="6"/>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节能产品证明材料见</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第至页。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79" w:type="dxa"/>
            <w:vMerge w:val="restart"/>
            <w:tcBorders>
              <w:top w:val="nil"/>
              <w:left w:val="single" w:color="auto" w:sz="4" w:space="0"/>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w:t>
            </w:r>
          </w:p>
        </w:tc>
        <w:tc>
          <w:tcPr>
            <w:tcW w:w="1717"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1757"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品牌型号</w:t>
            </w:r>
          </w:p>
        </w:tc>
        <w:tc>
          <w:tcPr>
            <w:tcW w:w="1557" w:type="dxa"/>
            <w:gridSpan w:val="2"/>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1868"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环境标志认证证书编号</w:t>
            </w:r>
          </w:p>
        </w:tc>
        <w:tc>
          <w:tcPr>
            <w:tcW w:w="1722"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79" w:type="dxa"/>
            <w:vMerge w:val="continue"/>
            <w:tcBorders>
              <w:top w:val="nil"/>
              <w:left w:val="single" w:color="auto" w:sz="4" w:space="0"/>
              <w:bottom w:val="single" w:color="auto" w:sz="4" w:space="0"/>
              <w:right w:val="single" w:color="auto" w:sz="4" w:space="0"/>
            </w:tcBorders>
            <w:noWrap w:val="0"/>
            <w:vAlign w:val="center"/>
          </w:tcPr>
          <w:p>
            <w:pPr>
              <w:pStyle w:val="121"/>
              <w:widowControl/>
              <w:spacing w:line="360" w:lineRule="auto"/>
              <w:jc w:val="left"/>
              <w:rPr>
                <w:rFonts w:hint="eastAsia" w:ascii="宋体" w:hAnsi="宋体" w:eastAsia="宋体" w:cs="宋体"/>
                <w:color w:val="auto"/>
                <w:sz w:val="24"/>
                <w:szCs w:val="24"/>
                <w:highlight w:val="none"/>
              </w:rPr>
            </w:pPr>
          </w:p>
        </w:tc>
        <w:tc>
          <w:tcPr>
            <w:tcW w:w="1717"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557" w:type="dxa"/>
            <w:gridSpan w:val="2"/>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868"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722"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79" w:type="dxa"/>
            <w:vMerge w:val="continue"/>
            <w:tcBorders>
              <w:top w:val="nil"/>
              <w:left w:val="single" w:color="auto" w:sz="4" w:space="0"/>
              <w:bottom w:val="single" w:color="auto" w:sz="4" w:space="0"/>
              <w:right w:val="single" w:color="auto" w:sz="4" w:space="0"/>
            </w:tcBorders>
            <w:noWrap w:val="0"/>
            <w:vAlign w:val="center"/>
          </w:tcPr>
          <w:p>
            <w:pPr>
              <w:pStyle w:val="121"/>
              <w:widowControl/>
              <w:spacing w:line="360" w:lineRule="auto"/>
              <w:jc w:val="left"/>
              <w:rPr>
                <w:rFonts w:hint="eastAsia" w:ascii="宋体" w:hAnsi="宋体" w:eastAsia="宋体" w:cs="宋体"/>
                <w:color w:val="auto"/>
                <w:sz w:val="24"/>
                <w:szCs w:val="24"/>
                <w:highlight w:val="none"/>
              </w:rPr>
            </w:pPr>
          </w:p>
        </w:tc>
        <w:tc>
          <w:tcPr>
            <w:tcW w:w="1717"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757"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557" w:type="dxa"/>
            <w:gridSpan w:val="2"/>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868"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c>
          <w:tcPr>
            <w:tcW w:w="1722"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79" w:type="dxa"/>
            <w:vMerge w:val="continue"/>
            <w:tcBorders>
              <w:top w:val="nil"/>
              <w:left w:val="single" w:color="auto" w:sz="4" w:space="0"/>
              <w:bottom w:val="single" w:color="auto" w:sz="4" w:space="0"/>
              <w:right w:val="single" w:color="auto" w:sz="4" w:space="0"/>
            </w:tcBorders>
            <w:noWrap w:val="0"/>
            <w:vAlign w:val="center"/>
          </w:tcPr>
          <w:p>
            <w:pPr>
              <w:pStyle w:val="121"/>
              <w:widowControl/>
              <w:spacing w:line="360" w:lineRule="auto"/>
              <w:jc w:val="left"/>
              <w:rPr>
                <w:rFonts w:hint="eastAsia" w:ascii="宋体" w:hAnsi="宋体" w:eastAsia="宋体" w:cs="宋体"/>
                <w:color w:val="auto"/>
                <w:sz w:val="24"/>
                <w:szCs w:val="24"/>
                <w:highlight w:val="none"/>
              </w:rPr>
            </w:pPr>
          </w:p>
        </w:tc>
        <w:tc>
          <w:tcPr>
            <w:tcW w:w="6899" w:type="dxa"/>
            <w:gridSpan w:val="5"/>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环境标志产品金额合计</w:t>
            </w:r>
          </w:p>
        </w:tc>
        <w:tc>
          <w:tcPr>
            <w:tcW w:w="1722"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79" w:type="dxa"/>
            <w:vMerge w:val="continue"/>
            <w:tcBorders>
              <w:top w:val="nil"/>
              <w:left w:val="single" w:color="auto" w:sz="4" w:space="0"/>
              <w:bottom w:val="single" w:color="auto" w:sz="4" w:space="0"/>
              <w:right w:val="single" w:color="auto" w:sz="4" w:space="0"/>
            </w:tcBorders>
            <w:noWrap w:val="0"/>
            <w:vAlign w:val="center"/>
          </w:tcPr>
          <w:p>
            <w:pPr>
              <w:pStyle w:val="121"/>
              <w:widowControl/>
              <w:spacing w:line="360" w:lineRule="auto"/>
              <w:jc w:val="left"/>
              <w:rPr>
                <w:rFonts w:hint="eastAsia" w:ascii="宋体" w:hAnsi="宋体" w:eastAsia="宋体" w:cs="宋体"/>
                <w:color w:val="auto"/>
                <w:sz w:val="24"/>
                <w:szCs w:val="24"/>
                <w:highlight w:val="none"/>
              </w:rPr>
            </w:pPr>
          </w:p>
        </w:tc>
        <w:tc>
          <w:tcPr>
            <w:tcW w:w="6899" w:type="dxa"/>
            <w:gridSpan w:val="5"/>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比重（环境标志产品金额/采购预算金额）</w:t>
            </w:r>
          </w:p>
        </w:tc>
        <w:tc>
          <w:tcPr>
            <w:tcW w:w="1722" w:type="dxa"/>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079" w:type="dxa"/>
            <w:vMerge w:val="continue"/>
            <w:tcBorders>
              <w:top w:val="nil"/>
              <w:left w:val="single" w:color="auto" w:sz="4" w:space="0"/>
              <w:bottom w:val="single" w:color="auto" w:sz="4" w:space="0"/>
              <w:right w:val="single" w:color="auto" w:sz="4" w:space="0"/>
            </w:tcBorders>
            <w:noWrap w:val="0"/>
            <w:vAlign w:val="center"/>
          </w:tcPr>
          <w:p>
            <w:pPr>
              <w:pStyle w:val="121"/>
              <w:widowControl/>
              <w:spacing w:line="360" w:lineRule="auto"/>
              <w:jc w:val="left"/>
              <w:rPr>
                <w:rFonts w:hint="eastAsia" w:ascii="宋体" w:hAnsi="宋体" w:eastAsia="宋体" w:cs="宋体"/>
                <w:color w:val="auto"/>
                <w:sz w:val="24"/>
                <w:szCs w:val="24"/>
                <w:highlight w:val="none"/>
              </w:rPr>
            </w:pPr>
          </w:p>
        </w:tc>
        <w:tc>
          <w:tcPr>
            <w:tcW w:w="8621" w:type="dxa"/>
            <w:gridSpan w:val="6"/>
            <w:tcBorders>
              <w:top w:val="single" w:color="auto" w:sz="4" w:space="0"/>
              <w:left w:val="nil"/>
              <w:bottom w:val="single" w:color="auto" w:sz="4" w:space="0"/>
              <w:right w:val="single" w:color="auto" w:sz="4" w:space="0"/>
            </w:tcBorders>
            <w:noWrap w:val="0"/>
            <w:vAlign w:val="center"/>
          </w:tcPr>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环境标志产品证明材料见</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第至页。</w:t>
            </w:r>
          </w:p>
        </w:tc>
      </w:tr>
    </w:tbl>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填报要求：</w:t>
      </w:r>
    </w:p>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1、本表的产品名称、品牌型号、金额应与投标报价明细表一致。</w:t>
      </w:r>
    </w:p>
    <w:p>
      <w:pPr>
        <w:pStyle w:val="14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2、制造商为小型或微型企业时才需要填“制造商企业类型”栏，填写内容为“小型”或“微型”。</w:t>
      </w:r>
    </w:p>
    <w:p>
      <w:pPr>
        <w:pStyle w:val="148"/>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3、请投标人正确填写本表，所填内容将作为评审依据。其内容或数据应与对应的证明资料相符，如果填写不完整或有误，不再享受上述政策优惠。</w:t>
      </w:r>
    </w:p>
    <w:bookmarkEnd w:id="214"/>
    <w:p>
      <w:pPr>
        <w:pStyle w:val="117"/>
        <w:spacing w:line="360" w:lineRule="auto"/>
        <w:ind w:right="-97"/>
        <w:jc w:val="both"/>
        <w:rPr>
          <w:rFonts w:hint="eastAsia" w:ascii="宋体" w:hAnsi="宋体" w:cs="宋体"/>
          <w:color w:val="auto"/>
          <w:sz w:val="28"/>
          <w:szCs w:val="28"/>
          <w:highlight w:val="none"/>
          <w:lang w:val="en-US" w:eastAsia="zh-CN"/>
        </w:rPr>
      </w:pPr>
      <w:bookmarkStart w:id="215" w:name="_Toc256000055"/>
    </w:p>
    <w:p>
      <w:pPr>
        <w:pStyle w:val="117"/>
        <w:spacing w:line="360" w:lineRule="auto"/>
        <w:ind w:right="-97"/>
        <w:jc w:val="both"/>
        <w:rPr>
          <w:rFonts w:hint="eastAsia" w:ascii="宋体" w:hAnsi="宋体" w:cs="宋体"/>
          <w:color w:val="auto"/>
          <w:sz w:val="28"/>
          <w:szCs w:val="28"/>
          <w:highlight w:val="none"/>
          <w:lang w:val="en-US" w:eastAsia="zh-CN"/>
        </w:rPr>
      </w:pPr>
    </w:p>
    <w:p>
      <w:pPr>
        <w:pStyle w:val="117"/>
        <w:spacing w:line="360" w:lineRule="auto"/>
        <w:ind w:right="-97"/>
        <w:jc w:val="both"/>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十七</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投标人自行编写的技术文件</w:t>
      </w:r>
      <w:bookmarkEnd w:id="215"/>
    </w:p>
    <w:p>
      <w:pPr>
        <w:pStyle w:val="132"/>
        <w:numPr>
          <w:ilvl w:val="0"/>
          <w:numId w:val="0"/>
        </w:numPr>
        <w:spacing w:line="360" w:lineRule="auto"/>
        <w:ind w:leftChars="0"/>
        <w:rPr>
          <w:rFonts w:hint="eastAsia" w:ascii="宋体" w:hAnsi="宋体" w:cs="宋体"/>
          <w:color w:val="auto"/>
          <w:kern w:val="0"/>
          <w:sz w:val="24"/>
          <w:szCs w:val="24"/>
          <w:highlight w:val="none"/>
          <w:lang w:val="en-US" w:eastAsia="zh-CN"/>
        </w:rPr>
      </w:pPr>
    </w:p>
    <w:p>
      <w:pPr>
        <w:pStyle w:val="132"/>
        <w:spacing w:line="360" w:lineRule="auto"/>
        <w:rPr>
          <w:rFonts w:hint="eastAsia" w:ascii="宋体" w:hAnsi="宋体" w:eastAsia="宋体" w:cs="宋体"/>
          <w:color w:val="auto"/>
          <w:sz w:val="24"/>
          <w:szCs w:val="24"/>
          <w:highlight w:val="none"/>
          <w:lang w:val="en-US" w:eastAsia="zh-CN"/>
        </w:rPr>
      </w:pPr>
    </w:p>
    <w:p>
      <w:pPr>
        <w:pStyle w:val="132"/>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rPr>
        <w:t>供货方案</w:t>
      </w:r>
      <w:r>
        <w:rPr>
          <w:rFonts w:hint="eastAsia" w:ascii="宋体" w:hAnsi="宋体" w:eastAsia="宋体" w:cs="宋体"/>
          <w:color w:val="auto"/>
          <w:kern w:val="0"/>
          <w:sz w:val="24"/>
          <w:szCs w:val="24"/>
          <w:highlight w:val="none"/>
        </w:rPr>
        <w:t>；</w:t>
      </w:r>
    </w:p>
    <w:p>
      <w:pPr>
        <w:pStyle w:val="132"/>
        <w:spacing w:line="360" w:lineRule="auto"/>
        <w:rPr>
          <w:rFonts w:hint="eastAsia" w:ascii="宋体" w:hAnsi="宋体" w:eastAsia="宋体" w:cs="宋体"/>
          <w:color w:val="auto"/>
          <w:kern w:val="0"/>
          <w:sz w:val="24"/>
          <w:szCs w:val="24"/>
          <w:highlight w:val="none"/>
        </w:rPr>
      </w:pPr>
    </w:p>
    <w:p>
      <w:pPr>
        <w:pStyle w:val="132"/>
        <w:tabs>
          <w:tab w:val="left" w:pos="5580"/>
        </w:tabs>
        <w:spacing w:line="360" w:lineRule="auto"/>
        <w:jc w:val="left"/>
        <w:rPr>
          <w:rFonts w:hint="eastAsia" w:ascii="宋体" w:hAnsi="宋体" w:cs="宋体"/>
          <w:color w:val="auto"/>
          <w:kern w:val="0"/>
          <w:sz w:val="24"/>
          <w:szCs w:val="24"/>
          <w:highlight w:val="none"/>
          <w:lang w:eastAsia="zh-CN"/>
        </w:rPr>
      </w:pPr>
    </w:p>
    <w:p>
      <w:pPr>
        <w:pStyle w:val="132"/>
        <w:tabs>
          <w:tab w:val="left" w:pos="5580"/>
        </w:tabs>
        <w:spacing w:line="360" w:lineRule="auto"/>
        <w:jc w:val="left"/>
        <w:rPr>
          <w:rFonts w:hint="default"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lang w:val="en-US" w:eastAsia="zh-CN"/>
        </w:rPr>
        <w:t>认为需要提交的其他文件。</w:t>
      </w:r>
    </w:p>
    <w:p>
      <w:pPr>
        <w:spacing w:before="100" w:beforeAutospacing="1" w:after="156" w:afterLines="50" w:line="240" w:lineRule="auto"/>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color w:val="auto"/>
          <w:sz w:val="28"/>
          <w:szCs w:val="28"/>
          <w:highlight w:val="none"/>
        </w:rPr>
        <w:br w:type="page"/>
      </w:r>
      <w:r>
        <w:rPr>
          <w:rFonts w:hint="eastAsia" w:ascii="宋体" w:hAnsi="宋体" w:eastAsia="宋体" w:cs="宋体"/>
          <w:b/>
          <w:bCs/>
          <w:color w:val="auto"/>
          <w:kern w:val="0"/>
          <w:sz w:val="24"/>
          <w:szCs w:val="24"/>
          <w:highlight w:val="none"/>
          <w:lang w:val="en-US" w:eastAsia="zh-CN"/>
        </w:rPr>
        <w:t>附件1：</w:t>
      </w:r>
    </w:p>
    <w:p>
      <w:pPr>
        <w:pStyle w:val="8"/>
        <w:ind w:left="0" w:leftChars="0" w:right="0" w:rightChars="0" w:firstLine="0" w:firstLineChars="0"/>
        <w:jc w:val="center"/>
        <w:rPr>
          <w:rFonts w:hint="eastAsia" w:ascii="宋体" w:hAnsi="宋体" w:eastAsia="宋体" w:cs="宋体"/>
          <w:b/>
          <w:bCs/>
          <w:color w:val="auto"/>
          <w:kern w:val="0"/>
          <w:sz w:val="24"/>
          <w:szCs w:val="24"/>
          <w:highlight w:val="none"/>
          <w:lang w:val="en-US" w:eastAsia="zh-CN"/>
        </w:rPr>
      </w:pPr>
    </w:p>
    <w:p>
      <w:pPr>
        <w:pStyle w:val="8"/>
        <w:ind w:left="0" w:leftChars="0" w:right="0" w:righ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投标保证金退款申请函</w:t>
      </w:r>
    </w:p>
    <w:p>
      <w:pPr>
        <w:spacing w:before="100" w:beforeAutospacing="1" w:after="156" w:afterLines="50" w:line="360" w:lineRule="auto"/>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新疆金泰首致项目管理咨询有限公司</w:t>
      </w:r>
      <w:r>
        <w:rPr>
          <w:rFonts w:hint="eastAsia" w:ascii="宋体" w:hAnsi="宋体" w:eastAsia="宋体" w:cs="宋体"/>
          <w:color w:val="auto"/>
          <w:kern w:val="0"/>
          <w:sz w:val="24"/>
          <w:szCs w:val="24"/>
          <w:highlight w:val="none"/>
        </w:rPr>
        <w:t>：</w:t>
      </w:r>
    </w:p>
    <w:p>
      <w:pPr>
        <w:spacing w:before="100" w:beforeAutospacing="1" w:after="100" w:afterAutospacing="1" w:line="360" w:lineRule="auto"/>
        <w:ind w:left="0" w:leftChars="0" w:firstLine="559" w:firstLineChars="233"/>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我公司于</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日向贵单位以</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形式提交</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元投标保证金，参与</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项目的投标工作。现中标结果已经公布，我公司因：</w:t>
      </w:r>
    </w:p>
    <w:p>
      <w:pPr>
        <w:spacing w:before="100" w:beforeAutospacing="1" w:after="100" w:afterAutospacing="1"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(1、中标且已签合同；2、未中标；3、其他情形)，特向贵公司提出申请退还保证金。以下是我公司提供的退还款项的账户信息（帐户信息必须和汇入帐户信息一致）：</w:t>
      </w:r>
    </w:p>
    <w:p>
      <w:pPr>
        <w:spacing w:before="312" w:beforeLines="100" w:after="100" w:afterAutospacing="1"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户 名：</w:t>
      </w:r>
    </w:p>
    <w:p>
      <w:pPr>
        <w:spacing w:before="312" w:beforeLines="100" w:after="100" w:afterAutospacing="1"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 号：</w:t>
      </w:r>
    </w:p>
    <w:p>
      <w:pPr>
        <w:spacing w:before="100" w:beforeAutospacing="1" w:after="100" w:afterAutospacing="1"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开户行：</w:t>
      </w:r>
    </w:p>
    <w:p>
      <w:pPr>
        <w:spacing w:before="100" w:beforeAutospacing="1" w:after="100" w:afterAutospacing="1"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行  号：</w:t>
      </w:r>
    </w:p>
    <w:p>
      <w:pPr>
        <w:spacing w:before="100" w:beforeAutospacing="1" w:after="100" w:afterAutospacing="1"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联系电话：</w:t>
      </w:r>
    </w:p>
    <w:p>
      <w:pPr>
        <w:numPr>
          <w:ilvl w:val="0"/>
          <w:numId w:val="0"/>
        </w:numPr>
        <w:spacing w:line="360" w:lineRule="auto"/>
        <w:ind w:firstLine="3600" w:firstLineChars="1500"/>
        <w:rPr>
          <w:rFonts w:hint="eastAsia" w:ascii="宋体" w:hAnsi="宋体" w:eastAsia="宋体" w:cs="宋体"/>
          <w:color w:val="auto"/>
          <w:kern w:val="0"/>
          <w:sz w:val="24"/>
          <w:szCs w:val="24"/>
          <w:highlight w:val="none"/>
        </w:rPr>
      </w:pPr>
    </w:p>
    <w:p>
      <w:pPr>
        <w:numPr>
          <w:ilvl w:val="0"/>
          <w:numId w:val="0"/>
        </w:numPr>
        <w:spacing w:line="360" w:lineRule="auto"/>
        <w:ind w:firstLine="4560" w:firstLineChars="19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公司名称（盖公章）：</w:t>
      </w:r>
    </w:p>
    <w:p>
      <w:pPr>
        <w:pStyle w:val="28"/>
        <w:rPr>
          <w:rFonts w:hint="eastAsia" w:ascii="宋体" w:hAnsi="宋体" w:eastAsia="宋体" w:cs="宋体"/>
          <w:color w:val="auto"/>
          <w:kern w:val="0"/>
          <w:sz w:val="24"/>
          <w:szCs w:val="24"/>
          <w:highlight w:val="none"/>
        </w:rPr>
      </w:pPr>
    </w:p>
    <w:p>
      <w:pPr>
        <w:pStyle w:val="28"/>
        <w:rPr>
          <w:rFonts w:hint="eastAsia" w:ascii="宋体" w:hAnsi="宋体" w:eastAsia="宋体" w:cs="宋体"/>
          <w:color w:val="auto"/>
          <w:kern w:val="0"/>
          <w:sz w:val="24"/>
          <w:szCs w:val="24"/>
          <w:highlight w:val="none"/>
        </w:rPr>
      </w:pPr>
    </w:p>
    <w:p>
      <w:pPr>
        <w:spacing w:before="100" w:beforeAutospacing="1" w:after="100" w:afterAutospacing="1" w:line="360" w:lineRule="auto"/>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采购内容：全县</w:t>
      </w:r>
      <w:r>
        <w:rPr>
          <w:rFonts w:hint="eastAsia" w:ascii="宋体" w:hAnsi="宋体" w:eastAsia="宋体" w:cs="宋体"/>
          <w:color w:val="auto"/>
          <w:kern w:val="0"/>
          <w:sz w:val="24"/>
          <w:szCs w:val="24"/>
          <w:highlight w:val="none"/>
          <w:lang w:val="en-US" w:eastAsia="zh-CN"/>
        </w:rPr>
        <w:t>59所</w:t>
      </w:r>
      <w:r>
        <w:rPr>
          <w:rFonts w:hint="eastAsia" w:ascii="宋体" w:hAnsi="宋体" w:eastAsia="宋体" w:cs="宋体"/>
          <w:color w:val="auto"/>
          <w:kern w:val="0"/>
          <w:sz w:val="24"/>
          <w:szCs w:val="24"/>
          <w:highlight w:val="none"/>
          <w:lang w:eastAsia="zh-CN"/>
        </w:rPr>
        <w:t>学校及幼儿园共需块煤</w:t>
      </w:r>
      <w:r>
        <w:rPr>
          <w:rFonts w:hint="eastAsia" w:ascii="宋体" w:hAnsi="宋体" w:eastAsia="宋体" w:cs="宋体"/>
          <w:color w:val="auto"/>
          <w:kern w:val="0"/>
          <w:sz w:val="24"/>
          <w:szCs w:val="24"/>
          <w:highlight w:val="none"/>
          <w:lang w:val="en-US" w:eastAsia="zh-CN"/>
        </w:rPr>
        <w:t>4489吨，按目前市场价550元/吨计算，煤块要求：（中块煤煤质标准：全水分(Mt):13.4%；空干基水分(Mad)：12.34%；灰分(Aad)：9.78%；挥发分(Vdaf):49.22%；固定碳(FCad):42.94%；全硫(St,ad):0.13%；焦渣特征(1-8):2；基低位发热量(Qgr,ad):4266KJ/Kg；基高位发热量(Qnet,v,ar):4926KJ/Kg</w:t>
      </w:r>
    </w:p>
    <w:p>
      <w:pPr>
        <w:pStyle w:val="28"/>
        <w:rPr>
          <w:rFonts w:hint="eastAsia"/>
        </w:rPr>
      </w:pPr>
    </w:p>
    <w:p>
      <w:pPr>
        <w:pStyle w:val="8"/>
        <w:rPr>
          <w:rFonts w:hint="eastAsia" w:ascii="宋体" w:hAnsi="宋体" w:eastAsia="宋体" w:cs="宋体"/>
          <w:color w:val="auto"/>
          <w:kern w:val="0"/>
          <w:sz w:val="24"/>
          <w:szCs w:val="24"/>
          <w:highlight w:val="none"/>
        </w:rPr>
      </w:pPr>
    </w:p>
    <w:p>
      <w:pPr>
        <w:rPr>
          <w:rFonts w:hint="eastAsia" w:ascii="宋体" w:hAnsi="宋体" w:eastAsia="宋体" w:cs="宋体"/>
          <w:color w:val="auto"/>
          <w:kern w:val="0"/>
          <w:sz w:val="24"/>
          <w:szCs w:val="24"/>
          <w:highlight w:val="none"/>
        </w:rPr>
      </w:pPr>
    </w:p>
    <w:p>
      <w:pPr>
        <w:pStyle w:val="8"/>
        <w:rPr>
          <w:rFonts w:hint="eastAsia" w:ascii="宋体" w:hAnsi="宋体" w:eastAsia="宋体" w:cs="宋体"/>
          <w:color w:val="auto"/>
          <w:kern w:val="0"/>
          <w:sz w:val="24"/>
          <w:szCs w:val="24"/>
          <w:highlight w:val="none"/>
        </w:rPr>
      </w:pPr>
    </w:p>
    <w:p>
      <w:pPr>
        <w:pStyle w:val="139"/>
        <w:spacing w:line="360" w:lineRule="auto"/>
        <w:jc w:val="center"/>
        <w:rPr>
          <w:rFonts w:hint="eastAsia" w:ascii="宋体" w:hAnsi="宋体" w:eastAsia="宋体" w:cs="宋体"/>
          <w:b/>
          <w:bCs/>
          <w:color w:val="auto"/>
          <w:spacing w:val="-6"/>
          <w:sz w:val="24"/>
          <w:szCs w:val="24"/>
          <w:highlight w:val="none"/>
        </w:rPr>
      </w:pPr>
    </w:p>
    <w:p>
      <w:pPr>
        <w:pStyle w:val="139"/>
        <w:spacing w:line="360" w:lineRule="auto"/>
        <w:jc w:val="center"/>
        <w:rPr>
          <w:rFonts w:hint="eastAsia" w:ascii="宋体" w:hAnsi="宋体" w:eastAsia="宋体" w:cs="宋体"/>
          <w:b/>
          <w:bCs/>
          <w:color w:val="auto"/>
          <w:spacing w:val="-6"/>
          <w:sz w:val="24"/>
          <w:szCs w:val="24"/>
          <w:highlight w:val="none"/>
        </w:rPr>
      </w:pPr>
    </w:p>
    <w:p>
      <w:pPr>
        <w:pStyle w:val="139"/>
        <w:spacing w:line="360" w:lineRule="auto"/>
        <w:jc w:val="center"/>
        <w:rPr>
          <w:rFonts w:hint="eastAsia" w:ascii="宋体" w:hAnsi="宋体" w:eastAsia="宋体" w:cs="宋体"/>
          <w:b/>
          <w:bCs/>
          <w:color w:val="auto"/>
          <w:spacing w:val="-6"/>
          <w:sz w:val="24"/>
          <w:szCs w:val="24"/>
          <w:highlight w:val="none"/>
        </w:rPr>
      </w:pPr>
    </w:p>
    <w:p>
      <w:pPr>
        <w:pStyle w:val="139"/>
        <w:spacing w:line="360" w:lineRule="auto"/>
        <w:jc w:val="center"/>
        <w:rPr>
          <w:rFonts w:hint="eastAsia" w:ascii="宋体" w:hAnsi="宋体" w:eastAsia="宋体" w:cs="宋体"/>
          <w:b/>
          <w:bCs/>
          <w:color w:val="auto"/>
          <w:spacing w:val="-6"/>
          <w:sz w:val="24"/>
          <w:szCs w:val="24"/>
          <w:highlight w:val="none"/>
        </w:rPr>
      </w:pPr>
    </w:p>
    <w:p>
      <w:pPr>
        <w:rPr>
          <w:rFonts w:hint="eastAsia" w:ascii="宋体" w:hAnsi="宋体" w:eastAsia="宋体" w:cs="宋体"/>
          <w:color w:val="auto"/>
          <w:sz w:val="24"/>
          <w:szCs w:val="24"/>
          <w:highlight w:val="none"/>
          <w:lang w:val="en-US" w:eastAsia="zh-CN"/>
        </w:rPr>
      </w:pPr>
    </w:p>
    <w:sectPr>
      <w:pgSz w:w="11906" w:h="16838"/>
      <w:pgMar w:top="1440" w:right="1644" w:bottom="1440" w:left="1440" w:header="851" w:footer="850" w:gutter="0"/>
      <w:pgBorders>
        <w:top w:val="none" w:sz="0" w:space="0"/>
        <w:left w:val="none" w:sz="0" w:space="0"/>
        <w:bottom w:val="none" w:sz="0" w:space="0"/>
        <w:right w:val="none" w:sz="0" w:space="0"/>
      </w:pgBorders>
      <w:pgNumType w:fmt="decimal"/>
      <w:cols w:space="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fldChar w:fldCharType="begin"/>
    </w:r>
    <w:r>
      <w:rPr>
        <w:rStyle w:val="24"/>
        <w:highlight w:val="white"/>
      </w:rPr>
      <w:instrText xml:space="preserve">PAGE  </w:instrText>
    </w:r>
    <w:r>
      <w:fldChar w:fldCharType="separate"/>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6"/>
      </w:pPr>
      <w:r>
        <w:rPr>
          <w:rStyle w:val="26"/>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PowerPlusWaterMarkObject47516594" o:spid="_x0000_s4097" o:spt="136" type="#_x0000_t136" style="position:absolute;left:0pt;height:39.15pt;width:626.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japaneseCounting"/>
      <w:lvlText w:val="%1、"/>
      <w:lvlJc w:val="left"/>
      <w:pPr>
        <w:tabs>
          <w:tab w:val="left" w:pos="1260"/>
        </w:tabs>
        <w:ind w:left="1260" w:hanging="720"/>
      </w:pPr>
      <w:rPr>
        <w:rFonts w:hint="eastAsia"/>
      </w:rPr>
    </w:lvl>
    <w:lvl w:ilvl="1" w:tentative="0">
      <w:start w:val="1"/>
      <w:numFmt w:val="lowerLetter"/>
      <w:pStyle w:val="4"/>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dit="readOnly" w:enforcement="0"/>
  <w:defaultTabStop w:val="420"/>
  <w:drawingGridVerticalSpacing w:val="158"/>
  <w:displayHorizontalDrawingGridEvery w:val="1"/>
  <w:displayVerticalDrawingGridEvery w:val="1"/>
  <w:noPunctuationKerning w:val="1"/>
  <w:characterSpacingControl w:val="compressPunctuation"/>
  <w:hdrShapeDefaults>
    <o:shapelayout v:ext="edit">
      <o:idmap v:ext="edit" data="3,4"/>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NmI1NGZkNDc1OThlZjVjMjQzNjYyYmZjMzUzZGIifQ=="/>
  </w:docVars>
  <w:rsids>
    <w:rsidRoot w:val="474B5439"/>
    <w:rsid w:val="003A1410"/>
    <w:rsid w:val="005B6FAA"/>
    <w:rsid w:val="00645F47"/>
    <w:rsid w:val="0120320B"/>
    <w:rsid w:val="01390BCC"/>
    <w:rsid w:val="01441032"/>
    <w:rsid w:val="014A440E"/>
    <w:rsid w:val="01B84462"/>
    <w:rsid w:val="01D31AA0"/>
    <w:rsid w:val="021653B1"/>
    <w:rsid w:val="02997002"/>
    <w:rsid w:val="04574F48"/>
    <w:rsid w:val="04DD475E"/>
    <w:rsid w:val="04EC3E55"/>
    <w:rsid w:val="059B7643"/>
    <w:rsid w:val="05A061A4"/>
    <w:rsid w:val="060E688F"/>
    <w:rsid w:val="065B56F9"/>
    <w:rsid w:val="065E2396"/>
    <w:rsid w:val="073C7668"/>
    <w:rsid w:val="079E4D97"/>
    <w:rsid w:val="08C74886"/>
    <w:rsid w:val="09047D11"/>
    <w:rsid w:val="096F6251"/>
    <w:rsid w:val="098C1198"/>
    <w:rsid w:val="0AE31FC8"/>
    <w:rsid w:val="0AFC2DD3"/>
    <w:rsid w:val="0B1F45E8"/>
    <w:rsid w:val="0B27336D"/>
    <w:rsid w:val="0BA565EE"/>
    <w:rsid w:val="0C1F73DC"/>
    <w:rsid w:val="0C395F81"/>
    <w:rsid w:val="0C530D4B"/>
    <w:rsid w:val="0F0764AA"/>
    <w:rsid w:val="111B6540"/>
    <w:rsid w:val="113B31D4"/>
    <w:rsid w:val="11D911D8"/>
    <w:rsid w:val="132A231F"/>
    <w:rsid w:val="13386F35"/>
    <w:rsid w:val="139F17C2"/>
    <w:rsid w:val="13BD78B4"/>
    <w:rsid w:val="1458321C"/>
    <w:rsid w:val="15457CD6"/>
    <w:rsid w:val="15BF3154"/>
    <w:rsid w:val="15F233E4"/>
    <w:rsid w:val="16781D3E"/>
    <w:rsid w:val="16AD3622"/>
    <w:rsid w:val="16D510D5"/>
    <w:rsid w:val="17523818"/>
    <w:rsid w:val="17DF11F0"/>
    <w:rsid w:val="18540DF0"/>
    <w:rsid w:val="1914257A"/>
    <w:rsid w:val="19633E05"/>
    <w:rsid w:val="1973759A"/>
    <w:rsid w:val="197547DB"/>
    <w:rsid w:val="19CA465F"/>
    <w:rsid w:val="1A1827B9"/>
    <w:rsid w:val="1A371825"/>
    <w:rsid w:val="1AFA0446"/>
    <w:rsid w:val="1B045EDB"/>
    <w:rsid w:val="1B633E3C"/>
    <w:rsid w:val="1B883D7E"/>
    <w:rsid w:val="1BA0595E"/>
    <w:rsid w:val="1BA2513F"/>
    <w:rsid w:val="1BA64C58"/>
    <w:rsid w:val="1C1147C7"/>
    <w:rsid w:val="1C8F0952"/>
    <w:rsid w:val="1D8021F9"/>
    <w:rsid w:val="1D973FA5"/>
    <w:rsid w:val="1F135477"/>
    <w:rsid w:val="1F756223"/>
    <w:rsid w:val="20E765ED"/>
    <w:rsid w:val="213D3E1B"/>
    <w:rsid w:val="21954F7A"/>
    <w:rsid w:val="21D6593E"/>
    <w:rsid w:val="228F3FF1"/>
    <w:rsid w:val="22CF1827"/>
    <w:rsid w:val="22FD3CF7"/>
    <w:rsid w:val="236B1287"/>
    <w:rsid w:val="23CE038B"/>
    <w:rsid w:val="23DA7B95"/>
    <w:rsid w:val="24BB5C18"/>
    <w:rsid w:val="25043574"/>
    <w:rsid w:val="254A7704"/>
    <w:rsid w:val="25B66576"/>
    <w:rsid w:val="25D42B75"/>
    <w:rsid w:val="26894EC0"/>
    <w:rsid w:val="269F57DA"/>
    <w:rsid w:val="26EF6DD2"/>
    <w:rsid w:val="270D3B25"/>
    <w:rsid w:val="27F744C0"/>
    <w:rsid w:val="28304227"/>
    <w:rsid w:val="28891AC2"/>
    <w:rsid w:val="288D4B8F"/>
    <w:rsid w:val="28E12D58"/>
    <w:rsid w:val="291E1E7D"/>
    <w:rsid w:val="29532D23"/>
    <w:rsid w:val="297B0B18"/>
    <w:rsid w:val="29E63883"/>
    <w:rsid w:val="2A112F4A"/>
    <w:rsid w:val="2A5236B6"/>
    <w:rsid w:val="2ACF2C7F"/>
    <w:rsid w:val="2C723FF3"/>
    <w:rsid w:val="2CF07061"/>
    <w:rsid w:val="2DE67C29"/>
    <w:rsid w:val="2E170604"/>
    <w:rsid w:val="2E3B70E0"/>
    <w:rsid w:val="2E4D4952"/>
    <w:rsid w:val="2E5E00A7"/>
    <w:rsid w:val="2EE43FBD"/>
    <w:rsid w:val="2EFA23D0"/>
    <w:rsid w:val="2F1B069C"/>
    <w:rsid w:val="302940C4"/>
    <w:rsid w:val="307B72A7"/>
    <w:rsid w:val="30AC6B30"/>
    <w:rsid w:val="30D9161F"/>
    <w:rsid w:val="317F4426"/>
    <w:rsid w:val="31907F84"/>
    <w:rsid w:val="31B80E8C"/>
    <w:rsid w:val="31DE1A91"/>
    <w:rsid w:val="32B566A0"/>
    <w:rsid w:val="32F8093E"/>
    <w:rsid w:val="339C4E66"/>
    <w:rsid w:val="33BA2279"/>
    <w:rsid w:val="33C23158"/>
    <w:rsid w:val="3412775E"/>
    <w:rsid w:val="341E377E"/>
    <w:rsid w:val="3451278D"/>
    <w:rsid w:val="346C3C91"/>
    <w:rsid w:val="34AB48EA"/>
    <w:rsid w:val="35646B6C"/>
    <w:rsid w:val="358160C2"/>
    <w:rsid w:val="35CE4414"/>
    <w:rsid w:val="35D00140"/>
    <w:rsid w:val="36277082"/>
    <w:rsid w:val="36AF4EB1"/>
    <w:rsid w:val="36C9002A"/>
    <w:rsid w:val="371E1CDE"/>
    <w:rsid w:val="37BE184F"/>
    <w:rsid w:val="3803375F"/>
    <w:rsid w:val="380A23AF"/>
    <w:rsid w:val="38BA48AF"/>
    <w:rsid w:val="38DE423A"/>
    <w:rsid w:val="39612D3B"/>
    <w:rsid w:val="399C558D"/>
    <w:rsid w:val="39E26942"/>
    <w:rsid w:val="3A0A20A1"/>
    <w:rsid w:val="3B2A2492"/>
    <w:rsid w:val="3C244D8C"/>
    <w:rsid w:val="3C5E049F"/>
    <w:rsid w:val="3CDC66B5"/>
    <w:rsid w:val="3CF238DF"/>
    <w:rsid w:val="3D5D11C3"/>
    <w:rsid w:val="3DEF48F0"/>
    <w:rsid w:val="3E126451"/>
    <w:rsid w:val="3EB300CD"/>
    <w:rsid w:val="3FED2ECB"/>
    <w:rsid w:val="3FF513F5"/>
    <w:rsid w:val="40423619"/>
    <w:rsid w:val="40532D51"/>
    <w:rsid w:val="405F5252"/>
    <w:rsid w:val="40C63EBA"/>
    <w:rsid w:val="40F61A9D"/>
    <w:rsid w:val="417900AE"/>
    <w:rsid w:val="42947F80"/>
    <w:rsid w:val="43202381"/>
    <w:rsid w:val="433523C8"/>
    <w:rsid w:val="44421322"/>
    <w:rsid w:val="44905B13"/>
    <w:rsid w:val="45230770"/>
    <w:rsid w:val="45D9394C"/>
    <w:rsid w:val="46997E7B"/>
    <w:rsid w:val="474B5439"/>
    <w:rsid w:val="47D32505"/>
    <w:rsid w:val="48547666"/>
    <w:rsid w:val="48DC2BA4"/>
    <w:rsid w:val="48DD138E"/>
    <w:rsid w:val="49D412BB"/>
    <w:rsid w:val="49D57473"/>
    <w:rsid w:val="4A160B30"/>
    <w:rsid w:val="4A2714F8"/>
    <w:rsid w:val="4A510301"/>
    <w:rsid w:val="4AB25EEB"/>
    <w:rsid w:val="4B464AF2"/>
    <w:rsid w:val="4C1552F7"/>
    <w:rsid w:val="4C1B528C"/>
    <w:rsid w:val="4CFC2960"/>
    <w:rsid w:val="4D710C8D"/>
    <w:rsid w:val="4DBF1A26"/>
    <w:rsid w:val="4E0525A6"/>
    <w:rsid w:val="4F4634D5"/>
    <w:rsid w:val="4F96420F"/>
    <w:rsid w:val="4F977E32"/>
    <w:rsid w:val="4FB8497E"/>
    <w:rsid w:val="50B56308"/>
    <w:rsid w:val="51035611"/>
    <w:rsid w:val="513B056F"/>
    <w:rsid w:val="51D86016"/>
    <w:rsid w:val="525F2168"/>
    <w:rsid w:val="52A8700E"/>
    <w:rsid w:val="52CD23F9"/>
    <w:rsid w:val="52F40B99"/>
    <w:rsid w:val="530736A8"/>
    <w:rsid w:val="535350EA"/>
    <w:rsid w:val="535A6478"/>
    <w:rsid w:val="536A6A6F"/>
    <w:rsid w:val="53F42797"/>
    <w:rsid w:val="542E040F"/>
    <w:rsid w:val="54326A4E"/>
    <w:rsid w:val="543A1E06"/>
    <w:rsid w:val="555F0D4F"/>
    <w:rsid w:val="55BD684B"/>
    <w:rsid w:val="56AC3956"/>
    <w:rsid w:val="57812401"/>
    <w:rsid w:val="57D06399"/>
    <w:rsid w:val="58BA234D"/>
    <w:rsid w:val="59831719"/>
    <w:rsid w:val="59B02A72"/>
    <w:rsid w:val="5A165328"/>
    <w:rsid w:val="5A306ACF"/>
    <w:rsid w:val="5A3C2AC9"/>
    <w:rsid w:val="5A450046"/>
    <w:rsid w:val="5A737E20"/>
    <w:rsid w:val="5B800BC0"/>
    <w:rsid w:val="5C557BC4"/>
    <w:rsid w:val="5D627610"/>
    <w:rsid w:val="5DF01231"/>
    <w:rsid w:val="5E93283E"/>
    <w:rsid w:val="5ECB234F"/>
    <w:rsid w:val="5ED17CE8"/>
    <w:rsid w:val="608A5EC3"/>
    <w:rsid w:val="620C1EF6"/>
    <w:rsid w:val="62F51D1A"/>
    <w:rsid w:val="636C521F"/>
    <w:rsid w:val="63AE12CA"/>
    <w:rsid w:val="646C0EAF"/>
    <w:rsid w:val="64CB35E7"/>
    <w:rsid w:val="64F12536"/>
    <w:rsid w:val="650517CD"/>
    <w:rsid w:val="651D67AB"/>
    <w:rsid w:val="653C41C8"/>
    <w:rsid w:val="65534455"/>
    <w:rsid w:val="65550580"/>
    <w:rsid w:val="65723929"/>
    <w:rsid w:val="674548F2"/>
    <w:rsid w:val="67612EF6"/>
    <w:rsid w:val="67C933F7"/>
    <w:rsid w:val="67E74BB3"/>
    <w:rsid w:val="6804256E"/>
    <w:rsid w:val="68732518"/>
    <w:rsid w:val="68C76367"/>
    <w:rsid w:val="68D56F64"/>
    <w:rsid w:val="6A593D97"/>
    <w:rsid w:val="6B7B3A40"/>
    <w:rsid w:val="6B866ABE"/>
    <w:rsid w:val="6CC34BCC"/>
    <w:rsid w:val="6CD422D9"/>
    <w:rsid w:val="6CDD7723"/>
    <w:rsid w:val="6CEA122E"/>
    <w:rsid w:val="6D010601"/>
    <w:rsid w:val="6D193A5D"/>
    <w:rsid w:val="6D1C7EA3"/>
    <w:rsid w:val="6D7978C4"/>
    <w:rsid w:val="6D8D1B02"/>
    <w:rsid w:val="6DF10C00"/>
    <w:rsid w:val="6F2968A7"/>
    <w:rsid w:val="6F372408"/>
    <w:rsid w:val="6F382265"/>
    <w:rsid w:val="6F5E1CA8"/>
    <w:rsid w:val="6FF32624"/>
    <w:rsid w:val="701B6E91"/>
    <w:rsid w:val="70A07F2A"/>
    <w:rsid w:val="70BD1348"/>
    <w:rsid w:val="70D07EC3"/>
    <w:rsid w:val="71075A9D"/>
    <w:rsid w:val="716A3EA7"/>
    <w:rsid w:val="718E3517"/>
    <w:rsid w:val="71967A62"/>
    <w:rsid w:val="71A04C9B"/>
    <w:rsid w:val="71B5143F"/>
    <w:rsid w:val="71D34768"/>
    <w:rsid w:val="72F27823"/>
    <w:rsid w:val="731A4E85"/>
    <w:rsid w:val="734803E9"/>
    <w:rsid w:val="74106DB9"/>
    <w:rsid w:val="746377FC"/>
    <w:rsid w:val="74B84955"/>
    <w:rsid w:val="74CC046D"/>
    <w:rsid w:val="751D6EAE"/>
    <w:rsid w:val="75306BE1"/>
    <w:rsid w:val="75A57DF0"/>
    <w:rsid w:val="76A34C3A"/>
    <w:rsid w:val="76C164A8"/>
    <w:rsid w:val="76D1618E"/>
    <w:rsid w:val="77E872FF"/>
    <w:rsid w:val="787E38D6"/>
    <w:rsid w:val="78FD23DA"/>
    <w:rsid w:val="7901408A"/>
    <w:rsid w:val="794730E2"/>
    <w:rsid w:val="794B033C"/>
    <w:rsid w:val="798F62A3"/>
    <w:rsid w:val="7A767A6A"/>
    <w:rsid w:val="7AC202DC"/>
    <w:rsid w:val="7B460800"/>
    <w:rsid w:val="7BAF6EAF"/>
    <w:rsid w:val="7C247B67"/>
    <w:rsid w:val="7D1B23FA"/>
    <w:rsid w:val="7D1C5FD7"/>
    <w:rsid w:val="7D945D36"/>
    <w:rsid w:val="7DA97531"/>
    <w:rsid w:val="7E7355B8"/>
    <w:rsid w:val="7EAF501B"/>
    <w:rsid w:val="7FA70736"/>
    <w:rsid w:val="7FC87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0"/>
    <w:pPr>
      <w:keepNext/>
      <w:keepLines/>
      <w:numPr>
        <w:ilvl w:val="1"/>
        <w:numId w:val="1"/>
      </w:numPr>
      <w:suppressAutoHyphens/>
      <w:spacing w:before="260" w:after="260" w:line="415" w:lineRule="auto"/>
      <w:jc w:val="left"/>
      <w:textAlignment w:val="baseline"/>
      <w:outlineLvl w:val="1"/>
    </w:pPr>
    <w:rPr>
      <w:rFonts w:ascii="Arial" w:hAnsi="Arial" w:eastAsia="黑体" w:cs="Tahoma"/>
      <w:b/>
      <w:bCs/>
      <w:w w:val="80"/>
      <w:kern w:val="1"/>
      <w:sz w:val="32"/>
      <w:szCs w:val="32"/>
    </w:rPr>
  </w:style>
  <w:style w:type="paragraph" w:styleId="5">
    <w:name w:val="heading 3"/>
    <w:basedOn w:val="1"/>
    <w:next w:val="1"/>
    <w:qFormat/>
    <w:uiPriority w:val="0"/>
    <w:pPr>
      <w:keepNext/>
      <w:keepLines/>
      <w:widowControl w:val="0"/>
      <w:spacing w:before="120" w:after="120" w:line="360" w:lineRule="auto"/>
      <w:jc w:val="both"/>
      <w:outlineLvl w:val="2"/>
    </w:pPr>
    <w:rPr>
      <w:b/>
      <w:bCs/>
      <w:sz w:val="28"/>
      <w:szCs w:val="1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黑体"/>
      <w:b/>
      <w:bCs/>
      <w:spacing w:val="20"/>
      <w:kern w:val="52"/>
      <w:sz w:val="56"/>
    </w:rPr>
  </w:style>
  <w:style w:type="paragraph" w:styleId="6">
    <w:name w:val="Note Heading"/>
    <w:basedOn w:val="1"/>
    <w:next w:val="1"/>
    <w:qFormat/>
    <w:uiPriority w:val="0"/>
    <w:pPr>
      <w:jc w:val="center"/>
    </w:pPr>
    <w:rPr>
      <w:szCs w:val="20"/>
    </w:rPr>
  </w:style>
  <w:style w:type="paragraph" w:styleId="7">
    <w:name w:val="Normal Indent"/>
    <w:basedOn w:val="1"/>
    <w:next w:val="1"/>
    <w:qFormat/>
    <w:uiPriority w:val="0"/>
    <w:pPr>
      <w:spacing w:line="240" w:lineRule="auto"/>
    </w:pPr>
    <w:rPr>
      <w:szCs w:val="24"/>
    </w:rPr>
  </w:style>
  <w:style w:type="paragraph" w:styleId="8">
    <w:name w:val="toa heading"/>
    <w:basedOn w:val="9"/>
    <w:next w:val="9"/>
    <w:qFormat/>
    <w:uiPriority w:val="0"/>
    <w:pPr>
      <w:spacing w:before="120"/>
    </w:pPr>
    <w:rPr>
      <w:rFonts w:ascii="Cambria" w:hAnsi="Cambria" w:cs="Times New Roman"/>
      <w:sz w:val="24"/>
      <w:szCs w:val="24"/>
    </w:rPr>
  </w:style>
  <w:style w:type="paragraph" w:customStyle="1" w:styleId="9">
    <w:name w:val="正文_6"/>
    <w:qFormat/>
    <w:uiPriority w:val="0"/>
    <w:pPr>
      <w:widowControl w:val="0"/>
      <w:jc w:val="both"/>
    </w:pPr>
    <w:rPr>
      <w:rFonts w:ascii="Calibri" w:hAnsi="Calibri" w:eastAsia="宋体" w:cs="Times New Roman"/>
      <w:kern w:val="2"/>
      <w:sz w:val="21"/>
      <w:szCs w:val="22"/>
      <w:lang w:val="en-US" w:eastAsia="zh-CN" w:bidi="ar-SA"/>
    </w:rPr>
  </w:style>
  <w:style w:type="paragraph" w:styleId="10">
    <w:name w:val="Body Text Indent"/>
    <w:basedOn w:val="1"/>
    <w:qFormat/>
    <w:uiPriority w:val="0"/>
    <w:pPr>
      <w:spacing w:line="500" w:lineRule="exact"/>
      <w:ind w:left="1588" w:leftChars="832" w:firstLine="433" w:firstLineChars="196"/>
    </w:pPr>
    <w:rPr>
      <w:rFonts w:ascii="Times New Roman" w:hAnsi="Times New Roman" w:eastAsia="宋体"/>
      <w:sz w:val="24"/>
      <w:szCs w:val="24"/>
    </w:rPr>
  </w:style>
  <w:style w:type="paragraph" w:styleId="11">
    <w:name w:val="toc 3"/>
    <w:basedOn w:val="1"/>
    <w:next w:val="1"/>
    <w:unhideWhenUsed/>
    <w:qFormat/>
    <w:uiPriority w:val="39"/>
    <w:pPr>
      <w:ind w:left="400"/>
    </w:pPr>
    <w:rPr>
      <w:rFonts w:ascii="Calibri" w:hAnsi="Calibri"/>
      <w:iCs/>
    </w:rPr>
  </w:style>
  <w:style w:type="paragraph" w:styleId="12">
    <w:name w:val="Plain Text"/>
    <w:basedOn w:val="1"/>
    <w:qFormat/>
    <w:uiPriority w:val="99"/>
    <w:rPr>
      <w:rFonts w:ascii="宋体" w:hAnsi="Courier New"/>
      <w:szCs w:val="21"/>
    </w:rPr>
  </w:style>
  <w:style w:type="paragraph" w:styleId="13">
    <w:name w:val="footer"/>
    <w:basedOn w:val="1"/>
    <w:qFormat/>
    <w:uiPriority w:val="0"/>
    <w:pPr>
      <w:tabs>
        <w:tab w:val="center" w:pos="4153"/>
        <w:tab w:val="right" w:pos="8306"/>
      </w:tabs>
      <w:snapToGrid w:val="0"/>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spacing w:before="120" w:after="120"/>
      <w:ind w:left="1" w:leftChars="1" w:firstLine="1" w:firstLineChars="1"/>
      <w:jc w:val="left"/>
    </w:pPr>
    <w:rPr>
      <w:rFonts w:ascii="Calibri" w:hAnsi="Calibri"/>
      <w:b/>
      <w:bCs/>
      <w:caps/>
      <w:kern w:val="0"/>
      <w:sz w:val="28"/>
    </w:rPr>
  </w:style>
  <w:style w:type="paragraph" w:styleId="16">
    <w:name w:val="footnote text"/>
    <w:basedOn w:val="1"/>
    <w:semiHidden/>
    <w:unhideWhenUsed/>
    <w:qFormat/>
    <w:uiPriority w:val="99"/>
    <w:pPr>
      <w:snapToGrid w:val="0"/>
      <w:jc w:val="left"/>
    </w:pPr>
    <w:rPr>
      <w:sz w:val="18"/>
      <w:szCs w:val="18"/>
    </w:rPr>
  </w:style>
  <w:style w:type="paragraph" w:styleId="17">
    <w:name w:val="toc 2"/>
    <w:basedOn w:val="1"/>
    <w:next w:val="1"/>
    <w:unhideWhenUsed/>
    <w:qFormat/>
    <w:uiPriority w:val="39"/>
    <w:pPr>
      <w:ind w:left="200" w:leftChars="200"/>
    </w:pPr>
    <w:rPr>
      <w:rFonts w:ascii="Calibri" w:hAnsi="Calibri"/>
      <w:smallCaps/>
      <w:kern w:val="0"/>
      <w:sz w:val="28"/>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qFormat/>
    <w:uiPriority w:val="0"/>
  </w:style>
  <w:style w:type="character" w:styleId="25">
    <w:name w:val="Hyperlink"/>
    <w:unhideWhenUsed/>
    <w:qFormat/>
    <w:uiPriority w:val="99"/>
    <w:rPr>
      <w:color w:val="0000FF"/>
      <w:u w:val="single"/>
    </w:rPr>
  </w:style>
  <w:style w:type="character" w:styleId="26">
    <w:name w:val="footnote reference"/>
    <w:basedOn w:val="22"/>
    <w:semiHidden/>
    <w:unhideWhenUsed/>
    <w:qFormat/>
    <w:uiPriority w:val="99"/>
    <w:rPr>
      <w:vertAlign w:val="superscript"/>
    </w:rPr>
  </w:style>
  <w:style w:type="character" w:styleId="27">
    <w:name w:val="HTML Sample"/>
    <w:basedOn w:val="22"/>
    <w:qFormat/>
    <w:uiPriority w:val="0"/>
    <w:rPr>
      <w:rFonts w:ascii="Courier New" w:hAnsi="Courier New"/>
    </w:rPr>
  </w:style>
  <w:style w:type="paragraph" w:customStyle="1" w:styleId="28">
    <w:name w:val="List2"/>
    <w:basedOn w:val="1"/>
    <w:qFormat/>
    <w:uiPriority w:val="0"/>
    <w:pPr>
      <w:ind w:left="100" w:leftChars="200" w:hanging="200" w:hangingChars="200"/>
      <w:jc w:val="both"/>
      <w:textAlignment w:val="baseline"/>
    </w:pPr>
  </w:style>
  <w:style w:type="paragraph" w:customStyle="1" w:styleId="29">
    <w:name w:val="Char"/>
    <w:basedOn w:val="1"/>
    <w:qFormat/>
    <w:uiPriority w:val="0"/>
  </w:style>
  <w:style w:type="paragraph" w:customStyle="1" w:styleId="30">
    <w:name w:val="正文_0_1"/>
    <w:basedOn w:val="31"/>
    <w:next w:val="8"/>
    <w:qFormat/>
    <w:uiPriority w:val="0"/>
    <w:rPr>
      <w:rFonts w:ascii="Calibri" w:hAnsi="Calibri"/>
    </w:rPr>
  </w:style>
  <w:style w:type="paragraph" w:customStyle="1" w:styleId="31">
    <w:name w:val="正文_1"/>
    <w:basedOn w:val="32"/>
    <w:qFormat/>
    <w:uiPriority w:val="0"/>
    <w:rPr>
      <w:rFonts w:ascii="Times New Roman" w:hAnsi="Times New Roman" w:eastAsia="等线" w:cs="宋体"/>
      <w:szCs w:val="21"/>
    </w:rPr>
  </w:style>
  <w:style w:type="paragraph" w:customStyle="1" w:styleId="32">
    <w:name w:val="正文_2"/>
    <w:basedOn w:val="33"/>
    <w:next w:val="42"/>
    <w:qFormat/>
    <w:uiPriority w:val="0"/>
    <w:pPr>
      <w:widowControl w:val="0"/>
      <w:jc w:val="both"/>
    </w:pPr>
    <w:rPr>
      <w:rFonts w:ascii="Calibri" w:hAnsi="Calibri"/>
      <w:kern w:val="2"/>
      <w:sz w:val="21"/>
      <w:szCs w:val="22"/>
      <w:lang w:val="en-US" w:eastAsia="zh-CN" w:bidi="ar-SA"/>
    </w:rPr>
  </w:style>
  <w:style w:type="paragraph" w:customStyle="1" w:styleId="33">
    <w:name w:val="正文_3"/>
    <w:basedOn w:val="34"/>
    <w:next w:val="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4"/>
    <w:basedOn w:val="35"/>
    <w:next w:val="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页脚_0"/>
    <w:basedOn w:val="37"/>
    <w:unhideWhenUsed/>
    <w:qFormat/>
    <w:uiPriority w:val="99"/>
    <w:pPr>
      <w:tabs>
        <w:tab w:val="center" w:pos="4153"/>
        <w:tab w:val="right" w:pos="8306"/>
      </w:tabs>
      <w:snapToGrid w:val="0"/>
      <w:jc w:val="left"/>
    </w:pPr>
    <w:rPr>
      <w:sz w:val="18"/>
      <w:szCs w:val="18"/>
    </w:rPr>
  </w:style>
  <w:style w:type="paragraph" w:customStyle="1" w:styleId="37">
    <w:name w:val="正文_2_0"/>
    <w:basedOn w:val="38"/>
    <w:next w:val="8"/>
    <w:qFormat/>
    <w:uiPriority w:val="0"/>
    <w:pPr>
      <w:widowControl w:val="0"/>
      <w:jc w:val="both"/>
    </w:pPr>
    <w:rPr>
      <w:rFonts w:ascii="Calibri" w:hAnsi="Calibri"/>
      <w:kern w:val="2"/>
      <w:sz w:val="21"/>
      <w:szCs w:val="22"/>
      <w:lang w:val="en-US" w:eastAsia="zh-CN" w:bidi="ar-SA"/>
    </w:rPr>
  </w:style>
  <w:style w:type="paragraph" w:customStyle="1" w:styleId="38">
    <w:name w:val="正文_3_0_0"/>
    <w:basedOn w:val="39"/>
    <w:qFormat/>
    <w:uiPriority w:val="0"/>
    <w:pPr>
      <w:widowControl w:val="0"/>
      <w:jc w:val="both"/>
    </w:pPr>
    <w:rPr>
      <w:rFonts w:ascii="Calibri" w:hAnsi="Calibri"/>
      <w:kern w:val="2"/>
      <w:sz w:val="21"/>
      <w:szCs w:val="22"/>
      <w:lang w:val="en-US" w:eastAsia="zh-CN" w:bidi="ar-SA"/>
    </w:rPr>
  </w:style>
  <w:style w:type="paragraph" w:customStyle="1" w:styleId="39">
    <w:name w:val="Normal"/>
    <w:next w:val="40"/>
    <w:qFormat/>
    <w:uiPriority w:val="0"/>
    <w:rPr>
      <w:rFonts w:ascii="Times New Roman" w:hAnsi="Times New Roman" w:eastAsia="Times New Roman" w:cs="Times New Roman"/>
      <w:sz w:val="24"/>
      <w:szCs w:val="24"/>
      <w:lang w:bidi="ar-SA"/>
    </w:rPr>
  </w:style>
  <w:style w:type="paragraph" w:customStyle="1" w:styleId="40">
    <w:name w:val="Body Text"/>
    <w:basedOn w:val="39"/>
    <w:qFormat/>
    <w:uiPriority w:val="0"/>
    <w:pPr>
      <w:spacing w:after="120"/>
    </w:pPr>
  </w:style>
  <w:style w:type="paragraph" w:customStyle="1" w:styleId="41">
    <w:name w:val="正文文本_0"/>
    <w:basedOn w:val="38"/>
    <w:qFormat/>
    <w:uiPriority w:val="0"/>
    <w:pPr>
      <w:spacing w:after="120"/>
    </w:pPr>
    <w:rPr>
      <w:rFonts w:ascii="Times New Roman" w:hAnsi="Times New Roman"/>
      <w:szCs w:val="24"/>
    </w:rPr>
  </w:style>
  <w:style w:type="paragraph" w:customStyle="1" w:styleId="42">
    <w:name w:val="引文目录标题_0"/>
    <w:basedOn w:val="32"/>
    <w:next w:val="32"/>
    <w:qFormat/>
    <w:uiPriority w:val="99"/>
    <w:pPr>
      <w:spacing w:before="120" w:after="100" w:afterAutospacing="1"/>
    </w:pPr>
    <w:rPr>
      <w:rFonts w:ascii="Cambria" w:hAnsi="Cambria"/>
      <w:sz w:val="24"/>
      <w:szCs w:val="24"/>
    </w:rPr>
  </w:style>
  <w:style w:type="paragraph" w:customStyle="1" w:styleId="43">
    <w:name w:val="正文_3_0"/>
    <w:basedOn w:val="44"/>
    <w:next w:val="46"/>
    <w:qFormat/>
    <w:uiPriority w:val="0"/>
    <w:pPr>
      <w:widowControl w:val="0"/>
      <w:jc w:val="both"/>
    </w:pPr>
    <w:rPr>
      <w:rFonts w:ascii="Calibri" w:hAnsi="Calibri"/>
      <w:kern w:val="2"/>
      <w:sz w:val="21"/>
      <w:szCs w:val="22"/>
      <w:lang w:val="en-US" w:eastAsia="zh-CN" w:bidi="ar-SA"/>
    </w:rPr>
  </w:style>
  <w:style w:type="paragraph" w:customStyle="1" w:styleId="44">
    <w:name w:val="正文1"/>
    <w:next w:val="4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正文文本1"/>
    <w:basedOn w:val="44"/>
    <w:qFormat/>
    <w:uiPriority w:val="0"/>
    <w:pPr>
      <w:spacing w:after="120"/>
    </w:pPr>
  </w:style>
  <w:style w:type="paragraph" w:customStyle="1" w:styleId="46">
    <w:name w:val="引文目录标题_1"/>
    <w:basedOn w:val="47"/>
    <w:next w:val="43"/>
    <w:qFormat/>
    <w:uiPriority w:val="0"/>
    <w:pPr>
      <w:spacing w:before="120"/>
    </w:pPr>
    <w:rPr>
      <w:rFonts w:ascii="Cambria" w:hAnsi="Cambria"/>
      <w:sz w:val="24"/>
    </w:rPr>
  </w:style>
  <w:style w:type="paragraph" w:customStyle="1" w:styleId="47">
    <w:name w:val="正文_4_2"/>
    <w:next w:val="4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页脚_0_1"/>
    <w:basedOn w:val="47"/>
    <w:unhideWhenUsed/>
    <w:qFormat/>
    <w:uiPriority w:val="99"/>
    <w:pPr>
      <w:tabs>
        <w:tab w:val="center" w:pos="4153"/>
        <w:tab w:val="right" w:pos="8306"/>
      </w:tabs>
      <w:snapToGrid w:val="0"/>
      <w:jc w:val="left"/>
    </w:pPr>
    <w:rPr>
      <w:sz w:val="18"/>
      <w:szCs w:val="18"/>
    </w:rPr>
  </w:style>
  <w:style w:type="paragraph" w:styleId="49">
    <w:name w:val="List Paragraph"/>
    <w:basedOn w:val="1"/>
    <w:qFormat/>
    <w:uiPriority w:val="34"/>
    <w:pPr>
      <w:ind w:firstLine="420" w:firstLineChars="200"/>
    </w:pPr>
  </w:style>
  <w:style w:type="paragraph" w:customStyle="1" w:styleId="50">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标题 2_1"/>
    <w:basedOn w:val="52"/>
    <w:next w:val="53"/>
    <w:qFormat/>
    <w:uiPriority w:val="0"/>
    <w:pPr>
      <w:spacing w:before="120" w:after="120" w:line="360" w:lineRule="auto"/>
      <w:jc w:val="center"/>
      <w:outlineLvl w:val="1"/>
    </w:pPr>
    <w:rPr>
      <w:rFonts w:ascii="Calibri" w:hAnsi="Calibri"/>
      <w:b w:val="0"/>
      <w:bCs w:val="0"/>
      <w:sz w:val="28"/>
      <w:szCs w:val="28"/>
    </w:rPr>
  </w:style>
  <w:style w:type="paragraph" w:customStyle="1" w:styleId="52">
    <w:name w:val="标题 1_0"/>
    <w:basedOn w:val="53"/>
    <w:next w:val="53"/>
    <w:qFormat/>
    <w:uiPriority w:val="9"/>
    <w:pPr>
      <w:keepNext/>
      <w:keepLines/>
      <w:spacing w:before="340" w:after="330" w:line="578" w:lineRule="auto"/>
      <w:outlineLvl w:val="0"/>
    </w:pPr>
    <w:rPr>
      <w:b/>
      <w:bCs/>
      <w:kern w:val="44"/>
      <w:sz w:val="44"/>
      <w:szCs w:val="44"/>
    </w:rPr>
  </w:style>
  <w:style w:type="paragraph" w:customStyle="1" w:styleId="53">
    <w:name w:val="正文_4_0"/>
    <w:next w:val="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页脚_0_0"/>
    <w:basedOn w:val="53"/>
    <w:unhideWhenUsed/>
    <w:qFormat/>
    <w:uiPriority w:val="99"/>
    <w:pPr>
      <w:tabs>
        <w:tab w:val="center" w:pos="4153"/>
        <w:tab w:val="right" w:pos="8306"/>
      </w:tabs>
      <w:snapToGrid w:val="0"/>
      <w:jc w:val="left"/>
    </w:pPr>
    <w:rPr>
      <w:sz w:val="18"/>
      <w:szCs w:val="18"/>
    </w:rPr>
  </w:style>
  <w:style w:type="paragraph" w:customStyle="1" w:styleId="55">
    <w:name w:val="正文_2_0_0"/>
    <w:basedOn w:val="43"/>
    <w:next w:val="8"/>
    <w:qFormat/>
    <w:uiPriority w:val="0"/>
    <w:rPr>
      <w:rFonts w:eastAsia="Times New Roman"/>
      <w:lang w:val="en-US" w:eastAsia="zh-CN"/>
    </w:rPr>
  </w:style>
  <w:style w:type="paragraph" w:customStyle="1" w:styleId="56">
    <w:name w:val="样式 标题 4 + 段前: 5 磅 段后: 5 磅 行距: 单倍行距_0"/>
    <w:basedOn w:val="37"/>
    <w:qFormat/>
    <w:uiPriority w:val="0"/>
    <w:pPr>
      <w:keepNext/>
      <w:keepLines/>
      <w:adjustRightInd w:val="0"/>
      <w:spacing w:before="100" w:after="100"/>
      <w:jc w:val="left"/>
      <w:textAlignment w:val="baseline"/>
      <w:outlineLvl w:val="3"/>
    </w:pPr>
    <w:rPr>
      <w:rFonts w:ascii="Arial" w:hAnsi="Arial" w:eastAsia="黑体"/>
      <w:b/>
      <w:bCs/>
      <w:kern w:val="0"/>
      <w:sz w:val="28"/>
      <w:szCs w:val="28"/>
      <w:lang w:val="en-US" w:eastAsia="zh-CN"/>
    </w:rPr>
  </w:style>
  <w:style w:type="paragraph" w:customStyle="1" w:styleId="57">
    <w:name w:val="正文_1_0_0"/>
    <w:qFormat/>
    <w:uiPriority w:val="0"/>
    <w:pPr>
      <w:spacing w:before="120" w:after="120" w:line="360" w:lineRule="auto"/>
      <w:ind w:left="1639" w:hanging="1072"/>
      <w:jc w:val="both"/>
    </w:pPr>
    <w:rPr>
      <w:rFonts w:ascii="Calibri" w:hAnsi="Calibri" w:eastAsia="宋体" w:cs="Times New Roman"/>
      <w:kern w:val="2"/>
      <w:sz w:val="21"/>
      <w:szCs w:val="22"/>
      <w:lang w:val="en-US" w:eastAsia="zh-CN" w:bidi="ar-SA"/>
    </w:rPr>
  </w:style>
  <w:style w:type="paragraph" w:customStyle="1" w:styleId="58">
    <w:name w:val="正文_2_0_0_0_0"/>
    <w:next w:val="59"/>
    <w:qFormat/>
    <w:uiPriority w:val="0"/>
    <w:pPr>
      <w:widowControl w:val="0"/>
      <w:jc w:val="both"/>
    </w:pPr>
    <w:rPr>
      <w:rFonts w:ascii="等线" w:hAnsi="等线" w:eastAsia="等线" w:cs="Times New Roman"/>
      <w:kern w:val="2"/>
      <w:sz w:val="21"/>
      <w:szCs w:val="22"/>
      <w:lang w:val="en-US" w:eastAsia="zh-CN" w:bidi="ar-SA"/>
    </w:rPr>
  </w:style>
  <w:style w:type="paragraph" w:customStyle="1" w:styleId="59">
    <w:name w:val="引文目录标题_0_0_0_0"/>
    <w:basedOn w:val="60"/>
    <w:next w:val="58"/>
    <w:qFormat/>
    <w:uiPriority w:val="0"/>
    <w:pPr>
      <w:spacing w:before="120"/>
    </w:pPr>
    <w:rPr>
      <w:rFonts w:ascii="Cambria" w:hAnsi="Cambria"/>
      <w:sz w:val="24"/>
    </w:rPr>
  </w:style>
  <w:style w:type="paragraph" w:customStyle="1" w:styleId="60">
    <w:name w:val="正文_0_1_0_0_0_0"/>
    <w:next w:val="59"/>
    <w:qFormat/>
    <w:uiPriority w:val="0"/>
    <w:pPr>
      <w:widowControl w:val="0"/>
      <w:jc w:val="both"/>
    </w:pPr>
    <w:rPr>
      <w:rFonts w:ascii="Calibri" w:hAnsi="Calibri" w:eastAsia="Calibri" w:cs="Times New Roman"/>
      <w:kern w:val="2"/>
      <w:sz w:val="21"/>
      <w:szCs w:val="22"/>
      <w:lang w:val="en-US" w:eastAsia="zh-CN" w:bidi="ar-SA"/>
    </w:rPr>
  </w:style>
  <w:style w:type="paragraph" w:customStyle="1" w:styleId="61">
    <w:name w:val="正文_3_0_0_0"/>
    <w:basedOn w:val="62"/>
    <w:qFormat/>
    <w:uiPriority w:val="0"/>
    <w:rPr>
      <w:rFonts w:ascii="Calibri" w:hAnsi="Calibri" w:cs="Calibri"/>
      <w:szCs w:val="21"/>
    </w:rPr>
  </w:style>
  <w:style w:type="paragraph" w:customStyle="1" w:styleId="62">
    <w:name w:val="正文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正文_4_0_1"/>
    <w:next w:val="65"/>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65">
    <w:name w:val="引文目录标题_3_2"/>
    <w:basedOn w:val="66"/>
    <w:next w:val="67"/>
    <w:qFormat/>
    <w:uiPriority w:val="0"/>
    <w:pPr>
      <w:spacing w:before="120"/>
    </w:pPr>
    <w:rPr>
      <w:rFonts w:ascii="Cambria" w:hAnsi="Cambria"/>
      <w:sz w:val="24"/>
    </w:rPr>
  </w:style>
  <w:style w:type="paragraph" w:customStyle="1" w:styleId="66">
    <w:name w:val="正文_14_1_0"/>
    <w:next w:val="6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_4_0_1_0"/>
    <w:next w:val="68"/>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68">
    <w:name w:val="引文目录标题_0_0_1"/>
    <w:basedOn w:val="69"/>
    <w:next w:val="70"/>
    <w:qFormat/>
    <w:uiPriority w:val="0"/>
    <w:pPr>
      <w:spacing w:before="120"/>
    </w:pPr>
    <w:rPr>
      <w:rFonts w:ascii="Cambria" w:hAnsi="Cambria" w:cs="Times New Roman"/>
      <w:sz w:val="24"/>
      <w:szCs w:val="24"/>
    </w:rPr>
  </w:style>
  <w:style w:type="paragraph" w:customStyle="1" w:styleId="69">
    <w:name w:val="正文_0_1_0_0_1"/>
    <w:next w:val="6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2_0_0_1"/>
    <w:basedOn w:val="71"/>
    <w:next w:val="68"/>
    <w:qFormat/>
    <w:uiPriority w:val="0"/>
    <w:pPr>
      <w:widowControl w:val="0"/>
      <w:jc w:val="both"/>
    </w:pPr>
    <w:rPr>
      <w:kern w:val="2"/>
      <w:sz w:val="21"/>
      <w:szCs w:val="24"/>
      <w:lang w:val="en-US" w:eastAsia="zh-CN" w:bidi="ar-SA"/>
    </w:rPr>
  </w:style>
  <w:style w:type="paragraph" w:customStyle="1" w:styleId="71">
    <w:name w:val="正文_4_1_2"/>
    <w:next w:val="72"/>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72">
    <w:name w:val="引文目录标题_3_1_2"/>
    <w:basedOn w:val="71"/>
    <w:next w:val="71"/>
    <w:qFormat/>
    <w:uiPriority w:val="0"/>
    <w:pPr>
      <w:spacing w:before="120"/>
    </w:pPr>
    <w:rPr>
      <w:rFonts w:ascii="Cambria" w:hAnsi="Cambria" w:eastAsia="Times New Roman"/>
      <w:sz w:val="24"/>
    </w:rPr>
  </w:style>
  <w:style w:type="paragraph" w:customStyle="1" w:styleId="73">
    <w:name w:val="正文_4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_1_0_1"/>
    <w:basedOn w:val="39"/>
    <w:qFormat/>
    <w:uiPriority w:val="0"/>
    <w:rPr>
      <w:rFonts w:ascii="Calibri" w:hAnsi="Calibri" w:eastAsia="宋体" w:cs="Times New Roman"/>
      <w:szCs w:val="21"/>
    </w:rPr>
  </w:style>
  <w:style w:type="paragraph" w:customStyle="1" w:styleId="7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文本_0_0"/>
    <w:basedOn w:val="75"/>
    <w:qFormat/>
    <w:uiPriority w:val="0"/>
    <w:pPr>
      <w:spacing w:after="120"/>
    </w:pPr>
    <w:rPr>
      <w:kern w:val="0"/>
      <w:sz w:val="20"/>
    </w:rPr>
  </w:style>
  <w:style w:type="paragraph" w:customStyle="1" w:styleId="77">
    <w:name w:val="Normal_22"/>
    <w:qFormat/>
    <w:uiPriority w:val="0"/>
    <w:rPr>
      <w:rFonts w:ascii="Times New Roman" w:hAnsi="Times New Roman" w:eastAsia="Times New Roman" w:cs="Times New Roman"/>
      <w:sz w:val="24"/>
      <w:szCs w:val="24"/>
      <w:lang w:bidi="ar-SA"/>
    </w:rPr>
  </w:style>
  <w:style w:type="paragraph" w:customStyle="1" w:styleId="78">
    <w:name w:val="Normal_0"/>
    <w:qFormat/>
    <w:uiPriority w:val="0"/>
    <w:rPr>
      <w:rFonts w:ascii="黑体" w:hAnsi="黑体" w:eastAsia="黑体" w:cs="Times New Roman"/>
      <w:b/>
      <w:sz w:val="32"/>
      <w:szCs w:val="24"/>
      <w:lang w:bidi="ar-SA"/>
    </w:rPr>
  </w:style>
  <w:style w:type="paragraph" w:customStyle="1" w:styleId="79">
    <w:name w:val="Normal_1"/>
    <w:qFormat/>
    <w:uiPriority w:val="0"/>
    <w:rPr>
      <w:rFonts w:ascii="黑体" w:hAnsi="黑体" w:eastAsia="黑体" w:cs="Times New Roman"/>
      <w:b/>
      <w:sz w:val="32"/>
      <w:szCs w:val="24"/>
      <w:lang w:bidi="ar-SA"/>
    </w:rPr>
  </w:style>
  <w:style w:type="paragraph" w:customStyle="1" w:styleId="80">
    <w:name w:val="正文文本缩进_0"/>
    <w:basedOn w:val="34"/>
    <w:qFormat/>
    <w:uiPriority w:val="0"/>
    <w:pPr>
      <w:spacing w:line="500" w:lineRule="exact"/>
      <w:ind w:left="1588" w:leftChars="832" w:firstLine="433" w:firstLineChars="196"/>
    </w:pPr>
    <w:rPr>
      <w:kern w:val="0"/>
      <w:sz w:val="24"/>
    </w:rPr>
  </w:style>
  <w:style w:type="paragraph" w:customStyle="1" w:styleId="81">
    <w:name w:val="Normal_2"/>
    <w:qFormat/>
    <w:uiPriority w:val="0"/>
    <w:rPr>
      <w:rFonts w:ascii="黑体" w:hAnsi="黑体" w:eastAsia="黑体" w:cs="Times New Roman"/>
      <w:b/>
      <w:sz w:val="32"/>
      <w:szCs w:val="24"/>
      <w:lang w:bidi="ar-SA"/>
    </w:rPr>
  </w:style>
  <w:style w:type="paragraph" w:customStyle="1" w:styleId="82">
    <w:name w:val="Normal_3"/>
    <w:qFormat/>
    <w:uiPriority w:val="0"/>
    <w:rPr>
      <w:rFonts w:ascii="黑体" w:hAnsi="黑体" w:eastAsia="黑体" w:cs="Times New Roman"/>
      <w:b/>
      <w:sz w:val="32"/>
      <w:szCs w:val="24"/>
      <w:lang w:bidi="ar-SA"/>
    </w:rPr>
  </w:style>
  <w:style w:type="paragraph" w:customStyle="1" w:styleId="83">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4">
    <w:name w:val="Normal_4"/>
    <w:qFormat/>
    <w:uiPriority w:val="0"/>
    <w:rPr>
      <w:rFonts w:ascii="黑体" w:hAnsi="黑体" w:eastAsia="黑体" w:cs="Times New Roman"/>
      <w:b/>
      <w:sz w:val="32"/>
      <w:szCs w:val="24"/>
      <w:lang w:bidi="ar-SA"/>
    </w:rPr>
  </w:style>
  <w:style w:type="paragraph" w:customStyle="1" w:styleId="85">
    <w:name w:val="标题 3_0_0"/>
    <w:basedOn w:val="86"/>
    <w:next w:val="86"/>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86">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87">
    <w:name w:val="Normal_5"/>
    <w:qFormat/>
    <w:uiPriority w:val="0"/>
    <w:rPr>
      <w:rFonts w:ascii="黑体" w:hAnsi="黑体" w:eastAsia="黑体" w:cs="Times New Roman"/>
      <w:b/>
      <w:sz w:val="32"/>
      <w:szCs w:val="24"/>
      <w:lang w:bidi="ar-SA"/>
    </w:rPr>
  </w:style>
  <w:style w:type="paragraph" w:customStyle="1" w:styleId="88">
    <w:name w:val="正文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Normal_6"/>
    <w:qFormat/>
    <w:uiPriority w:val="0"/>
    <w:rPr>
      <w:rFonts w:ascii="黑体" w:hAnsi="黑体" w:eastAsia="黑体" w:cs="Times New Roman"/>
      <w:b/>
      <w:sz w:val="32"/>
      <w:szCs w:val="24"/>
      <w:lang w:bidi="ar-SA"/>
    </w:rPr>
  </w:style>
  <w:style w:type="paragraph" w:customStyle="1" w:styleId="90">
    <w:name w:val="Normal_7"/>
    <w:qFormat/>
    <w:uiPriority w:val="0"/>
    <w:rPr>
      <w:rFonts w:ascii="黑体" w:hAnsi="黑体" w:eastAsia="黑体" w:cs="Times New Roman"/>
      <w:b/>
      <w:sz w:val="32"/>
      <w:szCs w:val="24"/>
      <w:lang w:bidi="ar-SA"/>
    </w:rPr>
  </w:style>
  <w:style w:type="paragraph" w:customStyle="1" w:styleId="91">
    <w:name w:val="标题 3_0_0_0"/>
    <w:basedOn w:val="92"/>
    <w:next w:val="92"/>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92">
    <w:name w:val="正文_0_0_1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93">
    <w:name w:val="Normal_8"/>
    <w:qFormat/>
    <w:uiPriority w:val="0"/>
    <w:rPr>
      <w:rFonts w:ascii="黑体" w:hAnsi="黑体" w:eastAsia="黑体" w:cs="Times New Roman"/>
      <w:b/>
      <w:sz w:val="32"/>
      <w:szCs w:val="24"/>
      <w:lang w:bidi="ar-SA"/>
    </w:rPr>
  </w:style>
  <w:style w:type="paragraph" w:customStyle="1" w:styleId="94">
    <w:name w:val="Normal_9"/>
    <w:qFormat/>
    <w:uiPriority w:val="0"/>
    <w:rPr>
      <w:rFonts w:ascii="黑体" w:hAnsi="黑体" w:eastAsia="黑体" w:cs="Times New Roman"/>
      <w:b/>
      <w:sz w:val="32"/>
      <w:szCs w:val="24"/>
      <w:lang w:bidi="ar-SA"/>
    </w:rPr>
  </w:style>
  <w:style w:type="paragraph" w:customStyle="1" w:styleId="95">
    <w:name w:val="Normal_10"/>
    <w:qFormat/>
    <w:uiPriority w:val="0"/>
    <w:rPr>
      <w:rFonts w:ascii="黑体" w:hAnsi="黑体" w:eastAsia="黑体" w:cs="Times New Roman"/>
      <w:b/>
      <w:sz w:val="32"/>
      <w:szCs w:val="24"/>
      <w:lang w:bidi="ar-SA"/>
    </w:rPr>
  </w:style>
  <w:style w:type="paragraph" w:customStyle="1" w:styleId="96">
    <w:name w:val="正文_1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Normal_11"/>
    <w:qFormat/>
    <w:uiPriority w:val="0"/>
    <w:rPr>
      <w:rFonts w:ascii="黑体" w:hAnsi="黑体" w:eastAsia="黑体" w:cs="Times New Roman"/>
      <w:b/>
      <w:sz w:val="32"/>
      <w:szCs w:val="24"/>
      <w:lang w:bidi="ar-SA"/>
    </w:rPr>
  </w:style>
  <w:style w:type="paragraph" w:customStyle="1" w:styleId="98">
    <w:name w:val="Normal_12"/>
    <w:qFormat/>
    <w:uiPriority w:val="0"/>
    <w:rPr>
      <w:rFonts w:ascii="黑体" w:hAnsi="黑体" w:eastAsia="黑体" w:cs="Times New Roman"/>
      <w:b/>
      <w:sz w:val="32"/>
      <w:szCs w:val="24"/>
      <w:lang w:bidi="ar-SA"/>
    </w:rPr>
  </w:style>
  <w:style w:type="paragraph" w:customStyle="1" w:styleId="99">
    <w:name w:val="日期_0"/>
    <w:basedOn w:val="100"/>
    <w:next w:val="100"/>
    <w:qFormat/>
    <w:uiPriority w:val="0"/>
    <w:pPr>
      <w:ind w:left="100" w:leftChars="2500"/>
    </w:pPr>
    <w:rPr>
      <w:kern w:val="0"/>
      <w:sz w:val="20"/>
    </w:rPr>
  </w:style>
  <w:style w:type="paragraph" w:customStyle="1" w:styleId="100">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1">
    <w:name w:val="正文文本_1"/>
    <w:basedOn w:val="100"/>
    <w:qFormat/>
    <w:uiPriority w:val="0"/>
    <w:pPr>
      <w:spacing w:after="120"/>
    </w:pPr>
    <w:rPr>
      <w:kern w:val="0"/>
      <w:sz w:val="20"/>
    </w:rPr>
  </w:style>
  <w:style w:type="paragraph" w:customStyle="1" w:styleId="102">
    <w:name w:val="Normal_13"/>
    <w:qFormat/>
    <w:uiPriority w:val="0"/>
    <w:rPr>
      <w:rFonts w:ascii="黑体" w:hAnsi="黑体" w:eastAsia="黑体" w:cs="Times New Roman"/>
      <w:b/>
      <w:sz w:val="32"/>
      <w:szCs w:val="24"/>
      <w:lang w:bidi="ar-SA"/>
    </w:rPr>
  </w:style>
  <w:style w:type="paragraph" w:customStyle="1" w:styleId="103">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正文文本_0_1"/>
    <w:basedOn w:val="103"/>
    <w:qFormat/>
    <w:uiPriority w:val="0"/>
    <w:pPr>
      <w:spacing w:after="120"/>
    </w:pPr>
    <w:rPr>
      <w:kern w:val="0"/>
      <w:sz w:val="20"/>
    </w:rPr>
  </w:style>
  <w:style w:type="paragraph" w:customStyle="1" w:styleId="105">
    <w:name w:val="正文文本缩进_0_1"/>
    <w:basedOn w:val="103"/>
    <w:qFormat/>
    <w:uiPriority w:val="0"/>
    <w:pPr>
      <w:spacing w:line="500" w:lineRule="exact"/>
      <w:ind w:left="1588" w:leftChars="832" w:firstLine="433" w:firstLineChars="196"/>
    </w:pPr>
    <w:rPr>
      <w:kern w:val="0"/>
      <w:sz w:val="24"/>
    </w:rPr>
  </w:style>
  <w:style w:type="paragraph" w:customStyle="1" w:styleId="106">
    <w:name w:val="Normal_14"/>
    <w:qFormat/>
    <w:uiPriority w:val="0"/>
    <w:rPr>
      <w:rFonts w:ascii="黑体" w:hAnsi="黑体" w:eastAsia="黑体" w:cs="Times New Roman"/>
      <w:b/>
      <w:sz w:val="32"/>
      <w:szCs w:val="24"/>
      <w:lang w:bidi="ar-SA"/>
    </w:rPr>
  </w:style>
  <w:style w:type="paragraph" w:customStyle="1" w:styleId="107">
    <w:name w:val="正文文本缩进_1"/>
    <w:basedOn w:val="108"/>
    <w:qFormat/>
    <w:uiPriority w:val="0"/>
    <w:pPr>
      <w:spacing w:line="500" w:lineRule="exact"/>
      <w:ind w:left="1588" w:leftChars="832" w:firstLine="433" w:firstLineChars="196"/>
    </w:pPr>
    <w:rPr>
      <w:kern w:val="0"/>
      <w:sz w:val="24"/>
    </w:rPr>
  </w:style>
  <w:style w:type="paragraph" w:customStyle="1" w:styleId="108">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Normal_15"/>
    <w:qFormat/>
    <w:uiPriority w:val="0"/>
    <w:rPr>
      <w:rFonts w:ascii="黑体" w:hAnsi="黑体" w:eastAsia="黑体" w:cs="Times New Roman"/>
      <w:b/>
      <w:sz w:val="32"/>
      <w:szCs w:val="24"/>
      <w:lang w:bidi="ar-SA"/>
    </w:rPr>
  </w:style>
  <w:style w:type="paragraph" w:customStyle="1" w:styleId="110">
    <w:name w:val="正文文本_1_0"/>
    <w:basedOn w:val="111"/>
    <w:qFormat/>
    <w:uiPriority w:val="0"/>
    <w:pPr>
      <w:spacing w:after="120"/>
    </w:pPr>
    <w:rPr>
      <w:rFonts w:ascii="Times New Roman" w:hAnsi="Times New Roman"/>
      <w:szCs w:val="24"/>
    </w:rPr>
  </w:style>
  <w:style w:type="paragraph" w:customStyle="1" w:styleId="111">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
    <w:name w:val="Normal_16"/>
    <w:qFormat/>
    <w:uiPriority w:val="0"/>
    <w:rPr>
      <w:rFonts w:ascii="黑体" w:hAnsi="黑体" w:eastAsia="黑体" w:cs="Times New Roman"/>
      <w:b/>
      <w:sz w:val="32"/>
      <w:szCs w:val="24"/>
      <w:lang w:bidi="ar-SA"/>
    </w:rPr>
  </w:style>
  <w:style w:type="paragraph" w:customStyle="1" w:styleId="113">
    <w:name w:val="正文_0_0_2"/>
    <w:qFormat/>
    <w:uiPriority w:val="0"/>
    <w:pPr>
      <w:widowControl w:val="0"/>
      <w:jc w:val="both"/>
    </w:pPr>
    <w:rPr>
      <w:rFonts w:ascii="Calibri" w:hAnsi="Calibri" w:eastAsia="宋体" w:cs="Times New Roman"/>
      <w:kern w:val="2"/>
      <w:sz w:val="28"/>
      <w:szCs w:val="22"/>
      <w:lang w:val="en-US" w:eastAsia="zh-CN" w:bidi="ar-SA"/>
    </w:rPr>
  </w:style>
  <w:style w:type="paragraph" w:customStyle="1" w:styleId="114">
    <w:name w:val="正文文本_2_0"/>
    <w:basedOn w:val="115"/>
    <w:qFormat/>
    <w:uiPriority w:val="0"/>
    <w:pPr>
      <w:spacing w:after="120"/>
    </w:pPr>
    <w:rPr>
      <w:rFonts w:ascii="Times New Roman" w:hAnsi="Times New Roman"/>
      <w:szCs w:val="24"/>
    </w:rPr>
  </w:style>
  <w:style w:type="paragraph" w:customStyle="1" w:styleId="115">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6">
    <w:name w:val="Normal_17"/>
    <w:qFormat/>
    <w:uiPriority w:val="0"/>
    <w:rPr>
      <w:rFonts w:ascii="黑体" w:hAnsi="黑体" w:eastAsia="黑体" w:cs="Times New Roman"/>
      <w:b/>
      <w:sz w:val="32"/>
      <w:szCs w:val="24"/>
      <w:lang w:bidi="ar-SA"/>
    </w:rPr>
  </w:style>
  <w:style w:type="paragraph" w:customStyle="1" w:styleId="11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正文文本缩进_2"/>
    <w:basedOn w:val="117"/>
    <w:qFormat/>
    <w:uiPriority w:val="0"/>
    <w:pPr>
      <w:spacing w:line="500" w:lineRule="exact"/>
      <w:ind w:left="1588" w:leftChars="832" w:firstLine="433" w:firstLineChars="196"/>
    </w:pPr>
    <w:rPr>
      <w:kern w:val="0"/>
      <w:sz w:val="24"/>
    </w:rPr>
  </w:style>
  <w:style w:type="paragraph" w:customStyle="1" w:styleId="119">
    <w:name w:val="正文文本缩进_0_0"/>
    <w:basedOn w:val="120"/>
    <w:semiHidden/>
    <w:qFormat/>
    <w:uiPriority w:val="0"/>
    <w:pPr>
      <w:spacing w:before="100" w:beforeAutospacing="1" w:after="120"/>
      <w:ind w:left="420" w:leftChars="200"/>
    </w:pPr>
    <w:rPr>
      <w:rFonts w:ascii="Times New Roman" w:hAnsi="Times New Roman" w:eastAsia="宋体"/>
    </w:rPr>
  </w:style>
  <w:style w:type="paragraph" w:customStyle="1" w:styleId="120">
    <w:name w:val="正文_4_0_0_0_0"/>
    <w:basedOn w:val="121"/>
    <w:next w:val="12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1">
    <w:name w:val="正文_7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引文目录标题_3_0_0_0"/>
    <w:basedOn w:val="120"/>
    <w:next w:val="120"/>
    <w:qFormat/>
    <w:uiPriority w:val="0"/>
    <w:pPr>
      <w:spacing w:before="120"/>
    </w:pPr>
    <w:rPr>
      <w:rFonts w:ascii="Cambria" w:hAnsi="Cambria"/>
      <w:sz w:val="24"/>
    </w:rPr>
  </w:style>
  <w:style w:type="paragraph" w:customStyle="1" w:styleId="123">
    <w:name w:val="正文_3_1_0"/>
    <w:basedOn w:val="70"/>
    <w:qFormat/>
    <w:uiPriority w:val="0"/>
    <w:rPr>
      <w:rFonts w:ascii="Calibri" w:hAnsi="Calibri" w:eastAsia="宋体"/>
      <w:szCs w:val="21"/>
    </w:rPr>
  </w:style>
  <w:style w:type="paragraph" w:customStyle="1" w:styleId="124">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3_1_1"/>
    <w:basedOn w:val="124"/>
    <w:qFormat/>
    <w:uiPriority w:val="0"/>
    <w:rPr>
      <w:rFonts w:ascii="Calibri" w:hAnsi="Calibri" w:eastAsia="宋体"/>
      <w:szCs w:val="21"/>
    </w:rPr>
  </w:style>
  <w:style w:type="paragraph" w:customStyle="1" w:styleId="126">
    <w:name w:val="正文_4_0_0"/>
    <w:basedOn w:val="124"/>
    <w:qFormat/>
    <w:uiPriority w:val="0"/>
    <w:rPr>
      <w:rFonts w:ascii="Times New Roman" w:hAnsi="Times New Roman" w:eastAsia="宋体"/>
      <w:szCs w:val="21"/>
    </w:rPr>
  </w:style>
  <w:style w:type="paragraph" w:customStyle="1" w:styleId="127">
    <w:name w:val="正文文本_0_0_0"/>
    <w:basedOn w:val="123"/>
    <w:qFormat/>
    <w:uiPriority w:val="0"/>
    <w:pPr>
      <w:spacing w:before="100" w:beforeAutospacing="1" w:after="120"/>
    </w:pPr>
    <w:rPr>
      <w:rFonts w:ascii="Times New Roman" w:hAnsi="Times New Roman" w:eastAsia="宋体"/>
    </w:rPr>
  </w:style>
  <w:style w:type="paragraph" w:customStyle="1" w:styleId="128">
    <w:name w:val="正文_3_1_1_0"/>
    <w:basedOn w:val="124"/>
    <w:qFormat/>
    <w:uiPriority w:val="0"/>
    <w:rPr>
      <w:rFonts w:ascii="Calibri" w:hAnsi="Calibri" w:eastAsia="宋体"/>
      <w:szCs w:val="21"/>
    </w:rPr>
  </w:style>
  <w:style w:type="paragraph" w:customStyle="1" w:styleId="129">
    <w:name w:val="正文_5_1"/>
    <w:basedOn w:val="124"/>
    <w:qFormat/>
    <w:uiPriority w:val="0"/>
    <w:rPr>
      <w:rFonts w:ascii="Calibri" w:hAnsi="Calibri" w:eastAsia="宋体"/>
      <w:szCs w:val="21"/>
    </w:rPr>
  </w:style>
  <w:style w:type="paragraph" w:customStyle="1" w:styleId="130">
    <w:name w:val="Normal_18"/>
    <w:qFormat/>
    <w:uiPriority w:val="0"/>
    <w:rPr>
      <w:rFonts w:ascii="黑体" w:hAnsi="黑体" w:eastAsia="黑体" w:cs="Times New Roman"/>
      <w:b/>
      <w:sz w:val="32"/>
      <w:szCs w:val="24"/>
      <w:lang w:bidi="ar-SA"/>
    </w:rPr>
  </w:style>
  <w:style w:type="paragraph" w:customStyle="1" w:styleId="131">
    <w:name w:val="Normal_19"/>
    <w:qFormat/>
    <w:uiPriority w:val="0"/>
    <w:rPr>
      <w:rFonts w:ascii="黑体" w:hAnsi="黑体" w:eastAsia="黑体" w:cs="Times New Roman"/>
      <w:b/>
      <w:sz w:val="32"/>
      <w:szCs w:val="24"/>
      <w:lang w:bidi="ar-SA"/>
    </w:rPr>
  </w:style>
  <w:style w:type="paragraph" w:customStyle="1" w:styleId="132">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正文文本缩进_3"/>
    <w:basedOn w:val="132"/>
    <w:qFormat/>
    <w:uiPriority w:val="0"/>
    <w:pPr>
      <w:spacing w:line="500" w:lineRule="exact"/>
      <w:ind w:left="1588" w:leftChars="832" w:firstLine="433" w:firstLineChars="196"/>
    </w:pPr>
    <w:rPr>
      <w:kern w:val="0"/>
      <w:sz w:val="24"/>
    </w:rPr>
  </w:style>
  <w:style w:type="paragraph" w:customStyle="1" w:styleId="134">
    <w:name w:val="题注_0"/>
    <w:basedOn w:val="132"/>
    <w:next w:val="132"/>
    <w:qFormat/>
    <w:uiPriority w:val="0"/>
    <w:pPr>
      <w:spacing w:before="152" w:after="160"/>
    </w:pPr>
    <w:rPr>
      <w:rFonts w:ascii="Arial" w:hAnsi="Arial" w:eastAsia="黑体" w:cs="Arial"/>
      <w:sz w:val="20"/>
      <w:szCs w:val="20"/>
    </w:rPr>
  </w:style>
  <w:style w:type="paragraph" w:customStyle="1" w:styleId="135">
    <w:name w:val="Normal_20"/>
    <w:qFormat/>
    <w:uiPriority w:val="0"/>
    <w:rPr>
      <w:rFonts w:ascii="黑体" w:hAnsi="黑体" w:eastAsia="黑体" w:cs="Times New Roman"/>
      <w:b/>
      <w:sz w:val="32"/>
      <w:szCs w:val="24"/>
      <w:lang w:bidi="ar-SA"/>
    </w:rPr>
  </w:style>
  <w:style w:type="paragraph" w:customStyle="1" w:styleId="136">
    <w:name w:val="Normal_21"/>
    <w:qFormat/>
    <w:uiPriority w:val="0"/>
    <w:rPr>
      <w:rFonts w:ascii="黑体" w:hAnsi="黑体" w:eastAsia="黑体" w:cs="Times New Roman"/>
      <w:b/>
      <w:sz w:val="32"/>
      <w:szCs w:val="24"/>
      <w:lang w:bidi="ar-SA"/>
    </w:rPr>
  </w:style>
  <w:style w:type="paragraph" w:customStyle="1" w:styleId="137">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文本缩进_4"/>
    <w:basedOn w:val="137"/>
    <w:qFormat/>
    <w:uiPriority w:val="0"/>
    <w:pPr>
      <w:spacing w:line="500" w:lineRule="exact"/>
      <w:ind w:left="1588" w:leftChars="832" w:firstLine="433" w:firstLineChars="196"/>
    </w:pPr>
    <w:rPr>
      <w:kern w:val="0"/>
      <w:sz w:val="24"/>
    </w:rPr>
  </w:style>
  <w:style w:type="paragraph" w:customStyle="1" w:styleId="139">
    <w:name w:val="正文_9_1"/>
    <w:basedOn w:val="111"/>
    <w:qFormat/>
    <w:uiPriority w:val="0"/>
    <w:rPr>
      <w:rFonts w:cs="宋体"/>
      <w:szCs w:val="21"/>
    </w:rPr>
  </w:style>
  <w:style w:type="paragraph" w:customStyle="1" w:styleId="140">
    <w:name w:val="正文_2_1"/>
    <w:qFormat/>
    <w:uiPriority w:val="0"/>
    <w:pPr>
      <w:widowControl w:val="0"/>
      <w:jc w:val="both"/>
    </w:pPr>
    <w:rPr>
      <w:rFonts w:ascii="等线" w:hAnsi="等线" w:eastAsia="等线" w:cs="Times New Roman"/>
      <w:kern w:val="2"/>
      <w:sz w:val="21"/>
      <w:szCs w:val="22"/>
      <w:lang w:val="en-US" w:eastAsia="zh-CN" w:bidi="ar-SA"/>
    </w:rPr>
  </w:style>
  <w:style w:type="character" w:customStyle="1" w:styleId="141">
    <w:name w:val="font11"/>
    <w:basedOn w:val="22"/>
    <w:qFormat/>
    <w:uiPriority w:val="0"/>
    <w:rPr>
      <w:rFonts w:ascii="宋体" w:hAnsi="宋体" w:eastAsia="宋体" w:cs="宋体"/>
      <w:color w:val="000000"/>
      <w:sz w:val="24"/>
      <w:szCs w:val="24"/>
      <w:u w:val="none"/>
    </w:rPr>
  </w:style>
  <w:style w:type="character" w:customStyle="1" w:styleId="142">
    <w:name w:val="font01"/>
    <w:basedOn w:val="22"/>
    <w:qFormat/>
    <w:uiPriority w:val="0"/>
    <w:rPr>
      <w:rFonts w:hint="eastAsia" w:ascii="宋体" w:hAnsi="宋体" w:eastAsia="宋体" w:cs="宋体"/>
      <w:color w:val="000000"/>
      <w:sz w:val="24"/>
      <w:szCs w:val="24"/>
      <w:u w:val="none"/>
    </w:rPr>
  </w:style>
  <w:style w:type="paragraph" w:customStyle="1" w:styleId="143">
    <w:name w:val="正文_1_1_0"/>
    <w:basedOn w:val="129"/>
    <w:next w:val="144"/>
    <w:qFormat/>
    <w:uiPriority w:val="0"/>
    <w:pPr>
      <w:widowControl w:val="0"/>
      <w:jc w:val="both"/>
    </w:pPr>
    <w:rPr>
      <w:rFonts w:ascii="Calibri" w:hAnsi="Calibri"/>
      <w:kern w:val="2"/>
      <w:sz w:val="21"/>
      <w:szCs w:val="22"/>
      <w:lang w:val="en-US" w:eastAsia="zh-CN" w:bidi="ar-SA"/>
    </w:rPr>
  </w:style>
  <w:style w:type="paragraph" w:customStyle="1" w:styleId="144">
    <w:name w:val="TOA Heading"/>
    <w:basedOn w:val="53"/>
    <w:next w:val="53"/>
    <w:qFormat/>
    <w:uiPriority w:val="0"/>
    <w:pPr>
      <w:spacing w:before="120"/>
    </w:pPr>
    <w:rPr>
      <w:rFonts w:ascii="Cambria" w:hAnsi="Cambria"/>
      <w:sz w:val="24"/>
    </w:rPr>
  </w:style>
  <w:style w:type="paragraph" w:customStyle="1" w:styleId="145">
    <w:name w:val="正文_1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正文_3_1_0_0"/>
    <w:basedOn w:val="121"/>
    <w:qFormat/>
    <w:uiPriority w:val="0"/>
    <w:rPr>
      <w:rFonts w:ascii="Calibri" w:hAnsi="Calibri" w:eastAsia="宋体"/>
      <w:szCs w:val="21"/>
    </w:rPr>
  </w:style>
  <w:style w:type="paragraph" w:customStyle="1" w:styleId="147">
    <w:name w:val="正文_3_1_0_0_0"/>
    <w:basedOn w:val="148"/>
    <w:qFormat/>
    <w:uiPriority w:val="0"/>
    <w:rPr>
      <w:rFonts w:ascii="Calibri" w:hAnsi="Calibri" w:eastAsia="宋体"/>
    </w:rPr>
  </w:style>
  <w:style w:type="paragraph" w:customStyle="1" w:styleId="148">
    <w:name w:val="正文_5_1_0"/>
    <w:basedOn w:val="121"/>
    <w:qFormat/>
    <w:uiPriority w:val="0"/>
    <w:rPr>
      <w:rFonts w:ascii="Calibri" w:hAnsi="Calibri" w:eastAsia="宋体"/>
      <w:szCs w:val="21"/>
    </w:rPr>
  </w:style>
  <w:style w:type="paragraph" w:customStyle="1" w:styleId="149">
    <w:name w:val="正文_4_1"/>
    <w:next w:val="150"/>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150">
    <w:name w:val="引文目录标题_3_1"/>
    <w:basedOn w:val="149"/>
    <w:next w:val="149"/>
    <w:qFormat/>
    <w:uiPriority w:val="0"/>
    <w:pPr>
      <w:spacing w:before="120"/>
    </w:pPr>
    <w:rPr>
      <w:rFonts w:ascii="Cambria" w:hAnsi="Cambria" w:eastAsia="Times New Roman"/>
      <w:sz w:val="24"/>
    </w:rPr>
  </w:style>
  <w:style w:type="character" w:customStyle="1" w:styleId="151">
    <w:name w:val="font51"/>
    <w:basedOn w:val="22"/>
    <w:qFormat/>
    <w:uiPriority w:val="0"/>
    <w:rPr>
      <w:rFonts w:hint="eastAsia" w:ascii="宋体" w:hAnsi="宋体" w:eastAsia="宋体" w:cs="宋体"/>
      <w:color w:val="000000"/>
      <w:sz w:val="20"/>
      <w:szCs w:val="20"/>
      <w:u w:val="none"/>
    </w:rPr>
  </w:style>
  <w:style w:type="character" w:customStyle="1" w:styleId="152">
    <w:name w:val="font81"/>
    <w:basedOn w:val="22"/>
    <w:qFormat/>
    <w:uiPriority w:val="0"/>
    <w:rPr>
      <w:rFonts w:hint="eastAsia" w:ascii="宋体" w:hAnsi="宋体" w:eastAsia="宋体" w:cs="宋体"/>
      <w:color w:val="000000"/>
      <w:sz w:val="20"/>
      <w:szCs w:val="20"/>
      <w:u w:val="single"/>
    </w:rPr>
  </w:style>
  <w:style w:type="character" w:customStyle="1" w:styleId="153">
    <w:name w:val="font41"/>
    <w:basedOn w:val="22"/>
    <w:qFormat/>
    <w:uiPriority w:val="0"/>
    <w:rPr>
      <w:rFonts w:hint="eastAsia" w:ascii="宋体" w:hAnsi="宋体" w:eastAsia="宋体" w:cs="宋体"/>
      <w:b/>
      <w:bCs/>
      <w:color w:val="000000"/>
      <w:sz w:val="22"/>
      <w:szCs w:val="22"/>
      <w:u w:val="none"/>
    </w:rPr>
  </w:style>
  <w:style w:type="character" w:customStyle="1" w:styleId="154">
    <w:name w:val="font31"/>
    <w:basedOn w:val="22"/>
    <w:qFormat/>
    <w:uiPriority w:val="0"/>
    <w:rPr>
      <w:rFonts w:hint="eastAsia" w:ascii="宋体" w:hAnsi="宋体" w:eastAsia="宋体" w:cs="宋体"/>
      <w:color w:val="000000"/>
      <w:sz w:val="22"/>
      <w:szCs w:val="22"/>
      <w:u w:val="none"/>
    </w:rPr>
  </w:style>
  <w:style w:type="character" w:customStyle="1" w:styleId="155">
    <w:name w:val="font21"/>
    <w:basedOn w:val="22"/>
    <w:qFormat/>
    <w:uiPriority w:val="0"/>
    <w:rPr>
      <w:rFonts w:hint="eastAsia" w:ascii="宋体" w:hAnsi="宋体" w:eastAsia="宋体" w:cs="宋体"/>
      <w:color w:val="000000"/>
      <w:sz w:val="24"/>
      <w:szCs w:val="24"/>
      <w:u w:val="none"/>
    </w:rPr>
  </w:style>
  <w:style w:type="paragraph" w:customStyle="1" w:styleId="156">
    <w:name w:val="Table Paragraph"/>
    <w:basedOn w:val="1"/>
    <w:qFormat/>
    <w:uiPriority w:val="1"/>
    <w:rPr>
      <w:rFonts w:ascii="宋体" w:hAnsi="宋体" w:cs="宋体"/>
      <w:szCs w:val="24"/>
      <w:lang w:val="zh-CN" w:bidi="zh-CN"/>
    </w:rPr>
  </w:style>
  <w:style w:type="paragraph" w:customStyle="1" w:styleId="157">
    <w:name w:val="正文_2_0_0_0"/>
    <w:basedOn w:val="124"/>
    <w:qFormat/>
    <w:uiPriority w:val="0"/>
    <w:rPr>
      <w:rFonts w:ascii="Calibri" w:hAnsi="Calibri" w:cs="Calibri"/>
      <w:szCs w:val="21"/>
    </w:rPr>
  </w:style>
  <w:style w:type="character" w:customStyle="1" w:styleId="158">
    <w:name w:val="font101"/>
    <w:basedOn w:val="22"/>
    <w:qFormat/>
    <w:uiPriority w:val="0"/>
    <w:rPr>
      <w:rFonts w:hint="eastAsia" w:ascii="宋体" w:hAnsi="宋体" w:eastAsia="宋体" w:cs="宋体"/>
      <w:color w:val="000000"/>
      <w:sz w:val="24"/>
      <w:szCs w:val="24"/>
      <w:u w:val="none"/>
    </w:rPr>
  </w:style>
  <w:style w:type="character" w:customStyle="1" w:styleId="159">
    <w:name w:val="font91"/>
    <w:basedOn w:val="22"/>
    <w:qFormat/>
    <w:uiPriority w:val="0"/>
    <w:rPr>
      <w:rFonts w:hint="default" w:ascii="Tahoma" w:hAnsi="Tahoma" w:eastAsia="Tahoma" w:cs="Tahoma"/>
      <w:color w:val="000000"/>
      <w:sz w:val="24"/>
      <w:szCs w:val="24"/>
      <w:u w:val="none"/>
    </w:rPr>
  </w:style>
  <w:style w:type="character" w:customStyle="1" w:styleId="160">
    <w:name w:val="font71"/>
    <w:basedOn w:val="22"/>
    <w:qFormat/>
    <w:uiPriority w:val="0"/>
    <w:rPr>
      <w:rFonts w:hint="eastAsia" w:ascii="宋体" w:hAnsi="宋体" w:eastAsia="宋体" w:cs="宋体"/>
      <w:color w:val="000000"/>
      <w:sz w:val="24"/>
      <w:szCs w:val="24"/>
      <w:u w:val="none"/>
    </w:rPr>
  </w:style>
  <w:style w:type="paragraph" w:customStyle="1" w:styleId="161">
    <w:name w:val="Default Text"/>
    <w:qFormat/>
    <w:uiPriority w:val="99"/>
    <w:pPr>
      <w:widowControl w:val="0"/>
      <w:autoSpaceDE w:val="0"/>
      <w:autoSpaceDN w:val="0"/>
      <w:adjustRightInd w:val="0"/>
    </w:pPr>
    <w:rPr>
      <w:rFonts w:ascii="Calibri" w:hAnsi="Calibri" w:eastAsiaTheme="minorEastAsia" w:cstheme="minorBidi"/>
      <w:color w:val="000000"/>
      <w:kern w:val="2"/>
      <w:sz w:val="24"/>
      <w:szCs w:val="24"/>
      <w:lang w:val="en-US" w:eastAsia="zh-CN" w:bidi="ar-SA"/>
    </w:rPr>
  </w:style>
  <w:style w:type="paragraph" w:customStyle="1" w:styleId="162">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163">
    <w:name w:val="标书正文"/>
    <w:basedOn w:val="1"/>
    <w:qFormat/>
    <w:uiPriority w:val="99"/>
    <w:pPr>
      <w:spacing w:line="560" w:lineRule="exact"/>
      <w:ind w:firstLine="723" w:firstLineChars="200"/>
      <w:jc w:val="center"/>
    </w:pPr>
    <w:rPr>
      <w:rFonts w:ascii="仿宋_GB2312" w:eastAsia="仿宋_GB2312"/>
      <w:b/>
      <w:sz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33406</Words>
  <Characters>35064</Characters>
  <Lines>0</Lines>
  <Paragraphs>0</Paragraphs>
  <TotalTime>59</TotalTime>
  <ScaleCrop>false</ScaleCrop>
  <LinksUpToDate>false</LinksUpToDate>
  <CharactersWithSpaces>37404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2021-05-06T12:08:00Z</dcterms:created>
  <dc:creator>五毛钱的辣条</dc:creator>
  <cp:lastModifiedBy>NTKO</cp:lastModifiedBy>
  <dcterms:modified xsi:type="dcterms:W3CDTF">2022-07-14T05:10:38Z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BEBE00ACE8D74F6E82E98D52C873F204</vt:lpwstr>
  </property>
</Properties>
</file>