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84"/>
          <w:szCs w:val="84"/>
          <w:highlight w:val="none"/>
          <w:lang w:val="en-US" w:eastAsia="zh-CN"/>
        </w:rPr>
      </w:pPr>
    </w:p>
    <w:p>
      <w:pPr>
        <w:jc w:val="center"/>
        <w:rPr>
          <w:rFonts w:hint="eastAsia" w:ascii="仿宋" w:hAnsi="仿宋" w:eastAsia="仿宋" w:cs="仿宋"/>
          <w:b/>
          <w:bCs/>
          <w:color w:val="auto"/>
          <w:sz w:val="84"/>
          <w:szCs w:val="84"/>
          <w:highlight w:val="none"/>
          <w:lang w:val="en-US" w:eastAsia="zh-CN"/>
        </w:rPr>
      </w:pPr>
    </w:p>
    <w:p>
      <w:pPr>
        <w:pStyle w:val="2"/>
        <w:rPr>
          <w:rFonts w:hint="eastAsia" w:ascii="仿宋" w:hAnsi="仿宋" w:eastAsia="仿宋" w:cs="仿宋"/>
          <w:b/>
          <w:bCs/>
          <w:color w:val="auto"/>
          <w:sz w:val="84"/>
          <w:szCs w:val="84"/>
          <w:highlight w:val="none"/>
          <w:lang w:val="en-US" w:eastAsia="zh-CN"/>
        </w:rPr>
      </w:pPr>
    </w:p>
    <w:p>
      <w:pPr>
        <w:pStyle w:val="10"/>
        <w:rPr>
          <w:rFonts w:hint="eastAsia" w:ascii="仿宋" w:hAnsi="仿宋" w:eastAsia="仿宋" w:cs="仿宋"/>
          <w:color w:val="auto"/>
          <w:highlight w:val="none"/>
          <w:lang w:val="en-US" w:eastAsia="zh-CN"/>
        </w:rPr>
      </w:pPr>
    </w:p>
    <w:p>
      <w:pPr>
        <w:jc w:val="center"/>
        <w:rPr>
          <w:rFonts w:hint="eastAsia" w:ascii="仿宋" w:hAnsi="仿宋" w:eastAsia="仿宋" w:cs="仿宋"/>
          <w:b/>
          <w:bCs/>
          <w:color w:val="auto"/>
          <w:sz w:val="84"/>
          <w:szCs w:val="84"/>
          <w:highlight w:val="none"/>
          <w:lang w:val="en-US" w:eastAsia="zh-CN"/>
        </w:rPr>
      </w:pPr>
      <w:r>
        <w:rPr>
          <w:rFonts w:hint="eastAsia" w:ascii="仿宋" w:hAnsi="仿宋" w:eastAsia="仿宋" w:cs="仿宋"/>
          <w:b/>
          <w:bCs/>
          <w:color w:val="auto"/>
          <w:sz w:val="84"/>
          <w:szCs w:val="84"/>
          <w:highlight w:val="none"/>
          <w:lang w:val="en-US" w:eastAsia="zh-CN"/>
        </w:rPr>
        <w:t>竞争性磋商文件</w:t>
      </w:r>
    </w:p>
    <w:p>
      <w:pPr>
        <w:pStyle w:val="10"/>
        <w:rPr>
          <w:rFonts w:hint="eastAsia" w:ascii="仿宋" w:hAnsi="仿宋" w:eastAsia="仿宋" w:cs="仿宋"/>
          <w:b/>
          <w:bCs/>
          <w:color w:val="auto"/>
          <w:sz w:val="84"/>
          <w:szCs w:val="84"/>
          <w:highlight w:val="none"/>
          <w:lang w:val="en-US" w:eastAsia="zh-CN"/>
        </w:rPr>
      </w:pPr>
    </w:p>
    <w:p>
      <w:pPr>
        <w:pStyle w:val="10"/>
        <w:rPr>
          <w:rFonts w:hint="eastAsia" w:ascii="仿宋" w:hAnsi="仿宋" w:eastAsia="仿宋" w:cs="仿宋"/>
          <w:b/>
          <w:bCs/>
          <w:color w:val="auto"/>
          <w:sz w:val="84"/>
          <w:szCs w:val="84"/>
          <w:highlight w:val="none"/>
          <w:lang w:val="en-US" w:eastAsia="zh-CN"/>
        </w:rPr>
      </w:pPr>
    </w:p>
    <w:p>
      <w:pPr>
        <w:rPr>
          <w:rFonts w:hint="eastAsia" w:ascii="仿宋" w:hAnsi="仿宋" w:eastAsia="仿宋" w:cs="仿宋"/>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项目名称：伊犁州档案馆业务规范化建设项目（一标段）</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项目编号：2240xzjP73—1</w:t>
      </w:r>
    </w:p>
    <w:p>
      <w:pPr>
        <w:ind w:firstLine="1280" w:firstLineChars="400"/>
        <w:rPr>
          <w:rFonts w:hint="eastAsia" w:ascii="仿宋" w:hAnsi="仿宋" w:eastAsia="仿宋" w:cs="仿宋"/>
          <w:b w:val="0"/>
          <w:bCs w:val="0"/>
          <w:color w:val="auto"/>
          <w:sz w:val="32"/>
          <w:szCs w:val="32"/>
          <w:highlight w:val="none"/>
          <w:lang w:val="en-US" w:eastAsia="zh-CN"/>
        </w:rPr>
      </w:pPr>
    </w:p>
    <w:p>
      <w:pPr>
        <w:ind w:firstLine="1280" w:firstLineChars="400"/>
        <w:rPr>
          <w:rFonts w:hint="eastAsia" w:ascii="仿宋" w:hAnsi="仿宋" w:eastAsia="仿宋" w:cs="仿宋"/>
          <w:b w:val="0"/>
          <w:bCs w:val="0"/>
          <w:color w:val="auto"/>
          <w:sz w:val="32"/>
          <w:szCs w:val="32"/>
          <w:highlight w:val="none"/>
          <w:lang w:val="en-US" w:eastAsia="zh-CN"/>
        </w:rPr>
      </w:pPr>
    </w:p>
    <w:p>
      <w:pPr>
        <w:ind w:firstLine="1280" w:firstLineChars="400"/>
        <w:rPr>
          <w:rFonts w:hint="eastAsia" w:ascii="仿宋" w:hAnsi="仿宋" w:eastAsia="仿宋" w:cs="仿宋"/>
          <w:b w:val="0"/>
          <w:bCs w:val="0"/>
          <w:color w:val="auto"/>
          <w:sz w:val="32"/>
          <w:szCs w:val="32"/>
          <w:highlight w:val="none"/>
          <w:lang w:val="en-US" w:eastAsia="zh-CN"/>
        </w:rPr>
      </w:pPr>
    </w:p>
    <w:p>
      <w:pPr>
        <w:ind w:firstLine="1280" w:firstLineChars="400"/>
        <w:rPr>
          <w:rFonts w:hint="eastAsia" w:ascii="仿宋" w:hAnsi="仿宋" w:eastAsia="仿宋" w:cs="仿宋"/>
          <w:b w:val="0"/>
          <w:bCs w:val="0"/>
          <w:color w:val="auto"/>
          <w:sz w:val="32"/>
          <w:szCs w:val="32"/>
          <w:highlight w:val="none"/>
          <w:lang w:val="en-US" w:eastAsia="zh-CN"/>
        </w:rPr>
      </w:pPr>
    </w:p>
    <w:p>
      <w:pPr>
        <w:ind w:firstLine="1280" w:firstLineChars="400"/>
        <w:rPr>
          <w:rFonts w:hint="eastAsia" w:ascii="仿宋" w:hAnsi="仿宋" w:eastAsia="仿宋" w:cs="仿宋"/>
          <w:b w:val="0"/>
          <w:bCs w:val="0"/>
          <w:color w:val="auto"/>
          <w:sz w:val="32"/>
          <w:szCs w:val="32"/>
          <w:highlight w:val="none"/>
          <w:lang w:val="en-US" w:eastAsia="zh-CN"/>
        </w:rPr>
      </w:pPr>
    </w:p>
    <w:p>
      <w:pPr>
        <w:ind w:firstLine="1280" w:firstLineChars="400"/>
        <w:rPr>
          <w:rFonts w:hint="eastAsia" w:ascii="仿宋" w:hAnsi="仿宋" w:eastAsia="仿宋" w:cs="仿宋"/>
          <w:b w:val="0"/>
          <w:bCs w:val="0"/>
          <w:color w:val="auto"/>
          <w:sz w:val="32"/>
          <w:szCs w:val="32"/>
          <w:highlight w:val="none"/>
          <w:lang w:val="en-US" w:eastAsia="zh-CN"/>
        </w:rPr>
      </w:pPr>
    </w:p>
    <w:p>
      <w:pPr>
        <w:ind w:firstLine="1280" w:firstLineChars="400"/>
        <w:rPr>
          <w:rFonts w:hint="eastAsia" w:ascii="仿宋" w:hAnsi="仿宋" w:eastAsia="仿宋" w:cs="仿宋"/>
          <w:b w:val="0"/>
          <w:bCs w:val="0"/>
          <w:color w:val="auto"/>
          <w:sz w:val="32"/>
          <w:szCs w:val="32"/>
          <w:highlight w:val="none"/>
          <w:lang w:val="en-US" w:eastAsia="zh-CN"/>
        </w:rPr>
      </w:pPr>
    </w:p>
    <w:p>
      <w:pPr>
        <w:ind w:firstLine="1280" w:firstLineChars="400"/>
        <w:rPr>
          <w:rFonts w:hint="eastAsia" w:ascii="仿宋" w:hAnsi="仿宋" w:eastAsia="仿宋" w:cs="仿宋"/>
          <w:b w:val="0"/>
          <w:bCs w:val="0"/>
          <w:color w:val="auto"/>
          <w:sz w:val="32"/>
          <w:szCs w:val="32"/>
          <w:highlight w:val="none"/>
          <w:lang w:val="en-US" w:eastAsia="zh-CN"/>
        </w:rPr>
      </w:pPr>
    </w:p>
    <w:p>
      <w:pPr>
        <w:pStyle w:val="10"/>
        <w:ind w:left="0" w:leftChars="0" w:firstLine="0" w:firstLineChars="0"/>
        <w:jc w:val="center"/>
        <w:rPr>
          <w:rFonts w:hint="default" w:ascii="仿宋" w:hAnsi="仿宋" w:eastAsia="仿宋" w:cs="仿宋"/>
          <w:color w:val="auto"/>
          <w:highlight w:val="none"/>
          <w:lang w:val="en-US" w:eastAsia="zh-CN"/>
        </w:rPr>
      </w:pPr>
      <w:r>
        <w:rPr>
          <w:rFonts w:hint="eastAsia" w:ascii="仿宋" w:hAnsi="仿宋" w:eastAsia="仿宋" w:cs="仿宋"/>
          <w:b w:val="0"/>
          <w:bCs w:val="0"/>
          <w:color w:val="auto"/>
          <w:sz w:val="32"/>
          <w:szCs w:val="32"/>
          <w:highlight w:val="none"/>
          <w:lang w:val="en-US" w:eastAsia="zh-CN"/>
        </w:rPr>
        <w:t>伊犁州档案馆</w:t>
      </w:r>
    </w:p>
    <w:p>
      <w:pPr>
        <w:pStyle w:val="10"/>
        <w:ind w:left="0" w:leftChars="0" w:firstLine="0" w:firstLineChars="0"/>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2022年7月</w:t>
      </w:r>
    </w:p>
    <w:p>
      <w:pPr>
        <w:pStyle w:val="11"/>
        <w:rPr>
          <w:rFonts w:hint="eastAsia"/>
          <w:color w:val="auto"/>
          <w:highlight w:val="none"/>
          <w:lang w:val="en-US" w:eastAsia="zh-CN"/>
        </w:rPr>
      </w:pPr>
    </w:p>
    <w:p>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目      录</w:t>
      </w:r>
    </w:p>
    <w:p>
      <w:pPr>
        <w:pStyle w:val="17"/>
        <w:keepNext w:val="0"/>
        <w:keepLines w:val="0"/>
        <w:pageBreakBefore w:val="0"/>
        <w:tabs>
          <w:tab w:val="right" w:leader="dot" w:pos="9026"/>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"1-3" \h \z \u</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_Toc23085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xml:space="preserve">第一章 </w:t>
      </w:r>
      <w:r>
        <w:rPr>
          <w:rFonts w:hint="eastAsia" w:ascii="仿宋" w:hAnsi="仿宋" w:eastAsia="仿宋" w:cs="仿宋"/>
          <w:color w:val="auto"/>
          <w:sz w:val="32"/>
          <w:szCs w:val="32"/>
          <w:highlight w:val="none"/>
          <w:lang w:eastAsia="zh-CN"/>
        </w:rPr>
        <w:t>磋商公告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_Toc23085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pPr>
        <w:pStyle w:val="17"/>
        <w:keepNext w:val="0"/>
        <w:keepLines w:val="0"/>
        <w:pageBreakBefore w:val="0"/>
        <w:tabs>
          <w:tab w:val="right" w:leader="dot" w:pos="9026"/>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_Toc4219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第二章 磋商须知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fldChar w:fldCharType="end"/>
      </w:r>
    </w:p>
    <w:p>
      <w:pPr>
        <w:pStyle w:val="17"/>
        <w:keepNext w:val="0"/>
        <w:keepLines w:val="0"/>
        <w:pageBreakBefore w:val="0"/>
        <w:tabs>
          <w:tab w:val="right" w:leader="dot" w:pos="9026"/>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_Toc31248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pacing w:val="6"/>
          <w:sz w:val="32"/>
          <w:szCs w:val="32"/>
          <w:highlight w:val="none"/>
        </w:rPr>
        <w:t>第</w:t>
      </w:r>
      <w:r>
        <w:rPr>
          <w:rFonts w:hint="eastAsia" w:ascii="仿宋" w:hAnsi="仿宋" w:eastAsia="仿宋" w:cs="仿宋"/>
          <w:color w:val="auto"/>
          <w:spacing w:val="6"/>
          <w:sz w:val="32"/>
          <w:szCs w:val="32"/>
          <w:highlight w:val="none"/>
          <w:lang w:val="en-US" w:eastAsia="zh-CN"/>
        </w:rPr>
        <w:t>三</w:t>
      </w:r>
      <w:r>
        <w:rPr>
          <w:rFonts w:hint="eastAsia" w:ascii="仿宋" w:hAnsi="仿宋" w:eastAsia="仿宋" w:cs="仿宋"/>
          <w:color w:val="auto"/>
          <w:spacing w:val="6"/>
          <w:sz w:val="32"/>
          <w:szCs w:val="32"/>
          <w:highlight w:val="none"/>
        </w:rPr>
        <w:t xml:space="preserve">章 </w:t>
      </w:r>
      <w:r>
        <w:rPr>
          <w:rFonts w:hint="eastAsia" w:ascii="仿宋" w:hAnsi="仿宋" w:eastAsia="仿宋" w:cs="仿宋"/>
          <w:color w:val="auto"/>
          <w:spacing w:val="6"/>
          <w:sz w:val="32"/>
          <w:szCs w:val="32"/>
          <w:highlight w:val="none"/>
          <w:lang w:val="en-US" w:eastAsia="zh-CN"/>
        </w:rPr>
        <w:t>采购</w:t>
      </w:r>
      <w:r>
        <w:rPr>
          <w:rFonts w:hint="eastAsia" w:ascii="仿宋" w:hAnsi="仿宋" w:eastAsia="仿宋" w:cs="仿宋"/>
          <w:color w:val="auto"/>
          <w:spacing w:val="6"/>
          <w:sz w:val="32"/>
          <w:szCs w:val="32"/>
          <w:highlight w:val="none"/>
        </w:rPr>
        <w:t>清单及技术要求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29</w:t>
      </w:r>
      <w:r>
        <w:rPr>
          <w:rFonts w:hint="eastAsia" w:ascii="仿宋" w:hAnsi="仿宋" w:eastAsia="仿宋" w:cs="仿宋"/>
          <w:color w:val="auto"/>
          <w:sz w:val="32"/>
          <w:szCs w:val="32"/>
          <w:highlight w:val="none"/>
        </w:rPr>
        <w:fldChar w:fldCharType="end"/>
      </w:r>
    </w:p>
    <w:p>
      <w:pPr>
        <w:pStyle w:val="17"/>
        <w:keepNext w:val="0"/>
        <w:keepLines w:val="0"/>
        <w:pageBreakBefore w:val="0"/>
        <w:tabs>
          <w:tab w:val="right" w:leader="dot" w:pos="9026"/>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_Toc31050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 xml:space="preserve">章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lang w:val="en-US" w:eastAsia="zh-CN"/>
        </w:rPr>
        <w:t>合同条款</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_Toc16490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lang w:val="en-US" w:eastAsia="zh-CN"/>
        </w:rPr>
        <w:t>102</w:t>
      </w:r>
    </w:p>
    <w:p>
      <w:pPr>
        <w:pStyle w:val="17"/>
        <w:keepNext w:val="0"/>
        <w:keepLines w:val="0"/>
        <w:pageBreakBefore w:val="0"/>
        <w:tabs>
          <w:tab w:val="right" w:leader="dot" w:pos="9026"/>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_Toc4479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附           件</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t>114</w:t>
      </w:r>
      <w:r>
        <w:rPr>
          <w:rFonts w:hint="eastAsia" w:ascii="仿宋" w:hAnsi="仿宋" w:eastAsia="仿宋" w:cs="仿宋"/>
          <w:color w:val="auto"/>
          <w:sz w:val="32"/>
          <w:szCs w:val="32"/>
          <w:highlight w:val="none"/>
          <w:lang w:val="en-US" w:eastAsia="zh-CN"/>
        </w:rPr>
        <w:fldChar w:fldCharType="end"/>
      </w:r>
    </w:p>
    <w:p>
      <w:pPr>
        <w:pStyle w:val="24"/>
        <w:keepNext w:val="0"/>
        <w:keepLines w:val="0"/>
        <w:pageBreakBefore w:val="0"/>
        <w:tabs>
          <w:tab w:val="right" w:leader="dot" w:pos="9016"/>
        </w:tabs>
        <w:kinsoku/>
        <w:wordWrap/>
        <w:overflowPunct/>
        <w:topLinePunct w:val="0"/>
        <w:autoSpaceDE/>
        <w:autoSpaceDN/>
        <w:bidi w:val="0"/>
        <w:adjustRightInd/>
        <w:snapToGrid/>
        <w:spacing w:line="1000" w:lineRule="exact"/>
        <w:ind w:left="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end"/>
      </w:r>
    </w:p>
    <w:p>
      <w:pPr>
        <w:pStyle w:val="25"/>
        <w:keepNext w:val="0"/>
        <w:keepLines w:val="0"/>
        <w:pageBreakBefore w:val="0"/>
        <w:numPr>
          <w:ilvl w:val="0"/>
          <w:numId w:val="0"/>
        </w:numPr>
        <w:kinsoku/>
        <w:wordWrap/>
        <w:overflowPunct/>
        <w:topLinePunct w:val="0"/>
        <w:autoSpaceDE/>
        <w:autoSpaceDN/>
        <w:bidi w:val="0"/>
        <w:adjustRightInd/>
        <w:snapToGrid/>
        <w:spacing w:line="1000" w:lineRule="exact"/>
        <w:textAlignment w:val="auto"/>
        <w:rPr>
          <w:rFonts w:hint="eastAsia" w:ascii="仿宋" w:hAnsi="仿宋" w:eastAsia="仿宋" w:cs="仿宋"/>
          <w:color w:val="auto"/>
          <w:sz w:val="32"/>
          <w:szCs w:val="32"/>
          <w:highlight w:val="none"/>
          <w:lang w:val="zh-CN"/>
        </w:rPr>
        <w:sectPr>
          <w:headerReference r:id="rId3" w:type="default"/>
          <w:footerReference r:id="rId4" w:type="default"/>
          <w:footerReference r:id="rId5" w:type="even"/>
          <w:pgSz w:w="11906" w:h="16838"/>
          <w:pgMar w:top="1440" w:right="1440" w:bottom="1440" w:left="1440" w:header="0" w:footer="822" w:gutter="0"/>
          <w:pgBorders>
            <w:top w:val="none" w:sz="0" w:space="0"/>
            <w:left w:val="none" w:sz="0" w:space="0"/>
            <w:bottom w:val="none" w:sz="0" w:space="0"/>
            <w:right w:val="none" w:sz="0" w:space="0"/>
          </w:pgBorders>
          <w:cols w:space="720" w:num="1"/>
          <w:formProt w:val="0"/>
          <w:docGrid w:linePitch="312" w:charSpace="0"/>
        </w:sectPr>
      </w:pPr>
    </w:p>
    <w:p>
      <w:pPr>
        <w:pStyle w:val="25"/>
        <w:pageBreakBefore w:val="0"/>
        <w:kinsoku/>
        <w:wordWrap/>
        <w:overflowPunct/>
        <w:topLinePunct w:val="0"/>
        <w:bidi w:val="0"/>
        <w:snapToGrid/>
        <w:spacing w:line="400" w:lineRule="exact"/>
        <w:jc w:val="center"/>
        <w:textAlignment w:val="auto"/>
        <w:rPr>
          <w:rFonts w:hint="eastAsia" w:ascii="仿宋" w:hAnsi="仿宋" w:eastAsia="仿宋" w:cs="仿宋"/>
          <w:color w:val="auto"/>
          <w:sz w:val="32"/>
          <w:szCs w:val="32"/>
          <w:highlight w:val="none"/>
        </w:rPr>
      </w:pPr>
      <w:bookmarkStart w:id="0" w:name="_Toc23085"/>
      <w:r>
        <w:rPr>
          <w:rFonts w:hint="eastAsia" w:ascii="仿宋" w:hAnsi="仿宋" w:eastAsia="仿宋" w:cs="仿宋"/>
          <w:color w:val="auto"/>
          <w:sz w:val="32"/>
          <w:szCs w:val="32"/>
          <w:highlight w:val="none"/>
        </w:rPr>
        <w:t xml:space="preserve">第一章 </w:t>
      </w:r>
      <w:r>
        <w:rPr>
          <w:rFonts w:hint="eastAsia" w:ascii="仿宋" w:hAnsi="仿宋" w:eastAsia="仿宋" w:cs="仿宋"/>
          <w:color w:val="auto"/>
          <w:sz w:val="32"/>
          <w:szCs w:val="32"/>
          <w:highlight w:val="none"/>
          <w:lang w:val="en-US" w:eastAsia="zh-CN"/>
        </w:rPr>
        <w:t>磋商</w:t>
      </w:r>
      <w:r>
        <w:rPr>
          <w:rFonts w:hint="eastAsia" w:ascii="仿宋" w:hAnsi="仿宋" w:eastAsia="仿宋" w:cs="仿宋"/>
          <w:color w:val="auto"/>
          <w:sz w:val="32"/>
          <w:szCs w:val="32"/>
          <w:highlight w:val="none"/>
          <w:lang w:eastAsia="zh-CN"/>
        </w:rPr>
        <w:t>公告</w:t>
      </w:r>
      <w:bookmarkEnd w:id="0"/>
    </w:p>
    <w:p>
      <w:pPr>
        <w:pStyle w:val="5"/>
        <w:keepNext/>
        <w:keepLines/>
        <w:pageBreakBefore w:val="0"/>
        <w:widowControl w:val="0"/>
        <w:tabs>
          <w:tab w:val="left" w:pos="0"/>
        </w:tabs>
        <w:kinsoku/>
        <w:wordWrap/>
        <w:overflowPunct/>
        <w:topLinePunct w:val="0"/>
        <w:autoSpaceDE w:val="0"/>
        <w:autoSpaceDN w:val="0"/>
        <w:bidi w:val="0"/>
        <w:adjustRightInd w:val="0"/>
        <w:snapToGrid/>
        <w:spacing w:before="0" w:after="0" w:line="350" w:lineRule="exact"/>
        <w:jc w:val="center"/>
        <w:textAlignment w:val="auto"/>
        <w:rPr>
          <w:rFonts w:hint="eastAsia" w:ascii="仿宋" w:hAnsi="仿宋" w:eastAsia="仿宋" w:cs="仿宋"/>
          <w:color w:val="auto"/>
          <w:sz w:val="36"/>
          <w:szCs w:val="36"/>
          <w:highlight w:val="none"/>
        </w:rPr>
      </w:pPr>
      <w:bookmarkStart w:id="1" w:name="_Toc28359011"/>
      <w:bookmarkStart w:id="2" w:name="_Toc35393797"/>
      <w:bookmarkStart w:id="3" w:name="_Toc4219"/>
      <w:r>
        <w:rPr>
          <w:rFonts w:hint="eastAsia" w:ascii="仿宋" w:hAnsi="仿宋" w:eastAsia="仿宋" w:cs="仿宋"/>
          <w:color w:val="auto"/>
          <w:sz w:val="36"/>
          <w:szCs w:val="36"/>
          <w:highlight w:val="none"/>
          <w:lang w:eastAsia="zh-CN"/>
        </w:rPr>
        <w:t>伊犁州档案馆业务规范化建设项目</w:t>
      </w:r>
      <w:r>
        <w:rPr>
          <w:rFonts w:hint="eastAsia" w:ascii="仿宋" w:hAnsi="仿宋" w:eastAsia="仿宋" w:cs="仿宋"/>
          <w:color w:val="auto"/>
          <w:sz w:val="36"/>
          <w:szCs w:val="36"/>
          <w:highlight w:val="none"/>
        </w:rPr>
        <w:t>竞争性磋商公告</w:t>
      </w:r>
      <w:bookmarkEnd w:id="1"/>
      <w:bookmarkEnd w:id="2"/>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本项目共划分为四个标段：一标段：采购一批安全保管设施设备；二标段：档案编研服务及开发利用；三标段：网络等级保护建设项目；四标段：数字化项目设备购置；具体内容详见磋商文件。</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rPr>
        <w:t>项目的潜在供应商应在伊宁市解放路77号亚欧国际九层获取采购文件，并于</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分（北京时间）前提交响应文件。</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4" w:name="_Toc28359012"/>
      <w:bookmarkStart w:id="5" w:name="_Toc28359089"/>
      <w:bookmarkStart w:id="6" w:name="_Toc35393798"/>
      <w:bookmarkStart w:id="7" w:name="_Toc35393629"/>
      <w:r>
        <w:rPr>
          <w:rFonts w:hint="eastAsia" w:ascii="仿宋" w:hAnsi="仿宋" w:eastAsia="仿宋" w:cs="仿宋"/>
          <w:color w:val="auto"/>
          <w:sz w:val="28"/>
          <w:szCs w:val="28"/>
          <w:highlight w:val="none"/>
        </w:rPr>
        <w:t>一、项目基本情况</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项目编号：2240xzjP</w:t>
      </w:r>
      <w:r>
        <w:rPr>
          <w:rFonts w:hint="eastAsia" w:ascii="仿宋" w:hAnsi="仿宋" w:eastAsia="仿宋" w:cs="仿宋"/>
          <w:color w:val="auto"/>
          <w:sz w:val="28"/>
          <w:szCs w:val="28"/>
          <w:highlight w:val="none"/>
          <w:lang w:val="en-US" w:eastAsia="zh-CN"/>
        </w:rPr>
        <w:t>73</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伊犁州档案馆业务规范化建设项目</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采购方式：□竞争性谈判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竞争性磋商 □询价</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一标段：92200元；二标段：208200元；三标段：681000元；四标段：318600元；</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本项目共划分为四个标段：一标段：采购一批安全保管设施设备；二标段：档案编研服务及开发利用；三标段：网络等级保护建设项目；四标段：数字化项目设备购置；具体内容详见磋商文件。</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一标段：30日历日；二标段：4个月；三标段：2022年9月30日前完成所有工作达到正常使用；四标段：30日历日。</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8" w:name="_Toc35393630"/>
      <w:bookmarkStart w:id="9" w:name="_Toc28359013"/>
      <w:bookmarkStart w:id="10" w:name="_Toc35393799"/>
      <w:bookmarkStart w:id="11" w:name="_Toc28359090"/>
      <w:r>
        <w:rPr>
          <w:rFonts w:hint="eastAsia" w:ascii="仿宋" w:hAnsi="仿宋" w:eastAsia="仿宋" w:cs="仿宋"/>
          <w:color w:val="auto"/>
          <w:sz w:val="28"/>
          <w:szCs w:val="28"/>
          <w:highlight w:val="none"/>
        </w:rPr>
        <w:t>二、申请人的资格要求：</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具有有效的营业执照</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三标段供应商须进行现场踏勘，并提供踏勘证明；</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12" w:name="_Toc28359014"/>
      <w:bookmarkStart w:id="13" w:name="_Toc28359091"/>
      <w:r>
        <w:rPr>
          <w:rFonts w:hint="eastAsia" w:ascii="仿宋" w:hAnsi="仿宋" w:eastAsia="仿宋" w:cs="仿宋"/>
          <w:color w:val="auto"/>
          <w:sz w:val="28"/>
          <w:szCs w:val="28"/>
          <w:highlight w:val="none"/>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 年第16号）；（5）工信部等部委发布的《关于印发中小企业划型标准规定的通知》（工信部联企业[2011]300号）及《政府采购促进中小企业发展管理办法》（财库〔2020〕46号）、关于转发《政府采购促进中小企业发展管理办法》的通知（兵财库〔2021〕7号）；（6）财政部、司法部关于政府采购支持监狱企业发展有关问题的通知（财库[2014]68号），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3.凡参加本次项目的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被“信用中国”网站（www.creditchina.gov.cn）中列入失信被执行人或重大税收违法案件当事人名单的供应商、未被中国政府采购网（www.ccgp.gov.cn）列入政府采购严重违法失信行为记录名单中被财政部门禁止参加政府采购活动的供应商（处罚决定规定的时间和地域范围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网页打印件须自磋商公告发布之日起至投标截止时间从上述网站中打印）</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4.单位负责人为同一人或者存在直接控股、管理关系的不同供应商，不得参加同一子包的投标；</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14" w:name="_Toc35393631"/>
      <w:bookmarkStart w:id="15" w:name="_Toc35393800"/>
      <w:r>
        <w:rPr>
          <w:rFonts w:hint="eastAsia" w:ascii="仿宋" w:hAnsi="仿宋" w:eastAsia="仿宋" w:cs="仿宋"/>
          <w:color w:val="auto"/>
          <w:sz w:val="28"/>
          <w:szCs w:val="28"/>
          <w:highlight w:val="none"/>
        </w:rPr>
        <w:t>三、获取</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每天上午</w:t>
      </w:r>
      <w:r>
        <w:rPr>
          <w:rFonts w:hint="eastAsia" w:ascii="仿宋" w:hAnsi="仿宋" w:eastAsia="仿宋" w:cs="仿宋"/>
          <w:color w:val="auto"/>
          <w:sz w:val="28"/>
          <w:szCs w:val="28"/>
          <w:highlight w:val="none"/>
          <w:lang w:val="en-US" w:eastAsia="zh-CN"/>
        </w:rPr>
        <w:t>10:00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14:00，</w:t>
      </w:r>
      <w:r>
        <w:rPr>
          <w:rFonts w:hint="eastAsia" w:ascii="仿宋" w:hAnsi="仿宋" w:eastAsia="仿宋" w:cs="仿宋"/>
          <w:color w:val="auto"/>
          <w:sz w:val="28"/>
          <w:szCs w:val="28"/>
          <w:highlight w:val="none"/>
        </w:rPr>
        <w:t>下午</w:t>
      </w:r>
      <w:r>
        <w:rPr>
          <w:rFonts w:hint="eastAsia" w:ascii="仿宋" w:hAnsi="仿宋" w:eastAsia="仿宋" w:cs="仿宋"/>
          <w:color w:val="auto"/>
          <w:sz w:val="28"/>
          <w:szCs w:val="28"/>
          <w:highlight w:val="none"/>
          <w:lang w:val="en-US" w:eastAsia="zh-CN"/>
        </w:rPr>
        <w:t>16:00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19:30</w:t>
      </w:r>
      <w:r>
        <w:rPr>
          <w:rFonts w:hint="eastAsia" w:ascii="仿宋" w:hAnsi="仿宋" w:eastAsia="仿宋" w:cs="仿宋"/>
          <w:color w:val="auto"/>
          <w:sz w:val="28"/>
          <w:szCs w:val="28"/>
          <w:highlight w:val="none"/>
        </w:rPr>
        <w:t>（北京时间，</w:t>
      </w:r>
      <w:r>
        <w:rPr>
          <w:rFonts w:hint="eastAsia" w:ascii="仿宋" w:hAnsi="仿宋" w:eastAsia="仿宋" w:cs="仿宋"/>
          <w:color w:val="auto"/>
          <w:sz w:val="28"/>
          <w:szCs w:val="28"/>
          <w:highlight w:val="none"/>
          <w:lang w:val="en-US" w:eastAsia="zh-CN"/>
        </w:rPr>
        <w:t>周六、周日、</w:t>
      </w:r>
      <w:r>
        <w:rPr>
          <w:rFonts w:hint="eastAsia" w:ascii="仿宋" w:hAnsi="仿宋" w:eastAsia="仿宋" w:cs="仿宋"/>
          <w:color w:val="auto"/>
          <w:sz w:val="28"/>
          <w:szCs w:val="28"/>
          <w:highlight w:val="none"/>
        </w:rPr>
        <w:t>法定节假日除外）</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16" w:name="_Toc35393632"/>
      <w:bookmarkStart w:id="17" w:name="_Toc28359015"/>
      <w:bookmarkStart w:id="18" w:name="_Toc28359092"/>
      <w:bookmarkStart w:id="19" w:name="_Toc35393801"/>
      <w:r>
        <w:rPr>
          <w:rFonts w:hint="eastAsia" w:ascii="仿宋" w:hAnsi="仿宋" w:eastAsia="仿宋" w:cs="仿宋"/>
          <w:color w:val="auto"/>
          <w:sz w:val="28"/>
          <w:szCs w:val="28"/>
          <w:highlight w:val="none"/>
        </w:rPr>
        <w:t>地点：伊宁市解放路77号亚欧国际9层</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方式：现场获取</w:t>
      </w:r>
      <w:r>
        <w:rPr>
          <w:rFonts w:hint="eastAsia" w:ascii="仿宋" w:hAnsi="仿宋" w:eastAsia="仿宋" w:cs="仿宋"/>
          <w:color w:val="auto"/>
          <w:sz w:val="28"/>
          <w:szCs w:val="28"/>
          <w:highlight w:val="none"/>
          <w:lang w:val="en-US" w:eastAsia="zh-CN"/>
        </w:rPr>
        <w:t>或邮箱获取</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售价：200元/份</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现场获取：</w:t>
      </w:r>
      <w:r>
        <w:rPr>
          <w:rFonts w:hint="eastAsia" w:ascii="仿宋" w:hAnsi="仿宋" w:eastAsia="仿宋" w:cs="仿宋"/>
          <w:color w:val="auto"/>
          <w:sz w:val="28"/>
          <w:szCs w:val="28"/>
          <w:highlight w:val="none"/>
        </w:rPr>
        <w:t>购买</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文件时所需提供证件及资料：法定代表人身份证或法定代表人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授权委托书和委托代理人身份证</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rPr>
        <w:t>、企业营业执照</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邮箱获取：</w:t>
      </w:r>
      <w:r>
        <w:rPr>
          <w:rFonts w:hint="eastAsia" w:ascii="仿宋" w:hAnsi="仿宋" w:eastAsia="仿宋" w:cs="仿宋"/>
          <w:color w:val="auto"/>
          <w:sz w:val="28"/>
          <w:szCs w:val="28"/>
          <w:highlight w:val="none"/>
        </w:rPr>
        <w:t>购买</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文件时所需提供证件及资料：</w:t>
      </w:r>
      <w:r>
        <w:rPr>
          <w:rFonts w:hint="eastAsia" w:ascii="仿宋" w:hAnsi="仿宋" w:eastAsia="仿宋" w:cs="仿宋"/>
          <w:color w:val="auto"/>
          <w:sz w:val="28"/>
          <w:szCs w:val="28"/>
          <w:highlight w:val="none"/>
          <w:lang w:val="en-US" w:eastAsia="zh-CN"/>
        </w:rPr>
        <w:t>将扫描件</w:t>
      </w:r>
      <w:r>
        <w:rPr>
          <w:rFonts w:hint="eastAsia" w:ascii="仿宋" w:hAnsi="仿宋" w:eastAsia="仿宋" w:cs="仿宋"/>
          <w:color w:val="auto"/>
          <w:sz w:val="28"/>
          <w:szCs w:val="28"/>
          <w:highlight w:val="none"/>
        </w:rPr>
        <w:t>法定代表人身份证或法定代表人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授权委托书和委托代理人身份证</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rPr>
        <w:t>、企业营业执照</w:t>
      </w:r>
      <w:r>
        <w:rPr>
          <w:rFonts w:hint="eastAsia" w:ascii="仿宋" w:hAnsi="仿宋" w:eastAsia="仿宋" w:cs="仿宋"/>
          <w:color w:val="auto"/>
          <w:sz w:val="28"/>
          <w:szCs w:val="28"/>
          <w:highlight w:val="none"/>
          <w:lang w:val="en-US" w:eastAsia="zh-CN"/>
        </w:rPr>
        <w:t>复印件发送至3353622620@qq.com</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以上证件及资料（需在有效期内、缺一不可）必须于购买</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时递交至新疆新之建工程咨询有限公司，不接受公证件。</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四、响应文件提交</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20日16</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分（北京时间）</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地点：伊宁市解放路77号亚欧国际9层</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20" w:name="_Toc35393802"/>
      <w:bookmarkStart w:id="21" w:name="_Toc28359093"/>
      <w:bookmarkStart w:id="22" w:name="_Toc35393633"/>
      <w:bookmarkStart w:id="23" w:name="_Toc28359016"/>
      <w:r>
        <w:rPr>
          <w:rFonts w:hint="eastAsia" w:ascii="仿宋" w:hAnsi="仿宋" w:eastAsia="仿宋" w:cs="仿宋"/>
          <w:color w:val="auto"/>
          <w:sz w:val="28"/>
          <w:szCs w:val="28"/>
          <w:highlight w:val="none"/>
        </w:rPr>
        <w:t>五、开启</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20日16</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分（北京时间）</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地点：伊宁市解放路77号亚欧国际9层</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24" w:name="_Toc28359017"/>
      <w:bookmarkStart w:id="25" w:name="_Toc28359094"/>
      <w:bookmarkStart w:id="26" w:name="_Toc35393803"/>
      <w:bookmarkStart w:id="27" w:name="_Toc35393634"/>
      <w:r>
        <w:rPr>
          <w:rFonts w:hint="eastAsia" w:ascii="仿宋" w:hAnsi="仿宋" w:eastAsia="仿宋" w:cs="仿宋"/>
          <w:color w:val="auto"/>
          <w:sz w:val="28"/>
          <w:szCs w:val="28"/>
          <w:highlight w:val="none"/>
        </w:rPr>
        <w:t>六、公告期限</w:t>
      </w:r>
      <w:bookmarkEnd w:id="24"/>
      <w:bookmarkEnd w:id="25"/>
      <w:bookmarkEnd w:id="26"/>
      <w:bookmarkEnd w:id="27"/>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28" w:name="_Toc35393635"/>
      <w:bookmarkStart w:id="29" w:name="_Toc35393804"/>
      <w:r>
        <w:rPr>
          <w:rFonts w:hint="eastAsia" w:ascii="仿宋" w:hAnsi="仿宋" w:eastAsia="仿宋" w:cs="仿宋"/>
          <w:color w:val="auto"/>
          <w:sz w:val="28"/>
          <w:szCs w:val="28"/>
          <w:highlight w:val="none"/>
        </w:rPr>
        <w:t>七、其他补充事宜</w:t>
      </w:r>
      <w:bookmarkEnd w:id="28"/>
      <w:bookmarkEnd w:id="2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30" w:name="_Toc35393636"/>
      <w:bookmarkStart w:id="31" w:name="_Toc28359095"/>
      <w:bookmarkStart w:id="32" w:name="_Toc35393805"/>
      <w:bookmarkStart w:id="33" w:name="_Toc28359018"/>
      <w:r>
        <w:rPr>
          <w:rFonts w:hint="eastAsia" w:ascii="仿宋" w:hAnsi="仿宋" w:eastAsia="仿宋" w:cs="仿宋"/>
          <w:color w:val="auto"/>
          <w:sz w:val="28"/>
          <w:szCs w:val="28"/>
          <w:highlight w:val="none"/>
        </w:rPr>
        <w:t>八、凡对本次采购提出询问，请按以下方式联系。</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34" w:name="_Toc28359019"/>
      <w:bookmarkStart w:id="35" w:name="_Toc35393637"/>
      <w:bookmarkStart w:id="36" w:name="_Toc28359096"/>
      <w:bookmarkStart w:id="37" w:name="_Toc35393806"/>
      <w:r>
        <w:rPr>
          <w:rFonts w:hint="eastAsia" w:ascii="仿宋" w:hAnsi="仿宋" w:eastAsia="仿宋" w:cs="仿宋"/>
          <w:color w:val="auto"/>
          <w:sz w:val="28"/>
          <w:szCs w:val="28"/>
          <w:highlight w:val="none"/>
        </w:rPr>
        <w:t>1.采购人信息</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eastAsia"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val="en-US" w:eastAsia="zh-CN"/>
        </w:rPr>
        <w:t xml:space="preserve">     伊犁州档案馆    </w:t>
      </w:r>
    </w:p>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val="en-US" w:eastAsia="zh-CN"/>
        </w:rPr>
        <w:t xml:space="preserve">        伊宁市       </w:t>
      </w:r>
    </w:p>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18095931395     </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38" w:name="_Toc28359020"/>
      <w:bookmarkStart w:id="39" w:name="_Toc28359097"/>
      <w:bookmarkStart w:id="40" w:name="_Toc35393807"/>
      <w:bookmarkStart w:id="41" w:name="_Toc35393638"/>
      <w:r>
        <w:rPr>
          <w:rFonts w:hint="eastAsia" w:ascii="仿宋" w:hAnsi="仿宋" w:eastAsia="仿宋" w:cs="仿宋"/>
          <w:color w:val="auto"/>
          <w:sz w:val="28"/>
          <w:szCs w:val="28"/>
          <w:highlight w:val="none"/>
        </w:rPr>
        <w:t>2.采购代理机构信息</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val="en-US" w:eastAsia="zh-CN"/>
        </w:rPr>
        <w:t xml:space="preserve"> 新疆新之建工程咨询有限公司</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val="en-US" w:eastAsia="zh-CN"/>
        </w:rPr>
        <w:t xml:space="preserve">          伊宁市           </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0999-8039929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rPr>
      </w:pPr>
      <w:bookmarkStart w:id="42" w:name="_Toc28359021"/>
      <w:bookmarkStart w:id="43" w:name="_Toc35393808"/>
      <w:bookmarkStart w:id="44" w:name="_Toc28359098"/>
      <w:bookmarkStart w:id="45" w:name="_Toc35393639"/>
      <w:r>
        <w:rPr>
          <w:rFonts w:hint="eastAsia" w:ascii="仿宋" w:hAnsi="仿宋" w:eastAsia="仿宋" w:cs="仿宋"/>
          <w:color w:val="auto"/>
          <w:sz w:val="28"/>
          <w:szCs w:val="28"/>
          <w:highlight w:val="none"/>
        </w:rPr>
        <w:t>3.项目联系方式</w:t>
      </w:r>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 xml:space="preserve">        李梦琪           </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13679953275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p>
    <w:p>
      <w:pPr>
        <w:pStyle w:val="25"/>
        <w:jc w:val="center"/>
        <w:rPr>
          <w:rFonts w:hint="eastAsia" w:ascii="仿宋" w:hAnsi="仿宋" w:eastAsia="仿宋" w:cs="仿宋"/>
          <w:color w:val="auto"/>
          <w:sz w:val="32"/>
          <w:szCs w:val="32"/>
          <w:highlight w:val="none"/>
        </w:rPr>
      </w:pPr>
    </w:p>
    <w:p>
      <w:pPr>
        <w:pStyle w:val="25"/>
        <w:jc w:val="center"/>
        <w:rPr>
          <w:rFonts w:hint="eastAsia" w:ascii="仿宋" w:hAnsi="仿宋" w:eastAsia="仿宋" w:cs="仿宋"/>
          <w:color w:val="auto"/>
          <w:sz w:val="32"/>
          <w:szCs w:val="32"/>
          <w:highlight w:val="none"/>
        </w:rPr>
      </w:pPr>
      <w:bookmarkStart w:id="49" w:name="_GoBack"/>
      <w:bookmarkEnd w:id="49"/>
      <w:r>
        <w:rPr>
          <w:rFonts w:hint="eastAsia" w:ascii="仿宋" w:hAnsi="仿宋" w:eastAsia="仿宋" w:cs="仿宋"/>
          <w:color w:val="auto"/>
          <w:sz w:val="32"/>
          <w:szCs w:val="32"/>
          <w:highlight w:val="none"/>
        </w:rPr>
        <w:t>第二章 磋商须知</w:t>
      </w:r>
      <w:bookmarkEnd w:id="3"/>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t>一、磋商须知前附表</w:t>
      </w:r>
    </w:p>
    <w:p>
      <w:pPr>
        <w:rPr>
          <w:rFonts w:hint="eastAsia" w:ascii="仿宋" w:hAnsi="仿宋" w:eastAsia="仿宋" w:cs="仿宋"/>
          <w:b/>
          <w:bCs/>
          <w:color w:val="auto"/>
          <w:sz w:val="24"/>
          <w:szCs w:val="24"/>
          <w:highlight w:val="none"/>
        </w:rPr>
      </w:pPr>
    </w:p>
    <w:tbl>
      <w:tblPr>
        <w:tblStyle w:val="20"/>
        <w:tblW w:w="9433" w:type="dxa"/>
        <w:tblInd w:w="-304" w:type="dxa"/>
        <w:tblLayout w:type="fixed"/>
        <w:tblCellMar>
          <w:top w:w="0" w:type="dxa"/>
          <w:left w:w="108" w:type="dxa"/>
          <w:bottom w:w="0" w:type="dxa"/>
          <w:right w:w="108" w:type="dxa"/>
        </w:tblCellMar>
      </w:tblPr>
      <w:tblGrid>
        <w:gridCol w:w="825"/>
        <w:gridCol w:w="8608"/>
      </w:tblGrid>
      <w:tr>
        <w:tblPrEx>
          <w:tblCellMar>
            <w:top w:w="0" w:type="dxa"/>
            <w:left w:w="108" w:type="dxa"/>
            <w:bottom w:w="0" w:type="dxa"/>
            <w:right w:w="108" w:type="dxa"/>
          </w:tblCellMar>
        </w:tblPrEx>
        <w:trPr>
          <w:trHeight w:val="585" w:hRule="atLeast"/>
          <w:tblHeader/>
        </w:trPr>
        <w:tc>
          <w:tcPr>
            <w:tcW w:w="825" w:type="dxa"/>
            <w:tcBorders>
              <w:top w:val="single" w:color="000000" w:sz="2" w:space="0"/>
              <w:left w:val="single" w:color="000000" w:sz="2" w:space="0"/>
              <w:bottom w:val="single" w:color="000000" w:sz="2"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7"/>
              <w:spacing w:line="300" w:lineRule="exact"/>
              <w:ind w:firstLine="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内     容</w:t>
            </w:r>
          </w:p>
        </w:tc>
      </w:tr>
      <w:tr>
        <w:tblPrEx>
          <w:tblCellMar>
            <w:top w:w="0" w:type="dxa"/>
            <w:left w:w="108" w:type="dxa"/>
            <w:bottom w:w="0" w:type="dxa"/>
            <w:right w:w="108" w:type="dxa"/>
          </w:tblCellMar>
        </w:tblPrEx>
        <w:trPr>
          <w:trHeight w:val="624" w:hRule="atLeast"/>
        </w:trPr>
        <w:tc>
          <w:tcPr>
            <w:tcW w:w="825" w:type="dxa"/>
            <w:tcBorders>
              <w:top w:val="single" w:color="000000" w:sz="2"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608" w:type="dxa"/>
            <w:tcBorders>
              <w:top w:val="single" w:color="000000" w:sz="2" w:space="0"/>
              <w:left w:val="single" w:color="000000" w:sz="2" w:space="0"/>
              <w:bottom w:val="single" w:color="000000" w:sz="4" w:space="0"/>
              <w:right w:val="single" w:color="000000" w:sz="2" w:space="0"/>
            </w:tcBorders>
            <w:noWrap w:val="0"/>
            <w:vAlign w:val="center"/>
          </w:tcPr>
          <w:p>
            <w:pPr>
              <w:pStyle w:val="27"/>
              <w:spacing w:line="300" w:lineRule="exact"/>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伊犁州档案馆业务规范化建设项目（一标段）</w:t>
            </w:r>
            <w:r>
              <w:rPr>
                <w:rFonts w:hint="eastAsia" w:ascii="仿宋" w:hAnsi="仿宋" w:eastAsia="仿宋" w:cs="仿宋"/>
                <w:color w:val="auto"/>
                <w:sz w:val="28"/>
                <w:szCs w:val="28"/>
                <w:highlight w:val="none"/>
                <w:lang w:eastAsia="zh-CN"/>
              </w:rPr>
              <w:t xml:space="preserve"> </w:t>
            </w:r>
          </w:p>
        </w:tc>
      </w:tr>
      <w:tr>
        <w:tblPrEx>
          <w:tblCellMar>
            <w:top w:w="0" w:type="dxa"/>
            <w:left w:w="108" w:type="dxa"/>
            <w:bottom w:w="0" w:type="dxa"/>
            <w:right w:w="108" w:type="dxa"/>
          </w:tblCellMar>
        </w:tblPrEx>
        <w:trPr>
          <w:trHeight w:val="631" w:hRule="atLeast"/>
        </w:trPr>
        <w:tc>
          <w:tcPr>
            <w:tcW w:w="825" w:type="dxa"/>
            <w:tcBorders>
              <w:top w:val="single" w:color="000000" w:sz="2"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608" w:type="dxa"/>
            <w:tcBorders>
              <w:top w:val="single" w:color="000000" w:sz="2" w:space="0"/>
              <w:left w:val="single" w:color="000000" w:sz="2" w:space="0"/>
              <w:bottom w:val="single" w:color="000000" w:sz="4" w:space="0"/>
              <w:right w:val="single" w:color="000000" w:sz="2" w:space="0"/>
            </w:tcBorders>
            <w:noWrap w:val="0"/>
            <w:vAlign w:val="center"/>
          </w:tcPr>
          <w:p>
            <w:pPr>
              <w:pStyle w:val="27"/>
              <w:spacing w:line="300" w:lineRule="exact"/>
              <w:ind w:left="0" w:leftChars="0"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2240xzjP</w:t>
            </w:r>
            <w:r>
              <w:rPr>
                <w:rFonts w:hint="eastAsia" w:ascii="仿宋" w:hAnsi="仿宋" w:eastAsia="仿宋" w:cs="仿宋"/>
                <w:color w:val="auto"/>
                <w:sz w:val="28"/>
                <w:szCs w:val="28"/>
                <w:highlight w:val="none"/>
                <w:lang w:val="en-US" w:eastAsia="zh-CN"/>
              </w:rPr>
              <w:t>73—1</w:t>
            </w:r>
          </w:p>
        </w:tc>
      </w:tr>
      <w:tr>
        <w:tblPrEx>
          <w:tblCellMar>
            <w:top w:w="0" w:type="dxa"/>
            <w:left w:w="108" w:type="dxa"/>
            <w:bottom w:w="0" w:type="dxa"/>
            <w:right w:w="108" w:type="dxa"/>
          </w:tblCellMar>
        </w:tblPrEx>
        <w:trPr>
          <w:trHeight w:val="1329" w:hRule="atLeast"/>
        </w:trPr>
        <w:tc>
          <w:tcPr>
            <w:tcW w:w="825" w:type="dxa"/>
            <w:tcBorders>
              <w:top w:val="single" w:color="000000" w:sz="4"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8608" w:type="dxa"/>
            <w:tcBorders>
              <w:top w:val="single" w:color="000000" w:sz="4" w:space="0"/>
              <w:left w:val="single" w:color="000000" w:sz="2" w:space="0"/>
              <w:bottom w:val="single" w:color="000000"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本项目共划分为四个标段：本磋商文件为一标段：采购一批安全保管设施设备；具体内容详见磋商文件。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本</w:t>
            </w:r>
            <w:r>
              <w:rPr>
                <w:rFonts w:hint="eastAsia" w:ascii="仿宋" w:hAnsi="仿宋" w:eastAsia="仿宋" w:cs="仿宋"/>
                <w:b/>
                <w:bCs/>
                <w:color w:val="auto"/>
                <w:sz w:val="28"/>
                <w:szCs w:val="28"/>
                <w:highlight w:val="none"/>
                <w:lang w:val="en-US" w:eastAsia="zh-CN"/>
              </w:rPr>
              <w:t>标段</w:t>
            </w:r>
            <w:r>
              <w:rPr>
                <w:rFonts w:hint="eastAsia" w:ascii="仿宋" w:hAnsi="仿宋" w:eastAsia="仿宋" w:cs="仿宋"/>
                <w:b/>
                <w:bCs/>
                <w:color w:val="auto"/>
                <w:sz w:val="28"/>
                <w:szCs w:val="28"/>
                <w:highlight w:val="none"/>
              </w:rPr>
              <w:t>预算</w:t>
            </w:r>
            <w:r>
              <w:rPr>
                <w:rFonts w:hint="eastAsia" w:ascii="仿宋" w:hAnsi="仿宋" w:eastAsia="仿宋" w:cs="仿宋"/>
                <w:b/>
                <w:bCs/>
                <w:color w:val="auto"/>
                <w:sz w:val="28"/>
                <w:szCs w:val="28"/>
                <w:highlight w:val="none"/>
                <w:lang w:val="en-US" w:eastAsia="zh-CN"/>
              </w:rPr>
              <w:t>金额</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最高限价</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92200元。</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注：供应商报价超过项目最高限价的按无效响应处理。</w:t>
            </w:r>
          </w:p>
        </w:tc>
      </w:tr>
      <w:tr>
        <w:tblPrEx>
          <w:tblCellMar>
            <w:top w:w="0" w:type="dxa"/>
            <w:left w:w="108" w:type="dxa"/>
            <w:bottom w:w="0" w:type="dxa"/>
            <w:right w:w="108" w:type="dxa"/>
          </w:tblCellMar>
        </w:tblPrEx>
        <w:trPr>
          <w:trHeight w:val="615" w:hRule="atLeast"/>
        </w:trPr>
        <w:tc>
          <w:tcPr>
            <w:tcW w:w="825" w:type="dxa"/>
            <w:tcBorders>
              <w:top w:val="single" w:color="000000" w:sz="4"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8608" w:type="dxa"/>
            <w:tcBorders>
              <w:top w:val="single" w:color="000000" w:sz="4" w:space="0"/>
              <w:left w:val="single" w:color="000000" w:sz="2" w:space="0"/>
              <w:bottom w:val="single" w:color="000000" w:sz="4" w:space="0"/>
              <w:right w:val="single" w:color="000000" w:sz="2" w:space="0"/>
            </w:tcBorders>
            <w:noWrap w:val="0"/>
            <w:vAlign w:val="center"/>
          </w:tcPr>
          <w:p>
            <w:pPr>
              <w:pStyle w:val="27"/>
              <w:spacing w:line="300" w:lineRule="exact"/>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val="en-US" w:eastAsia="zh-CN"/>
              </w:rPr>
              <w:t>伊犁州伊宁市</w:t>
            </w:r>
          </w:p>
        </w:tc>
      </w:tr>
      <w:tr>
        <w:tblPrEx>
          <w:tblCellMar>
            <w:top w:w="0" w:type="dxa"/>
            <w:left w:w="108" w:type="dxa"/>
            <w:bottom w:w="0" w:type="dxa"/>
            <w:right w:w="108" w:type="dxa"/>
          </w:tblCellMar>
        </w:tblPrEx>
        <w:trPr>
          <w:trHeight w:val="671" w:hRule="atLeast"/>
        </w:trPr>
        <w:tc>
          <w:tcPr>
            <w:tcW w:w="825" w:type="dxa"/>
            <w:tcBorders>
              <w:top w:val="single" w:color="000000" w:sz="4"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8608" w:type="dxa"/>
            <w:tcBorders>
              <w:top w:val="single" w:color="000000" w:sz="4" w:space="0"/>
              <w:left w:val="single" w:color="000000" w:sz="2" w:space="0"/>
              <w:bottom w:val="single" w:color="000000"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30日历日。</w:t>
            </w:r>
          </w:p>
        </w:tc>
      </w:tr>
      <w:tr>
        <w:tblPrEx>
          <w:tblCellMar>
            <w:top w:w="0" w:type="dxa"/>
            <w:left w:w="108" w:type="dxa"/>
            <w:bottom w:w="0" w:type="dxa"/>
            <w:right w:w="108" w:type="dxa"/>
          </w:tblCellMar>
        </w:tblPrEx>
        <w:trPr>
          <w:trHeight w:val="741" w:hRule="atLeast"/>
        </w:trPr>
        <w:tc>
          <w:tcPr>
            <w:tcW w:w="825" w:type="dxa"/>
            <w:tcBorders>
              <w:top w:val="single" w:color="000000" w:sz="4"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8608" w:type="dxa"/>
            <w:tcBorders>
              <w:top w:val="single" w:color="000000" w:sz="4" w:space="0"/>
              <w:left w:val="single" w:color="000000" w:sz="2" w:space="0"/>
              <w:bottom w:val="single" w:color="000000" w:sz="4" w:space="0"/>
              <w:right w:val="single" w:color="000000" w:sz="2" w:space="0"/>
            </w:tcBorders>
            <w:noWrap w:val="0"/>
            <w:vAlign w:val="center"/>
          </w:tcPr>
          <w:p>
            <w:pPr>
              <w:pStyle w:val="28"/>
              <w:spacing w:line="300" w:lineRule="exact"/>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分包要求：本项不得分包。如供应商未按照合同要求分包，采购人有权终止采购活动，要求供应商对造成的损失进行赔偿。</w:t>
            </w:r>
          </w:p>
        </w:tc>
      </w:tr>
      <w:tr>
        <w:tblPrEx>
          <w:tblCellMar>
            <w:top w:w="0" w:type="dxa"/>
            <w:left w:w="108" w:type="dxa"/>
            <w:bottom w:w="0" w:type="dxa"/>
            <w:right w:w="108" w:type="dxa"/>
          </w:tblCellMar>
        </w:tblPrEx>
        <w:trPr>
          <w:trHeight w:val="631" w:hRule="atLeast"/>
        </w:trPr>
        <w:tc>
          <w:tcPr>
            <w:tcW w:w="825" w:type="dxa"/>
            <w:tcBorders>
              <w:top w:val="single" w:color="000000" w:sz="4"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8608" w:type="dxa"/>
            <w:tcBorders>
              <w:top w:val="single" w:color="000000" w:sz="4" w:space="0"/>
              <w:left w:val="single" w:color="000000" w:sz="2" w:space="0"/>
              <w:bottom w:val="single" w:color="000000" w:sz="4" w:space="0"/>
              <w:right w:val="single" w:color="000000" w:sz="2" w:space="0"/>
            </w:tcBorders>
            <w:noWrap w:val="0"/>
            <w:vAlign w:val="center"/>
          </w:tcPr>
          <w:p>
            <w:pPr>
              <w:pStyle w:val="28"/>
              <w:spacing w:line="300" w:lineRule="exact"/>
              <w:jc w:val="both"/>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rPr>
              <w:t>资金落实：</w:t>
            </w:r>
            <w:r>
              <w:rPr>
                <w:rFonts w:hint="eastAsia" w:ascii="仿宋" w:hAnsi="仿宋" w:eastAsia="仿宋" w:cs="仿宋"/>
                <w:color w:val="auto"/>
                <w:kern w:val="2"/>
                <w:sz w:val="28"/>
                <w:szCs w:val="28"/>
                <w:highlight w:val="none"/>
                <w:lang w:val="en-US" w:eastAsia="zh-CN"/>
              </w:rPr>
              <w:t>财政资金，已落实</w:t>
            </w:r>
            <w:r>
              <w:rPr>
                <w:rFonts w:hint="eastAsia" w:ascii="仿宋" w:hAnsi="仿宋" w:eastAsia="仿宋" w:cs="仿宋"/>
                <w:color w:val="auto"/>
                <w:kern w:val="2"/>
                <w:sz w:val="28"/>
                <w:szCs w:val="28"/>
                <w:highlight w:val="none"/>
                <w:lang w:eastAsia="zh-CN"/>
              </w:rPr>
              <w:t>。</w:t>
            </w:r>
          </w:p>
        </w:tc>
      </w:tr>
      <w:tr>
        <w:tblPrEx>
          <w:tblCellMar>
            <w:top w:w="0" w:type="dxa"/>
            <w:left w:w="108" w:type="dxa"/>
            <w:bottom w:w="0" w:type="dxa"/>
            <w:right w:w="108" w:type="dxa"/>
          </w:tblCellMar>
        </w:tblPrEx>
        <w:trPr>
          <w:trHeight w:val="671" w:hRule="atLeast"/>
        </w:trPr>
        <w:tc>
          <w:tcPr>
            <w:tcW w:w="825" w:type="dxa"/>
            <w:tcBorders>
              <w:top w:val="single" w:color="000000" w:sz="4"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8608" w:type="dxa"/>
            <w:tcBorders>
              <w:top w:val="single" w:color="000000" w:sz="4" w:space="0"/>
              <w:left w:val="single" w:color="000000" w:sz="2" w:space="0"/>
              <w:bottom w:val="single" w:color="000000" w:sz="4" w:space="0"/>
              <w:right w:val="single" w:color="000000" w:sz="2" w:space="0"/>
            </w:tcBorders>
            <w:noWrap w:val="0"/>
            <w:vAlign w:val="center"/>
          </w:tcPr>
          <w:p>
            <w:pPr>
              <w:pStyle w:val="28"/>
              <w:spacing w:line="300" w:lineRule="exact"/>
              <w:jc w:val="both"/>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rPr>
              <w:t>现场踏勘：</w:t>
            </w:r>
            <w:r>
              <w:rPr>
                <w:rFonts w:hint="eastAsia" w:ascii="仿宋" w:hAnsi="仿宋" w:eastAsia="仿宋" w:cs="仿宋"/>
                <w:color w:val="auto"/>
                <w:kern w:val="2"/>
                <w:sz w:val="28"/>
                <w:szCs w:val="28"/>
                <w:highlight w:val="none"/>
                <w:lang w:val="en-US" w:eastAsia="zh-CN"/>
              </w:rPr>
              <w:t>/</w:t>
            </w:r>
            <w:r>
              <w:rPr>
                <w:rFonts w:hint="eastAsia" w:ascii="仿宋" w:hAnsi="仿宋" w:eastAsia="仿宋" w:cs="仿宋"/>
                <w:color w:val="auto"/>
                <w:sz w:val="28"/>
                <w:szCs w:val="28"/>
                <w:highlight w:val="none"/>
              </w:rPr>
              <w:t>。</w:t>
            </w:r>
          </w:p>
        </w:tc>
      </w:tr>
      <w:tr>
        <w:tblPrEx>
          <w:tblCellMar>
            <w:top w:w="0" w:type="dxa"/>
            <w:left w:w="108" w:type="dxa"/>
            <w:bottom w:w="0" w:type="dxa"/>
            <w:right w:w="108" w:type="dxa"/>
          </w:tblCellMar>
        </w:tblPrEx>
        <w:trPr>
          <w:trHeight w:val="3970" w:hRule="atLeast"/>
        </w:trPr>
        <w:tc>
          <w:tcPr>
            <w:tcW w:w="825" w:type="dxa"/>
            <w:tcBorders>
              <w:top w:val="single" w:color="000000" w:sz="4"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8608" w:type="dxa"/>
            <w:tcBorders>
              <w:top w:val="single" w:color="000000" w:sz="4" w:space="0"/>
              <w:left w:val="single" w:color="000000" w:sz="2" w:space="0"/>
              <w:bottom w:val="single" w:color="000000" w:sz="4" w:space="0"/>
              <w:right w:val="single" w:color="000000" w:sz="2" w:space="0"/>
            </w:tcBorders>
            <w:noWrap w:val="0"/>
            <w:vAlign w:val="center"/>
          </w:tcPr>
          <w:p>
            <w:pPr>
              <w:pStyle w:val="28"/>
              <w:spacing w:line="300" w:lineRule="exact"/>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资格要求：</w:t>
            </w:r>
          </w:p>
          <w:p>
            <w:pPr>
              <w:pStyle w:val="28"/>
              <w:numPr>
                <w:ilvl w:val="0"/>
                <w:numId w:val="0"/>
              </w:numPr>
              <w:spacing w:line="300" w:lineRule="exact"/>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1.满足《中华人民共和国政府采购法》第二十二条规定</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具有有效的营业执照；</w:t>
            </w:r>
          </w:p>
          <w:p>
            <w:pPr>
              <w:pStyle w:val="28"/>
              <w:numPr>
                <w:ilvl w:val="0"/>
                <w:numId w:val="0"/>
              </w:numPr>
              <w:spacing w:line="300" w:lineRule="exact"/>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 年第16号）；（5）工信部等部委发布的《关于印发中小企业划型标准规定的通知》（工信部联企业[2011]300号）及《政府采购促进中小企业发展管理办法》（财库〔2020〕46号）、关于转发《政府采购促进中小企业发展管理办法》的通知（兵财库〔2021〕7号）；（6）根据财政部、司法部关于政府采购支持监狱企业发展有关问题的通知（财库[2014]68号），财政部、民政部、中国残疾人联合会关于促进残疾人就业政府采购政策的通知（财库[2017]141号），监狱企业、残疾人福利性单位视同小型、微型企业，享受小型、微型企业评审中价格扣除的政府采购政策。（中小企业优惠、监狱企业、节能产品、环境标志产品等）扶持中小企业政策：评审时小型和微型企业产品享受6%的价格折扣，监狱企业、残疾人福利组织视同小型、微型企业；</w:t>
            </w:r>
          </w:p>
          <w:p>
            <w:pPr>
              <w:pStyle w:val="28"/>
              <w:numPr>
                <w:ilvl w:val="0"/>
                <w:numId w:val="0"/>
              </w:numPr>
              <w:spacing w:line="300" w:lineRule="exact"/>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3.凡参加本次项目的</w:t>
            </w:r>
            <w:r>
              <w:rPr>
                <w:rFonts w:hint="eastAsia" w:ascii="仿宋" w:hAnsi="仿宋" w:eastAsia="仿宋" w:cs="仿宋"/>
                <w:color w:val="auto"/>
                <w:kern w:val="2"/>
                <w:sz w:val="28"/>
                <w:szCs w:val="28"/>
                <w:highlight w:val="none"/>
                <w:lang w:eastAsia="zh-CN"/>
              </w:rPr>
              <w:t>供应商</w:t>
            </w:r>
            <w:r>
              <w:rPr>
                <w:rFonts w:hint="eastAsia" w:ascii="仿宋" w:hAnsi="仿宋" w:eastAsia="仿宋" w:cs="仿宋"/>
                <w:color w:val="auto"/>
                <w:kern w:val="2"/>
                <w:sz w:val="28"/>
                <w:szCs w:val="28"/>
                <w:highlight w:val="none"/>
              </w:rPr>
              <w:t>，未被“信用中国”网站（www.creditchina.gov.cn）中列入失信被执行人或重大税收违法案件当事人名单的供应商、未被中国政府采购网（www.ccgp.gov.cn）列入政府采购严重违法失信行为记录名单中被财政部门禁止参加政府采购活动的供应商（处罚决定规定的时间和地域范围内），网页打印件须自磋商公告发布之日起至投标截止时间从上述网站中打印）；</w:t>
            </w:r>
          </w:p>
          <w:p>
            <w:pPr>
              <w:pStyle w:val="28"/>
              <w:numPr>
                <w:ilvl w:val="0"/>
                <w:numId w:val="0"/>
              </w:numPr>
              <w:spacing w:line="300" w:lineRule="exact"/>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rPr>
              <w:t>.单位负责人为同一人或者存在直接控股、管理关系的不同供应商，不得参加同一子包的投标；</w:t>
            </w:r>
          </w:p>
          <w:p>
            <w:pPr>
              <w:pStyle w:val="28"/>
              <w:numPr>
                <w:ilvl w:val="0"/>
                <w:numId w:val="0"/>
              </w:numPr>
              <w:spacing w:line="300" w:lineRule="exact"/>
              <w:ind w:left="0" w:leftChars="0" w:firstLine="0" w:firstLineChars="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本项目不接受联合体投标</w:t>
            </w:r>
            <w:r>
              <w:rPr>
                <w:rFonts w:hint="eastAsia" w:ascii="仿宋" w:hAnsi="仿宋" w:eastAsia="仿宋" w:cs="仿宋"/>
                <w:color w:val="auto"/>
                <w:kern w:val="2"/>
                <w:sz w:val="28"/>
                <w:szCs w:val="28"/>
                <w:highlight w:val="none"/>
                <w:lang w:eastAsia="zh-CN"/>
              </w:rPr>
              <w:t>。</w:t>
            </w:r>
          </w:p>
        </w:tc>
      </w:tr>
      <w:tr>
        <w:tblPrEx>
          <w:tblCellMar>
            <w:top w:w="0" w:type="dxa"/>
            <w:left w:w="108" w:type="dxa"/>
            <w:bottom w:w="0" w:type="dxa"/>
            <w:right w:w="108" w:type="dxa"/>
          </w:tblCellMar>
        </w:tblPrEx>
        <w:trPr>
          <w:trHeight w:val="1083" w:hRule="atLeast"/>
        </w:trPr>
        <w:tc>
          <w:tcPr>
            <w:tcW w:w="825" w:type="dxa"/>
            <w:tcBorders>
              <w:top w:val="single" w:color="000000" w:sz="4" w:space="0"/>
              <w:left w:val="single" w:color="000000" w:sz="2" w:space="0"/>
              <w:bottom w:val="single" w:color="000000" w:sz="4"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c>
          <w:tcPr>
            <w:tcW w:w="8608" w:type="dxa"/>
            <w:tcBorders>
              <w:top w:val="single" w:color="000000" w:sz="4" w:space="0"/>
              <w:left w:val="single" w:color="000000" w:sz="2" w:space="0"/>
              <w:bottom w:val="single" w:color="000000" w:sz="4" w:space="0"/>
              <w:right w:val="single" w:color="000000" w:sz="2" w:space="0"/>
            </w:tcBorders>
            <w:noWrap w:val="0"/>
            <w:vAlign w:val="center"/>
          </w:tcPr>
          <w:p>
            <w:pPr>
              <w:pStyle w:val="27"/>
              <w:spacing w:line="30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伊犁州档案馆</w:t>
            </w:r>
            <w:r>
              <w:rPr>
                <w:rFonts w:hint="eastAsia" w:ascii="仿宋" w:hAnsi="仿宋" w:eastAsia="仿宋" w:cs="仿宋"/>
                <w:color w:val="auto"/>
                <w:sz w:val="28"/>
                <w:szCs w:val="28"/>
                <w:highlight w:val="none"/>
                <w:lang w:eastAsia="zh-CN"/>
              </w:rPr>
              <w:t xml:space="preserve"> </w:t>
            </w:r>
          </w:p>
          <w:p>
            <w:pPr>
              <w:pStyle w:val="27"/>
              <w:spacing w:line="300" w:lineRule="exact"/>
              <w:ind w:left="0" w:lef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 xml:space="preserve">柏主任              </w:t>
            </w:r>
          </w:p>
          <w:p>
            <w:pPr>
              <w:pStyle w:val="27"/>
              <w:spacing w:line="30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：18095931395   </w:t>
            </w:r>
          </w:p>
        </w:tc>
      </w:tr>
      <w:tr>
        <w:tblPrEx>
          <w:tblCellMar>
            <w:top w:w="0" w:type="dxa"/>
            <w:left w:w="108" w:type="dxa"/>
            <w:bottom w:w="0" w:type="dxa"/>
            <w:right w:w="108" w:type="dxa"/>
          </w:tblCellMar>
        </w:tblPrEx>
        <w:trPr>
          <w:trHeight w:val="512" w:hRule="atLeast"/>
        </w:trPr>
        <w:tc>
          <w:tcPr>
            <w:tcW w:w="825" w:type="dxa"/>
            <w:tcBorders>
              <w:top w:val="single" w:color="000000" w:sz="2" w:space="0"/>
              <w:left w:val="single" w:color="000000" w:sz="2" w:space="0"/>
              <w:bottom w:val="single" w:color="000000" w:sz="2"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7"/>
              <w:spacing w:line="30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采购代理机构：新疆新之建工程咨询有限公司</w:t>
            </w:r>
          </w:p>
        </w:tc>
      </w:tr>
      <w:tr>
        <w:tblPrEx>
          <w:tblCellMar>
            <w:top w:w="0" w:type="dxa"/>
            <w:left w:w="108" w:type="dxa"/>
            <w:bottom w:w="0" w:type="dxa"/>
            <w:right w:w="108" w:type="dxa"/>
          </w:tblCellMar>
        </w:tblPrEx>
        <w:trPr>
          <w:trHeight w:val="4060" w:hRule="atLeast"/>
        </w:trPr>
        <w:tc>
          <w:tcPr>
            <w:tcW w:w="825" w:type="dxa"/>
            <w:tcBorders>
              <w:top w:val="single" w:color="000000" w:sz="2" w:space="0"/>
              <w:left w:val="single" w:color="000000" w:sz="2" w:space="0"/>
              <w:bottom w:val="single" w:color="000000" w:sz="2"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7"/>
              <w:spacing w:line="300" w:lineRule="exact"/>
              <w:ind w:left="0" w:leftChars="0" w:firstLine="0" w:firstLineChars="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磋商保证金金额</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u w:val="single"/>
                <w:lang w:val="en-US" w:eastAsia="zh-CN"/>
              </w:rPr>
              <w:t>1800</w:t>
            </w:r>
            <w:r>
              <w:rPr>
                <w:rFonts w:hint="eastAsia" w:ascii="仿宋" w:hAnsi="仿宋" w:eastAsia="仿宋" w:cs="仿宋"/>
                <w:b/>
                <w:bCs/>
                <w:color w:val="auto"/>
                <w:sz w:val="28"/>
                <w:szCs w:val="28"/>
                <w:highlight w:val="none"/>
                <w:u w:val="single"/>
              </w:rPr>
              <w:t xml:space="preserve">.00 </w:t>
            </w:r>
            <w:r>
              <w:rPr>
                <w:rFonts w:hint="eastAsia" w:ascii="仿宋" w:hAnsi="仿宋" w:eastAsia="仿宋" w:cs="仿宋"/>
                <w:b/>
                <w:bCs/>
                <w:color w:val="auto"/>
                <w:sz w:val="28"/>
                <w:szCs w:val="28"/>
                <w:highlight w:val="none"/>
              </w:rPr>
              <w:t>元（</w:t>
            </w:r>
            <w:r>
              <w:rPr>
                <w:rFonts w:hint="eastAsia" w:ascii="仿宋" w:hAnsi="仿宋" w:eastAsia="仿宋" w:cs="仿宋"/>
                <w:b/>
                <w:bCs/>
                <w:color w:val="auto"/>
                <w:sz w:val="28"/>
                <w:szCs w:val="28"/>
                <w:highlight w:val="none"/>
                <w:lang w:val="en-US" w:eastAsia="zh-CN"/>
              </w:rPr>
              <w:t>壹仟捌佰</w:t>
            </w:r>
            <w:r>
              <w:rPr>
                <w:rFonts w:hint="eastAsia" w:ascii="仿宋" w:hAnsi="仿宋" w:eastAsia="仿宋" w:cs="仿宋"/>
                <w:b/>
                <w:bCs/>
                <w:color w:val="auto"/>
                <w:sz w:val="28"/>
                <w:szCs w:val="28"/>
                <w:highlight w:val="none"/>
              </w:rPr>
              <w:t>元整）</w:t>
            </w:r>
            <w:r>
              <w:rPr>
                <w:rFonts w:hint="eastAsia" w:ascii="仿宋" w:hAnsi="仿宋" w:eastAsia="仿宋" w:cs="仿宋"/>
                <w:b/>
                <w:bCs/>
                <w:color w:val="auto"/>
                <w:sz w:val="28"/>
                <w:szCs w:val="28"/>
                <w:highlight w:val="none"/>
                <w:lang w:eastAsia="zh-CN"/>
              </w:rPr>
              <w:t>；</w:t>
            </w:r>
          </w:p>
          <w:p>
            <w:pPr>
              <w:pStyle w:val="27"/>
              <w:spacing w:line="300" w:lineRule="exact"/>
              <w:ind w:left="0" w:leftChars="0" w:firstLine="0" w:firstLineChars="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形式：电汇或保函（优先使用保函）；</w:t>
            </w:r>
          </w:p>
          <w:p>
            <w:pPr>
              <w:pStyle w:val="27"/>
              <w:spacing w:line="30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由供应商的基本账户汇出。于响应文件递交截止时间前以银行电汇的形式汇入我公司指定账户。</w:t>
            </w:r>
          </w:p>
          <w:p>
            <w:pPr>
              <w:pStyle w:val="27"/>
              <w:spacing w:line="30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开户名称：新疆新之建工程咨询有限公司伊犁分公司</w:t>
            </w:r>
          </w:p>
          <w:p>
            <w:pPr>
              <w:pStyle w:val="27"/>
              <w:spacing w:line="30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开户银行：新疆伊犁农村商业银行股份有限公司营业部</w:t>
            </w:r>
          </w:p>
          <w:p>
            <w:pPr>
              <w:pStyle w:val="27"/>
              <w:spacing w:line="30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账    号：812010312010136147390</w:t>
            </w:r>
          </w:p>
          <w:p>
            <w:pPr>
              <w:pStyle w:val="27"/>
              <w:spacing w:line="30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行    号：402898000017</w:t>
            </w:r>
          </w:p>
          <w:p>
            <w:pPr>
              <w:pStyle w:val="27"/>
              <w:spacing w:line="30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社会信用代码：91654002MA786EFJ99</w:t>
            </w:r>
          </w:p>
          <w:p>
            <w:pPr>
              <w:pStyle w:val="27"/>
              <w:spacing w:line="30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通信地址：伊宁市解放路77号亚欧国际写字楼</w:t>
            </w:r>
          </w:p>
          <w:p>
            <w:pPr>
              <w:pStyle w:val="27"/>
              <w:spacing w:line="30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邮    编：835000 </w:t>
            </w:r>
          </w:p>
          <w:p>
            <w:pPr>
              <w:pStyle w:val="27"/>
              <w:spacing w:line="30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供应商递交保证金时请在汇款时注明“汇款单位、项目名称、汇款事由（</w:t>
            </w:r>
            <w:r>
              <w:rPr>
                <w:rFonts w:hint="eastAsia" w:ascii="仿宋" w:hAnsi="仿宋" w:eastAsia="仿宋" w:cs="仿宋"/>
                <w:b/>
                <w:bCs/>
                <w:color w:val="auto"/>
                <w:sz w:val="28"/>
                <w:szCs w:val="28"/>
                <w:highlight w:val="none"/>
                <w:lang w:val="en-US" w:eastAsia="zh-CN"/>
              </w:rPr>
              <w:t>X项目X标段</w:t>
            </w:r>
            <w:r>
              <w:rPr>
                <w:rFonts w:hint="eastAsia" w:ascii="仿宋" w:hAnsi="仿宋" w:eastAsia="仿宋" w:cs="仿宋"/>
                <w:b/>
                <w:bCs/>
                <w:color w:val="auto"/>
                <w:sz w:val="28"/>
                <w:szCs w:val="28"/>
                <w:highlight w:val="none"/>
              </w:rPr>
              <w:t>磋商保证金）”，对因未注明汇款单位、项目名称及汇款事由而造成保证金不能及时到账的，后果由供应商自负。</w:t>
            </w:r>
          </w:p>
        </w:tc>
      </w:tr>
      <w:tr>
        <w:tblPrEx>
          <w:tblCellMar>
            <w:top w:w="0" w:type="dxa"/>
            <w:left w:w="108" w:type="dxa"/>
            <w:bottom w:w="0" w:type="dxa"/>
            <w:right w:w="108" w:type="dxa"/>
          </w:tblCellMar>
        </w:tblPrEx>
        <w:trPr>
          <w:trHeight w:val="675" w:hRule="atLeast"/>
        </w:trPr>
        <w:tc>
          <w:tcPr>
            <w:tcW w:w="825" w:type="dxa"/>
            <w:tcBorders>
              <w:top w:val="single" w:color="000000" w:sz="2" w:space="0"/>
              <w:left w:val="single" w:color="000000" w:sz="2" w:space="0"/>
              <w:bottom w:val="single" w:color="000000" w:sz="2"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7"/>
              <w:spacing w:line="300" w:lineRule="exact"/>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磋商有效期：</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rPr>
              <w:t>个日历日</w:t>
            </w:r>
          </w:p>
        </w:tc>
      </w:tr>
      <w:tr>
        <w:tblPrEx>
          <w:tblCellMar>
            <w:top w:w="0" w:type="dxa"/>
            <w:left w:w="108" w:type="dxa"/>
            <w:bottom w:w="0" w:type="dxa"/>
            <w:right w:w="108" w:type="dxa"/>
          </w:tblCellMar>
        </w:tblPrEx>
        <w:trPr>
          <w:trHeight w:val="717" w:hRule="atLeast"/>
        </w:trPr>
        <w:tc>
          <w:tcPr>
            <w:tcW w:w="825" w:type="dxa"/>
            <w:tcBorders>
              <w:top w:val="single" w:color="000000" w:sz="2" w:space="0"/>
              <w:left w:val="single" w:color="000000" w:sz="2" w:space="0"/>
              <w:bottom w:val="single" w:color="000000" w:sz="2"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7"/>
              <w:spacing w:line="300" w:lineRule="exact"/>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磋商时间：20</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20日</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0时，</w:t>
            </w:r>
            <w:r>
              <w:rPr>
                <w:rFonts w:hint="eastAsia" w:ascii="仿宋" w:hAnsi="仿宋" w:eastAsia="仿宋" w:cs="仿宋"/>
                <w:color w:val="auto"/>
                <w:sz w:val="28"/>
                <w:szCs w:val="28"/>
                <w:highlight w:val="none"/>
                <w:lang w:val="zh-CN"/>
              </w:rPr>
              <w:t>逾期送达的响应文件将被拒收。</w:t>
            </w:r>
          </w:p>
        </w:tc>
      </w:tr>
      <w:tr>
        <w:tblPrEx>
          <w:tblCellMar>
            <w:top w:w="0" w:type="dxa"/>
            <w:left w:w="108" w:type="dxa"/>
            <w:bottom w:w="0" w:type="dxa"/>
            <w:right w:w="108" w:type="dxa"/>
          </w:tblCellMar>
        </w:tblPrEx>
        <w:trPr>
          <w:trHeight w:val="634" w:hRule="atLeast"/>
        </w:trPr>
        <w:tc>
          <w:tcPr>
            <w:tcW w:w="825" w:type="dxa"/>
            <w:tcBorders>
              <w:top w:val="single" w:color="000000" w:sz="2" w:space="0"/>
              <w:left w:val="single" w:color="000000" w:sz="2" w:space="0"/>
              <w:bottom w:val="single" w:color="000000" w:sz="2"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磋商地点：伊宁市解放路77号亚欧国际9层。</w:t>
            </w:r>
          </w:p>
        </w:tc>
      </w:tr>
      <w:tr>
        <w:tblPrEx>
          <w:tblCellMar>
            <w:top w:w="0" w:type="dxa"/>
            <w:left w:w="108" w:type="dxa"/>
            <w:bottom w:w="0" w:type="dxa"/>
            <w:right w:w="108" w:type="dxa"/>
          </w:tblCellMar>
        </w:tblPrEx>
        <w:trPr>
          <w:trHeight w:val="732" w:hRule="atLeast"/>
        </w:trPr>
        <w:tc>
          <w:tcPr>
            <w:tcW w:w="825" w:type="dxa"/>
            <w:tcBorders>
              <w:top w:val="single" w:color="000000" w:sz="2" w:space="0"/>
              <w:left w:val="single" w:color="000000" w:sz="2" w:space="0"/>
              <w:bottom w:val="single" w:color="000000" w:sz="2"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7"/>
              <w:spacing w:line="300" w:lineRule="exact"/>
              <w:ind w:left="0" w:leftChars="0" w:firstLine="0" w:firstLineChars="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响应文件递交至：伊宁市解放路77号亚欧国际9层。</w:t>
            </w:r>
          </w:p>
        </w:tc>
      </w:tr>
      <w:tr>
        <w:tblPrEx>
          <w:tblCellMar>
            <w:top w:w="0" w:type="dxa"/>
            <w:left w:w="108" w:type="dxa"/>
            <w:bottom w:w="0" w:type="dxa"/>
            <w:right w:w="108" w:type="dxa"/>
          </w:tblCellMar>
        </w:tblPrEx>
        <w:trPr>
          <w:trHeight w:val="732" w:hRule="atLeast"/>
        </w:trPr>
        <w:tc>
          <w:tcPr>
            <w:tcW w:w="825" w:type="dxa"/>
            <w:tcBorders>
              <w:top w:val="single" w:color="000000" w:sz="2" w:space="0"/>
              <w:left w:val="single" w:color="000000" w:sz="2" w:space="0"/>
              <w:bottom w:val="single" w:color="000000" w:sz="2" w:space="0"/>
            </w:tcBorders>
            <w:noWrap w:val="0"/>
            <w:vAlign w:val="center"/>
          </w:tcPr>
          <w:p>
            <w:pPr>
              <w:pStyle w:val="27"/>
              <w:spacing w:line="300" w:lineRule="exact"/>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7"/>
              <w:spacing w:line="300" w:lineRule="exact"/>
              <w:ind w:left="0" w:leftChars="0" w:firstLine="0" w:firstLineChars="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响应文件的数目：正本壹份、副本肆份。</w:t>
            </w:r>
          </w:p>
        </w:tc>
      </w:tr>
      <w:tr>
        <w:tblPrEx>
          <w:tblCellMar>
            <w:top w:w="0" w:type="dxa"/>
            <w:left w:w="108" w:type="dxa"/>
            <w:bottom w:w="0" w:type="dxa"/>
            <w:right w:w="108" w:type="dxa"/>
          </w:tblCellMar>
        </w:tblPrEx>
        <w:trPr>
          <w:trHeight w:val="915"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rPr>
              <w:t>付款方式：</w:t>
            </w:r>
            <w:r>
              <w:rPr>
                <w:rFonts w:hint="eastAsia" w:ascii="仿宋" w:hAnsi="仿宋" w:eastAsia="仿宋" w:cs="仿宋"/>
                <w:color w:val="auto"/>
                <w:kern w:val="2"/>
                <w:sz w:val="28"/>
                <w:szCs w:val="28"/>
                <w:highlight w:val="none"/>
                <w:lang w:val="en-US" w:eastAsia="zh-CN"/>
              </w:rPr>
              <w:t>合同签订后支付合同价款的30%，全部工作完成并验收合格后支付剩余70%。</w:t>
            </w:r>
          </w:p>
        </w:tc>
      </w:tr>
      <w:tr>
        <w:tblPrEx>
          <w:tblCellMar>
            <w:top w:w="0" w:type="dxa"/>
            <w:left w:w="108" w:type="dxa"/>
            <w:bottom w:w="0" w:type="dxa"/>
            <w:right w:w="108" w:type="dxa"/>
          </w:tblCellMar>
        </w:tblPrEx>
        <w:trPr>
          <w:trHeight w:val="668"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19</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数量调整：磋商总价的±10%。详见第二章磋商须知第30条</w:t>
            </w:r>
            <w:r>
              <w:rPr>
                <w:rFonts w:hint="eastAsia" w:ascii="仿宋" w:hAnsi="仿宋" w:eastAsia="仿宋" w:cs="仿宋"/>
                <w:color w:val="auto"/>
                <w:sz w:val="28"/>
                <w:szCs w:val="28"/>
                <w:highlight w:val="none"/>
                <w:lang w:eastAsia="zh-CN"/>
              </w:rPr>
              <w:t>。</w:t>
            </w:r>
          </w:p>
        </w:tc>
      </w:tr>
      <w:tr>
        <w:tblPrEx>
          <w:tblCellMar>
            <w:top w:w="0" w:type="dxa"/>
            <w:left w:w="108" w:type="dxa"/>
            <w:bottom w:w="0" w:type="dxa"/>
            <w:right w:w="108" w:type="dxa"/>
          </w:tblCellMar>
        </w:tblPrEx>
        <w:trPr>
          <w:trHeight w:val="1662"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20</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r>
              <w:rPr>
                <w:rFonts w:hint="eastAsia" w:ascii="仿宋" w:hAnsi="仿宋" w:eastAsia="仿宋" w:cs="仿宋"/>
                <w:color w:val="auto"/>
                <w:kern w:val="2"/>
                <w:sz w:val="28"/>
                <w:szCs w:val="28"/>
                <w:highlight w:val="none"/>
              </w:rPr>
              <w:t>供应商须仔细阅读本竞争性磋商文件的所有条款。如果在磋商资格、商务、技术等方面有偏离，供应商须在响应文件中一一列出，否则，响应文件将被视为完全响应竞争性磋商文件。另外，供应商应对字体置黑的条款、注有“可能导致响应文件无效”字样的条款引起重视，如不满足此类条款的规定，其后果由供应商自行承担。</w:t>
            </w:r>
          </w:p>
        </w:tc>
      </w:tr>
      <w:tr>
        <w:tblPrEx>
          <w:tblCellMar>
            <w:top w:w="0" w:type="dxa"/>
            <w:left w:w="108" w:type="dxa"/>
            <w:bottom w:w="0" w:type="dxa"/>
            <w:right w:w="108" w:type="dxa"/>
          </w:tblCellMar>
        </w:tblPrEx>
        <w:trPr>
          <w:trHeight w:val="2005"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备注：磋商时，供应商应在密封的响应文件之外随身携带：法定代表人身份证或法定代表人授权委托书和委托代理人身份证、企业营业执照、企业无不良记录网页打印件、</w:t>
            </w:r>
            <w:r>
              <w:rPr>
                <w:rFonts w:hint="eastAsia" w:ascii="仿宋" w:hAnsi="仿宋" w:eastAsia="仿宋" w:cs="仿宋"/>
                <w:b/>
                <w:color w:val="auto"/>
                <w:sz w:val="28"/>
                <w:szCs w:val="28"/>
                <w:highlight w:val="none"/>
                <w:lang w:val="en-US" w:eastAsia="zh-CN"/>
              </w:rPr>
              <w:t>磋商保证金收据</w:t>
            </w:r>
            <w:r>
              <w:rPr>
                <w:rFonts w:hint="eastAsia" w:ascii="仿宋" w:hAnsi="仿宋" w:eastAsia="仿宋" w:cs="仿宋"/>
                <w:b/>
                <w:color w:val="auto"/>
                <w:sz w:val="28"/>
                <w:szCs w:val="28"/>
                <w:highlight w:val="none"/>
              </w:rPr>
              <w:t>，上述证件的</w:t>
            </w:r>
            <w:r>
              <w:rPr>
                <w:rFonts w:hint="eastAsia" w:ascii="仿宋" w:hAnsi="仿宋" w:eastAsia="仿宋" w:cs="仿宋"/>
                <w:b/>
                <w:color w:val="auto"/>
                <w:sz w:val="28"/>
                <w:szCs w:val="28"/>
                <w:highlight w:val="none"/>
                <w:lang w:eastAsia="zh-CN"/>
              </w:rPr>
              <w:t>原件</w:t>
            </w:r>
            <w:r>
              <w:rPr>
                <w:rFonts w:hint="eastAsia" w:ascii="仿宋" w:hAnsi="仿宋" w:eastAsia="仿宋" w:cs="仿宋"/>
                <w:b/>
                <w:color w:val="auto"/>
                <w:sz w:val="28"/>
                <w:szCs w:val="28"/>
                <w:highlight w:val="none"/>
              </w:rPr>
              <w:t>，磋商现场</w:t>
            </w:r>
            <w:r>
              <w:rPr>
                <w:rFonts w:hint="eastAsia" w:ascii="仿宋" w:hAnsi="仿宋" w:eastAsia="仿宋" w:cs="仿宋"/>
                <w:b/>
                <w:color w:val="auto"/>
                <w:sz w:val="28"/>
                <w:szCs w:val="28"/>
                <w:highlight w:val="none"/>
                <w:lang w:val="en-US" w:eastAsia="zh-CN"/>
              </w:rPr>
              <w:t>资格审查</w:t>
            </w:r>
            <w:r>
              <w:rPr>
                <w:rFonts w:hint="eastAsia" w:ascii="仿宋" w:hAnsi="仿宋" w:eastAsia="仿宋" w:cs="仿宋"/>
                <w:b/>
                <w:color w:val="auto"/>
                <w:sz w:val="28"/>
                <w:szCs w:val="28"/>
                <w:highlight w:val="none"/>
              </w:rPr>
              <w:t>及评审时进行查验。未递交或递交内容不全的，其资格审查不合格，响应文件无效。</w:t>
            </w:r>
          </w:p>
        </w:tc>
      </w:tr>
      <w:tr>
        <w:tblPrEx>
          <w:tblCellMar>
            <w:top w:w="0" w:type="dxa"/>
            <w:left w:w="108" w:type="dxa"/>
            <w:bottom w:w="0" w:type="dxa"/>
            <w:right w:w="108" w:type="dxa"/>
          </w:tblCellMar>
        </w:tblPrEx>
        <w:trPr>
          <w:trHeight w:val="1107"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在评审过程直至签订合同前的任何时间，如经证实发现供应商提供虚假资料或信息骗取成交的，或者未按本竞争性磋商文件要求提交履约保证金的（如有要求），将取消其成交资格，并报主管部门备案。</w:t>
            </w:r>
          </w:p>
        </w:tc>
      </w:tr>
      <w:tr>
        <w:tblPrEx>
          <w:tblCellMar>
            <w:top w:w="0" w:type="dxa"/>
            <w:left w:w="108" w:type="dxa"/>
            <w:bottom w:w="0" w:type="dxa"/>
            <w:right w:w="108" w:type="dxa"/>
          </w:tblCellMar>
        </w:tblPrEx>
        <w:trPr>
          <w:trHeight w:val="1415"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jc w:val="both"/>
              <w:rPr>
                <w:rFonts w:hint="eastAsia" w:ascii="仿宋" w:hAnsi="仿宋" w:eastAsia="仿宋" w:cs="仿宋"/>
                <w:b/>
                <w:bCs/>
                <w:color w:val="auto"/>
                <w:kern w:val="2"/>
                <w:sz w:val="28"/>
                <w:szCs w:val="28"/>
                <w:highlight w:val="none"/>
              </w:rPr>
            </w:pPr>
            <w:r>
              <w:rPr>
                <w:rFonts w:hint="eastAsia" w:ascii="仿宋" w:hAnsi="仿宋" w:eastAsia="仿宋" w:cs="仿宋"/>
                <w:b/>
                <w:bCs/>
                <w:color w:val="auto"/>
                <w:kern w:val="2"/>
                <w:sz w:val="28"/>
                <w:szCs w:val="28"/>
                <w:highlight w:val="none"/>
              </w:rPr>
              <w:t>本项目采用竞争性磋商的方式通过综合评分法进行评审。即供应商在通过初步审查，且提供最后报价的供应商进行商务、技术评审，磋商小组根据综合得分由高到低进行排序，推荐前三名为成交候选单位。经采购人确认后确定本项目的成交供应商。</w:t>
            </w:r>
          </w:p>
        </w:tc>
      </w:tr>
      <w:tr>
        <w:tblPrEx>
          <w:tblCellMar>
            <w:top w:w="0" w:type="dxa"/>
            <w:left w:w="108" w:type="dxa"/>
            <w:bottom w:w="0" w:type="dxa"/>
            <w:right w:w="108" w:type="dxa"/>
          </w:tblCellMar>
        </w:tblPrEx>
        <w:trPr>
          <w:trHeight w:val="840"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24</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rPr>
                <w:rFonts w:hint="eastAsia" w:ascii="仿宋" w:hAnsi="仿宋" w:eastAsia="仿宋" w:cs="仿宋"/>
                <w:color w:val="auto"/>
                <w:sz w:val="28"/>
                <w:szCs w:val="28"/>
                <w:highlight w:val="none"/>
              </w:rPr>
            </w:pPr>
            <w:r>
              <w:rPr>
                <w:rFonts w:hint="eastAsia" w:ascii="仿宋" w:hAnsi="仿宋" w:eastAsia="仿宋" w:cs="仿宋"/>
                <w:b/>
                <w:bCs/>
                <w:color w:val="auto"/>
                <w:kern w:val="2"/>
                <w:sz w:val="28"/>
                <w:szCs w:val="28"/>
                <w:highlight w:val="none"/>
              </w:rPr>
              <w:t>成交服务费：由成交单位在领取《成交通知书》前缴纳至采购代理机构。参照原发改价格[2011]534号文件规定标准执行。</w:t>
            </w:r>
          </w:p>
        </w:tc>
      </w:tr>
      <w:tr>
        <w:tblPrEx>
          <w:tblCellMar>
            <w:top w:w="0" w:type="dxa"/>
            <w:left w:w="108" w:type="dxa"/>
            <w:bottom w:w="0" w:type="dxa"/>
            <w:right w:w="108" w:type="dxa"/>
          </w:tblCellMar>
        </w:tblPrEx>
        <w:trPr>
          <w:trHeight w:val="753"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eastAsia="zh-CN"/>
              </w:rPr>
              <w:t>履约保证金：</w:t>
            </w:r>
            <w:r>
              <w:rPr>
                <w:rFonts w:hint="eastAsia" w:ascii="仿宋" w:hAnsi="仿宋" w:eastAsia="仿宋" w:cs="仿宋"/>
                <w:b/>
                <w:bCs/>
                <w:color w:val="auto"/>
                <w:kern w:val="2"/>
                <w:sz w:val="28"/>
                <w:szCs w:val="28"/>
                <w:highlight w:val="none"/>
                <w:lang w:val="en-US" w:eastAsia="zh-CN"/>
              </w:rPr>
              <w:t>不缴纳。</w:t>
            </w:r>
          </w:p>
        </w:tc>
      </w:tr>
      <w:tr>
        <w:tblPrEx>
          <w:tblCellMar>
            <w:top w:w="0" w:type="dxa"/>
            <w:left w:w="108" w:type="dxa"/>
            <w:bottom w:w="0" w:type="dxa"/>
            <w:right w:w="108" w:type="dxa"/>
          </w:tblCellMar>
        </w:tblPrEx>
        <w:trPr>
          <w:trHeight w:val="468"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质保金：不缴纳</w:t>
            </w:r>
          </w:p>
        </w:tc>
      </w:tr>
      <w:tr>
        <w:tblPrEx>
          <w:tblCellMar>
            <w:top w:w="0" w:type="dxa"/>
            <w:left w:w="108" w:type="dxa"/>
            <w:bottom w:w="0" w:type="dxa"/>
            <w:right w:w="108" w:type="dxa"/>
          </w:tblCellMar>
        </w:tblPrEx>
        <w:trPr>
          <w:trHeight w:val="930"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本项目所发出的所有文件，包括磋商文件、清单、答疑及补遗文件均具有法律效力。供应商须完全响应，不得随意更改。</w:t>
            </w:r>
          </w:p>
        </w:tc>
      </w:tr>
      <w:tr>
        <w:tblPrEx>
          <w:tblCellMar>
            <w:top w:w="0" w:type="dxa"/>
            <w:left w:w="108" w:type="dxa"/>
            <w:bottom w:w="0" w:type="dxa"/>
            <w:right w:w="108" w:type="dxa"/>
          </w:tblCellMar>
        </w:tblPrEx>
        <w:trPr>
          <w:trHeight w:val="766" w:hRule="atLeast"/>
        </w:trPr>
        <w:tc>
          <w:tcPr>
            <w:tcW w:w="825" w:type="dxa"/>
            <w:tcBorders>
              <w:top w:val="single" w:color="000000" w:sz="2" w:space="0"/>
              <w:left w:val="single" w:color="000000" w:sz="2" w:space="0"/>
              <w:bottom w:val="single" w:color="000000" w:sz="2" w:space="0"/>
            </w:tcBorders>
            <w:noWrap w:val="0"/>
            <w:vAlign w:val="center"/>
          </w:tcPr>
          <w:p>
            <w:pPr>
              <w:spacing w:line="3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28</w:t>
            </w:r>
          </w:p>
        </w:tc>
        <w:tc>
          <w:tcPr>
            <w:tcW w:w="8608" w:type="dxa"/>
            <w:tcBorders>
              <w:top w:val="single" w:color="000000" w:sz="2" w:space="0"/>
              <w:left w:val="single" w:color="000000" w:sz="2" w:space="0"/>
              <w:bottom w:val="single" w:color="000000" w:sz="2" w:space="0"/>
              <w:right w:val="single" w:color="000000" w:sz="2" w:space="0"/>
            </w:tcBorders>
            <w:noWrap w:val="0"/>
            <w:vAlign w:val="center"/>
          </w:tcPr>
          <w:p>
            <w:pPr>
              <w:pStyle w:val="28"/>
              <w:spacing w:line="300" w:lineRule="exact"/>
              <w:rPr>
                <w:rFonts w:hint="default"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本项目一标段为中小企业/小微企业。 </w:t>
            </w:r>
          </w:p>
        </w:tc>
      </w:tr>
    </w:tbl>
    <w:p>
      <w:pPr>
        <w:pStyle w:val="19"/>
        <w:rPr>
          <w:rFonts w:hint="eastAsia" w:ascii="仿宋" w:hAnsi="仿宋" w:eastAsia="仿宋" w:cs="仿宋"/>
          <w:color w:val="auto"/>
          <w:sz w:val="36"/>
          <w:highlight w:val="none"/>
        </w:rPr>
      </w:pPr>
      <w:r>
        <w:rPr>
          <w:rFonts w:hint="eastAsia" w:ascii="仿宋" w:hAnsi="仿宋" w:eastAsia="仿宋" w:cs="仿宋"/>
          <w:color w:val="auto"/>
          <w:highlight w:val="none"/>
        </w:rPr>
        <w:br w:type="page"/>
      </w:r>
      <w:bookmarkStart w:id="46" w:name="_Toc487022586"/>
      <w:r>
        <w:rPr>
          <w:rFonts w:hint="eastAsia" w:ascii="仿宋" w:hAnsi="仿宋" w:eastAsia="仿宋" w:cs="仿宋"/>
          <w:color w:val="auto"/>
          <w:sz w:val="32"/>
          <w:szCs w:val="32"/>
          <w:highlight w:val="none"/>
        </w:rPr>
        <w:t>磋 商 须 知</w:t>
      </w:r>
      <w:bookmarkEnd w:id="46"/>
    </w:p>
    <w:p>
      <w:pPr>
        <w:pStyle w:val="28"/>
        <w:spacing w:line="360" w:lineRule="atLeast"/>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一、总 则</w:t>
      </w:r>
    </w:p>
    <w:p>
      <w:pPr>
        <w:pStyle w:val="28"/>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pPr>
        <w:pStyle w:val="28"/>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磋商货物和服务的资格和能力，技术规范，安装调试能力强，并具有有效的营业执照、相关资质证书的国内货物制造商、经销商，符合本项目竞争性磋商公告资质要求的，承认和履行磋商文件中的各项规定者，均可参加磋商。</w:t>
      </w:r>
    </w:p>
    <w:p>
      <w:pPr>
        <w:pStyle w:val="28"/>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凡参加磋商的货物制造商必须具有国际或国内相应的货物制造资质等级，信誉可靠，且应具有履行本磋商文件规定的有关义务的能力。</w:t>
      </w:r>
    </w:p>
    <w:p>
      <w:pPr>
        <w:pStyle w:val="28"/>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磋商活动中，必须遵循《中华人民共和国政府采购法》及其实施条例（658号令）、《政府采购货物和服务招标投标管理办法》（财政部18号令）、《财政部关于加强政府采购货物和服务项目价格评审管理的通知》财库（2007）2号文、《关于印发&lt;政府采购竞争性磋商采购方式管理暂行办法&gt;的通知》（财库〔2014〕214号）及《</w:t>
      </w:r>
      <w:r>
        <w:rPr>
          <w:rFonts w:hint="eastAsia" w:ascii="仿宋" w:hAnsi="仿宋" w:eastAsia="仿宋" w:cs="仿宋"/>
          <w:b/>
          <w:bCs/>
          <w:color w:val="auto"/>
          <w:sz w:val="28"/>
          <w:highlight w:val="none"/>
        </w:rPr>
        <w:t>财政部关于政府采购竞争性磋商采购方式管理暂行办法有关问题的补充通知》</w:t>
      </w:r>
      <w:r>
        <w:rPr>
          <w:rFonts w:hint="eastAsia" w:ascii="仿宋" w:hAnsi="仿宋" w:eastAsia="仿宋" w:cs="仿宋"/>
          <w:b/>
          <w:bCs/>
          <w:color w:val="auto"/>
          <w:sz w:val="28"/>
          <w:szCs w:val="28"/>
          <w:highlight w:val="none"/>
        </w:rPr>
        <w:t>（财库〔2015〕124号）</w:t>
      </w:r>
      <w:r>
        <w:rPr>
          <w:rFonts w:hint="eastAsia" w:ascii="仿宋" w:hAnsi="仿宋" w:eastAsia="仿宋" w:cs="仿宋"/>
          <w:b/>
          <w:color w:val="auto"/>
          <w:sz w:val="28"/>
          <w:highlight w:val="none"/>
        </w:rPr>
        <w:t>的规定。</w:t>
      </w:r>
    </w:p>
    <w:p>
      <w:pPr>
        <w:pStyle w:val="28"/>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本项目不接受联合体磋商。</w:t>
      </w:r>
    </w:p>
    <w:p>
      <w:pPr>
        <w:pStyle w:val="28"/>
        <w:spacing w:line="520" w:lineRule="exact"/>
        <w:ind w:left="560" w:leftChars="267" w:firstLine="2" w:firstLineChars="1"/>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不符合1.1、1.2、1.3、1.4条款规定的供应商，其响应将被拒绝。</w:t>
      </w:r>
    </w:p>
    <w:p>
      <w:pPr>
        <w:pStyle w:val="28"/>
        <w:spacing w:line="520" w:lineRule="exact"/>
        <w:ind w:left="560" w:leftChars="267" w:firstLine="2" w:firstLineChars="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2.2“供应商”系指向采购代理机构提交响应文件的货物生产供应商、经销商或承包人。</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2.4“服务”系指按合同规定卖方须承担的运输、装卸、安装调试、技术协助、培训和交付使用后保修期内应履行的义务及售后服务等其他类似的义务。</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2.5“卖方”系指提供合同货物和服务的经济实体。本次磋商指有关成交供应商。</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2.6“买方”系指购买货物和服务的单位，即为本次磋商的采购人。</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3.磋商费用</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3.1 供应商应自行承担所有与本次磋商有关的费用，而不论磋商的结果如何。 </w:t>
      </w:r>
    </w:p>
    <w:p>
      <w:pPr>
        <w:pStyle w:val="28"/>
        <w:spacing w:before="312" w:beforeLines="100" w:after="156" w:afterLines="50" w:line="52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二、 磋 商 文 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磋商文件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磋商文件用以阐明所需货物和服务、磋商程序和合同条款。包括：</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4.1.1 磋商</w:t>
      </w:r>
      <w:r>
        <w:rPr>
          <w:rFonts w:hint="eastAsia" w:ascii="仿宋" w:hAnsi="仿宋" w:eastAsia="仿宋" w:cs="仿宋"/>
          <w:color w:val="auto"/>
          <w:sz w:val="28"/>
          <w:highlight w:val="none"/>
          <w:lang w:val="en-US" w:eastAsia="zh-CN"/>
        </w:rPr>
        <w:t>公告</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4.1.2 磋商须知</w:t>
      </w:r>
    </w:p>
    <w:p>
      <w:pPr>
        <w:pStyle w:val="28"/>
        <w:spacing w:line="54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4.1.3 采购清单及技术要求</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4.1.4 合同主要条款</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附件：（响应文件格式）</w:t>
      </w:r>
    </w:p>
    <w:p>
      <w:pPr>
        <w:pStyle w:val="28"/>
        <w:spacing w:line="52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1、响应书</w:t>
      </w:r>
    </w:p>
    <w:p>
      <w:pPr>
        <w:pStyle w:val="28"/>
        <w:spacing w:line="52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2、法定代表人资格证明书</w:t>
      </w:r>
    </w:p>
    <w:p>
      <w:pPr>
        <w:pStyle w:val="28"/>
        <w:spacing w:line="52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3、法人授权委托书</w:t>
      </w:r>
    </w:p>
    <w:p>
      <w:pPr>
        <w:pStyle w:val="28"/>
        <w:spacing w:line="52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4、磋商报价一览表</w:t>
      </w:r>
    </w:p>
    <w:p>
      <w:pPr>
        <w:pStyle w:val="28"/>
        <w:spacing w:line="52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5、磋商产品名称、数量、规格及报价明细表</w:t>
      </w:r>
    </w:p>
    <w:p>
      <w:pPr>
        <w:pStyle w:val="28"/>
        <w:tabs>
          <w:tab w:val="center" w:pos="4932"/>
        </w:tabs>
        <w:spacing w:line="52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6、技术规格偏离表</w:t>
      </w:r>
      <w:r>
        <w:rPr>
          <w:rFonts w:hint="eastAsia" w:ascii="仿宋" w:hAnsi="仿宋" w:eastAsia="仿宋" w:cs="仿宋"/>
          <w:color w:val="auto"/>
          <w:sz w:val="28"/>
          <w:highlight w:val="none"/>
        </w:rPr>
        <w:tab/>
      </w:r>
    </w:p>
    <w:p>
      <w:pPr>
        <w:pStyle w:val="28"/>
        <w:spacing w:line="52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7、合同条款偏离表</w:t>
      </w:r>
    </w:p>
    <w:p>
      <w:pPr>
        <w:pStyle w:val="28"/>
        <w:spacing w:line="52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8、代表性项目业绩表</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供应商应认真阅读磋商文件中所有的事项、格式、条款和规范等要求。如果没有按照磋商文件要求提交全部资料或者响应文件没有对磋商文件做出实质性响应，其响应文件将被拒绝。</w:t>
      </w:r>
    </w:p>
    <w:p>
      <w:pPr>
        <w:pStyle w:val="28"/>
        <w:spacing w:line="54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磋商文件的澄清和修改</w:t>
      </w:r>
    </w:p>
    <w:p>
      <w:pPr>
        <w:pStyle w:val="28"/>
        <w:spacing w:line="54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磋商文件进行必要澄清或者修改的，采购代理机构将在磋商文件要求提交响应文件截止时间五日前，在财政部门指定的政府采购信息发布媒体上发布更正公告，并以书面形式通知所有磋商文件收受人。该澄清或者修改的内容为磋商文件的组成部分。</w:t>
      </w:r>
    </w:p>
    <w:p>
      <w:pPr>
        <w:pStyle w:val="27"/>
        <w:ind w:firstLine="560"/>
        <w:rPr>
          <w:rFonts w:hint="eastAsia" w:ascii="仿宋" w:hAnsi="仿宋" w:eastAsia="仿宋" w:cs="仿宋"/>
          <w:color w:val="auto"/>
          <w:highlight w:val="none"/>
          <w:lang w:val="zh-CN"/>
        </w:rPr>
      </w:pPr>
      <w:r>
        <w:rPr>
          <w:rFonts w:hint="eastAsia" w:ascii="仿宋" w:hAnsi="仿宋" w:eastAsia="仿宋" w:cs="仿宋"/>
          <w:color w:val="auto"/>
          <w:highlight w:val="none"/>
        </w:rPr>
        <w:t>5</w:t>
      </w:r>
      <w:r>
        <w:rPr>
          <w:rFonts w:hint="eastAsia" w:ascii="仿宋" w:hAnsi="仿宋" w:eastAsia="仿宋" w:cs="仿宋"/>
          <w:color w:val="auto"/>
          <w:highlight w:val="none"/>
          <w:lang w:val="zh-CN"/>
        </w:rPr>
        <w:t>.2磋商文件的修改将以书面形式通知所有参与磋商的供应商，并对其具有约束力，供应商应立即以传真形式回复采购人，确认已收到修改文件。</w:t>
      </w:r>
    </w:p>
    <w:p>
      <w:pPr>
        <w:pStyle w:val="27"/>
        <w:ind w:firstLine="560"/>
        <w:rPr>
          <w:rFonts w:hint="eastAsia" w:ascii="仿宋" w:hAnsi="仿宋" w:eastAsia="仿宋" w:cs="仿宋"/>
          <w:color w:val="auto"/>
          <w:highlight w:val="none"/>
          <w:lang w:val="zh-CN"/>
        </w:rPr>
      </w:pPr>
      <w:r>
        <w:rPr>
          <w:rFonts w:hint="eastAsia" w:ascii="仿宋" w:hAnsi="仿宋" w:eastAsia="仿宋" w:cs="仿宋"/>
          <w:color w:val="auto"/>
          <w:highlight w:val="none"/>
        </w:rPr>
        <w:t>5</w:t>
      </w:r>
      <w:r>
        <w:rPr>
          <w:rFonts w:hint="eastAsia" w:ascii="仿宋" w:hAnsi="仿宋" w:eastAsia="仿宋" w:cs="仿宋"/>
          <w:color w:val="auto"/>
          <w:highlight w:val="none"/>
          <w:lang w:val="zh-CN"/>
        </w:rPr>
        <w:t>.3为使供应商有充分的时间对磋商文件的修改文件进行研究，采购人有权推迟磋商时间，并将此变更书面通知所有参与磋商的供应商。</w:t>
      </w:r>
    </w:p>
    <w:p>
      <w:pPr>
        <w:pStyle w:val="27"/>
        <w:ind w:firstLine="560"/>
        <w:rPr>
          <w:rFonts w:hint="eastAsia" w:ascii="仿宋" w:hAnsi="仿宋" w:eastAsia="仿宋" w:cs="仿宋"/>
          <w:color w:val="auto"/>
          <w:highlight w:val="none"/>
          <w:lang w:val="zh-CN"/>
        </w:rPr>
      </w:pPr>
      <w:r>
        <w:rPr>
          <w:rFonts w:hint="eastAsia" w:ascii="仿宋" w:hAnsi="仿宋" w:eastAsia="仿宋" w:cs="仿宋"/>
          <w:color w:val="auto"/>
          <w:highlight w:val="none"/>
        </w:rPr>
        <w:t>5</w:t>
      </w:r>
      <w:r>
        <w:rPr>
          <w:rFonts w:hint="eastAsia" w:ascii="仿宋" w:hAnsi="仿宋" w:eastAsia="仿宋" w:cs="仿宋"/>
          <w:color w:val="auto"/>
          <w:highlight w:val="none"/>
          <w:lang w:val="zh-CN"/>
        </w:rPr>
        <w:t>.4在上述情况下，采购人与供应商响应文件递交截止日前的全部权利、义务，将适用于延长后的新响应文件递交截止期。</w:t>
      </w:r>
    </w:p>
    <w:p>
      <w:pPr>
        <w:pStyle w:val="28"/>
        <w:spacing w:before="312" w:beforeLines="100" w:after="156" w:afterLines="50" w:line="54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三、供应商响应文件的编制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供应商响应文件的编写</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供应商应仔细阅读磋商文件,了解磋商文件的要求，并在充分理解磋商文件提出的设备的规格型号、技术性能、技术参数、服务和商务条件后，制作响应文件。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磋商的语言及计量单位</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  供应商的响应文件以及供应商与采购代理机构就有关磋商活动的所有来往函电均应使用中文。如果响应文件或与磋商有关的其它文件、信件及来往函电以其它语言书写的，供应商应将其译成中文。</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8.2 响应文件中所使用的计量单位除磋商文件中有特殊规定外，一律使用法定计量单位。</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响应文件构成</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供应商编写的响应文件应按下列顺序及内容提供:</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9.1.1 资格证明文件(以下文件必须在有效期内)</w:t>
      </w:r>
    </w:p>
    <w:p>
      <w:pPr>
        <w:pStyle w:val="28"/>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加盖供应商企业公章的营业执照副本</w:t>
      </w:r>
      <w:r>
        <w:rPr>
          <w:rFonts w:hint="eastAsia" w:ascii="仿宋" w:hAnsi="仿宋" w:eastAsia="仿宋" w:cs="仿宋"/>
          <w:b/>
          <w:color w:val="auto"/>
          <w:sz w:val="28"/>
          <w:highlight w:val="none"/>
          <w:lang w:eastAsia="zh-CN"/>
        </w:rPr>
        <w:t>、</w:t>
      </w:r>
      <w:r>
        <w:rPr>
          <w:rFonts w:hint="eastAsia" w:ascii="仿宋" w:hAnsi="仿宋" w:eastAsia="仿宋" w:cs="仿宋"/>
          <w:b/>
          <w:color w:val="auto"/>
          <w:sz w:val="28"/>
          <w:highlight w:val="none"/>
          <w:lang w:val="en-US" w:eastAsia="zh-CN"/>
        </w:rPr>
        <w:t>资质证书</w:t>
      </w:r>
      <w:r>
        <w:rPr>
          <w:rFonts w:hint="eastAsia" w:ascii="仿宋" w:hAnsi="仿宋" w:eastAsia="仿宋" w:cs="仿宋"/>
          <w:b/>
          <w:color w:val="auto"/>
          <w:sz w:val="28"/>
          <w:highlight w:val="none"/>
        </w:rPr>
        <w:t>复印件。</w:t>
      </w:r>
    </w:p>
    <w:p>
      <w:pPr>
        <w:pStyle w:val="28"/>
        <w:spacing w:line="520" w:lineRule="exact"/>
        <w:jc w:val="both"/>
        <w:rPr>
          <w:rFonts w:hint="eastAsia" w:ascii="仿宋" w:hAnsi="仿宋" w:eastAsia="仿宋" w:cs="仿宋"/>
          <w:b/>
          <w:bCs/>
          <w:color w:val="auto"/>
          <w:sz w:val="28"/>
          <w:highlight w:val="none"/>
        </w:rPr>
      </w:pPr>
      <w:r>
        <w:rPr>
          <w:rFonts w:hint="eastAsia" w:ascii="仿宋" w:hAnsi="仿宋" w:eastAsia="仿宋" w:cs="仿宋"/>
          <w:b/>
          <w:color w:val="auto"/>
          <w:sz w:val="28"/>
          <w:highlight w:val="none"/>
        </w:rPr>
        <w:t xml:space="preserve">    (2) 磋商代表的授权委托书(原件装订在正本，复印件装订在副本中)及被授权人身份证复印件。</w:t>
      </w:r>
      <w:r>
        <w:rPr>
          <w:rFonts w:hint="eastAsia" w:ascii="仿宋" w:hAnsi="仿宋" w:eastAsia="仿宋" w:cs="仿宋"/>
          <w:b/>
          <w:bCs/>
          <w:color w:val="auto"/>
          <w:sz w:val="28"/>
          <w:highlight w:val="none"/>
        </w:rPr>
        <w:t>授权委托书应由</w:t>
      </w:r>
      <w:r>
        <w:rPr>
          <w:rFonts w:hint="eastAsia" w:ascii="仿宋" w:hAnsi="仿宋" w:eastAsia="仿宋" w:cs="仿宋"/>
          <w:b/>
          <w:bCs/>
          <w:color w:val="auto"/>
          <w:sz w:val="28"/>
          <w:szCs w:val="28"/>
          <w:highlight w:val="none"/>
          <w:em w:val="dot"/>
        </w:rPr>
        <w:t>法定代表签名</w:t>
      </w:r>
      <w:r>
        <w:rPr>
          <w:rFonts w:hint="eastAsia" w:ascii="仿宋" w:hAnsi="仿宋" w:eastAsia="仿宋" w:cs="仿宋"/>
          <w:b/>
          <w:bCs/>
          <w:color w:val="auto"/>
          <w:sz w:val="28"/>
          <w:highlight w:val="none"/>
        </w:rPr>
        <w:t>并加盖公章，</w:t>
      </w:r>
      <w:r>
        <w:rPr>
          <w:rFonts w:hint="eastAsia" w:ascii="仿宋" w:hAnsi="仿宋" w:eastAsia="仿宋" w:cs="仿宋"/>
          <w:b/>
          <w:bCs/>
          <w:color w:val="auto"/>
          <w:sz w:val="28"/>
          <w:szCs w:val="28"/>
          <w:highlight w:val="none"/>
          <w:em w:val="dot"/>
        </w:rPr>
        <w:t>私章无效</w:t>
      </w:r>
      <w:r>
        <w:rPr>
          <w:rFonts w:hint="eastAsia" w:ascii="仿宋" w:hAnsi="仿宋" w:eastAsia="仿宋" w:cs="仿宋"/>
          <w:b/>
          <w:bCs/>
          <w:color w:val="auto"/>
          <w:sz w:val="28"/>
          <w:highlight w:val="none"/>
        </w:rPr>
        <w:t>。</w:t>
      </w:r>
    </w:p>
    <w:p>
      <w:pPr>
        <w:pStyle w:val="28"/>
        <w:spacing w:line="520" w:lineRule="exact"/>
        <w:ind w:firstLine="560" w:firstLineChars="200"/>
        <w:jc w:val="both"/>
        <w:rPr>
          <w:rFonts w:hint="eastAsia" w:ascii="仿宋" w:hAnsi="仿宋" w:eastAsia="仿宋" w:cs="仿宋"/>
          <w:b/>
          <w:bCs/>
          <w:color w:val="auto"/>
          <w:sz w:val="28"/>
          <w:szCs w:val="22"/>
          <w:highlight w:val="none"/>
        </w:rPr>
      </w:pPr>
      <w:r>
        <w:rPr>
          <w:rFonts w:hint="eastAsia" w:ascii="仿宋" w:hAnsi="仿宋" w:eastAsia="仿宋" w:cs="仿宋"/>
          <w:b/>
          <w:color w:val="auto"/>
          <w:sz w:val="28"/>
          <w:highlight w:val="none"/>
        </w:rPr>
        <w:t xml:space="preserve">(3) </w:t>
      </w:r>
      <w:r>
        <w:rPr>
          <w:rFonts w:hint="eastAsia" w:ascii="仿宋" w:hAnsi="仿宋" w:eastAsia="仿宋" w:cs="仿宋"/>
          <w:b/>
          <w:bCs/>
          <w:color w:val="auto"/>
          <w:sz w:val="28"/>
          <w:szCs w:val="22"/>
          <w:highlight w:val="none"/>
        </w:rPr>
        <w:t>加盖供应商企业公章的磋商保证金</w:t>
      </w:r>
      <w:r>
        <w:rPr>
          <w:rFonts w:hint="eastAsia" w:ascii="仿宋" w:hAnsi="仿宋" w:eastAsia="仿宋" w:cs="仿宋"/>
          <w:b/>
          <w:bCs/>
          <w:color w:val="auto"/>
          <w:sz w:val="28"/>
          <w:szCs w:val="22"/>
          <w:highlight w:val="none"/>
          <w:lang w:val="en-US" w:eastAsia="zh-CN"/>
        </w:rPr>
        <w:t>收据复印件</w:t>
      </w:r>
      <w:r>
        <w:rPr>
          <w:rFonts w:hint="eastAsia" w:ascii="仿宋" w:hAnsi="仿宋" w:eastAsia="仿宋" w:cs="仿宋"/>
          <w:b/>
          <w:bCs/>
          <w:color w:val="auto"/>
          <w:sz w:val="28"/>
          <w:szCs w:val="22"/>
          <w:highlight w:val="none"/>
        </w:rPr>
        <w:t>。</w:t>
      </w:r>
    </w:p>
    <w:p>
      <w:pPr>
        <w:pStyle w:val="27"/>
        <w:spacing w:line="520" w:lineRule="exact"/>
        <w:ind w:firstLine="562"/>
        <w:rPr>
          <w:rFonts w:hint="eastAsia" w:ascii="仿宋" w:hAnsi="仿宋" w:eastAsia="仿宋" w:cs="仿宋"/>
          <w:b/>
          <w:color w:val="auto"/>
          <w:highlight w:val="none"/>
          <w:lang w:val="en-US" w:eastAsia="zh-CN"/>
        </w:rPr>
      </w:pPr>
      <w:r>
        <w:rPr>
          <w:rFonts w:hint="eastAsia" w:ascii="仿宋" w:hAnsi="仿宋" w:eastAsia="仿宋" w:cs="仿宋"/>
          <w:b/>
          <w:bCs/>
          <w:color w:val="auto"/>
          <w:highlight w:val="none"/>
        </w:rPr>
        <w:t xml:space="preserve">(4) </w:t>
      </w:r>
      <w:r>
        <w:rPr>
          <w:rFonts w:hint="eastAsia" w:ascii="仿宋" w:hAnsi="仿宋" w:eastAsia="仿宋" w:cs="仿宋"/>
          <w:b/>
          <w:color w:val="auto"/>
          <w:highlight w:val="none"/>
        </w:rPr>
        <w:t>加盖供应商企业公章的企业无不良记录网页打印件</w:t>
      </w:r>
      <w:r>
        <w:rPr>
          <w:rFonts w:hint="eastAsia" w:ascii="仿宋" w:hAnsi="仿宋" w:eastAsia="仿宋" w:cs="仿宋"/>
          <w:b/>
          <w:color w:val="auto"/>
          <w:highlight w:val="none"/>
          <w:lang w:val="en-US" w:eastAsia="zh-CN"/>
        </w:rPr>
        <w:t>复印件。</w:t>
      </w:r>
    </w:p>
    <w:p>
      <w:pPr>
        <w:pStyle w:val="27"/>
        <w:spacing w:line="520" w:lineRule="exact"/>
        <w:ind w:firstLine="562"/>
        <w:rPr>
          <w:rFonts w:hint="eastAsia" w:ascii="仿宋" w:hAnsi="仿宋" w:eastAsia="仿宋" w:cs="仿宋"/>
          <w:color w:val="auto"/>
          <w:sz w:val="28"/>
          <w:highlight w:val="none"/>
        </w:rPr>
      </w:pP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rPr>
        <w:t xml:space="preserve">) </w:t>
      </w:r>
      <w:r>
        <w:rPr>
          <w:rFonts w:hint="eastAsia" w:ascii="仿宋" w:hAnsi="仿宋" w:eastAsia="仿宋" w:cs="仿宋"/>
          <w:color w:val="auto"/>
          <w:sz w:val="28"/>
          <w:highlight w:val="none"/>
        </w:rPr>
        <w:t>供应商认为有必要提供的声明及文件资料。</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9.1.2 商务响应书</w:t>
      </w:r>
    </w:p>
    <w:p>
      <w:pPr>
        <w:pStyle w:val="27"/>
        <w:ind w:firstLine="550"/>
        <w:rPr>
          <w:rFonts w:hint="eastAsia" w:ascii="仿宋" w:hAnsi="仿宋" w:eastAsia="仿宋" w:cs="仿宋"/>
          <w:b/>
          <w:bCs/>
          <w:color w:val="auto"/>
          <w:spacing w:val="-3"/>
          <w:highlight w:val="none"/>
          <w:lang w:eastAsia="zh-CN"/>
        </w:rPr>
      </w:pPr>
      <w:r>
        <w:rPr>
          <w:rFonts w:hint="eastAsia" w:ascii="仿宋" w:hAnsi="仿宋" w:eastAsia="仿宋" w:cs="仿宋"/>
          <w:b/>
          <w:bCs/>
          <w:color w:val="auto"/>
          <w:spacing w:val="-3"/>
          <w:highlight w:val="none"/>
        </w:rPr>
        <w:t>(1) 响应书</w:t>
      </w:r>
      <w:r>
        <w:rPr>
          <w:rFonts w:hint="eastAsia" w:ascii="仿宋" w:hAnsi="仿宋" w:eastAsia="仿宋" w:cs="仿宋"/>
          <w:b/>
          <w:bCs/>
          <w:color w:val="auto"/>
          <w:spacing w:val="-3"/>
          <w:highlight w:val="none"/>
          <w:lang w:eastAsia="zh-CN"/>
        </w:rPr>
        <w:t>（</w:t>
      </w:r>
      <w:r>
        <w:rPr>
          <w:rFonts w:hint="eastAsia" w:ascii="仿宋" w:hAnsi="仿宋" w:eastAsia="仿宋" w:cs="仿宋"/>
          <w:b/>
          <w:bCs/>
          <w:color w:val="auto"/>
          <w:spacing w:val="-3"/>
          <w:highlight w:val="none"/>
          <w:lang w:val="en-US" w:eastAsia="zh-CN"/>
        </w:rPr>
        <w:t>后附法人授权委托书</w:t>
      </w:r>
      <w:r>
        <w:rPr>
          <w:rFonts w:hint="eastAsia" w:ascii="仿宋" w:hAnsi="仿宋" w:eastAsia="仿宋" w:cs="仿宋"/>
          <w:b/>
          <w:bCs/>
          <w:color w:val="auto"/>
          <w:spacing w:val="-3"/>
          <w:highlight w:val="none"/>
          <w:lang w:eastAsia="zh-CN"/>
        </w:rPr>
        <w:t>）</w:t>
      </w:r>
    </w:p>
    <w:p>
      <w:pPr>
        <w:pStyle w:val="27"/>
        <w:ind w:firstLine="550"/>
        <w:rPr>
          <w:rFonts w:hint="eastAsia" w:ascii="仿宋" w:hAnsi="仿宋" w:eastAsia="仿宋" w:cs="仿宋"/>
          <w:b/>
          <w:bCs/>
          <w:color w:val="auto"/>
          <w:spacing w:val="-3"/>
          <w:highlight w:val="none"/>
        </w:rPr>
      </w:pPr>
      <w:r>
        <w:rPr>
          <w:rFonts w:hint="eastAsia" w:ascii="仿宋" w:hAnsi="仿宋" w:eastAsia="仿宋" w:cs="仿宋"/>
          <w:b/>
          <w:bCs/>
          <w:color w:val="auto"/>
          <w:spacing w:val="-3"/>
          <w:highlight w:val="none"/>
        </w:rPr>
        <w:t>(2) 磋商报价一览表</w:t>
      </w:r>
    </w:p>
    <w:p>
      <w:pPr>
        <w:pStyle w:val="27"/>
        <w:ind w:firstLine="550"/>
        <w:rPr>
          <w:rFonts w:hint="eastAsia" w:ascii="仿宋" w:hAnsi="仿宋" w:eastAsia="仿宋" w:cs="仿宋"/>
          <w:b/>
          <w:bCs/>
          <w:color w:val="auto"/>
          <w:spacing w:val="-3"/>
          <w:highlight w:val="none"/>
        </w:rPr>
      </w:pPr>
      <w:r>
        <w:rPr>
          <w:rFonts w:hint="eastAsia" w:ascii="仿宋" w:hAnsi="仿宋" w:eastAsia="仿宋" w:cs="仿宋"/>
          <w:b/>
          <w:bCs/>
          <w:color w:val="auto"/>
          <w:spacing w:val="-3"/>
          <w:highlight w:val="none"/>
        </w:rPr>
        <w:t>(3) 磋商采购名称、内容、数量、规格及报价明细表</w:t>
      </w:r>
    </w:p>
    <w:p>
      <w:pPr>
        <w:pStyle w:val="27"/>
        <w:ind w:firstLine="550"/>
        <w:rPr>
          <w:rFonts w:hint="eastAsia" w:ascii="仿宋" w:hAnsi="仿宋" w:eastAsia="仿宋" w:cs="仿宋"/>
          <w:b/>
          <w:bCs/>
          <w:color w:val="auto"/>
          <w:spacing w:val="-3"/>
          <w:highlight w:val="none"/>
          <w:lang w:val="en-US" w:eastAsia="zh-CN"/>
        </w:rPr>
      </w:pPr>
      <w:r>
        <w:rPr>
          <w:rFonts w:hint="eastAsia" w:ascii="仿宋" w:hAnsi="仿宋" w:eastAsia="仿宋" w:cs="仿宋"/>
          <w:b/>
          <w:bCs/>
          <w:color w:val="auto"/>
          <w:spacing w:val="-3"/>
          <w:highlight w:val="none"/>
        </w:rPr>
        <w:t xml:space="preserve">(4) </w:t>
      </w:r>
      <w:r>
        <w:rPr>
          <w:rFonts w:hint="eastAsia" w:ascii="仿宋" w:hAnsi="仿宋" w:eastAsia="仿宋" w:cs="仿宋"/>
          <w:b/>
          <w:bCs/>
          <w:color w:val="auto"/>
          <w:spacing w:val="-3"/>
          <w:highlight w:val="none"/>
          <w:lang w:val="en-US" w:eastAsia="zh-CN"/>
        </w:rPr>
        <w:t>技术规格偏离表</w:t>
      </w:r>
    </w:p>
    <w:p>
      <w:pPr>
        <w:pStyle w:val="27"/>
        <w:ind w:firstLine="523" w:firstLineChars="187"/>
        <w:rPr>
          <w:rFonts w:hint="eastAsia" w:ascii="仿宋" w:hAnsi="仿宋" w:eastAsia="仿宋" w:cs="仿宋"/>
          <w:b/>
          <w:color w:val="auto"/>
          <w:spacing w:val="-3"/>
          <w:highlight w:val="none"/>
        </w:rPr>
      </w:pPr>
      <w:r>
        <w:rPr>
          <w:rFonts w:hint="eastAsia" w:ascii="仿宋" w:hAnsi="仿宋" w:eastAsia="仿宋" w:cs="仿宋"/>
          <w:b/>
          <w:bCs/>
          <w:color w:val="auto"/>
          <w:highlight w:val="none"/>
        </w:rPr>
        <w:t xml:space="preserve">(5) </w:t>
      </w:r>
      <w:r>
        <w:rPr>
          <w:rFonts w:hint="eastAsia" w:ascii="仿宋" w:hAnsi="仿宋" w:eastAsia="仿宋" w:cs="仿宋"/>
          <w:b/>
          <w:color w:val="auto"/>
          <w:spacing w:val="-3"/>
          <w:highlight w:val="none"/>
        </w:rPr>
        <w:t>合同条款偏离表</w:t>
      </w:r>
    </w:p>
    <w:p>
      <w:pPr>
        <w:pStyle w:val="27"/>
        <w:ind w:firstLine="512" w:firstLineChars="187"/>
        <w:rPr>
          <w:rFonts w:hint="eastAsia" w:ascii="仿宋" w:hAnsi="仿宋" w:eastAsia="仿宋" w:cs="仿宋"/>
          <w:b/>
          <w:color w:val="auto"/>
          <w:spacing w:val="-3"/>
          <w:highlight w:val="none"/>
          <w:lang w:val="en-US" w:eastAsia="zh-CN"/>
        </w:rPr>
      </w:pPr>
      <w:r>
        <w:rPr>
          <w:rFonts w:hint="eastAsia" w:ascii="仿宋" w:hAnsi="仿宋" w:eastAsia="仿宋" w:cs="仿宋"/>
          <w:b/>
          <w:color w:val="auto"/>
          <w:spacing w:val="-3"/>
          <w:highlight w:val="none"/>
          <w:lang w:eastAsia="zh-CN"/>
        </w:rPr>
        <w:t>（</w:t>
      </w:r>
      <w:r>
        <w:rPr>
          <w:rFonts w:hint="eastAsia" w:ascii="仿宋" w:hAnsi="仿宋" w:eastAsia="仿宋" w:cs="仿宋"/>
          <w:b/>
          <w:color w:val="auto"/>
          <w:spacing w:val="-3"/>
          <w:highlight w:val="none"/>
          <w:lang w:val="en-US" w:eastAsia="zh-CN"/>
        </w:rPr>
        <w:t>6</w:t>
      </w:r>
      <w:r>
        <w:rPr>
          <w:rFonts w:hint="eastAsia" w:ascii="仿宋" w:hAnsi="仿宋" w:eastAsia="仿宋" w:cs="仿宋"/>
          <w:b/>
          <w:color w:val="auto"/>
          <w:spacing w:val="-3"/>
          <w:highlight w:val="none"/>
          <w:lang w:eastAsia="zh-CN"/>
        </w:rPr>
        <w:t>）</w:t>
      </w:r>
      <w:r>
        <w:rPr>
          <w:rFonts w:hint="eastAsia" w:ascii="仿宋" w:hAnsi="仿宋" w:eastAsia="仿宋" w:cs="仿宋"/>
          <w:b/>
          <w:color w:val="auto"/>
          <w:spacing w:val="-3"/>
          <w:highlight w:val="none"/>
          <w:lang w:val="en-US" w:eastAsia="zh-CN"/>
        </w:rPr>
        <w:t>代表性项目业绩</w:t>
      </w:r>
    </w:p>
    <w:p>
      <w:pPr>
        <w:pStyle w:val="27"/>
        <w:ind w:firstLine="512" w:firstLineChars="187"/>
        <w:rPr>
          <w:rFonts w:hint="eastAsia" w:ascii="仿宋" w:hAnsi="仿宋" w:eastAsia="仿宋" w:cs="仿宋"/>
          <w:b/>
          <w:color w:val="auto"/>
          <w:spacing w:val="-3"/>
          <w:highlight w:val="none"/>
          <w:lang w:val="en-US" w:eastAsia="zh-CN"/>
        </w:rPr>
      </w:pPr>
      <w:r>
        <w:rPr>
          <w:rFonts w:hint="eastAsia" w:ascii="仿宋" w:hAnsi="仿宋" w:eastAsia="仿宋" w:cs="仿宋"/>
          <w:b/>
          <w:color w:val="auto"/>
          <w:spacing w:val="-3"/>
          <w:highlight w:val="none"/>
          <w:lang w:val="en-US" w:eastAsia="zh-CN"/>
        </w:rPr>
        <w:t>（7）售后服务</w:t>
      </w:r>
    </w:p>
    <w:p>
      <w:pPr>
        <w:pStyle w:val="27"/>
        <w:ind w:firstLine="548"/>
        <w:rPr>
          <w:rFonts w:hint="eastAsia" w:ascii="仿宋" w:hAnsi="仿宋" w:eastAsia="仿宋" w:cs="仿宋"/>
          <w:color w:val="auto"/>
          <w:spacing w:val="-3"/>
          <w:highlight w:val="none"/>
        </w:rPr>
      </w:pPr>
      <w:r>
        <w:rPr>
          <w:rFonts w:hint="eastAsia" w:ascii="仿宋" w:hAnsi="仿宋" w:eastAsia="仿宋" w:cs="仿宋"/>
          <w:color w:val="auto"/>
          <w:spacing w:val="-3"/>
          <w:highlight w:val="none"/>
        </w:rPr>
        <w:t>(</w:t>
      </w:r>
      <w:r>
        <w:rPr>
          <w:rFonts w:hint="eastAsia" w:ascii="仿宋" w:hAnsi="仿宋" w:eastAsia="仿宋" w:cs="仿宋"/>
          <w:color w:val="auto"/>
          <w:spacing w:val="-3"/>
          <w:highlight w:val="none"/>
          <w:lang w:val="en-US" w:eastAsia="zh-CN"/>
        </w:rPr>
        <w:t>8</w:t>
      </w:r>
      <w:r>
        <w:rPr>
          <w:rFonts w:hint="eastAsia" w:ascii="仿宋" w:hAnsi="仿宋" w:eastAsia="仿宋" w:cs="仿宋"/>
          <w:color w:val="auto"/>
          <w:spacing w:val="-3"/>
          <w:highlight w:val="none"/>
        </w:rPr>
        <w:t>) 供应商认为有必要提供的声明及文件资料</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9.1.3 技术响应书</w:t>
      </w:r>
    </w:p>
    <w:p>
      <w:pPr>
        <w:pStyle w:val="28"/>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供应相关产品的详细技术参数</w:t>
      </w:r>
    </w:p>
    <w:p>
      <w:pPr>
        <w:pStyle w:val="28"/>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对于磋商文件中的</w:t>
      </w:r>
      <w:r>
        <w:rPr>
          <w:rFonts w:hint="eastAsia" w:ascii="仿宋" w:hAnsi="仿宋" w:eastAsia="仿宋" w:cs="仿宋"/>
          <w:b/>
          <w:color w:val="auto"/>
          <w:sz w:val="28"/>
          <w:highlight w:val="none"/>
          <w:lang w:val="en-US" w:eastAsia="zh-CN"/>
        </w:rPr>
        <w:t>供货</w:t>
      </w:r>
      <w:r>
        <w:rPr>
          <w:rFonts w:hint="eastAsia" w:ascii="仿宋" w:hAnsi="仿宋" w:eastAsia="仿宋" w:cs="仿宋"/>
          <w:b/>
          <w:color w:val="auto"/>
          <w:sz w:val="28"/>
          <w:highlight w:val="none"/>
        </w:rPr>
        <w:t>方案、供应相关产品的详细技术参数，供应商必须针对每一条款提供国家权威部门出具的完整的检验报告和对外印刷的宣传彩页作为其技术指标的支持资料（国家无需检测的设备可以不提供检验报告），对未提供技术支持资料的，或参数与其提供的技术支持资料不一致的，均视为未实质性响应磋商文件。</w:t>
      </w:r>
    </w:p>
    <w:p>
      <w:pPr>
        <w:pStyle w:val="28"/>
        <w:spacing w:line="52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w:t>
      </w:r>
    </w:p>
    <w:p>
      <w:pPr>
        <w:pStyle w:val="28"/>
        <w:spacing w:line="52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 备品备件及专用工具清单</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产品样本、说明书、图纸技术资料及产品质量获奖荣誉证书复印件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供应商认为有必要提供的声明及文件资料</w:t>
      </w:r>
    </w:p>
    <w:p>
      <w:pPr>
        <w:pStyle w:val="28"/>
        <w:spacing w:line="540" w:lineRule="exact"/>
        <w:ind w:firstLine="525"/>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9.2 第9.1.1条中第(1)(2)(3)(4)（5）项、第9.1.2条中第(1)(2)(3)(4)(5)(</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w:t>
      </w:r>
      <w:r>
        <w:rPr>
          <w:rFonts w:hint="eastAsia" w:ascii="仿宋" w:hAnsi="仿宋" w:eastAsia="仿宋" w:cs="仿宋"/>
          <w:b/>
          <w:color w:val="auto"/>
          <w:sz w:val="28"/>
          <w:highlight w:val="none"/>
          <w:lang w:val="en-US" w:eastAsia="zh-CN"/>
        </w:rPr>
        <w:t>7</w:t>
      </w:r>
      <w:r>
        <w:rPr>
          <w:rFonts w:hint="eastAsia" w:ascii="仿宋" w:hAnsi="仿宋" w:eastAsia="仿宋" w:cs="仿宋"/>
          <w:b/>
          <w:color w:val="auto"/>
          <w:sz w:val="28"/>
          <w:highlight w:val="none"/>
        </w:rPr>
        <w:t>)项、第9.1.3条中第(1)(2)(3)项为必备项，供应商在响应文件中必须提供有关材料，如果缺项，将导致磋商失败。</w:t>
      </w:r>
    </w:p>
    <w:p>
      <w:pPr>
        <w:pStyle w:val="28"/>
        <w:spacing w:line="520" w:lineRule="exact"/>
        <w:ind w:firstLine="525"/>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9.3 供应商在磋商中违反国家有关法律法规的强制性规定的，其响应文件按未满足磋商文件实质性要求处理。</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响应书格式</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供应商应按磋商文件提供的格式完整地填写所提供的货物、服务、数量及价格。</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磋商报价</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供应商应按磋商文件所附的《磋商报价一览表》和《</w:t>
      </w:r>
      <w:r>
        <w:rPr>
          <w:rFonts w:hint="eastAsia" w:ascii="仿宋" w:hAnsi="仿宋" w:eastAsia="仿宋" w:cs="仿宋"/>
          <w:color w:val="auto"/>
          <w:sz w:val="28"/>
          <w:szCs w:val="22"/>
          <w:highlight w:val="none"/>
        </w:rPr>
        <w:t>磋商服务内容及相关产品名称、数量、规格及报价明细表</w:t>
      </w:r>
      <w:r>
        <w:rPr>
          <w:rFonts w:hint="eastAsia" w:ascii="仿宋" w:hAnsi="仿宋" w:eastAsia="仿宋" w:cs="仿宋"/>
          <w:color w:val="auto"/>
          <w:sz w:val="28"/>
          <w:highlight w:val="none"/>
        </w:rPr>
        <w:t>》中的项目，标明拟提供货物和服务的单价和总价。如单价和总价不符，以单价累计为准。</w:t>
      </w:r>
    </w:p>
    <w:p>
      <w:pPr>
        <w:pStyle w:val="28"/>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11.2  本项目的磋商报价实行两次报价：即第一轮是在规定的提交响应文件截止时间之后，每一个供应商所提交的报价一览表中的报价为该供应商的第一次报价，磋商小组对其进行评审并提出答疑问题；第二轮是在答疑完毕后，进行第二次报价（最后报价）。最后报价单填写好后需加盖投标企业公章并密封，</w:t>
      </w:r>
      <w:r>
        <w:rPr>
          <w:rFonts w:hint="eastAsia" w:ascii="仿宋" w:hAnsi="仿宋" w:eastAsia="仿宋" w:cs="仿宋"/>
          <w:b/>
          <w:bCs/>
          <w:color w:val="auto"/>
          <w:sz w:val="28"/>
          <w:szCs w:val="28"/>
          <w:highlight w:val="none"/>
        </w:rPr>
        <w:t>在规定的时间内递交给</w:t>
      </w:r>
      <w:r>
        <w:rPr>
          <w:rFonts w:hint="eastAsia" w:ascii="仿宋" w:hAnsi="仿宋" w:eastAsia="仿宋" w:cs="仿宋"/>
          <w:b/>
          <w:bCs/>
          <w:color w:val="auto"/>
          <w:sz w:val="28"/>
          <w:szCs w:val="28"/>
          <w:highlight w:val="none"/>
          <w:lang w:val="en-US" w:eastAsia="zh-CN"/>
        </w:rPr>
        <w:t>工作人员</w:t>
      </w:r>
      <w:r>
        <w:rPr>
          <w:rFonts w:hint="eastAsia" w:ascii="仿宋" w:hAnsi="仿宋" w:eastAsia="仿宋" w:cs="仿宋"/>
          <w:b/>
          <w:bCs/>
          <w:color w:val="auto"/>
          <w:sz w:val="28"/>
          <w:szCs w:val="28"/>
          <w:highlight w:val="none"/>
        </w:rPr>
        <w:t>，最后由监标人开启最后报价单</w:t>
      </w:r>
      <w:r>
        <w:rPr>
          <w:rFonts w:hint="eastAsia" w:ascii="仿宋" w:hAnsi="仿宋" w:eastAsia="仿宋" w:cs="仿宋"/>
          <w:b/>
          <w:color w:val="auto"/>
          <w:sz w:val="28"/>
          <w:highlight w:val="none"/>
        </w:rPr>
        <w:t>。</w:t>
      </w:r>
    </w:p>
    <w:p>
      <w:pPr>
        <w:pStyle w:val="28"/>
        <w:spacing w:line="54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11.3  供应商应按磋商文件的要求对有关采购的设计、方案、货物及其配套服务的全部内容进行报价。磋商报价应包括：</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11.3.1  外购、外协、配套件、原材料及功能设计生产制造、检验、油漆、包装、保险、利税、管理、运杂、安装调试、人员培训等费用。</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11.3.2  磋商文件中特别要求的零、备件费用。</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11.3.3  分项报价明细表中特别要求的安装、调试、运输及培训费用。</w:t>
      </w:r>
    </w:p>
    <w:p>
      <w:pPr>
        <w:pStyle w:val="28"/>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磋商货币</w:t>
      </w:r>
    </w:p>
    <w:p>
      <w:pPr>
        <w:pStyle w:val="28"/>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12.1 本次磋商货币为人民币。</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证明供应商合格和资格的文件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按照第9条规定，供应商应提交证明其有资格参加磋商和一旦其响应被接受则有能力履行合同的文件，并作为其响应文件的一部分。</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13.2 供应商应填写并提交磋商文件所要求的资格证明类文件。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证明货物的合格性和符合磋商文件规定的文件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按照第9条规定，供应商应提交磋商文件要求的货物及其服务的合格性及符合磋商文件规定的证明文件。证明文件可以是手册、图纸和资料，并作为响应文件的一部分。</w:t>
      </w:r>
    </w:p>
    <w:p>
      <w:pPr>
        <w:pStyle w:val="28"/>
        <w:spacing w:line="54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供应商应逐条阅读磋商文件要求的技术规格条款要求，指出自己提供的货物和服务是否对磋商文件做出实质性的响应，</w:t>
      </w:r>
      <w:r>
        <w:rPr>
          <w:rFonts w:hint="eastAsia" w:ascii="仿宋" w:hAnsi="仿宋" w:eastAsia="仿宋" w:cs="仿宋"/>
          <w:b/>
          <w:color w:val="auto"/>
          <w:sz w:val="28"/>
          <w:highlight w:val="none"/>
        </w:rPr>
        <w:t>并将不能响应之处在磋商文件所附的“技术偏离表”和“商务（合同条款）偏离表”中一一列出。否则，将视为供应商同意、确认或接受磋商文件的全部或相应部分的要求。</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14.3  证明货物的合格性和符合磋商文件规定的文件应包括下列内容：</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14.3.1  磋商服务货物的试验报告、鉴定证书（复印件）；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14.3.2  执行的制造、验收标准；</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14.3.3  荣获国优、部优、省优荣誉证书（复印件）；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14.3.4  有关的产品样本、手册、图纸和资料；</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14.3.5  供应商认为有必要提供的其它证明文件；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响应文件的有效期</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15.1  响应文件从实际磋商之日起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30 </w:t>
      </w:r>
      <w:r>
        <w:rPr>
          <w:rFonts w:hint="eastAsia" w:ascii="仿宋" w:hAnsi="仿宋" w:eastAsia="仿宋" w:cs="仿宋"/>
          <w:color w:val="auto"/>
          <w:sz w:val="28"/>
          <w:highlight w:val="none"/>
        </w:rPr>
        <w:t>天内有效。</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15.2  在特殊情况下, 在原磋商有效期届满之前，采购代理机构可与磋商单位协商延长响应文件的有效期，并经供应商确认。</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响应文件的书写要求、签署及份数</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16.1  响应文件正本须用不褪色的墨水笔书写或打印。</w:t>
      </w:r>
    </w:p>
    <w:p>
      <w:pPr>
        <w:spacing w:line="52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16.2  响应文件的书写应清楚工整，修改处应由供应商授权代表签字或盖章。</w:t>
      </w:r>
    </w:p>
    <w:p>
      <w:pPr>
        <w:pStyle w:val="28"/>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16.3  未实质性响应磋商文件、或者关键字迹潦草、关键内容表达不清、或者未按要求填写或可能导致非唯一理解的响应文件将不能通过符合性检查，按重大偏离处理。</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16.4  响应文件应由企业法人或法人授权代表在所有规定签章处逐一签署及加盖单位的公章。</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  响应文件的份数：详见《磋商须知前附表》。供应商应在响应文件封面左上角注明“正本”、“副本”字样，一旦正本和副本不符，以正本为准，参考资料不限量。</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16.6  供应商可根据磋商货物的具体需要自行编制其它文件一式</w:t>
      </w:r>
      <w:r>
        <w:rPr>
          <w:rFonts w:hint="eastAsia" w:ascii="仿宋" w:hAnsi="仿宋" w:eastAsia="仿宋" w:cs="仿宋"/>
          <w:b/>
          <w:color w:val="auto"/>
          <w:sz w:val="28"/>
          <w:highlight w:val="none"/>
        </w:rPr>
        <w:t>5</w:t>
      </w:r>
      <w:r>
        <w:rPr>
          <w:rFonts w:hint="eastAsia" w:ascii="仿宋" w:hAnsi="仿宋" w:eastAsia="仿宋" w:cs="仿宋"/>
          <w:color w:val="auto"/>
          <w:sz w:val="28"/>
          <w:highlight w:val="none"/>
        </w:rPr>
        <w:t>份纳入响应文件中。</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16.7  响应文件的装订必须采用胶粘本，不允许活页形式装订（非胶粘方式装订的响应文件一律视同活页装订），活页方式装订视为响应文件无效。</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17.  磋商保证金</w:t>
      </w:r>
    </w:p>
    <w:p>
      <w:pPr>
        <w:pStyle w:val="28"/>
        <w:spacing w:line="540" w:lineRule="exact"/>
        <w:ind w:firstLine="567"/>
        <w:jc w:val="both"/>
        <w:rPr>
          <w:rFonts w:hint="eastAsia" w:ascii="仿宋" w:hAnsi="仿宋" w:eastAsia="仿宋" w:cs="仿宋"/>
          <w:b/>
          <w:bCs/>
          <w:color w:val="auto"/>
          <w:sz w:val="28"/>
          <w:highlight w:val="none"/>
        </w:rPr>
      </w:pPr>
      <w:r>
        <w:rPr>
          <w:rFonts w:hint="eastAsia" w:ascii="仿宋" w:hAnsi="仿宋" w:eastAsia="仿宋" w:cs="仿宋"/>
          <w:b/>
          <w:color w:val="auto"/>
          <w:sz w:val="28"/>
          <w:highlight w:val="none"/>
        </w:rPr>
        <w:t>17.1  磋商保证金金额：供应商须知前附表第4款</w:t>
      </w:r>
      <w:r>
        <w:rPr>
          <w:rFonts w:hint="eastAsia" w:ascii="仿宋" w:hAnsi="仿宋" w:eastAsia="仿宋" w:cs="仿宋"/>
          <w:b/>
          <w:bCs/>
          <w:color w:val="auto"/>
          <w:sz w:val="28"/>
          <w:highlight w:val="none"/>
        </w:rPr>
        <w:t>。</w:t>
      </w:r>
    </w:p>
    <w:p>
      <w:pPr>
        <w:pStyle w:val="28"/>
        <w:spacing w:line="54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17.2  磋商保证金用于保护本次磋商免受参与本项目的供应商的违规、违约行为而引起的风险。</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17.3  磋商保证金应用人民币，由供应商按第一章《磋商邀请书》中明确的银行、帐号，按17.1条要求的数额办理。对未按要求提交磋商保证金的响应文件，采购代理机构将视为不响应磋商文件而予以拒绝。</w:t>
      </w:r>
    </w:p>
    <w:p>
      <w:pPr>
        <w:pStyle w:val="28"/>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17.4 </w:t>
      </w:r>
      <w:r>
        <w:rPr>
          <w:rFonts w:hint="eastAsia" w:ascii="仿宋" w:hAnsi="仿宋" w:eastAsia="仿宋" w:cs="仿宋"/>
          <w:b/>
          <w:color w:val="auto"/>
          <w:sz w:val="28"/>
          <w:highlight w:val="none"/>
        </w:rPr>
        <w:t>磋商保证金应以非现金形式的电汇、网银支付（对公转账）提交。磋商保证金须于投标截止交到新疆新之建工程咨询有限公司指定的帐户，未按要求提交磋商保证金的，视为无效响应。</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17.5  未成交供应商的磋商保证金，予以退还，不计利息。</w:t>
      </w:r>
    </w:p>
    <w:p>
      <w:pPr>
        <w:pStyle w:val="28"/>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退还时间：未成交供应商的保证金于成交通知书发出后五个工作日内退还；成交供应商的保证金于采购合同签订后五个工作日内退还。</w:t>
      </w:r>
    </w:p>
    <w:p>
      <w:pPr>
        <w:pStyle w:val="28"/>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退还保证金时供应商需向新疆新之建工程咨询有限公司提供</w:t>
      </w:r>
      <w:r>
        <w:rPr>
          <w:rFonts w:hint="eastAsia" w:ascii="仿宋" w:hAnsi="仿宋" w:eastAsia="仿宋" w:cs="仿宋"/>
          <w:b/>
          <w:color w:val="auto"/>
          <w:sz w:val="28"/>
          <w:highlight w:val="none"/>
        </w:rPr>
        <w:t>加盖公章的账户信息（行名、行号、户名、账号）</w:t>
      </w:r>
      <w:r>
        <w:rPr>
          <w:rFonts w:hint="eastAsia" w:ascii="仿宋" w:hAnsi="仿宋" w:eastAsia="仿宋" w:cs="仿宋"/>
          <w:color w:val="auto"/>
          <w:sz w:val="28"/>
          <w:highlight w:val="none"/>
        </w:rPr>
        <w:t>及</w:t>
      </w:r>
      <w:r>
        <w:rPr>
          <w:rFonts w:hint="eastAsia" w:ascii="仿宋" w:hAnsi="仿宋" w:eastAsia="仿宋" w:cs="仿宋"/>
          <w:b/>
          <w:color w:val="auto"/>
          <w:sz w:val="28"/>
          <w:highlight w:val="none"/>
        </w:rPr>
        <w:t>加盖供应商财务章的客户联复写收据原件（收据中需写明项目名称及项目编号）。</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17.6  发生以下情况磋商保证金可能被没收：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17.6.1  如果供应商在磋商有效期内撤回响应文件；</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17.6.2  如果成交单位未能做到：</w:t>
      </w:r>
    </w:p>
    <w:p>
      <w:pPr>
        <w:pStyle w:val="27"/>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a. 按29条规定签定合同；</w:t>
      </w:r>
    </w:p>
    <w:p>
      <w:pPr>
        <w:pStyle w:val="27"/>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b. 第31条有关缴纳成交服务费的规定；</w:t>
      </w:r>
    </w:p>
    <w:p>
      <w:pPr>
        <w:pStyle w:val="27"/>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c. 按磋商文件要求提交合同履约保证金的。</w:t>
      </w:r>
    </w:p>
    <w:p>
      <w:pPr>
        <w:pStyle w:val="28"/>
        <w:spacing w:before="312" w:beforeLines="100" w:after="156" w:afterLines="50" w:line="540" w:lineRule="exact"/>
        <w:jc w:val="center"/>
        <w:rPr>
          <w:rFonts w:hint="eastAsia" w:ascii="仿宋" w:hAnsi="仿宋" w:eastAsia="仿宋" w:cs="仿宋"/>
          <w:color w:val="auto"/>
          <w:sz w:val="28"/>
          <w:highlight w:val="none"/>
        </w:rPr>
      </w:pPr>
      <w:r>
        <w:rPr>
          <w:rFonts w:hint="eastAsia" w:ascii="仿宋" w:hAnsi="仿宋" w:eastAsia="仿宋" w:cs="仿宋"/>
          <w:b/>
          <w:color w:val="auto"/>
          <w:sz w:val="28"/>
          <w:highlight w:val="none"/>
        </w:rPr>
        <w:t>四、响应文件的递交</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响应文件的密封与标记</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18.1  供应商应将响应文件正本和副本分别装入信袋内加以密封，分别在信袋上标“正本”或“副本”，并在密封处加盖公章。</w:t>
      </w:r>
    </w:p>
    <w:p>
      <w:pPr>
        <w:pStyle w:val="28"/>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18.2 供应商应将填好的磋商报价一览表</w:t>
      </w:r>
      <w:r>
        <w:rPr>
          <w:rFonts w:hint="eastAsia" w:ascii="仿宋" w:hAnsi="仿宋" w:eastAsia="仿宋" w:cs="仿宋"/>
          <w:b/>
          <w:bCs/>
          <w:color w:val="auto"/>
          <w:sz w:val="28"/>
          <w:highlight w:val="none"/>
        </w:rPr>
        <w:t>密封，在密封处加盖公章，在信袋上注明“磋商报价一览表”字样，作为响应文件的一部分</w:t>
      </w:r>
      <w:r>
        <w:rPr>
          <w:rFonts w:hint="eastAsia" w:ascii="仿宋" w:hAnsi="仿宋" w:eastAsia="仿宋" w:cs="仿宋"/>
          <w:b/>
          <w:color w:val="auto"/>
          <w:sz w:val="28"/>
          <w:highlight w:val="none"/>
        </w:rPr>
        <w:t>。</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18.3  所有响应文件信袋上均应贴上封条，封条上应写明：</w:t>
      </w:r>
    </w:p>
    <w:p>
      <w:pPr>
        <w:pStyle w:val="28"/>
        <w:snapToGrid w:val="0"/>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⑴ 采购代理机构单位：新疆新之建工程咨询有限公司</w:t>
      </w:r>
    </w:p>
    <w:p>
      <w:pPr>
        <w:pStyle w:val="28"/>
        <w:spacing w:line="520" w:lineRule="exact"/>
        <w:ind w:left="2387" w:leftChars="270" w:hanging="1820" w:hangingChars="650"/>
        <w:jc w:val="both"/>
        <w:rPr>
          <w:rFonts w:hint="eastAsia" w:ascii="仿宋" w:hAnsi="仿宋" w:eastAsia="仿宋" w:cs="仿宋"/>
          <w:bCs/>
          <w:color w:val="auto"/>
          <w:sz w:val="28"/>
          <w:szCs w:val="28"/>
          <w:highlight w:val="none"/>
        </w:rPr>
      </w:pPr>
      <w:r>
        <w:rPr>
          <w:rFonts w:hint="eastAsia" w:ascii="仿宋" w:hAnsi="仿宋" w:eastAsia="仿宋" w:cs="仿宋"/>
          <w:color w:val="auto"/>
          <w:sz w:val="28"/>
          <w:highlight w:val="none"/>
        </w:rPr>
        <w:t>⑵ 项目名称：</w:t>
      </w:r>
    </w:p>
    <w:p>
      <w:pPr>
        <w:pStyle w:val="28"/>
        <w:spacing w:line="520" w:lineRule="exact"/>
        <w:ind w:left="2387" w:leftChars="270" w:hanging="1820" w:hangingChars="65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⑶ 项目编号：</w:t>
      </w:r>
    </w:p>
    <w:p>
      <w:pPr>
        <w:pStyle w:val="28"/>
        <w:snapToGrid w:val="0"/>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⑷ 供应商名称和地址：</w:t>
      </w:r>
    </w:p>
    <w:p>
      <w:pPr>
        <w:pStyle w:val="28"/>
        <w:snapToGrid w:val="0"/>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⑸ 注明“开标前不准启封”，“正本”，“副本”。</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18.4  未按本须知要求密封、标记和投递的响应文件，采购代理机构不对其后果负责。</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响应文件递交的截止日期</w:t>
      </w:r>
    </w:p>
    <w:p>
      <w:pPr>
        <w:pStyle w:val="28"/>
        <w:spacing w:line="520" w:lineRule="exact"/>
        <w:ind w:firstLine="567"/>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19.1 供应商必须在《磋商须知前附表》中规定的时间之前将响应文件送达到规定的地点。</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超过磋商文件规定的磋商截止时间送达的响应文件将不予接受。</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20.  响应文件的修改和撤销</w:t>
      </w:r>
    </w:p>
    <w:p>
      <w:pPr>
        <w:pStyle w:val="29"/>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20.1  供应商对其响应文件进行的修改或撤销应以书面形式并在磋商文件规定的响应文件递交截止时间前送达或邮寄到采购代理机构手中。</w:t>
      </w:r>
    </w:p>
    <w:p>
      <w:pPr>
        <w:pStyle w:val="29"/>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20.2  供应商对响应文件的修改或撤销应按第18和19条规定进行准备、密封、标注和递交。</w:t>
      </w:r>
    </w:p>
    <w:p>
      <w:pPr>
        <w:pStyle w:val="29"/>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20.3  响应文件递交截止时间以后，不允许对响应文件进行修改。</w:t>
      </w:r>
    </w:p>
    <w:p>
      <w:pPr>
        <w:pStyle w:val="29"/>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20.4  供应商不得在响应文件递交截止时间起至响应文件有效期满前撤销响应文件，否则其磋商保证金将被没收。</w:t>
      </w:r>
    </w:p>
    <w:p>
      <w:pPr>
        <w:pStyle w:val="28"/>
        <w:spacing w:before="312" w:beforeLines="100" w:after="156" w:afterLines="50" w:line="54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五、磋商</w:t>
      </w:r>
    </w:p>
    <w:p>
      <w:pPr>
        <w:pStyle w:val="29"/>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磋商</w:t>
      </w:r>
    </w:p>
    <w:p>
      <w:pPr>
        <w:pStyle w:val="28"/>
        <w:spacing w:line="52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除非采购代理机构另外书面通知，本标将按本磋商文件《磋商须知前附表》中规定的时间和地点磋商。</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21.2  磋商时，有关行政监督部门或公证部门的工作人员将对供应商进行资格初审。</w:t>
      </w:r>
      <w:r>
        <w:rPr>
          <w:rFonts w:hint="eastAsia" w:ascii="仿宋" w:hAnsi="仿宋" w:eastAsia="仿宋" w:cs="仿宋"/>
          <w:b/>
          <w:color w:val="auto"/>
          <w:sz w:val="28"/>
          <w:highlight w:val="none"/>
        </w:rPr>
        <w:t>供应商须在密封的</w:t>
      </w:r>
      <w:r>
        <w:rPr>
          <w:rFonts w:hint="eastAsia" w:ascii="仿宋" w:hAnsi="仿宋" w:eastAsia="仿宋" w:cs="仿宋"/>
          <w:b/>
          <w:color w:val="auto"/>
          <w:sz w:val="28"/>
          <w:highlight w:val="none"/>
          <w:lang w:eastAsia="zh-CN"/>
        </w:rPr>
        <w:t>响应文件</w:t>
      </w:r>
      <w:r>
        <w:rPr>
          <w:rFonts w:hint="eastAsia" w:ascii="仿宋" w:hAnsi="仿宋" w:eastAsia="仿宋" w:cs="仿宋"/>
          <w:b/>
          <w:color w:val="auto"/>
          <w:sz w:val="28"/>
          <w:highlight w:val="none"/>
        </w:rPr>
        <w:t>之外随身携带《磋商须知前附表》第16条要求的证件，以备现场审查</w:t>
      </w:r>
      <w:r>
        <w:rPr>
          <w:rFonts w:hint="eastAsia" w:ascii="仿宋" w:hAnsi="仿宋" w:eastAsia="仿宋" w:cs="仿宋"/>
          <w:color w:val="auto"/>
          <w:sz w:val="28"/>
          <w:highlight w:val="none"/>
        </w:rPr>
        <w:t>。但该初步审查并不妨碍磋商小组对供应商进行的进一步资格详细审查。</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开标现场资格审查之后不对各供应商的报价进行唱标。如供应商对响应文件价格有说明或调整的，须与《磋商报价一览表》附在一起一并递交。</w:t>
      </w:r>
    </w:p>
    <w:p>
      <w:pPr>
        <w:pStyle w:val="28"/>
        <w:spacing w:line="52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21.4  《磋商报价一览表》为各供应商响应文件的组成部分。</w:t>
      </w:r>
    </w:p>
    <w:p>
      <w:pPr>
        <w:pStyle w:val="28"/>
        <w:spacing w:before="312" w:beforeLines="100" w:after="156" w:afterLines="50" w:line="54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六、响应文件的评审和比较</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 评审原则</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22.1  本次磋商的评审遵循公平、公正、科学、择优的原则。</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22.2  磋商小组会将严格遵循《中华人民共和国政府采购法》及其实施条例（658号令）、《政府采购货物和服务招标投标管理办法》（财政部18号令）、《财政部关于加强政府采购货物和服务项目价格评审管理的通知》财库（2007）2号文、《关于印发&lt;政府采购竞争性磋商采购方式管理暂行办法&gt;的通知》（财库〔2014〕214号）及《</w:t>
      </w:r>
      <w:r>
        <w:rPr>
          <w:rFonts w:hint="eastAsia" w:ascii="仿宋" w:hAnsi="仿宋" w:eastAsia="仿宋" w:cs="仿宋"/>
          <w:bCs/>
          <w:color w:val="auto"/>
          <w:sz w:val="28"/>
          <w:highlight w:val="none"/>
        </w:rPr>
        <w:t>财政部关于政府采购竞争性磋商采购方式管理暂行办法有关问题的补充通知》</w:t>
      </w:r>
      <w:r>
        <w:rPr>
          <w:rFonts w:hint="eastAsia" w:ascii="仿宋" w:hAnsi="仿宋" w:eastAsia="仿宋" w:cs="仿宋"/>
          <w:bCs/>
          <w:color w:val="auto"/>
          <w:sz w:val="28"/>
          <w:szCs w:val="28"/>
          <w:highlight w:val="none"/>
        </w:rPr>
        <w:t>（财库〔2015〕124号）</w:t>
      </w:r>
      <w:r>
        <w:rPr>
          <w:rFonts w:hint="eastAsia" w:ascii="仿宋" w:hAnsi="仿宋" w:eastAsia="仿宋" w:cs="仿宋"/>
          <w:color w:val="auto"/>
          <w:sz w:val="28"/>
          <w:highlight w:val="none"/>
        </w:rPr>
        <w:t>等相关法律法规的规定依法评审，维护各方当事人的合法权益。</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22.3  不徇私情，不明招暗定。</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22.4  资格审查合格的供应商，均有同等机会参加磋商竞争。</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22.5  磋商小组人员不得私自泄露评审内容，不得进行旨在影响评审结果公正、公平的任何活动。</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评审方法</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采购代理机构将根据有关法律法规的规定组建3人以上磋商小组，其三分之二成员从</w:t>
      </w:r>
      <w:r>
        <w:rPr>
          <w:rFonts w:hint="eastAsia" w:ascii="仿宋" w:hAnsi="仿宋" w:eastAsia="仿宋" w:cs="仿宋"/>
          <w:color w:val="auto"/>
          <w:sz w:val="28"/>
          <w:highlight w:val="none"/>
          <w:lang w:val="en-US" w:eastAsia="zh-CN"/>
        </w:rPr>
        <w:t>新疆政府采购网政采云专家库中</w:t>
      </w:r>
      <w:r>
        <w:rPr>
          <w:rFonts w:hint="eastAsia" w:ascii="仿宋" w:hAnsi="仿宋" w:eastAsia="仿宋" w:cs="仿宋"/>
          <w:color w:val="auto"/>
          <w:sz w:val="28"/>
          <w:highlight w:val="none"/>
        </w:rPr>
        <w:t>随机抽取。磋商小组成员由本行业相关技术、经济等方面的专家组成。其中，技术、经济等方面的专家不少于成员总人数的三分之二。</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评审的依据为磋商文件和响应文件。根据相关法律法规的规定，磋商小组不以任何外部证据作为其评审的依据或标准。</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评审过程将严格保密。磋商后直到授予成交供应商合同止，凡是属于审查、澄清、评价和比较的有关磋商资料以及授标建议等均不得向供应商或其他无关的人员透露。</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在评审的整个过程中，供应商所进行的旨在影响评审结果的活动，可能导致其响应文件被拒绝，或者被取消成交资格。</w:t>
      </w:r>
    </w:p>
    <w:p>
      <w:pPr>
        <w:pStyle w:val="28"/>
        <w:spacing w:line="48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23.5  本次磋商采用综合评分法进行评审。评审分初步评审和详细评审两个阶段。</w:t>
      </w:r>
    </w:p>
    <w:p>
      <w:pPr>
        <w:pStyle w:val="28"/>
        <w:spacing w:line="48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23.5.1  初步评审分为资格性检查和符合性检查，只有通过初步评审的响应文件才可进入详细评审阶段。</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23.5.2  详细评审分为商务评审（含磋商报价得分计算）和技术评审两个部分。</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23.6  初步评审</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资格性检查：按照磋商文件《磋商须知》第9.1.1条中第(1)-(6)、(8)、(9)项的规定对响应文件进行资格审查。</w:t>
      </w:r>
    </w:p>
    <w:p>
      <w:pPr>
        <w:pStyle w:val="28"/>
        <w:spacing w:line="48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B. 符合性检查：依据磋商文件的规定，从响应文件的有效性、完整性和对磋商文件的响应程度进行审查，以确定是否对磋商文件的实质性要求作出响应，判定其内容是否真实可靠，是否满足磋商文件的最基本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具体评审内容系指：</w:t>
      </w:r>
    </w:p>
    <w:p>
      <w:pPr>
        <w:pStyle w:val="18"/>
        <w:spacing w:before="0" w:beforeAutospacing="0" w:after="0" w:afterAutospacing="0" w:line="48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23.6.1  响应文件组成不完整，主要内容未能按磋商文件规定的内容、格式填写、装订；</w:t>
      </w:r>
    </w:p>
    <w:p>
      <w:pPr>
        <w:pStyle w:val="18"/>
        <w:spacing w:before="0" w:beforeAutospacing="0" w:after="0" w:afterAutospacing="0" w:line="48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23.6.2  响应文件的有效期不满足磋商文件的规定；</w:t>
      </w:r>
    </w:p>
    <w:p>
      <w:pPr>
        <w:pStyle w:val="18"/>
        <w:spacing w:before="0" w:beforeAutospacing="0" w:after="0" w:afterAutospacing="0" w:line="48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23.6.3  响应文件没有供应商授权代表签字和加盖公章；</w:t>
      </w:r>
    </w:p>
    <w:p>
      <w:pPr>
        <w:pStyle w:val="28"/>
        <w:spacing w:line="48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23.6.4  供应商代表授权书未能由法定代表人签署；</w:t>
      </w:r>
    </w:p>
    <w:p>
      <w:pPr>
        <w:pStyle w:val="18"/>
        <w:spacing w:before="0" w:beforeAutospacing="0" w:after="0" w:afterAutospacing="0" w:line="48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23.6.5  响应文件附有采购人不能接受的其他条件；</w:t>
      </w:r>
    </w:p>
    <w:p>
      <w:pPr>
        <w:pStyle w:val="18"/>
        <w:spacing w:before="0" w:beforeAutospacing="0" w:after="0" w:afterAutospacing="0" w:line="480" w:lineRule="exact"/>
        <w:ind w:firstLine="570"/>
        <w:rPr>
          <w:rFonts w:hint="eastAsia" w:ascii="仿宋" w:hAnsi="仿宋" w:eastAsia="仿宋" w:cs="仿宋"/>
          <w:b/>
          <w:color w:val="auto"/>
          <w:sz w:val="28"/>
          <w:highlight w:val="none"/>
        </w:rPr>
      </w:pPr>
      <w:r>
        <w:rPr>
          <w:rFonts w:hint="eastAsia" w:ascii="仿宋" w:hAnsi="仿宋" w:eastAsia="仿宋" w:cs="仿宋"/>
          <w:color w:val="auto"/>
          <w:sz w:val="28"/>
          <w:highlight w:val="none"/>
        </w:rPr>
        <w:t>23.6.6  不符合磋商文件中规定的其他实质性要求。</w:t>
      </w:r>
    </w:p>
    <w:p>
      <w:pPr>
        <w:pStyle w:val="30"/>
        <w:spacing w:line="48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23.7  对通过初步评审并提供最后报价的供应商的响应文件将进入详细评审阶段。</w:t>
      </w:r>
    </w:p>
    <w:p>
      <w:pPr>
        <w:pStyle w:val="30"/>
        <w:spacing w:line="480" w:lineRule="exact"/>
        <w:ind w:firstLine="560"/>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23.7.1  详细评审中，经磋商确定最终采购需求和提交最后报价的供应商后，由磋商小组采用综合评分法，以响应文件能最大限度地满足磋商文件中规定的各项评价标准为依据，独立地对各响应文件进</w:t>
      </w:r>
    </w:p>
    <w:p>
      <w:pPr>
        <w:pStyle w:val="30"/>
        <w:spacing w:line="480" w:lineRule="exact"/>
        <w:ind w:left="0" w:leftChars="0" w:firstLine="0" w:firstLineChars="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行评审和综合评分。</w:t>
      </w:r>
    </w:p>
    <w:p>
      <w:pPr>
        <w:pStyle w:val="30"/>
        <w:spacing w:line="48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23.7.2  磋商小组将对下述评审因素进行量化，并根据磋商小组每个成员对响应文件的评审和理解进行打分，满分为100分。商务部分权重占</w:t>
      </w:r>
      <w:r>
        <w:rPr>
          <w:rFonts w:hint="eastAsia" w:ascii="仿宋" w:hAnsi="仿宋" w:eastAsia="仿宋" w:cs="仿宋"/>
          <w:color w:val="auto"/>
          <w:sz w:val="28"/>
          <w:highlight w:val="none"/>
          <w:lang w:val="en-US" w:eastAsia="zh-CN"/>
        </w:rPr>
        <w:t>40</w:t>
      </w:r>
      <w:r>
        <w:rPr>
          <w:rFonts w:hint="eastAsia" w:ascii="仿宋" w:hAnsi="仿宋" w:eastAsia="仿宋" w:cs="仿宋"/>
          <w:color w:val="auto"/>
          <w:sz w:val="28"/>
          <w:highlight w:val="none"/>
        </w:rPr>
        <w:t>%，其中价格满分为30分，商务条件满分为</w:t>
      </w:r>
      <w:r>
        <w:rPr>
          <w:rFonts w:hint="eastAsia" w:ascii="仿宋" w:hAnsi="仿宋" w:eastAsia="仿宋" w:cs="仿宋"/>
          <w:color w:val="auto"/>
          <w:sz w:val="28"/>
          <w:highlight w:val="none"/>
          <w:lang w:val="en-US" w:eastAsia="zh-CN"/>
        </w:rPr>
        <w:t>10</w:t>
      </w:r>
      <w:r>
        <w:rPr>
          <w:rFonts w:hint="eastAsia" w:ascii="仿宋" w:hAnsi="仿宋" w:eastAsia="仿宋" w:cs="仿宋"/>
          <w:color w:val="auto"/>
          <w:sz w:val="28"/>
          <w:highlight w:val="none"/>
        </w:rPr>
        <w:t>分；技术部分权重占</w:t>
      </w:r>
      <w:r>
        <w:rPr>
          <w:rFonts w:hint="eastAsia" w:ascii="仿宋" w:hAnsi="仿宋" w:eastAsia="仿宋" w:cs="仿宋"/>
          <w:color w:val="auto"/>
          <w:sz w:val="28"/>
          <w:highlight w:val="none"/>
          <w:lang w:val="en-US" w:eastAsia="zh-CN"/>
        </w:rPr>
        <w:t>60</w:t>
      </w:r>
      <w:r>
        <w:rPr>
          <w:rFonts w:hint="eastAsia" w:ascii="仿宋" w:hAnsi="仿宋" w:eastAsia="仿宋" w:cs="仿宋"/>
          <w:color w:val="auto"/>
          <w:sz w:val="28"/>
          <w:highlight w:val="none"/>
        </w:rPr>
        <w:t>%，满分为</w:t>
      </w:r>
      <w:r>
        <w:rPr>
          <w:rFonts w:hint="eastAsia" w:ascii="仿宋" w:hAnsi="仿宋" w:eastAsia="仿宋" w:cs="仿宋"/>
          <w:color w:val="auto"/>
          <w:sz w:val="28"/>
          <w:highlight w:val="none"/>
          <w:lang w:val="en-US" w:eastAsia="zh-CN"/>
        </w:rPr>
        <w:t>60</w:t>
      </w:r>
      <w:r>
        <w:rPr>
          <w:rFonts w:hint="eastAsia" w:ascii="仿宋" w:hAnsi="仿宋" w:eastAsia="仿宋" w:cs="仿宋"/>
          <w:color w:val="auto"/>
          <w:sz w:val="28"/>
          <w:highlight w:val="none"/>
        </w:rPr>
        <w:t>分。供应商两部分的分值相加，即为该供应商的综合评估分。</w:t>
      </w:r>
    </w:p>
    <w:p>
      <w:pPr>
        <w:pStyle w:val="30"/>
        <w:spacing w:line="520" w:lineRule="exact"/>
        <w:ind w:firstLine="560"/>
        <w:jc w:val="left"/>
        <w:rPr>
          <w:rFonts w:hint="eastAsia" w:ascii="仿宋" w:hAnsi="仿宋" w:eastAsia="仿宋" w:cs="仿宋"/>
          <w:b w:val="0"/>
          <w:color w:val="auto"/>
          <w:sz w:val="28"/>
          <w:highlight w:val="none"/>
        </w:rPr>
      </w:pPr>
      <w:r>
        <w:rPr>
          <w:rFonts w:hint="eastAsia" w:ascii="仿宋" w:hAnsi="仿宋" w:eastAsia="仿宋" w:cs="仿宋"/>
          <w:b w:val="0"/>
          <w:color w:val="auto"/>
          <w:sz w:val="28"/>
          <w:highlight w:val="none"/>
        </w:rPr>
        <w:t>具体分值见下表：</w:t>
      </w:r>
    </w:p>
    <w:p>
      <w:pPr>
        <w:pStyle w:val="30"/>
        <w:spacing w:after="156" w:afterLines="50" w:line="520" w:lineRule="exact"/>
        <w:ind w:firstLine="560"/>
        <w:jc w:val="left"/>
        <w:rPr>
          <w:rFonts w:hint="eastAsia" w:ascii="仿宋" w:hAnsi="仿宋" w:eastAsia="仿宋" w:cs="仿宋"/>
          <w:b w:val="0"/>
          <w:color w:val="auto"/>
          <w:sz w:val="28"/>
          <w:highlight w:val="none"/>
        </w:rPr>
      </w:pPr>
      <w:r>
        <w:rPr>
          <w:rFonts w:hint="eastAsia" w:ascii="仿宋" w:hAnsi="仿宋" w:eastAsia="仿宋" w:cs="仿宋"/>
          <w:b w:val="0"/>
          <w:color w:val="auto"/>
          <w:sz w:val="28"/>
          <w:highlight w:val="none"/>
        </w:rPr>
        <w:t>A、商务部分</w:t>
      </w:r>
    </w:p>
    <w:tbl>
      <w:tblPr>
        <w:tblStyle w:val="20"/>
        <w:tblW w:w="94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502"/>
        <w:gridCol w:w="1159"/>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tblHeader/>
        </w:trPr>
        <w:tc>
          <w:tcPr>
            <w:tcW w:w="1385" w:type="dxa"/>
            <w:noWrap w:val="0"/>
            <w:vAlign w:val="center"/>
          </w:tcPr>
          <w:p>
            <w:pPr>
              <w:pStyle w:val="30"/>
              <w:spacing w:line="460" w:lineRule="exact"/>
              <w:ind w:firstLine="0" w:firstLineChars="0"/>
              <w:rPr>
                <w:rFonts w:hint="eastAsia" w:ascii="仿宋" w:hAnsi="仿宋" w:eastAsia="仿宋" w:cs="仿宋"/>
                <w:b w:val="0"/>
                <w:color w:val="auto"/>
                <w:kern w:val="0"/>
                <w:sz w:val="28"/>
                <w:szCs w:val="28"/>
                <w:highlight w:val="none"/>
              </w:rPr>
            </w:pPr>
            <w:r>
              <w:rPr>
                <w:rFonts w:hint="eastAsia" w:ascii="仿宋" w:hAnsi="仿宋" w:eastAsia="仿宋" w:cs="仿宋"/>
                <w:b w:val="0"/>
                <w:color w:val="auto"/>
                <w:kern w:val="0"/>
                <w:sz w:val="28"/>
                <w:szCs w:val="28"/>
                <w:highlight w:val="none"/>
              </w:rPr>
              <w:t>评审项目</w:t>
            </w:r>
          </w:p>
        </w:tc>
        <w:tc>
          <w:tcPr>
            <w:tcW w:w="1502" w:type="dxa"/>
            <w:noWrap w:val="0"/>
            <w:vAlign w:val="center"/>
          </w:tcPr>
          <w:p>
            <w:pPr>
              <w:pStyle w:val="30"/>
              <w:spacing w:line="460" w:lineRule="exact"/>
              <w:ind w:firstLine="0" w:firstLineChars="0"/>
              <w:rPr>
                <w:rFonts w:hint="eastAsia" w:ascii="仿宋" w:hAnsi="仿宋" w:eastAsia="仿宋" w:cs="仿宋"/>
                <w:b w:val="0"/>
                <w:color w:val="auto"/>
                <w:kern w:val="0"/>
                <w:sz w:val="28"/>
                <w:szCs w:val="28"/>
                <w:highlight w:val="none"/>
              </w:rPr>
            </w:pPr>
            <w:r>
              <w:rPr>
                <w:rFonts w:hint="eastAsia" w:ascii="仿宋" w:hAnsi="仿宋" w:eastAsia="仿宋" w:cs="仿宋"/>
                <w:b w:val="0"/>
                <w:color w:val="auto"/>
                <w:kern w:val="0"/>
                <w:sz w:val="28"/>
                <w:szCs w:val="28"/>
                <w:highlight w:val="none"/>
              </w:rPr>
              <w:t>分值</w:t>
            </w:r>
          </w:p>
        </w:tc>
        <w:tc>
          <w:tcPr>
            <w:tcW w:w="6533" w:type="dxa"/>
            <w:gridSpan w:val="2"/>
            <w:noWrap w:val="0"/>
            <w:vAlign w:val="center"/>
          </w:tcPr>
          <w:p>
            <w:pPr>
              <w:pStyle w:val="30"/>
              <w:spacing w:line="460" w:lineRule="exact"/>
              <w:ind w:firstLine="0" w:firstLineChars="0"/>
              <w:rPr>
                <w:rFonts w:hint="eastAsia" w:ascii="仿宋" w:hAnsi="仿宋" w:eastAsia="仿宋" w:cs="仿宋"/>
                <w:b w:val="0"/>
                <w:color w:val="auto"/>
                <w:kern w:val="0"/>
                <w:sz w:val="28"/>
                <w:szCs w:val="28"/>
                <w:highlight w:val="none"/>
              </w:rPr>
            </w:pPr>
            <w:r>
              <w:rPr>
                <w:rFonts w:hint="eastAsia" w:ascii="仿宋" w:hAnsi="仿宋" w:eastAsia="仿宋" w:cs="仿宋"/>
                <w:b w:val="0"/>
                <w:color w:val="auto"/>
                <w:kern w:val="0"/>
                <w:sz w:val="28"/>
                <w:szCs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1385" w:type="dxa"/>
            <w:noWrap w:val="0"/>
            <w:vAlign w:val="center"/>
          </w:tcPr>
          <w:p>
            <w:pPr>
              <w:pStyle w:val="30"/>
              <w:spacing w:line="420" w:lineRule="exact"/>
              <w:ind w:firstLine="0" w:firstLineChars="0"/>
              <w:rPr>
                <w:rFonts w:hint="eastAsia" w:ascii="仿宋" w:hAnsi="仿宋" w:eastAsia="仿宋" w:cs="仿宋"/>
                <w:b w:val="0"/>
                <w:color w:val="auto"/>
                <w:kern w:val="0"/>
                <w:sz w:val="28"/>
                <w:szCs w:val="28"/>
                <w:highlight w:val="none"/>
              </w:rPr>
            </w:pPr>
            <w:r>
              <w:rPr>
                <w:rFonts w:hint="eastAsia" w:ascii="仿宋" w:hAnsi="仿宋" w:eastAsia="仿宋" w:cs="仿宋"/>
                <w:b w:val="0"/>
                <w:color w:val="auto"/>
                <w:kern w:val="0"/>
                <w:sz w:val="28"/>
                <w:szCs w:val="28"/>
                <w:highlight w:val="none"/>
              </w:rPr>
              <w:t>价格</w:t>
            </w:r>
          </w:p>
        </w:tc>
        <w:tc>
          <w:tcPr>
            <w:tcW w:w="1502" w:type="dxa"/>
            <w:noWrap w:val="0"/>
            <w:vAlign w:val="center"/>
          </w:tcPr>
          <w:p>
            <w:pPr>
              <w:pStyle w:val="30"/>
              <w:spacing w:line="420" w:lineRule="exact"/>
              <w:ind w:firstLine="0" w:firstLineChars="0"/>
              <w:rPr>
                <w:rFonts w:hint="eastAsia" w:ascii="仿宋" w:hAnsi="仿宋" w:eastAsia="仿宋" w:cs="仿宋"/>
                <w:b w:val="0"/>
                <w:color w:val="auto"/>
                <w:kern w:val="0"/>
                <w:sz w:val="28"/>
                <w:szCs w:val="28"/>
                <w:highlight w:val="none"/>
                <w:lang w:val="en-US" w:eastAsia="zh-CN"/>
              </w:rPr>
            </w:pPr>
            <w:r>
              <w:rPr>
                <w:rFonts w:hint="eastAsia" w:ascii="仿宋" w:hAnsi="仿宋" w:eastAsia="仿宋" w:cs="仿宋"/>
                <w:b w:val="0"/>
                <w:color w:val="auto"/>
                <w:kern w:val="0"/>
                <w:sz w:val="28"/>
                <w:szCs w:val="28"/>
                <w:highlight w:val="none"/>
              </w:rPr>
              <w:t>30</w:t>
            </w:r>
            <w:r>
              <w:rPr>
                <w:rFonts w:hint="eastAsia" w:ascii="仿宋" w:hAnsi="仿宋" w:eastAsia="仿宋" w:cs="仿宋"/>
                <w:b w:val="0"/>
                <w:color w:val="auto"/>
                <w:kern w:val="0"/>
                <w:sz w:val="28"/>
                <w:szCs w:val="28"/>
                <w:highlight w:val="none"/>
                <w:lang w:val="en-US" w:eastAsia="zh-CN"/>
              </w:rPr>
              <w:t>分</w:t>
            </w:r>
          </w:p>
        </w:tc>
        <w:tc>
          <w:tcPr>
            <w:tcW w:w="6533" w:type="dxa"/>
            <w:gridSpan w:val="2"/>
            <w:noWrap w:val="0"/>
            <w:vAlign w:val="center"/>
          </w:tcPr>
          <w:p>
            <w:pPr>
              <w:pStyle w:val="30"/>
              <w:spacing w:line="360" w:lineRule="exact"/>
              <w:ind w:firstLine="0" w:firstLineChars="0"/>
              <w:jc w:val="both"/>
              <w:rPr>
                <w:rFonts w:hint="eastAsia" w:ascii="仿宋" w:hAnsi="仿宋" w:eastAsia="仿宋" w:cs="仿宋"/>
                <w:b w:val="0"/>
                <w:color w:val="auto"/>
                <w:kern w:val="0"/>
                <w:sz w:val="28"/>
                <w:szCs w:val="28"/>
                <w:highlight w:val="none"/>
              </w:rPr>
            </w:pPr>
            <w:r>
              <w:rPr>
                <w:rFonts w:hint="eastAsia" w:ascii="仿宋" w:hAnsi="仿宋" w:eastAsia="仿宋" w:cs="仿宋"/>
                <w:b w:val="0"/>
                <w:bCs/>
                <w:color w:val="auto"/>
                <w:kern w:val="0"/>
                <w:sz w:val="28"/>
                <w:szCs w:val="28"/>
                <w:highlight w:val="none"/>
              </w:rPr>
              <w:t>满足磋商文件要求且评标价格最低的报价为评标基准价，价格分为满分。其他供应商价格分统一按照下列公式计算：磋商报价得分=(磋商基准价／</w:t>
            </w:r>
            <w:r>
              <w:rPr>
                <w:rFonts w:hint="eastAsia" w:ascii="仿宋" w:hAnsi="仿宋" w:eastAsia="仿宋" w:cs="仿宋"/>
                <w:b w:val="0"/>
                <w:color w:val="auto"/>
                <w:kern w:val="0"/>
                <w:sz w:val="28"/>
                <w:szCs w:val="28"/>
                <w:highlight w:val="none"/>
              </w:rPr>
              <w:t>最后磋商报价)×30%×100，磋商报价得分按照递交响应文件的供应商提交最后报价计算得分。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trPr>
        <w:tc>
          <w:tcPr>
            <w:tcW w:w="138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商务</w:t>
            </w:r>
          </w:p>
          <w:p>
            <w:pPr>
              <w:widowControl/>
              <w:jc w:val="center"/>
              <w:rPr>
                <w:rFonts w:hint="eastAsia" w:ascii="仿宋" w:hAnsi="仿宋" w:eastAsia="仿宋" w:cs="仿宋"/>
                <w:b/>
                <w:color w:val="auto"/>
                <w:kern w:val="0"/>
                <w:sz w:val="28"/>
                <w:szCs w:val="28"/>
                <w:highlight w:val="none"/>
              </w:rPr>
            </w:pPr>
            <w:r>
              <w:rPr>
                <w:rFonts w:hint="eastAsia" w:ascii="仿宋" w:hAnsi="仿宋" w:eastAsia="仿宋" w:cs="仿宋"/>
                <w:b w:val="0"/>
                <w:bCs/>
                <w:color w:val="auto"/>
                <w:kern w:val="0"/>
                <w:sz w:val="28"/>
                <w:szCs w:val="28"/>
                <w:highlight w:val="none"/>
              </w:rPr>
              <w:t>部分</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pStyle w:val="31"/>
              <w:spacing w:line="420" w:lineRule="exact"/>
              <w:ind w:left="420" w:leftChars="0" w:hanging="420" w:firstLineChars="0"/>
              <w:jc w:val="center"/>
              <w:rPr>
                <w:rFonts w:hint="eastAsia" w:ascii="仿宋" w:hAnsi="仿宋" w:eastAsia="仿宋" w:cs="仿宋"/>
                <w:color w:val="auto"/>
                <w:kern w:val="0"/>
                <w:sz w:val="28"/>
                <w:szCs w:val="28"/>
                <w:highlight w:val="none"/>
                <w:lang w:val="en-US" w:eastAsia="zh-CN" w:bidi="ar-SA"/>
                <w14:shadow w14:blurRad="50800" w14:dist="38100" w14:dir="2700000" w14:sx="100000" w14:sy="100000" w14:kx="0" w14:ky="0" w14:algn="tl">
                  <w14:srgbClr w14:val="000000">
                    <w14:alpha w14:val="60000"/>
                  </w14:srgbClr>
                </w14:shadow>
              </w:rPr>
            </w:pPr>
            <w:r>
              <w:rPr>
                <w:rFonts w:hint="eastAsia" w:ascii="仿宋" w:hAnsi="仿宋" w:eastAsia="仿宋" w:cs="仿宋"/>
                <w:color w:val="auto"/>
                <w:kern w:val="0"/>
                <w:sz w:val="28"/>
                <w:szCs w:val="28"/>
                <w:highlight w:val="none"/>
              </w:rPr>
              <w:t>付款方式</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rPr>
              <w:t>0-</w:t>
            </w:r>
            <w:r>
              <w:rPr>
                <w:rFonts w:hint="eastAsia" w:ascii="仿宋" w:hAnsi="仿宋" w:eastAsia="仿宋" w:cs="仿宋"/>
                <w:b w:val="0"/>
                <w:color w:val="auto"/>
                <w:kern w:val="0"/>
                <w:sz w:val="28"/>
                <w:szCs w:val="28"/>
                <w:highlight w:val="none"/>
                <w:lang w:val="en-US" w:eastAsia="zh-CN"/>
              </w:rPr>
              <w:t>2</w:t>
            </w:r>
            <w:r>
              <w:rPr>
                <w:rFonts w:hint="eastAsia" w:ascii="仿宋" w:hAnsi="仿宋" w:eastAsia="仿宋" w:cs="仿宋"/>
                <w:b w:val="0"/>
                <w:color w:val="auto"/>
                <w:kern w:val="0"/>
                <w:sz w:val="28"/>
                <w:szCs w:val="28"/>
                <w:highlight w:val="none"/>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符合文件要求得1分、优于文件要求得2分、低于文件要求得0分。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exact"/>
        </w:trPr>
        <w:tc>
          <w:tcPr>
            <w:tcW w:w="1385"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8"/>
                <w:szCs w:val="28"/>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0"/>
                <w:tab w:val="clear" w:pos="420"/>
              </w:tabs>
              <w:spacing w:line="420" w:lineRule="exact"/>
              <w:ind w:left="0" w:leftChars="0" w:firstLine="0" w:firstLineChars="0"/>
              <w:jc w:val="center"/>
              <w:rPr>
                <w:rFonts w:hint="eastAsia" w:ascii="仿宋" w:hAnsi="仿宋" w:eastAsia="仿宋" w:cs="仿宋"/>
                <w:color w:val="auto"/>
                <w:kern w:val="0"/>
                <w:sz w:val="28"/>
                <w:szCs w:val="28"/>
                <w:highlight w:val="none"/>
                <w:lang w:val="en-US" w:eastAsia="zh-CN" w:bidi="ar-SA"/>
                <w14:shadow w14:blurRad="50800" w14:dist="38100" w14:dir="2700000" w14:sx="100000" w14:sy="100000" w14:kx="0" w14:ky="0" w14:algn="tl">
                  <w14:srgbClr w14:val="000000">
                    <w14:alpha w14:val="60000"/>
                  </w14:srgbClr>
                </w14:shadow>
              </w:rPr>
            </w:pPr>
            <w:r>
              <w:rPr>
                <w:rFonts w:hint="eastAsia" w:ascii="仿宋" w:hAnsi="仿宋" w:eastAsia="仿宋" w:cs="仿宋"/>
                <w:color w:val="auto"/>
                <w:kern w:val="0"/>
                <w:sz w:val="28"/>
                <w:szCs w:val="28"/>
                <w:highlight w:val="none"/>
                <w:lang w:eastAsia="zh-CN"/>
              </w:rPr>
              <w:t>响应程度</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rPr>
              <w:t>0-</w:t>
            </w:r>
            <w:r>
              <w:rPr>
                <w:rFonts w:hint="eastAsia" w:ascii="仿宋" w:hAnsi="仿宋" w:eastAsia="仿宋" w:cs="仿宋"/>
                <w:b w:val="0"/>
                <w:bCs/>
                <w:color w:val="auto"/>
                <w:kern w:val="0"/>
                <w:sz w:val="28"/>
                <w:szCs w:val="28"/>
                <w:highlight w:val="none"/>
                <w:lang w:val="en-US" w:eastAsia="zh-CN"/>
              </w:rPr>
              <w:t>2</w:t>
            </w:r>
            <w:r>
              <w:rPr>
                <w:rFonts w:hint="eastAsia" w:ascii="仿宋" w:hAnsi="仿宋" w:eastAsia="仿宋" w:cs="仿宋"/>
                <w:b w:val="0"/>
                <w:bCs/>
                <w:color w:val="auto"/>
                <w:kern w:val="0"/>
                <w:sz w:val="28"/>
                <w:szCs w:val="28"/>
                <w:highlight w:val="none"/>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对磋商文件的响应程度，响应文件有目录索引、页码无错乱、标题、编号、正文、表格等排版规范得1分，每出现一个错误扣0.5分，最多扣1分； 响应文件编制内容完整、齐全、叙述严谨得1分，每出现一个错误扣0.5分，最多扣1分。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exact"/>
        </w:trPr>
        <w:tc>
          <w:tcPr>
            <w:tcW w:w="1385"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8"/>
                <w:szCs w:val="28"/>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pStyle w:val="31"/>
              <w:spacing w:line="420" w:lineRule="exact"/>
              <w:ind w:left="420" w:leftChars="0" w:hanging="420" w:firstLineChars="0"/>
              <w:jc w:val="center"/>
              <w:rPr>
                <w:rFonts w:hint="eastAsia" w:ascii="仿宋" w:hAnsi="仿宋" w:eastAsia="仿宋" w:cs="仿宋"/>
                <w:color w:val="auto"/>
                <w:kern w:val="0"/>
                <w:sz w:val="28"/>
                <w:szCs w:val="28"/>
                <w:highlight w:val="none"/>
                <w:lang w:val="en-US" w:eastAsia="zh-CN" w:bidi="ar-SA"/>
                <w14:shadow w14:blurRad="50800" w14:dist="38100" w14:dir="2700000" w14:sx="100000" w14:sy="100000" w14:kx="0" w14:ky="0" w14:algn="tl">
                  <w14:srgbClr w14:val="000000">
                    <w14:alpha w14:val="60000"/>
                  </w14:srgbClr>
                </w14:shadow>
              </w:rPr>
            </w:pPr>
            <w:r>
              <w:rPr>
                <w:rFonts w:hint="eastAsia" w:ascii="仿宋" w:hAnsi="仿宋" w:eastAsia="仿宋" w:cs="仿宋"/>
                <w:color w:val="auto"/>
                <w:kern w:val="0"/>
                <w:sz w:val="28"/>
                <w:szCs w:val="28"/>
                <w:highlight w:val="none"/>
              </w:rPr>
              <w:t>业</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绩</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rPr>
              <w:t>0-</w:t>
            </w:r>
            <w:r>
              <w:rPr>
                <w:rFonts w:hint="eastAsia" w:ascii="仿宋" w:hAnsi="仿宋" w:eastAsia="仿宋" w:cs="仿宋"/>
                <w:b w:val="0"/>
                <w:color w:val="auto"/>
                <w:kern w:val="0"/>
                <w:sz w:val="28"/>
                <w:szCs w:val="28"/>
                <w:highlight w:val="none"/>
                <w:lang w:val="en-US" w:eastAsia="zh-CN"/>
              </w:rPr>
              <w:t>6</w:t>
            </w:r>
            <w:r>
              <w:rPr>
                <w:rFonts w:hint="eastAsia" w:ascii="仿宋" w:hAnsi="仿宋" w:eastAsia="仿宋" w:cs="仿宋"/>
                <w:b w:val="0"/>
                <w:color w:val="auto"/>
                <w:kern w:val="0"/>
                <w:sz w:val="28"/>
                <w:szCs w:val="28"/>
                <w:highlight w:val="none"/>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pStyle w:val="30"/>
              <w:spacing w:line="420" w:lineRule="exact"/>
              <w:ind w:firstLine="0" w:firstLineChars="0"/>
              <w:jc w:val="both"/>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rPr>
              <w:t>供应商近三年类似项目业绩，满分6分，每提供一项得2分，</w:t>
            </w:r>
            <w:r>
              <w:rPr>
                <w:rFonts w:hint="eastAsia" w:ascii="仿宋" w:hAnsi="仿宋" w:eastAsia="仿宋" w:cs="仿宋"/>
                <w:b/>
                <w:bCs w:val="0"/>
                <w:color w:val="auto"/>
                <w:kern w:val="0"/>
                <w:sz w:val="28"/>
                <w:szCs w:val="28"/>
                <w:highlight w:val="none"/>
                <w:lang w:val="en-US" w:eastAsia="zh-CN"/>
              </w:rPr>
              <w:t>须提供中标通知书或供货合同（原件备查）。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0" w:type="dxa"/>
            <w:gridSpan w:val="4"/>
            <w:tcBorders>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B</w:t>
            </w:r>
            <w:r>
              <w:rPr>
                <w:rFonts w:hint="eastAsia" w:ascii="仿宋" w:hAnsi="仿宋" w:eastAsia="仿宋" w:cs="仿宋"/>
                <w:b/>
                <w:bCs/>
                <w:color w:val="auto"/>
                <w:kern w:val="0"/>
                <w:sz w:val="28"/>
                <w:szCs w:val="28"/>
                <w:highlight w:val="none"/>
              </w:rPr>
              <w:t>：评标技术评分</w:t>
            </w:r>
            <w:r>
              <w:rPr>
                <w:rFonts w:hint="eastAsia" w:ascii="仿宋" w:hAnsi="仿宋" w:eastAsia="仿宋" w:cs="仿宋"/>
                <w:b/>
                <w:bCs/>
                <w:color w:val="auto"/>
                <w:kern w:val="0"/>
                <w:sz w:val="28"/>
                <w:szCs w:val="28"/>
                <w:highlight w:val="none"/>
                <w:lang w:val="en-US" w:eastAsia="zh-CN"/>
              </w:rPr>
              <w:t>60</w:t>
            </w:r>
            <w:r>
              <w:rPr>
                <w:rFonts w:hint="eastAsia" w:ascii="仿宋" w:hAnsi="仿宋" w:eastAsia="仿宋" w:cs="仿宋"/>
                <w:b/>
                <w:bCs/>
                <w:color w:val="auto"/>
                <w:kern w:val="0"/>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38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技术</w:t>
            </w:r>
          </w:p>
          <w:p>
            <w:pPr>
              <w:widowControl/>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部分</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b w:val="0"/>
                <w:color w:val="auto"/>
                <w:kern w:val="0"/>
                <w:sz w:val="28"/>
                <w:szCs w:val="28"/>
                <w:highlight w:val="none"/>
                <w:lang w:val="en-US" w:eastAsia="zh-CN" w:bidi="ar-SA"/>
              </w:rPr>
              <w:t>企业综合实力及信誉</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val="0"/>
                <w:color w:val="auto"/>
                <w:kern w:val="0"/>
                <w:sz w:val="28"/>
                <w:szCs w:val="28"/>
                <w:highlight w:val="none"/>
              </w:rPr>
              <w:t>0-</w:t>
            </w:r>
            <w:r>
              <w:rPr>
                <w:rFonts w:hint="eastAsia" w:ascii="仿宋" w:hAnsi="仿宋" w:eastAsia="仿宋" w:cs="仿宋"/>
                <w:b w:val="0"/>
                <w:color w:val="auto"/>
                <w:kern w:val="0"/>
                <w:sz w:val="28"/>
                <w:szCs w:val="28"/>
                <w:highlight w:val="none"/>
                <w:lang w:val="en-US" w:eastAsia="zh-CN"/>
              </w:rPr>
              <w:t>5</w:t>
            </w:r>
            <w:r>
              <w:rPr>
                <w:rFonts w:hint="eastAsia" w:ascii="仿宋" w:hAnsi="仿宋" w:eastAsia="仿宋" w:cs="仿宋"/>
                <w:b w:val="0"/>
                <w:color w:val="auto"/>
                <w:kern w:val="0"/>
                <w:sz w:val="28"/>
                <w:szCs w:val="28"/>
                <w:highlight w:val="none"/>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仿宋" w:hAnsi="仿宋" w:eastAsia="仿宋" w:cs="仿宋"/>
                <w:b w:val="0"/>
                <w:bCs/>
                <w:color w:val="auto"/>
                <w:kern w:val="0"/>
                <w:sz w:val="28"/>
                <w:szCs w:val="28"/>
                <w:highlight w:val="none"/>
                <w:lang w:val="zh-CN" w:eastAsia="zh-CN" w:bidi="ar-SA"/>
              </w:rPr>
            </w:pPr>
            <w:r>
              <w:rPr>
                <w:rFonts w:hint="eastAsia" w:ascii="仿宋" w:hAnsi="仿宋" w:eastAsia="仿宋" w:cs="仿宋"/>
                <w:b w:val="0"/>
                <w:bCs/>
                <w:color w:val="auto"/>
                <w:kern w:val="0"/>
                <w:sz w:val="28"/>
                <w:szCs w:val="28"/>
                <w:highlight w:val="none"/>
                <w:lang w:val="en-US" w:eastAsia="zh-CN" w:bidi="ar-SA"/>
              </w:rPr>
              <w:t>供应商</w:t>
            </w:r>
            <w:r>
              <w:rPr>
                <w:rFonts w:hint="eastAsia" w:ascii="仿宋" w:hAnsi="仿宋" w:eastAsia="仿宋" w:cs="仿宋"/>
                <w:b w:val="0"/>
                <w:bCs/>
                <w:color w:val="auto"/>
                <w:kern w:val="0"/>
                <w:sz w:val="28"/>
                <w:szCs w:val="28"/>
                <w:highlight w:val="none"/>
                <w:lang w:val="zh-CN" w:eastAsia="zh-CN" w:bidi="ar-SA"/>
              </w:rPr>
              <w:t>的</w:t>
            </w:r>
            <w:r>
              <w:rPr>
                <w:rFonts w:hint="eastAsia" w:ascii="仿宋" w:hAnsi="仿宋" w:eastAsia="仿宋" w:cs="仿宋"/>
                <w:b w:val="0"/>
                <w:bCs/>
                <w:color w:val="auto"/>
                <w:kern w:val="0"/>
                <w:sz w:val="28"/>
                <w:szCs w:val="28"/>
                <w:highlight w:val="none"/>
                <w:lang w:val="en-US" w:eastAsia="zh-CN" w:bidi="ar-SA"/>
              </w:rPr>
              <w:t>企业综合实力、管理水平、信用等级、商业信誉等是否</w:t>
            </w:r>
            <w:r>
              <w:rPr>
                <w:rFonts w:hint="eastAsia" w:ascii="仿宋" w:hAnsi="仿宋" w:eastAsia="仿宋" w:cs="仿宋"/>
                <w:b w:val="0"/>
                <w:bCs/>
                <w:color w:val="auto"/>
                <w:kern w:val="0"/>
                <w:sz w:val="28"/>
                <w:szCs w:val="28"/>
                <w:highlight w:val="none"/>
                <w:lang w:val="zh-CN" w:eastAsia="zh-CN" w:bidi="ar-SA"/>
              </w:rPr>
              <w:t>良好（0—</w:t>
            </w:r>
            <w:r>
              <w:rPr>
                <w:rFonts w:hint="eastAsia" w:ascii="仿宋" w:hAnsi="仿宋" w:eastAsia="仿宋" w:cs="仿宋"/>
                <w:b w:val="0"/>
                <w:bCs/>
                <w:color w:val="auto"/>
                <w:kern w:val="0"/>
                <w:sz w:val="28"/>
                <w:szCs w:val="28"/>
                <w:highlight w:val="none"/>
                <w:lang w:val="en-US" w:eastAsia="zh-CN" w:bidi="ar-SA"/>
              </w:rPr>
              <w:t>3</w:t>
            </w:r>
            <w:r>
              <w:rPr>
                <w:rFonts w:hint="eastAsia" w:ascii="仿宋" w:hAnsi="仿宋" w:eastAsia="仿宋" w:cs="仿宋"/>
                <w:b w:val="0"/>
                <w:bCs/>
                <w:color w:val="auto"/>
                <w:kern w:val="0"/>
                <w:sz w:val="28"/>
                <w:szCs w:val="28"/>
                <w:highlight w:val="none"/>
                <w:lang w:val="zh-CN" w:eastAsia="zh-CN" w:bidi="ar-SA"/>
              </w:rPr>
              <w:t>分）；</w:t>
            </w:r>
          </w:p>
          <w:p>
            <w:pPr>
              <w:widowControl/>
              <w:spacing w:line="360" w:lineRule="exact"/>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zh-CN" w:eastAsia="zh-CN" w:bidi="ar-SA"/>
              </w:rPr>
              <w:t>有健全的财务会计制度、审计报告或财务报表、资产负债、盈利情况等，且经营状况优良（0—</w:t>
            </w:r>
            <w:r>
              <w:rPr>
                <w:rFonts w:hint="eastAsia" w:ascii="仿宋" w:hAnsi="仿宋" w:eastAsia="仿宋" w:cs="仿宋"/>
                <w:b w:val="0"/>
                <w:bCs/>
                <w:color w:val="auto"/>
                <w:kern w:val="0"/>
                <w:sz w:val="28"/>
                <w:szCs w:val="28"/>
                <w:highlight w:val="none"/>
                <w:lang w:val="en-US" w:eastAsia="zh-CN" w:bidi="ar-SA"/>
              </w:rPr>
              <w:t>2</w:t>
            </w:r>
            <w:r>
              <w:rPr>
                <w:rFonts w:hint="eastAsia" w:ascii="仿宋" w:hAnsi="仿宋" w:eastAsia="仿宋" w:cs="仿宋"/>
                <w:b w:val="0"/>
                <w:bCs/>
                <w:color w:val="auto"/>
                <w:kern w:val="0"/>
                <w:sz w:val="28"/>
                <w:szCs w:val="28"/>
                <w:highlight w:val="none"/>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1385"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b/>
                <w:color w:val="auto"/>
                <w:kern w:val="0"/>
                <w:sz w:val="28"/>
                <w:szCs w:val="28"/>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参数需求</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val="0"/>
                <w:color w:val="auto"/>
                <w:kern w:val="0"/>
                <w:sz w:val="28"/>
                <w:szCs w:val="28"/>
                <w:highlight w:val="none"/>
              </w:rPr>
              <w:t>0-</w:t>
            </w:r>
            <w:r>
              <w:rPr>
                <w:rFonts w:hint="eastAsia" w:ascii="仿宋" w:hAnsi="仿宋" w:eastAsia="仿宋" w:cs="仿宋"/>
                <w:b w:val="0"/>
                <w:color w:val="auto"/>
                <w:kern w:val="0"/>
                <w:sz w:val="28"/>
                <w:szCs w:val="28"/>
                <w:highlight w:val="none"/>
                <w:lang w:val="en-US" w:eastAsia="zh-CN"/>
              </w:rPr>
              <w:t>20</w:t>
            </w:r>
            <w:r>
              <w:rPr>
                <w:rFonts w:hint="eastAsia" w:ascii="仿宋" w:hAnsi="仿宋" w:eastAsia="仿宋" w:cs="仿宋"/>
                <w:b w:val="0"/>
                <w:color w:val="auto"/>
                <w:kern w:val="0"/>
                <w:sz w:val="28"/>
                <w:szCs w:val="28"/>
                <w:highlight w:val="none"/>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供应商所投产品的技术规格、参数指标、相关证明文件是否符合需求，是否产生偏离，结合供应商产品材料提供情况进行综合评比；</w:t>
            </w:r>
          </w:p>
          <w:p>
            <w:pPr>
              <w:widowControl/>
              <w:spacing w:line="360" w:lineRule="exact"/>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产品使用和维护成本是否合理，减少易损件的更换和维修费用，是否有利于长期效益。设备的功能性、整体配套性、先进性、稳定性是否最佳化。供应商针对该项目在技术上是否具备相应的技术条件；对此项进行综合评定, 严重负偏离影响设备性能的不得分。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85"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8"/>
                <w:szCs w:val="28"/>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供货实施及安装方案</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val="0"/>
                <w:color w:val="auto"/>
                <w:kern w:val="0"/>
                <w:sz w:val="28"/>
                <w:szCs w:val="28"/>
                <w:highlight w:val="none"/>
              </w:rPr>
              <w:t>0-</w:t>
            </w:r>
            <w:r>
              <w:rPr>
                <w:rFonts w:hint="eastAsia" w:ascii="仿宋" w:hAnsi="仿宋" w:eastAsia="仿宋" w:cs="仿宋"/>
                <w:b w:val="0"/>
                <w:color w:val="auto"/>
                <w:kern w:val="0"/>
                <w:sz w:val="28"/>
                <w:szCs w:val="28"/>
                <w:highlight w:val="none"/>
                <w:lang w:val="en-US" w:eastAsia="zh-CN"/>
              </w:rPr>
              <w:t>20</w:t>
            </w:r>
            <w:r>
              <w:rPr>
                <w:rFonts w:hint="eastAsia" w:ascii="仿宋" w:hAnsi="仿宋" w:eastAsia="仿宋" w:cs="仿宋"/>
                <w:b w:val="0"/>
                <w:color w:val="auto"/>
                <w:kern w:val="0"/>
                <w:sz w:val="28"/>
                <w:szCs w:val="28"/>
                <w:highlight w:val="none"/>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供应商实施方案完整，各系统建设功能全面、准确，理解用户需求，对设备安全、应用环境、体系结构需求、功能需求、性能要求、实施要求合理得7—10分，一般得3—6分，差得0—2分；</w:t>
            </w:r>
          </w:p>
          <w:p>
            <w:pPr>
              <w:widowControl/>
              <w:spacing w:line="360" w:lineRule="exact"/>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所有产品的安装、调试计划（包括主要设备的安装、调试、辅材的安装），质量保证措施清晰完整，能够保证供应货物质量得7—10分；有缺漏项，欠合理的得3—6分；差得0—2分。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385"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8"/>
                <w:szCs w:val="28"/>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8"/>
                <w:szCs w:val="28"/>
                <w:highlight w:val="none"/>
              </w:rPr>
            </w:pPr>
            <w:r>
              <w:rPr>
                <w:rFonts w:hint="eastAsia" w:ascii="仿宋" w:hAnsi="仿宋" w:eastAsia="仿宋" w:cs="仿宋"/>
                <w:b w:val="0"/>
                <w:bCs/>
                <w:color w:val="auto"/>
                <w:kern w:val="0"/>
                <w:sz w:val="28"/>
                <w:szCs w:val="28"/>
                <w:highlight w:val="none"/>
                <w:lang w:val="zh-CN" w:eastAsia="zh-CN" w:bidi="ar-SA"/>
              </w:rPr>
              <w:t>人员配置</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pStyle w:val="30"/>
              <w:snapToGrid w:val="0"/>
              <w:spacing w:line="360" w:lineRule="exact"/>
              <w:ind w:firstLine="0" w:firstLineChars="0"/>
              <w:jc w:val="center"/>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rPr>
              <w:t>0-</w:t>
            </w:r>
            <w:r>
              <w:rPr>
                <w:rFonts w:hint="eastAsia" w:ascii="仿宋" w:hAnsi="仿宋" w:eastAsia="仿宋" w:cs="仿宋"/>
                <w:b w:val="0"/>
                <w:color w:val="auto"/>
                <w:kern w:val="0"/>
                <w:sz w:val="28"/>
                <w:szCs w:val="28"/>
                <w:highlight w:val="none"/>
                <w:lang w:val="en-US" w:eastAsia="zh-CN"/>
              </w:rPr>
              <w:t>5</w:t>
            </w:r>
            <w:r>
              <w:rPr>
                <w:rFonts w:hint="eastAsia" w:ascii="仿宋" w:hAnsi="仿宋" w:eastAsia="仿宋" w:cs="仿宋"/>
                <w:b w:val="0"/>
                <w:color w:val="auto"/>
                <w:kern w:val="0"/>
                <w:sz w:val="28"/>
                <w:szCs w:val="28"/>
                <w:highlight w:val="none"/>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zh-CN" w:eastAsia="zh-CN" w:bidi="ar-SA"/>
              </w:rPr>
              <w:t xml:space="preserve">人员配置 </w:t>
            </w:r>
            <w:r>
              <w:rPr>
                <w:rFonts w:hint="eastAsia" w:ascii="仿宋" w:hAnsi="仿宋" w:eastAsia="仿宋" w:cs="仿宋"/>
                <w:b w:val="0"/>
                <w:bCs/>
                <w:color w:val="auto"/>
                <w:kern w:val="0"/>
                <w:sz w:val="28"/>
                <w:szCs w:val="28"/>
                <w:highlight w:val="none"/>
                <w:lang w:val="en-US" w:eastAsia="zh-CN" w:bidi="ar-SA"/>
              </w:rPr>
              <w:t>供应商</w:t>
            </w:r>
            <w:r>
              <w:rPr>
                <w:rFonts w:hint="eastAsia" w:ascii="仿宋" w:hAnsi="仿宋" w:eastAsia="仿宋" w:cs="仿宋"/>
                <w:b w:val="0"/>
                <w:bCs/>
                <w:color w:val="auto"/>
                <w:kern w:val="0"/>
                <w:sz w:val="28"/>
                <w:szCs w:val="28"/>
                <w:highlight w:val="none"/>
                <w:lang w:val="zh-CN" w:eastAsia="zh-CN" w:bidi="ar-SA"/>
              </w:rPr>
              <w:t>配备的相关人员</w:t>
            </w:r>
            <w:r>
              <w:rPr>
                <w:rFonts w:hint="eastAsia" w:ascii="仿宋" w:hAnsi="仿宋" w:eastAsia="仿宋" w:cs="仿宋"/>
                <w:b w:val="0"/>
                <w:bCs/>
                <w:color w:val="auto"/>
                <w:kern w:val="0"/>
                <w:sz w:val="28"/>
                <w:szCs w:val="28"/>
                <w:highlight w:val="none"/>
                <w:lang w:val="en-US" w:eastAsia="zh-CN" w:bidi="ar-SA"/>
              </w:rPr>
              <w:t>专业性及</w:t>
            </w:r>
            <w:r>
              <w:rPr>
                <w:rFonts w:hint="eastAsia" w:ascii="仿宋" w:hAnsi="仿宋" w:eastAsia="仿宋" w:cs="仿宋"/>
                <w:b w:val="0"/>
                <w:bCs/>
                <w:color w:val="auto"/>
                <w:kern w:val="0"/>
                <w:sz w:val="28"/>
                <w:szCs w:val="28"/>
                <w:highlight w:val="none"/>
                <w:lang w:val="zh-CN" w:eastAsia="zh-CN" w:bidi="ar-SA"/>
              </w:rPr>
              <w:t>对业务熟悉程度如何；对项目投入的施工人员配置是否合理，在数量和专业上是否能满足要求，服务质量是否满足标准。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85"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8"/>
                <w:szCs w:val="28"/>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8"/>
                <w:szCs w:val="28"/>
                <w:highlight w:val="none"/>
              </w:rPr>
            </w:pPr>
            <w:r>
              <w:rPr>
                <w:rFonts w:hint="eastAsia" w:ascii="仿宋" w:hAnsi="仿宋" w:eastAsia="仿宋" w:cs="仿宋"/>
                <w:b w:val="0"/>
                <w:color w:val="auto"/>
                <w:kern w:val="0"/>
                <w:sz w:val="28"/>
                <w:szCs w:val="28"/>
                <w:highlight w:val="none"/>
                <w:lang w:eastAsia="zh-CN"/>
              </w:rPr>
              <w:t>售后服务和质保期服务能力评价</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lang w:eastAsia="zh-CN"/>
              </w:rPr>
            </w:pPr>
            <w:r>
              <w:rPr>
                <w:rFonts w:hint="eastAsia" w:ascii="仿宋" w:hAnsi="仿宋" w:eastAsia="仿宋" w:cs="仿宋"/>
                <w:b w:val="0"/>
                <w:color w:val="auto"/>
                <w:kern w:val="0"/>
                <w:sz w:val="28"/>
                <w:szCs w:val="28"/>
                <w:highlight w:val="none"/>
              </w:rPr>
              <w:t>0-</w:t>
            </w:r>
            <w:r>
              <w:rPr>
                <w:rFonts w:hint="eastAsia" w:ascii="仿宋" w:hAnsi="仿宋" w:eastAsia="仿宋" w:cs="仿宋"/>
                <w:b w:val="0"/>
                <w:color w:val="auto"/>
                <w:kern w:val="0"/>
                <w:sz w:val="28"/>
                <w:szCs w:val="28"/>
                <w:highlight w:val="none"/>
                <w:lang w:val="en-US" w:eastAsia="zh-CN"/>
              </w:rPr>
              <w:t>10</w:t>
            </w:r>
            <w:r>
              <w:rPr>
                <w:rFonts w:hint="eastAsia" w:ascii="仿宋" w:hAnsi="仿宋" w:eastAsia="仿宋" w:cs="仿宋"/>
                <w:b w:val="0"/>
                <w:color w:val="auto"/>
                <w:kern w:val="0"/>
                <w:sz w:val="28"/>
                <w:szCs w:val="28"/>
                <w:highlight w:val="none"/>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仿宋" w:hAnsi="仿宋" w:eastAsia="仿宋" w:cs="仿宋"/>
                <w:b w:val="0"/>
                <w:bCs/>
                <w:color w:val="auto"/>
                <w:kern w:val="0"/>
                <w:sz w:val="28"/>
                <w:szCs w:val="28"/>
                <w:highlight w:val="none"/>
                <w:lang w:val="zh-CN" w:eastAsia="zh-CN" w:bidi="ar-SA"/>
              </w:rPr>
            </w:pPr>
            <w:r>
              <w:rPr>
                <w:rFonts w:hint="eastAsia" w:ascii="仿宋" w:hAnsi="仿宋" w:eastAsia="仿宋" w:cs="仿宋"/>
                <w:b w:val="0"/>
                <w:bCs/>
                <w:color w:val="auto"/>
                <w:kern w:val="0"/>
                <w:sz w:val="28"/>
                <w:szCs w:val="28"/>
                <w:highlight w:val="none"/>
                <w:lang w:val="en-US" w:eastAsia="zh-CN" w:bidi="ar-SA"/>
              </w:rPr>
              <w:t>供应商</w:t>
            </w:r>
            <w:r>
              <w:rPr>
                <w:rFonts w:hint="eastAsia" w:ascii="仿宋" w:hAnsi="仿宋" w:eastAsia="仿宋" w:cs="仿宋"/>
                <w:b w:val="0"/>
                <w:bCs/>
                <w:color w:val="auto"/>
                <w:kern w:val="0"/>
                <w:sz w:val="28"/>
                <w:szCs w:val="28"/>
                <w:highlight w:val="none"/>
                <w:lang w:val="zh-CN" w:eastAsia="zh-CN" w:bidi="ar-SA"/>
              </w:rPr>
              <w:t>在</w:t>
            </w:r>
            <w:r>
              <w:rPr>
                <w:rFonts w:hint="eastAsia" w:ascii="仿宋" w:hAnsi="仿宋" w:eastAsia="仿宋" w:cs="仿宋"/>
                <w:b w:val="0"/>
                <w:bCs/>
                <w:color w:val="auto"/>
                <w:kern w:val="0"/>
                <w:sz w:val="28"/>
                <w:szCs w:val="28"/>
                <w:highlight w:val="none"/>
                <w:lang w:val="en-US" w:eastAsia="zh-CN" w:bidi="ar-SA"/>
              </w:rPr>
              <w:t>项目所在地是否有售后服务</w:t>
            </w:r>
            <w:r>
              <w:rPr>
                <w:rFonts w:hint="eastAsia" w:ascii="仿宋" w:hAnsi="仿宋" w:eastAsia="仿宋" w:cs="仿宋"/>
                <w:b w:val="0"/>
                <w:bCs/>
                <w:color w:val="auto"/>
                <w:kern w:val="0"/>
                <w:sz w:val="28"/>
                <w:szCs w:val="28"/>
                <w:highlight w:val="none"/>
                <w:lang w:val="zh-CN" w:eastAsia="zh-CN" w:bidi="ar-SA"/>
              </w:rPr>
              <w:t>机构可提供技术服务（</w:t>
            </w:r>
            <w:r>
              <w:rPr>
                <w:rFonts w:hint="eastAsia" w:ascii="仿宋" w:hAnsi="仿宋" w:eastAsia="仿宋" w:cs="仿宋"/>
                <w:b w:val="0"/>
                <w:bCs/>
                <w:color w:val="auto"/>
                <w:kern w:val="0"/>
                <w:sz w:val="28"/>
                <w:szCs w:val="28"/>
                <w:highlight w:val="none"/>
                <w:lang w:val="en-US" w:eastAsia="zh-CN" w:bidi="ar-SA"/>
              </w:rPr>
              <w:t>提供证明资料</w:t>
            </w:r>
            <w:r>
              <w:rPr>
                <w:rFonts w:hint="eastAsia" w:ascii="仿宋" w:hAnsi="仿宋" w:eastAsia="仿宋" w:cs="仿宋"/>
                <w:b w:val="0"/>
                <w:bCs/>
                <w:color w:val="auto"/>
                <w:kern w:val="0"/>
                <w:sz w:val="28"/>
                <w:szCs w:val="28"/>
                <w:highlight w:val="none"/>
                <w:lang w:val="zh-CN" w:eastAsia="zh-CN" w:bidi="ar-SA"/>
              </w:rPr>
              <w:t>）（</w:t>
            </w:r>
            <w:r>
              <w:rPr>
                <w:rFonts w:hint="eastAsia" w:ascii="仿宋" w:hAnsi="仿宋" w:eastAsia="仿宋" w:cs="仿宋"/>
                <w:b w:val="0"/>
                <w:bCs/>
                <w:color w:val="auto"/>
                <w:kern w:val="0"/>
                <w:sz w:val="28"/>
                <w:szCs w:val="28"/>
                <w:highlight w:val="none"/>
                <w:lang w:val="en-US" w:eastAsia="zh-CN" w:bidi="ar-SA"/>
              </w:rPr>
              <w:t>2分</w:t>
            </w:r>
            <w:r>
              <w:rPr>
                <w:rFonts w:hint="eastAsia" w:ascii="仿宋" w:hAnsi="仿宋" w:eastAsia="仿宋" w:cs="仿宋"/>
                <w:b w:val="0"/>
                <w:bCs/>
                <w:color w:val="auto"/>
                <w:kern w:val="0"/>
                <w:sz w:val="28"/>
                <w:szCs w:val="28"/>
                <w:highlight w:val="none"/>
                <w:lang w:val="zh-CN" w:eastAsia="zh-CN" w:bidi="ar-SA"/>
              </w:rPr>
              <w:t>）；</w:t>
            </w:r>
            <w:r>
              <w:rPr>
                <w:rFonts w:hint="eastAsia" w:ascii="仿宋" w:hAnsi="仿宋" w:eastAsia="仿宋" w:cs="仿宋"/>
                <w:b w:val="0"/>
                <w:bCs/>
                <w:color w:val="auto"/>
                <w:kern w:val="0"/>
                <w:sz w:val="28"/>
                <w:szCs w:val="28"/>
                <w:highlight w:val="none"/>
                <w:lang w:val="en-US" w:eastAsia="zh-CN" w:bidi="ar-SA"/>
              </w:rPr>
              <w:t>售后服务</w:t>
            </w:r>
            <w:r>
              <w:rPr>
                <w:rFonts w:hint="eastAsia" w:ascii="仿宋" w:hAnsi="仿宋" w:eastAsia="仿宋" w:cs="仿宋"/>
                <w:b w:val="0"/>
                <w:bCs/>
                <w:color w:val="auto"/>
                <w:kern w:val="0"/>
                <w:sz w:val="28"/>
                <w:szCs w:val="28"/>
                <w:highlight w:val="none"/>
                <w:lang w:val="zh-CN" w:eastAsia="zh-CN" w:bidi="ar-SA"/>
              </w:rPr>
              <w:t>人员数量</w:t>
            </w:r>
            <w:r>
              <w:rPr>
                <w:rFonts w:hint="eastAsia" w:ascii="仿宋" w:hAnsi="仿宋" w:eastAsia="仿宋" w:cs="仿宋"/>
                <w:b w:val="0"/>
                <w:bCs/>
                <w:color w:val="auto"/>
                <w:kern w:val="0"/>
                <w:sz w:val="28"/>
                <w:szCs w:val="28"/>
                <w:highlight w:val="none"/>
                <w:lang w:val="en-US" w:eastAsia="zh-CN" w:bidi="ar-SA"/>
              </w:rPr>
              <w:t>是否能满足本项目需求</w:t>
            </w:r>
            <w:r>
              <w:rPr>
                <w:rFonts w:hint="eastAsia" w:ascii="仿宋" w:hAnsi="仿宋" w:eastAsia="仿宋" w:cs="仿宋"/>
                <w:b w:val="0"/>
                <w:bCs/>
                <w:color w:val="auto"/>
                <w:kern w:val="0"/>
                <w:sz w:val="28"/>
                <w:szCs w:val="28"/>
                <w:highlight w:val="none"/>
                <w:lang w:val="zh-CN" w:eastAsia="zh-CN" w:bidi="ar-SA"/>
              </w:rPr>
              <w:t>，且售后服务体系健全、售后服务方案完善，维修服务响应时间、修复时间、应急处理等售后计划措施完整、内容齐全；</w:t>
            </w:r>
            <w:r>
              <w:rPr>
                <w:rFonts w:hint="eastAsia" w:ascii="仿宋" w:hAnsi="仿宋" w:eastAsia="仿宋" w:cs="仿宋"/>
                <w:b w:val="0"/>
                <w:bCs/>
                <w:color w:val="auto"/>
                <w:kern w:val="0"/>
                <w:sz w:val="28"/>
                <w:szCs w:val="28"/>
                <w:highlight w:val="none"/>
                <w:lang w:val="en-US" w:eastAsia="zh-CN" w:bidi="ar-SA"/>
              </w:rPr>
              <w:t>评标委员会进行</w:t>
            </w:r>
            <w:r>
              <w:rPr>
                <w:rFonts w:hint="eastAsia" w:ascii="仿宋" w:hAnsi="仿宋" w:eastAsia="仿宋" w:cs="仿宋"/>
                <w:b w:val="0"/>
                <w:bCs/>
                <w:color w:val="auto"/>
                <w:kern w:val="0"/>
                <w:sz w:val="28"/>
                <w:szCs w:val="28"/>
                <w:highlight w:val="none"/>
                <w:lang w:val="zh-CN" w:eastAsia="zh-CN" w:bidi="ar-SA"/>
              </w:rPr>
              <w:t>综合</w:t>
            </w:r>
            <w:r>
              <w:rPr>
                <w:rFonts w:hint="eastAsia" w:ascii="仿宋" w:hAnsi="仿宋" w:eastAsia="仿宋" w:cs="仿宋"/>
                <w:b w:val="0"/>
                <w:bCs/>
                <w:color w:val="auto"/>
                <w:kern w:val="0"/>
                <w:sz w:val="28"/>
                <w:szCs w:val="28"/>
                <w:highlight w:val="none"/>
                <w:lang w:val="en-US" w:eastAsia="zh-CN" w:bidi="ar-SA"/>
              </w:rPr>
              <w:t>打分</w:t>
            </w:r>
            <w:r>
              <w:rPr>
                <w:rFonts w:hint="eastAsia" w:ascii="仿宋" w:hAnsi="仿宋" w:eastAsia="仿宋" w:cs="仿宋"/>
                <w:b w:val="0"/>
                <w:bCs/>
                <w:color w:val="auto"/>
                <w:kern w:val="0"/>
                <w:sz w:val="28"/>
                <w:szCs w:val="28"/>
                <w:highlight w:val="none"/>
                <w:lang w:val="zh-CN" w:eastAsia="zh-CN" w:bidi="ar-SA"/>
              </w:rPr>
              <w:t>，良好</w:t>
            </w:r>
            <w:r>
              <w:rPr>
                <w:rFonts w:hint="eastAsia" w:ascii="仿宋" w:hAnsi="仿宋" w:eastAsia="仿宋" w:cs="仿宋"/>
                <w:b w:val="0"/>
                <w:bCs/>
                <w:color w:val="auto"/>
                <w:kern w:val="0"/>
                <w:sz w:val="28"/>
                <w:szCs w:val="28"/>
                <w:highlight w:val="none"/>
                <w:lang w:val="en-US" w:eastAsia="zh-CN" w:bidi="ar-SA"/>
              </w:rPr>
              <w:t>3—5</w:t>
            </w:r>
            <w:r>
              <w:rPr>
                <w:rFonts w:hint="eastAsia" w:ascii="仿宋" w:hAnsi="仿宋" w:eastAsia="仿宋" w:cs="仿宋"/>
                <w:b w:val="0"/>
                <w:bCs/>
                <w:color w:val="auto"/>
                <w:kern w:val="0"/>
                <w:sz w:val="28"/>
                <w:szCs w:val="28"/>
                <w:highlight w:val="none"/>
                <w:lang w:val="zh-CN" w:eastAsia="zh-CN" w:bidi="ar-SA"/>
              </w:rPr>
              <w:t>分，中等2—</w:t>
            </w:r>
            <w:r>
              <w:rPr>
                <w:rFonts w:hint="eastAsia" w:ascii="仿宋" w:hAnsi="仿宋" w:eastAsia="仿宋" w:cs="仿宋"/>
                <w:b w:val="0"/>
                <w:bCs/>
                <w:color w:val="auto"/>
                <w:kern w:val="0"/>
                <w:sz w:val="28"/>
                <w:szCs w:val="28"/>
                <w:highlight w:val="none"/>
                <w:lang w:val="en-US" w:eastAsia="zh-CN" w:bidi="ar-SA"/>
              </w:rPr>
              <w:t>3</w:t>
            </w:r>
            <w:r>
              <w:rPr>
                <w:rFonts w:hint="eastAsia" w:ascii="仿宋" w:hAnsi="仿宋" w:eastAsia="仿宋" w:cs="仿宋"/>
                <w:b w:val="0"/>
                <w:bCs/>
                <w:color w:val="auto"/>
                <w:kern w:val="0"/>
                <w:sz w:val="28"/>
                <w:szCs w:val="28"/>
                <w:highlight w:val="none"/>
                <w:lang w:val="zh-CN" w:eastAsia="zh-CN" w:bidi="ar-SA"/>
              </w:rPr>
              <w:t>分，差</w:t>
            </w:r>
            <w:r>
              <w:rPr>
                <w:rFonts w:hint="eastAsia" w:ascii="仿宋" w:hAnsi="仿宋" w:eastAsia="仿宋" w:cs="仿宋"/>
                <w:b w:val="0"/>
                <w:bCs/>
                <w:color w:val="auto"/>
                <w:kern w:val="0"/>
                <w:sz w:val="28"/>
                <w:szCs w:val="28"/>
                <w:highlight w:val="none"/>
                <w:lang w:val="en-US" w:eastAsia="zh-CN" w:bidi="ar-SA"/>
              </w:rPr>
              <w:t>0—</w:t>
            </w:r>
            <w:r>
              <w:rPr>
                <w:rFonts w:hint="eastAsia" w:ascii="仿宋" w:hAnsi="仿宋" w:eastAsia="仿宋" w:cs="仿宋"/>
                <w:b w:val="0"/>
                <w:bCs/>
                <w:color w:val="auto"/>
                <w:kern w:val="0"/>
                <w:sz w:val="28"/>
                <w:szCs w:val="28"/>
                <w:highlight w:val="none"/>
                <w:lang w:val="zh-CN" w:eastAsia="zh-CN" w:bidi="ar-SA"/>
              </w:rPr>
              <w:t>1分。</w:t>
            </w:r>
          </w:p>
          <w:p>
            <w:pPr>
              <w:widowControl/>
              <w:spacing w:line="360" w:lineRule="exact"/>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质保期限的长短是否满足要求或是有偏离，质保期内服务能力是否满足要求，备品备件的供应等（0—3分）；</w:t>
            </w:r>
          </w:p>
        </w:tc>
      </w:tr>
    </w:tbl>
    <w:p>
      <w:pPr>
        <w:pStyle w:val="30"/>
        <w:adjustRightInd w:val="0"/>
        <w:snapToGrid w:val="0"/>
        <w:spacing w:line="520" w:lineRule="exact"/>
        <w:ind w:firstLine="548"/>
        <w:jc w:val="both"/>
        <w:rPr>
          <w:rFonts w:hint="eastAsia" w:ascii="仿宋" w:hAnsi="仿宋" w:eastAsia="仿宋" w:cs="仿宋"/>
          <w:b w:val="0"/>
          <w:color w:val="auto"/>
          <w:spacing w:val="-3"/>
          <w:sz w:val="28"/>
          <w:highlight w:val="none"/>
        </w:rPr>
      </w:pPr>
      <w:r>
        <w:rPr>
          <w:rFonts w:hint="eastAsia" w:ascii="仿宋" w:hAnsi="仿宋" w:eastAsia="仿宋" w:cs="仿宋"/>
          <w:b w:val="0"/>
          <w:color w:val="auto"/>
          <w:spacing w:val="-3"/>
          <w:sz w:val="28"/>
          <w:highlight w:val="none"/>
        </w:rPr>
        <w:t>23.7.2.1对于商务部分（磋商报价）的评分，按以下方法进行：价格分统一采用低价优先法计算，即满足磋商文件要求且最后报价最低的供应商的价格为磋商基准价，其价格分为满分。其他供应商的价格分统一按照下列公式计算：</w:t>
      </w:r>
    </w:p>
    <w:p>
      <w:pPr>
        <w:pStyle w:val="30"/>
        <w:adjustRightInd w:val="0"/>
        <w:snapToGrid w:val="0"/>
        <w:spacing w:line="520" w:lineRule="exact"/>
        <w:ind w:firstLine="548"/>
        <w:jc w:val="both"/>
        <w:rPr>
          <w:rFonts w:hint="eastAsia" w:ascii="仿宋" w:hAnsi="仿宋" w:eastAsia="仿宋" w:cs="仿宋"/>
          <w:b w:val="0"/>
          <w:color w:val="auto"/>
          <w:spacing w:val="-3"/>
          <w:sz w:val="28"/>
          <w:highlight w:val="none"/>
        </w:rPr>
      </w:pPr>
      <w:r>
        <w:rPr>
          <w:rFonts w:hint="eastAsia" w:ascii="仿宋" w:hAnsi="仿宋" w:eastAsia="仿宋" w:cs="仿宋"/>
          <w:b w:val="0"/>
          <w:color w:val="auto"/>
          <w:spacing w:val="-3"/>
          <w:sz w:val="28"/>
          <w:highlight w:val="none"/>
        </w:rPr>
        <w:t>磋商报价得分=（磋商基准价/最后磋商报价）×价格权值×100</w:t>
      </w:r>
    </w:p>
    <w:p>
      <w:pPr>
        <w:widowControl/>
        <w:spacing w:line="360" w:lineRule="auto"/>
        <w:ind w:firstLine="548" w:firstLineChars="200"/>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注：1.中小企业评审优惠内容及价格扣除幅度：</w:t>
      </w:r>
    </w:p>
    <w:p>
      <w:pPr>
        <w:widowControl/>
        <w:spacing w:line="360" w:lineRule="auto"/>
        <w:ind w:firstLine="548" w:firstLineChars="200"/>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中小企业评审优惠内容及价格扣除幅度，执行政策如下：</w:t>
      </w:r>
    </w:p>
    <w:p>
      <w:pPr>
        <w:widowControl/>
        <w:spacing w:line="360" w:lineRule="auto"/>
        <w:ind w:firstLine="548" w:firstLineChars="200"/>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1）根据工信部等部委发布的《关于印发中小企业划型标准规定的通知》（工信部联企业〔2011〕300号）。对于符合本次采购项目所属行业条件的中小微企业应按照文件格式要求提供《声明函》。</w:t>
      </w:r>
    </w:p>
    <w:p>
      <w:pPr>
        <w:widowControl/>
        <w:spacing w:line="360" w:lineRule="auto"/>
        <w:ind w:firstLine="548" w:firstLineChars="200"/>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2）超过200万元的货物和服务采购项目、超过400万元的工程采购项目中适宜由中小企业提供的，预留该部分采购项目预算总额的40%以上专门面向中小企业采购，其中预留给小微企业的比例不低于60%。</w:t>
      </w:r>
    </w:p>
    <w:p>
      <w:pPr>
        <w:widowControl/>
        <w:spacing w:line="360" w:lineRule="auto"/>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rPr>
          <w:rFonts w:hint="eastAsia" w:ascii="仿宋" w:hAnsi="仿宋" w:eastAsia="仿宋" w:cs="仿宋"/>
          <w:b/>
          <w:bCs/>
          <w:color w:val="auto"/>
          <w:spacing w:val="-3"/>
          <w:kern w:val="2"/>
          <w:sz w:val="28"/>
          <w:highlight w:val="none"/>
          <w:lang w:val="en-US" w:eastAsia="zh-CN" w:bidi="ar-SA"/>
        </w:rPr>
      </w:pPr>
      <w:r>
        <w:rPr>
          <w:rFonts w:hint="eastAsia" w:ascii="仿宋" w:hAnsi="仿宋" w:eastAsia="仿宋" w:cs="仿宋"/>
          <w:b/>
          <w:bCs/>
          <w:color w:val="auto"/>
          <w:spacing w:val="-3"/>
          <w:kern w:val="2"/>
          <w:sz w:val="28"/>
          <w:highlight w:val="none"/>
          <w:lang w:val="en-US" w:eastAsia="zh-CN" w:bidi="ar-SA"/>
        </w:rPr>
        <w:t>本项目对规定的中小微企业报价给予10%的扣除。</w:t>
      </w:r>
    </w:p>
    <w:p>
      <w:pPr>
        <w:widowControl/>
        <w:spacing w:line="360" w:lineRule="auto"/>
        <w:ind w:firstLine="548" w:firstLineChars="200"/>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widowControl/>
        <w:spacing w:line="360" w:lineRule="auto"/>
        <w:ind w:firstLine="548" w:firstLineChars="200"/>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2.在服务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pPr>
        <w:widowControl/>
        <w:spacing w:line="360" w:lineRule="auto"/>
        <w:ind w:firstLine="548" w:firstLineChars="200"/>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3.若所投产品为进口产品的，不适用《政府采购促进中小企业发展管理办法》。</w:t>
      </w:r>
    </w:p>
    <w:p>
      <w:pPr>
        <w:widowControl/>
        <w:spacing w:line="360" w:lineRule="auto"/>
        <w:ind w:firstLine="548" w:firstLineChars="200"/>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残疾人福利性单位，视同为小型和微型企业。供应商若为残疾人福利性单位，须在响应文件中提供《残疾人福利性单位声明函》，否则将不给予价格扣除。供应商须对其声明的真实性负责，若与事实不符的，将依照《政府采购法》第七十七条第一款的规定追究法律责任。</w:t>
      </w:r>
    </w:p>
    <w:p>
      <w:pPr>
        <w:widowControl/>
        <w:spacing w:line="360" w:lineRule="auto"/>
        <w:ind w:firstLine="548" w:firstLineChars="200"/>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4.节能、环境标志产品须符合下列条件：</w:t>
      </w:r>
    </w:p>
    <w:p>
      <w:pPr>
        <w:widowControl/>
        <w:spacing w:line="360" w:lineRule="auto"/>
        <w:rPr>
          <w:rFonts w:hint="eastAsia" w:ascii="仿宋" w:hAnsi="仿宋" w:eastAsia="仿宋" w:cs="仿宋"/>
          <w:b w:val="0"/>
          <w:color w:val="auto"/>
          <w:spacing w:val="-3"/>
          <w:kern w:val="2"/>
          <w:sz w:val="28"/>
          <w:highlight w:val="none"/>
          <w:lang w:val="en-US" w:eastAsia="zh-CN" w:bidi="ar-SA"/>
        </w:rPr>
      </w:pPr>
      <w:r>
        <w:rPr>
          <w:rFonts w:hint="eastAsia" w:ascii="仿宋" w:hAnsi="仿宋" w:eastAsia="仿宋" w:cs="仿宋"/>
          <w:b w:val="0"/>
          <w:color w:val="auto"/>
          <w:spacing w:val="-3"/>
          <w:kern w:val="2"/>
          <w:sz w:val="28"/>
          <w:highlight w:val="none"/>
          <w:lang w:val="en-US" w:eastAsia="zh-CN" w:bidi="ar-SA"/>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节能产品或环境标志产品认证证书，否则响应无效；属于政府优先采购产品类别的，须按照要求提供依据国家确定的认证机构出具的、节能产品或环境标志产品认证证书，否则不予认定。同一标项内的节能、环境标志政府采购产品部分加分只对属于品目内的非强制类产品进行加分，强制类产品已作为谈判时强制性要求不再给予加分。若节能、环境标志品目内的产品仅是构成所投产品的部件、组件或零件的。供应商须按照竞争性谈判文件格式要求在《环境标志产品明细表》、《节能标志产品明细表》中列明并附证书。</w:t>
      </w:r>
    </w:p>
    <w:p>
      <w:pPr>
        <w:pStyle w:val="30"/>
        <w:adjustRightInd w:val="0"/>
        <w:snapToGrid w:val="0"/>
        <w:spacing w:line="520" w:lineRule="exact"/>
        <w:ind w:firstLine="548"/>
        <w:jc w:val="both"/>
        <w:rPr>
          <w:rFonts w:hint="eastAsia" w:ascii="仿宋" w:hAnsi="仿宋" w:eastAsia="仿宋" w:cs="仿宋"/>
          <w:b w:val="0"/>
          <w:color w:val="auto"/>
          <w:sz w:val="28"/>
          <w:highlight w:val="none"/>
        </w:rPr>
      </w:pPr>
      <w:r>
        <w:rPr>
          <w:rFonts w:hint="eastAsia" w:ascii="仿宋" w:hAnsi="仿宋" w:eastAsia="仿宋" w:cs="仿宋"/>
          <w:b w:val="0"/>
          <w:color w:val="auto"/>
          <w:spacing w:val="-3"/>
          <w:sz w:val="28"/>
          <w:highlight w:val="none"/>
        </w:rPr>
        <w:t>23.7.2.2  在价格评审中，若磋商小组发现供应商以明显低于市场或成本的价格参与磋商，而供应商又未在响应文件中提供有力证据证明其报价</w:t>
      </w:r>
      <w:r>
        <w:rPr>
          <w:rFonts w:hint="eastAsia" w:ascii="仿宋" w:hAnsi="仿宋" w:eastAsia="仿宋" w:cs="仿宋"/>
          <w:b w:val="0"/>
          <w:color w:val="auto"/>
          <w:sz w:val="28"/>
          <w:highlight w:val="none"/>
        </w:rPr>
        <w:t>合理的，磋商小组可以认定该磋商报价以低于成本的价格参与磋商。</w:t>
      </w:r>
      <w:r>
        <w:rPr>
          <w:rFonts w:hint="eastAsia" w:ascii="仿宋" w:hAnsi="仿宋" w:eastAsia="仿宋" w:cs="仿宋"/>
          <w:color w:val="auto"/>
          <w:sz w:val="28"/>
          <w:highlight w:val="none"/>
        </w:rPr>
        <w:t>被认定为低于成本价格的响应文件将视为未实质性响应磋商文件，按无效响应处理。</w:t>
      </w:r>
    </w:p>
    <w:p>
      <w:pPr>
        <w:pStyle w:val="30"/>
        <w:spacing w:line="520" w:lineRule="exact"/>
        <w:ind w:firstLine="560"/>
        <w:jc w:val="both"/>
        <w:rPr>
          <w:rFonts w:hint="eastAsia" w:ascii="仿宋" w:hAnsi="仿宋" w:eastAsia="仿宋" w:cs="仿宋"/>
          <w:b w:val="0"/>
          <w:color w:val="auto"/>
          <w:sz w:val="28"/>
          <w:highlight w:val="none"/>
        </w:rPr>
      </w:pPr>
      <w:r>
        <w:rPr>
          <w:rFonts w:hint="eastAsia" w:ascii="仿宋" w:hAnsi="仿宋" w:eastAsia="仿宋" w:cs="仿宋"/>
          <w:b w:val="0"/>
          <w:color w:val="auto"/>
          <w:sz w:val="28"/>
          <w:highlight w:val="none"/>
        </w:rPr>
        <w:t xml:space="preserve">23.7.2.3 </w:t>
      </w:r>
      <w:r>
        <w:rPr>
          <w:rFonts w:hint="eastAsia" w:ascii="仿宋" w:hAnsi="仿宋" w:eastAsia="仿宋" w:cs="仿宋"/>
          <w:b w:val="0"/>
          <w:color w:val="auto"/>
          <w:highlight w:val="none"/>
        </w:rPr>
        <w:t xml:space="preserve"> </w:t>
      </w:r>
      <w:r>
        <w:rPr>
          <w:rFonts w:hint="eastAsia" w:ascii="仿宋" w:hAnsi="仿宋" w:eastAsia="仿宋" w:cs="仿宋"/>
          <w:b w:val="0"/>
          <w:color w:val="auto"/>
          <w:sz w:val="28"/>
          <w:highlight w:val="none"/>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pP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pP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23.7.2.4  节能、环境标志产品评审优惠内容及加分幅度：</w:t>
      </w:r>
    </w:p>
    <w:p>
      <w:pPr>
        <w:spacing w:line="520" w:lineRule="exact"/>
        <w:ind w:firstLine="560" w:firstLineChars="200"/>
        <w:rPr>
          <w:rFonts w:hint="eastAsia" w:ascii="仿宋" w:hAnsi="仿宋" w:eastAsia="仿宋" w:cs="仿宋"/>
          <w:color w:val="auto"/>
          <w:spacing w:val="-3"/>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根据《国务院办公厅关于建立政府强制采购节能产品制度的通知》（国办发[2007]51号）和财政部、发展改革委发布的《节能产品政府采购实施意见》（财库[2004]185号）以及《</w:t>
      </w:r>
      <w:r>
        <w:rPr>
          <w:rFonts w:hint="eastAsia" w:ascii="仿宋" w:hAnsi="仿宋" w:eastAsia="仿宋" w:cs="仿宋"/>
          <w:color w:val="auto"/>
          <w:spacing w:val="-3"/>
          <w:sz w:val="28"/>
          <w:highlight w:val="none"/>
        </w:rPr>
        <w:t>财政部、发展改革委关于调整节能产品政府采购清单的通知》最新的规定，本次采购设备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20" w:lineRule="exact"/>
        <w:ind w:firstLine="548" w:firstLineChars="200"/>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48" w:firstLineChars="200"/>
        <w:rPr>
          <w:rFonts w:hint="eastAsia" w:ascii="仿宋" w:hAnsi="仿宋" w:eastAsia="仿宋" w:cs="仿宋"/>
          <w:b/>
          <w:color w:val="auto"/>
          <w:spacing w:val="-3"/>
          <w:sz w:val="28"/>
          <w:highlight w:val="none"/>
        </w:rPr>
      </w:pPr>
      <w:r>
        <w:rPr>
          <w:rFonts w:hint="eastAsia" w:ascii="仿宋" w:hAnsi="仿宋" w:eastAsia="仿宋" w:cs="仿宋"/>
          <w:b/>
          <w:color w:val="auto"/>
          <w:spacing w:val="-3"/>
          <w:sz w:val="28"/>
          <w:highlight w:val="none"/>
        </w:rPr>
        <w:t>价格项加分：</w:t>
      </w:r>
    </w:p>
    <w:p>
      <w:pPr>
        <w:adjustRightInd w:val="0"/>
        <w:snapToGrid w:val="0"/>
        <w:spacing w:line="520" w:lineRule="exact"/>
        <w:ind w:firstLine="548" w:firstLineChars="200"/>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1、（节能清单部分产品的价格/投标报价）×3%×价格项满分值</w:t>
      </w:r>
    </w:p>
    <w:p>
      <w:pPr>
        <w:adjustRightInd w:val="0"/>
        <w:snapToGrid w:val="0"/>
        <w:spacing w:line="520" w:lineRule="exact"/>
        <w:ind w:firstLine="548" w:firstLineChars="200"/>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2、（环境清单部分产品的价格/投标报价）×3%×价格项满分值</w:t>
      </w:r>
    </w:p>
    <w:p>
      <w:pPr>
        <w:adjustRightInd w:val="0"/>
        <w:snapToGrid w:val="0"/>
        <w:spacing w:line="520" w:lineRule="exact"/>
        <w:ind w:firstLine="548" w:firstLineChars="200"/>
        <w:rPr>
          <w:rFonts w:hint="eastAsia" w:ascii="仿宋" w:hAnsi="仿宋" w:eastAsia="仿宋" w:cs="仿宋"/>
          <w:b/>
          <w:color w:val="auto"/>
          <w:spacing w:val="-3"/>
          <w:sz w:val="28"/>
          <w:highlight w:val="none"/>
        </w:rPr>
      </w:pPr>
      <w:r>
        <w:rPr>
          <w:rFonts w:hint="eastAsia" w:ascii="仿宋" w:hAnsi="仿宋" w:eastAsia="仿宋" w:cs="仿宋"/>
          <w:b/>
          <w:color w:val="auto"/>
          <w:spacing w:val="-3"/>
          <w:sz w:val="28"/>
          <w:highlight w:val="none"/>
        </w:rPr>
        <w:t>技术项加分：</w:t>
      </w:r>
    </w:p>
    <w:p>
      <w:pPr>
        <w:adjustRightInd w:val="0"/>
        <w:snapToGrid w:val="0"/>
        <w:spacing w:line="520" w:lineRule="exact"/>
        <w:ind w:firstLine="548" w:firstLineChars="200"/>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1、（节能清单部分产品的价格/投标报价）×3%×技术项满分值</w:t>
      </w:r>
    </w:p>
    <w:p>
      <w:pPr>
        <w:adjustRightInd w:val="0"/>
        <w:snapToGrid w:val="0"/>
        <w:spacing w:line="520" w:lineRule="exact"/>
        <w:ind w:firstLine="548" w:firstLineChars="200"/>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2、（环境清单部分产品的价格/投标报价）×3%×技术项满分值</w:t>
      </w:r>
    </w:p>
    <w:p>
      <w:pPr>
        <w:adjustRightInd w:val="0"/>
        <w:snapToGrid w:val="0"/>
        <w:spacing w:line="520" w:lineRule="exact"/>
        <w:ind w:firstLine="548" w:firstLineChars="200"/>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注：1、供应商须提供22期《节能产品政府采购清单》关于投标产品当前页的打印件；</w:t>
      </w:r>
    </w:p>
    <w:p>
      <w:pPr>
        <w:adjustRightInd w:val="0"/>
        <w:snapToGrid w:val="0"/>
        <w:spacing w:line="520" w:lineRule="exact"/>
        <w:ind w:firstLine="548" w:firstLineChars="200"/>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2、供应商提供20期《环境标志产品政府采购清单》关于投标产品当前页的打印件；</w:t>
      </w:r>
    </w:p>
    <w:p>
      <w:pPr>
        <w:spacing w:line="520" w:lineRule="exact"/>
        <w:ind w:firstLine="560" w:firstLineChars="200"/>
        <w:rPr>
          <w:rFonts w:hint="eastAsia" w:ascii="仿宋" w:hAnsi="仿宋" w:eastAsia="仿宋" w:cs="仿宋"/>
          <w:b w:val="0"/>
          <w:color w:val="auto"/>
          <w:sz w:val="28"/>
          <w:highlight w:val="none"/>
        </w:rPr>
      </w:pPr>
      <w:r>
        <w:rPr>
          <w:rFonts w:hint="eastAsia" w:ascii="仿宋" w:hAnsi="仿宋" w:eastAsia="仿宋" w:cs="仿宋"/>
          <w:b/>
          <w:color w:val="auto"/>
          <w:sz w:val="28"/>
          <w:highlight w:val="none"/>
        </w:rPr>
        <w:t>23.7.</w:t>
      </w:r>
      <w:r>
        <w:rPr>
          <w:rFonts w:hint="eastAsia" w:ascii="仿宋" w:hAnsi="仿宋" w:eastAsia="仿宋" w:cs="仿宋"/>
          <w:b/>
          <w:color w:val="auto"/>
          <w:sz w:val="28"/>
          <w:highlight w:val="none"/>
          <w:lang w:val="en-US" w:eastAsia="zh-CN"/>
        </w:rPr>
        <w:t>3</w:t>
      </w:r>
      <w:r>
        <w:rPr>
          <w:rFonts w:hint="eastAsia" w:ascii="仿宋" w:hAnsi="仿宋" w:eastAsia="仿宋" w:cs="仿宋"/>
          <w:b w:val="0"/>
          <w:color w:val="auto"/>
          <w:sz w:val="28"/>
          <w:highlight w:val="none"/>
        </w:rPr>
        <w:t xml:space="preserve"> 各磋商小组成员对每个供应商的上述指标的打分（除报价外）的算术平均分，加上经计算的报价得分，即为该供应商的最终综合评估分。磋商小组将按供应商得分顺序由高到低依次排名，得分相同的，按最后报价由低到高顺序排列。得分及最后报价相同的，按技术指标优劣顺序排列。得分最高的前一至三名供应商将成为成交候选供应商。</w:t>
      </w:r>
    </w:p>
    <w:p>
      <w:pPr>
        <w:pStyle w:val="30"/>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23.7.4  最低报价不作为评审的唯一依据。采购人不承诺将合同授予报价最低的供应商。</w:t>
      </w:r>
    </w:p>
    <w:p>
      <w:pPr>
        <w:pStyle w:val="30"/>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23.7.5  出现下列情形之一的，本项目予以废标，重新开展采购活动。</w:t>
      </w:r>
    </w:p>
    <w:p>
      <w:pPr>
        <w:pStyle w:val="30"/>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23.7.5.1 经磋商小组评议，认为磋商报价过高、均超出采购人预算的项目，采购人不能支付的。</w:t>
      </w:r>
    </w:p>
    <w:p>
      <w:pPr>
        <w:pStyle w:val="30"/>
        <w:spacing w:line="520" w:lineRule="exact"/>
        <w:ind w:firstLine="537" w:firstLineChars="192"/>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23.7.5.2 出现影响采购公正的违法、违规行为的；</w:t>
      </w:r>
    </w:p>
    <w:p>
      <w:pPr>
        <w:pStyle w:val="28"/>
        <w:spacing w:line="52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24  响应文件的澄清</w:t>
      </w:r>
    </w:p>
    <w:p>
      <w:pPr>
        <w:pStyle w:val="28"/>
        <w:spacing w:line="52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24.1 磋商小组在评审过程中有权随时请供应商就响应文件中含混之处加以澄清或答疑。</w:t>
      </w:r>
    </w:p>
    <w:p>
      <w:pPr>
        <w:pStyle w:val="28"/>
        <w:spacing w:line="52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24.2  供应商对要求澄清的问题应以书面形式明确答复，并应有法人授权代表的签署。</w:t>
      </w:r>
    </w:p>
    <w:p>
      <w:pPr>
        <w:pStyle w:val="28"/>
        <w:spacing w:line="52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24.3  供应商的澄清文件是响应文件的组成部分，并取代响应文件中被澄清的部分。</w:t>
      </w:r>
    </w:p>
    <w:p>
      <w:pPr>
        <w:pStyle w:val="28"/>
        <w:spacing w:line="52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24.4  响应文件的澄清不得改变响应文件的实质内容。</w:t>
      </w:r>
    </w:p>
    <w:p>
      <w:pPr>
        <w:pStyle w:val="28"/>
        <w:spacing w:line="52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25  成交供应商的确定</w:t>
      </w:r>
    </w:p>
    <w:p>
      <w:pPr>
        <w:pStyle w:val="28"/>
        <w:spacing w:line="52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25.1  磋商小组按照磋商文件的评审办法负责向采购人推荐成交</w:t>
      </w:r>
      <w:r>
        <w:rPr>
          <w:rFonts w:hint="eastAsia" w:ascii="仿宋" w:hAnsi="仿宋" w:eastAsia="仿宋" w:cs="仿宋"/>
          <w:color w:val="auto"/>
          <w:sz w:val="28"/>
          <w:szCs w:val="28"/>
          <w:highlight w:val="none"/>
        </w:rPr>
        <w:t>候选供应商</w:t>
      </w:r>
      <w:r>
        <w:rPr>
          <w:rFonts w:hint="eastAsia" w:ascii="仿宋" w:hAnsi="仿宋" w:eastAsia="仿宋" w:cs="仿宋"/>
          <w:color w:val="auto"/>
          <w:kern w:val="2"/>
          <w:sz w:val="28"/>
          <w:highlight w:val="none"/>
        </w:rPr>
        <w:t>。磋商小组有权推荐一家或一至三家供应商为成</w:t>
      </w:r>
      <w:r>
        <w:rPr>
          <w:rFonts w:hint="eastAsia" w:ascii="仿宋" w:hAnsi="仿宋" w:eastAsia="仿宋" w:cs="仿宋"/>
          <w:color w:val="auto"/>
          <w:sz w:val="28"/>
          <w:szCs w:val="28"/>
          <w:highlight w:val="none"/>
        </w:rPr>
        <w:t>交候选供应商</w:t>
      </w:r>
      <w:r>
        <w:rPr>
          <w:rFonts w:hint="eastAsia" w:ascii="仿宋" w:hAnsi="仿宋" w:eastAsia="仿宋" w:cs="仿宋"/>
          <w:color w:val="auto"/>
          <w:kern w:val="2"/>
          <w:sz w:val="28"/>
          <w:highlight w:val="none"/>
        </w:rPr>
        <w:t>、或者拒绝所有的供应商的响应文件。磋商小组成员无义务向供应商做出有关对评审的任何解释工作。</w:t>
      </w:r>
    </w:p>
    <w:p>
      <w:pPr>
        <w:pStyle w:val="28"/>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25.2  成交供应商拒绝与采购人签订合同的，采购人可以按照评审报告推荐的成交供应商名单排序，确定下一候选人为成交供应商，也可以重新开展政府采购活动。</w:t>
      </w:r>
    </w:p>
    <w:p>
      <w:pPr>
        <w:pStyle w:val="28"/>
        <w:spacing w:line="52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26.  成交通知</w:t>
      </w:r>
    </w:p>
    <w:p>
      <w:pPr>
        <w:pStyle w:val="28"/>
        <w:spacing w:line="54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26.1 采购代理机构将在成交结果公告发布的同时，以书面形式向成交供应商发出《成交通知书》。</w:t>
      </w:r>
    </w:p>
    <w:p>
      <w:pPr>
        <w:pStyle w:val="28"/>
        <w:spacing w:line="54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 xml:space="preserve">26.2 </w:t>
      </w:r>
      <w:r>
        <w:rPr>
          <w:rFonts w:hint="eastAsia" w:ascii="仿宋" w:hAnsi="仿宋" w:eastAsia="仿宋" w:cs="仿宋"/>
          <w:color w:val="auto"/>
          <w:sz w:val="28"/>
          <w:highlight w:val="none"/>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cs="仿宋"/>
          <w:color w:val="auto"/>
          <w:sz w:val="28"/>
          <w:highlight w:val="none"/>
          <w:shd w:val="clear" w:color="auto" w:fill="FFFFFF"/>
        </w:rPr>
        <w:t>不予以退还，但对其承担保密责任。</w:t>
      </w:r>
    </w:p>
    <w:p>
      <w:pPr>
        <w:pStyle w:val="28"/>
        <w:spacing w:line="54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27. 拒绝某些或所有响应文件的权力。</w:t>
      </w:r>
    </w:p>
    <w:p>
      <w:pPr>
        <w:pStyle w:val="28"/>
        <w:spacing w:line="540" w:lineRule="exact"/>
        <w:ind w:firstLine="560" w:firstLineChars="200"/>
        <w:jc w:val="both"/>
        <w:rPr>
          <w:rFonts w:hint="eastAsia" w:ascii="仿宋" w:hAnsi="仿宋" w:eastAsia="仿宋" w:cs="仿宋"/>
          <w:color w:val="auto"/>
          <w:kern w:val="2"/>
          <w:sz w:val="28"/>
          <w:highlight w:val="none"/>
        </w:rPr>
      </w:pPr>
      <w:r>
        <w:rPr>
          <w:rFonts w:hint="eastAsia" w:ascii="仿宋" w:hAnsi="仿宋" w:eastAsia="仿宋" w:cs="仿宋"/>
          <w:color w:val="auto"/>
          <w:kern w:val="2"/>
          <w:sz w:val="28"/>
          <w:highlight w:val="none"/>
        </w:rPr>
        <w:t>27.1 采购人或采购代理机构有权在《成交通知书》发放之前的任何时候拒绝任何有不正当行为或扰乱正常磋商工作的供应商，由此对相关供应商造成的损失不负责任。</w:t>
      </w:r>
    </w:p>
    <w:p>
      <w:pPr>
        <w:pStyle w:val="28"/>
        <w:spacing w:before="312" w:beforeLines="100" w:after="156" w:afterLines="50" w:line="54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七、授予合同</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签订合同</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成交供应商收到《成交通知书》后，须按有关规定与采购人签定经济合同。合同的签订一般在《成交通知书》发出后30天内进行，但采购人事先约定的情况除外。</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28.2  合同签订后，卖方应按合同的规定履行合同，未按规定履约的，采购人有权取消合同，并且不退还成交供应商的磋商保证金。</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28.3  成交合同不得转让或分包。如需对合同的非主体部分进行转让或分包，供应商必须在响应文件中予以说明，并需经采购人同意。否则，采购人有权取消成交供应商的成交资格。</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28.4  如成交供应商未按有关规定与采购人签订合同或提交合同履约保证金的，采购人可以选择其他成交候选供应商为成交供应商，并组织成交供应商和采购人签订经济合同。</w:t>
      </w:r>
    </w:p>
    <w:p>
      <w:pPr>
        <w:pStyle w:val="28"/>
        <w:spacing w:line="520" w:lineRule="exact"/>
        <w:ind w:firstLine="560" w:firstLineChars="20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28.5  合同履约保证金形式为</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lang w:val="en-US" w:eastAsia="zh-CN"/>
        </w:rPr>
        <w:t>。</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合同的组成</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下列文件均为经济合同不可分割的组成部分：</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29.1.1  磋商文件及其附件、补遗文件；</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29.1.2  成交供应商的响应文件及其他附件； </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29.1.3  经确认的答疑记录；</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29.1.4  成交通知书。</w:t>
      </w:r>
    </w:p>
    <w:p>
      <w:pPr>
        <w:pStyle w:val="28"/>
        <w:spacing w:before="312" w:beforeLines="100" w:after="156" w:afterLines="50" w:line="54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八、买方授标时更改采购货物数量的权利</w:t>
      </w:r>
    </w:p>
    <w:p>
      <w:pPr>
        <w:pStyle w:val="27"/>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30. 采购人在授予合同时有权按“磋商须知前附表”约定的内容对“</w:t>
      </w:r>
      <w:r>
        <w:rPr>
          <w:rFonts w:hint="eastAsia" w:ascii="仿宋" w:hAnsi="仿宋" w:eastAsia="仿宋" w:cs="仿宋"/>
          <w:color w:val="auto"/>
          <w:highlight w:val="none"/>
          <w:lang w:val="en-US" w:eastAsia="zh-CN"/>
        </w:rPr>
        <w:t>采购清单</w:t>
      </w:r>
      <w:r>
        <w:rPr>
          <w:rFonts w:hint="eastAsia" w:ascii="仿宋" w:hAnsi="仿宋" w:eastAsia="仿宋" w:cs="仿宋"/>
          <w:color w:val="auto"/>
          <w:highlight w:val="none"/>
        </w:rPr>
        <w:t>”中规定的货物数量和服务予以局部增加或减少，但不得对单价或其它实质性内容做任何改变，对增减的数量按同类型中标产品价结算货款。</w:t>
      </w:r>
    </w:p>
    <w:p>
      <w:pPr>
        <w:pStyle w:val="28"/>
        <w:spacing w:before="312" w:beforeLines="100" w:after="156" w:afterLines="50" w:line="54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九、其他事项</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31.  成交服务费</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31.1 成交供应商应按本磋商文件规定，在《成交通知书》核发时至核发后3天内，向采购代理机构支付。其计算标准和方法参照国家发改价格［2011］534号文件和发改办价格[2003]857号文件有关规定执行。采购代理机构也可直接从成交供应商的磋商保证金内扣除。</w:t>
      </w:r>
    </w:p>
    <w:p>
      <w:pPr>
        <w:pStyle w:val="28"/>
        <w:tabs>
          <w:tab w:val="left" w:pos="420"/>
        </w:tabs>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31.2 成交服务费的计算基数是成交供应商磋商报价的总金额，即成交通知书中载明的成交金额，由中标单位支付，按国家标准计取。</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本磋商文件是根据《中华人民共和国政府采购法》、《中华人民共和国政府采购法实施条例》及相关法律法规编制，解释权属新疆新之建工程咨询有限公司。</w:t>
      </w:r>
    </w:p>
    <w:p>
      <w:pPr>
        <w:pStyle w:val="28"/>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为了做好磋商工作，供应商应组织有关商务和技术人员，认真解答或澄清磋商小组在评审过程中提出的有关商务和技术问题。</w:t>
      </w:r>
    </w:p>
    <w:p>
      <w:pPr>
        <w:pStyle w:val="28"/>
        <w:spacing w:line="520" w:lineRule="exact"/>
        <w:ind w:firstLine="548" w:firstLineChars="200"/>
        <w:jc w:val="both"/>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所有与本磋商文件有关的函电请按下列通讯地址联系：</w:t>
      </w:r>
    </w:p>
    <w:p>
      <w:pPr>
        <w:pStyle w:val="28"/>
        <w:spacing w:line="520" w:lineRule="exact"/>
        <w:ind w:firstLine="548" w:firstLineChars="200"/>
        <w:jc w:val="both"/>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采购代理机构：新疆新之建工程咨询有限公司</w:t>
      </w:r>
    </w:p>
    <w:p>
      <w:pPr>
        <w:pStyle w:val="28"/>
        <w:spacing w:line="520" w:lineRule="exact"/>
        <w:ind w:firstLine="548" w:firstLineChars="200"/>
        <w:jc w:val="both"/>
        <w:rPr>
          <w:rFonts w:hint="eastAsia" w:ascii="仿宋" w:hAnsi="仿宋" w:eastAsia="仿宋" w:cs="仿宋"/>
          <w:color w:val="auto"/>
          <w:sz w:val="28"/>
          <w:highlight w:val="none"/>
        </w:rPr>
      </w:pPr>
      <w:r>
        <w:rPr>
          <w:rFonts w:hint="eastAsia" w:ascii="仿宋" w:hAnsi="仿宋" w:eastAsia="仿宋" w:cs="仿宋"/>
          <w:color w:val="auto"/>
          <w:spacing w:val="-3"/>
          <w:sz w:val="28"/>
          <w:highlight w:val="none"/>
        </w:rPr>
        <w:t>通讯地址：</w:t>
      </w:r>
      <w:r>
        <w:rPr>
          <w:rFonts w:hint="eastAsia" w:ascii="仿宋" w:hAnsi="仿宋" w:eastAsia="仿宋" w:cs="仿宋"/>
          <w:color w:val="auto"/>
          <w:sz w:val="28"/>
          <w:highlight w:val="none"/>
        </w:rPr>
        <w:t>新疆伊宁市解放路77号亚欧国际九楼</w:t>
      </w:r>
    </w:p>
    <w:p>
      <w:pPr>
        <w:pStyle w:val="28"/>
        <w:spacing w:line="520" w:lineRule="exact"/>
        <w:ind w:firstLine="548" w:firstLineChars="200"/>
        <w:jc w:val="both"/>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邮    编： 835000</w:t>
      </w:r>
    </w:p>
    <w:p>
      <w:pPr>
        <w:pStyle w:val="28"/>
        <w:spacing w:line="520" w:lineRule="exact"/>
        <w:ind w:firstLine="548" w:firstLineChars="200"/>
        <w:jc w:val="both"/>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 xml:space="preserve">联 系 人：李梦琪  </w:t>
      </w:r>
    </w:p>
    <w:p>
      <w:pPr>
        <w:pStyle w:val="28"/>
        <w:spacing w:line="520" w:lineRule="exact"/>
        <w:ind w:firstLine="548" w:firstLineChars="200"/>
        <w:jc w:val="both"/>
        <w:rPr>
          <w:rFonts w:hint="eastAsia" w:ascii="仿宋" w:hAnsi="仿宋" w:eastAsia="仿宋" w:cs="仿宋"/>
          <w:color w:val="auto"/>
          <w:spacing w:val="-3"/>
          <w:sz w:val="28"/>
          <w:highlight w:val="none"/>
        </w:rPr>
      </w:pPr>
      <w:r>
        <w:rPr>
          <w:rFonts w:hint="eastAsia" w:ascii="仿宋" w:hAnsi="仿宋" w:eastAsia="仿宋" w:cs="仿宋"/>
          <w:color w:val="auto"/>
          <w:spacing w:val="-3"/>
          <w:sz w:val="28"/>
          <w:highlight w:val="none"/>
        </w:rPr>
        <w:t>电    话：0999-8039929</w:t>
      </w: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28"/>
        <w:spacing w:line="520" w:lineRule="exact"/>
        <w:ind w:firstLine="548" w:firstLineChars="200"/>
        <w:jc w:val="both"/>
        <w:rPr>
          <w:rFonts w:hint="eastAsia" w:ascii="仿宋" w:hAnsi="仿宋" w:eastAsia="仿宋" w:cs="仿宋"/>
          <w:color w:val="auto"/>
          <w:spacing w:val="-3"/>
          <w:sz w:val="28"/>
          <w:highlight w:val="none"/>
        </w:rPr>
      </w:pPr>
    </w:p>
    <w:p>
      <w:pPr>
        <w:pStyle w:val="19"/>
        <w:numPr>
          <w:ilvl w:val="0"/>
          <w:numId w:val="4"/>
        </w:numPr>
        <w:rPr>
          <w:rFonts w:hint="eastAsia" w:ascii="仿宋" w:hAnsi="仿宋" w:eastAsia="仿宋" w:cs="仿宋"/>
          <w:color w:val="auto"/>
          <w:sz w:val="32"/>
          <w:szCs w:val="32"/>
          <w:highlight w:val="none"/>
        </w:rPr>
      </w:pPr>
      <w:bookmarkStart w:id="47" w:name="_Toc487022587"/>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采购清单及技术要求</w:t>
      </w:r>
      <w:bookmarkEnd w:id="47"/>
    </w:p>
    <w:p>
      <w:pPr>
        <w:pStyle w:val="11"/>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一标段采购内容：</w:t>
      </w:r>
    </w:p>
    <w:tbl>
      <w:tblPr>
        <w:tblStyle w:val="20"/>
        <w:tblW w:w="10065"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945"/>
        <w:gridCol w:w="4425"/>
        <w:gridCol w:w="885"/>
        <w:gridCol w:w="141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065" w:type="dxa"/>
            <w:gridSpan w:val="6"/>
            <w:tcBorders>
              <w:top w:val="nil"/>
              <w:left w:val="nil"/>
              <w:bottom w:val="nil"/>
              <w:right w:val="nil"/>
            </w:tcBorders>
            <w:shd w:val="clear" w:color="auto" w:fill="auto"/>
            <w:noWrap/>
            <w:vAlign w:val="center"/>
          </w:tcPr>
          <w:p>
            <w:pPr>
              <w:pStyle w:val="28"/>
              <w:spacing w:line="520" w:lineRule="exact"/>
              <w:jc w:val="center"/>
              <w:rPr>
                <w:rFonts w:hint="eastAsia" w:ascii="仿宋" w:hAnsi="仿宋" w:eastAsia="仿宋" w:cs="仿宋"/>
                <w:color w:val="auto"/>
                <w:sz w:val="28"/>
                <w:highlight w:val="none"/>
                <w:lang w:val="en-US" w:eastAsia="zh-CN"/>
              </w:rPr>
            </w:pPr>
            <w:r>
              <w:rPr>
                <w:rFonts w:hint="eastAsia" w:ascii="仿宋" w:hAnsi="仿宋" w:eastAsia="仿宋" w:cs="仿宋"/>
                <w:b/>
                <w:bCs/>
                <w:color w:val="auto"/>
                <w:sz w:val="32"/>
                <w:szCs w:val="32"/>
                <w:highlight w:val="none"/>
                <w:lang w:val="en-US" w:eastAsia="zh-CN"/>
              </w:rPr>
              <w:t>伊犁州州档案馆安全保管设施设备购置清单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名称</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主要参数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单价（元）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光盘防磁柜</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规格：(H)1800*(W)700*(D)520 mm，容积：320L，9个大抽屉（抽屉尺寸：75*528*320mm），光盘盒尺寸：142*126*10mm；可放置100片/抽屉，光盘盒尺寸：142*126*5mm；可放置200片/抽屉，LTO3磁带尺寸：111*113*21mm；可放置72盘/抽屉，抗震结构，暗藏式门铰链设计，双重防潮保障，防潮防静电，提供原厂对本项目的授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5台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数码湿膜加湿机</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档案室专用加湿器，湿度自动控制，加湿量2-5KG/H,风机类型：轴流型，定时功能1-11H，风扇速度1000/1150/1350转/分，输出风量1000/1400/2020单方米/h,湿度调节RH30-90，增湿面积10-70平方米，降湿面积10-20平方米，水箱容量30L，缺水提醒，灯亮，停机，提供原厂针对本项目的授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6台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ind w:firstLine="560" w:firstLineChars="200"/>
              <w:jc w:val="center"/>
              <w:rPr>
                <w:rFonts w:hint="eastAsia" w:ascii="仿宋" w:hAnsi="仿宋" w:eastAsia="仿宋" w:cs="仿宋"/>
                <w:color w:val="auto"/>
                <w:sz w:val="28"/>
                <w:highlight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ind w:firstLine="560" w:firstLineChars="200"/>
              <w:jc w:val="center"/>
              <w:rPr>
                <w:rFonts w:hint="eastAsia" w:ascii="仿宋" w:hAnsi="仿宋" w:eastAsia="仿宋" w:cs="仿宋"/>
                <w:color w:val="auto"/>
                <w:sz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空调</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1.5匹，使用面积30平方变频，冷暖两用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1台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both"/>
              <w:rPr>
                <w:rFonts w:hint="eastAsia" w:ascii="仿宋" w:hAnsi="仿宋" w:eastAsia="仿宋" w:cs="仿宋"/>
                <w:color w:val="auto"/>
                <w:sz w:val="28"/>
                <w:highlight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both"/>
              <w:rPr>
                <w:rFonts w:hint="eastAsia" w:ascii="仿宋" w:hAnsi="仿宋" w:eastAsia="仿宋" w:cs="仿宋"/>
                <w:color w:val="auto"/>
                <w:sz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钢板烤漆展柜</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1.5*1.5*0.9M，超白钢化玻璃，黑色烤漆，钢板厚度1.8mm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1组</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both"/>
              <w:rPr>
                <w:rFonts w:hint="eastAsia" w:ascii="仿宋" w:hAnsi="仿宋" w:eastAsia="仿宋" w:cs="仿宋"/>
                <w:color w:val="auto"/>
                <w:sz w:val="28"/>
                <w:highlight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both"/>
              <w:rPr>
                <w:rFonts w:hint="eastAsia" w:ascii="仿宋" w:hAnsi="仿宋" w:eastAsia="仿宋" w:cs="仿宋"/>
                <w:color w:val="auto"/>
                <w:sz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库区防盗报警</w:t>
            </w:r>
            <w:r>
              <w:rPr>
                <w:rFonts w:hint="eastAsia" w:ascii="仿宋" w:hAnsi="仿宋" w:eastAsia="仿宋" w:cs="仿宋"/>
                <w:color w:val="auto"/>
                <w:sz w:val="28"/>
                <w:highlight w:val="none"/>
                <w:lang w:val="en-US" w:eastAsia="zh-CN"/>
              </w:rPr>
              <w:br w:type="textWrapping"/>
            </w:r>
            <w:r>
              <w:rPr>
                <w:rFonts w:hint="eastAsia" w:ascii="仿宋" w:hAnsi="仿宋" w:eastAsia="仿宋" w:cs="仿宋"/>
                <w:color w:val="auto"/>
                <w:sz w:val="28"/>
                <w:highlight w:val="none"/>
                <w:lang w:val="en-US" w:eastAsia="zh-CN"/>
              </w:rPr>
              <w:t>设备</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ind w:firstLine="560" w:firstLineChars="200"/>
              <w:jc w:val="center"/>
              <w:rPr>
                <w:rFonts w:hint="eastAsia" w:ascii="仿宋" w:hAnsi="仿宋" w:eastAsia="仿宋" w:cs="仿宋"/>
                <w:color w:val="auto"/>
                <w:sz w:val="28"/>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both"/>
              <w:rPr>
                <w:rFonts w:hint="eastAsia" w:ascii="仿宋" w:hAnsi="仿宋" w:eastAsia="仿宋" w:cs="仿宋"/>
                <w:color w:val="auto"/>
                <w:sz w:val="28"/>
                <w:highlight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both"/>
              <w:rPr>
                <w:rFonts w:hint="eastAsia" w:ascii="仿宋" w:hAnsi="仿宋" w:eastAsia="仿宋" w:cs="仿宋"/>
                <w:color w:val="auto"/>
                <w:sz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spacing w:line="520" w:lineRule="exact"/>
              <w:jc w:val="center"/>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合计</w:t>
            </w:r>
          </w:p>
        </w:tc>
      </w:tr>
    </w:tbl>
    <w:p>
      <w:pPr>
        <w:pStyle w:val="11"/>
        <w:rPr>
          <w:rFonts w:hint="default" w:ascii="仿宋" w:hAnsi="仿宋" w:eastAsia="仿宋" w:cs="仿宋"/>
          <w:b/>
          <w:bCs/>
          <w:color w:val="auto"/>
          <w:kern w:val="0"/>
          <w:sz w:val="28"/>
          <w:szCs w:val="28"/>
          <w:highlight w:val="none"/>
          <w:lang w:val="en-US" w:eastAsia="zh-CN"/>
        </w:rPr>
      </w:pPr>
    </w:p>
    <w:tbl>
      <w:tblPr>
        <w:tblStyle w:val="20"/>
        <w:tblW w:w="10027" w:type="dxa"/>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380"/>
        <w:gridCol w:w="4050"/>
        <w:gridCol w:w="915"/>
        <w:gridCol w:w="1395"/>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27"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b/>
                <w:bCs/>
                <w:color w:val="auto"/>
                <w:kern w:val="0"/>
                <w:sz w:val="32"/>
                <w:szCs w:val="32"/>
                <w:highlight w:val="none"/>
                <w:lang w:val="en-US" w:eastAsia="zh-CN" w:bidi="ar-SA"/>
              </w:rPr>
              <w:t>伊犁州档案馆红外光栅报警系统配置清单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产品名称</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详细参数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spacing w:line="520" w:lineRule="exact"/>
              <w:jc w:val="center"/>
              <w:rPr>
                <w:rFonts w:hint="eastAsia" w:ascii="仿宋" w:hAnsi="仿宋" w:eastAsia="仿宋" w:cs="仿宋"/>
                <w:color w:val="auto"/>
                <w:sz w:val="28"/>
                <w:highlight w:val="none"/>
                <w:lang w:val="en-US" w:eastAsia="zh-CN" w:bidi="ar-SA"/>
              </w:rPr>
            </w:pPr>
            <w:r>
              <w:rPr>
                <w:rFonts w:hint="eastAsia" w:ascii="仿宋" w:hAnsi="仿宋" w:eastAsia="仿宋" w:cs="仿宋"/>
                <w:color w:val="auto"/>
                <w:sz w:val="28"/>
                <w:highlight w:val="none"/>
                <w:lang w:val="en-US" w:eastAsia="zh-CN"/>
              </w:rPr>
              <w:t>单价（元）</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spacing w:line="520" w:lineRule="exact"/>
              <w:jc w:val="center"/>
              <w:rPr>
                <w:rFonts w:hint="eastAsia" w:ascii="仿宋" w:hAnsi="仿宋" w:eastAsia="仿宋" w:cs="仿宋"/>
                <w:color w:val="auto"/>
                <w:sz w:val="28"/>
                <w:highlight w:val="none"/>
                <w:lang w:val="en-US" w:eastAsia="zh-CN" w:bidi="ar-SA"/>
              </w:rPr>
            </w:pPr>
            <w:r>
              <w:rPr>
                <w:rFonts w:hint="eastAsia" w:ascii="仿宋" w:hAnsi="仿宋" w:eastAsia="仿宋" w:cs="仿宋"/>
                <w:color w:val="auto"/>
                <w:sz w:val="28"/>
                <w:highlight w:val="none"/>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小型总线报警主机</w:t>
            </w:r>
          </w:p>
        </w:tc>
        <w:tc>
          <w:tcPr>
            <w:tcW w:w="40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自带8个板载有线防区，最多可扩展560个防区；支持两条485总线输出，最多支持接入70个设备，每个设备最多接入8个防区；每条485总线可达1.2Km （总线规格RVSP2*1.0mm或者RVVP2*1.0mm）,手牵手总线拓扑；485总线最长可扩展9.6KM；总线485信号支持通过RS485双向半双工的光端机传输；支持通过网络和串口通讯方式上传到接警软件；支持4个独立的以太网接警中心；支持短信通知,支持8个短信号码；支持电话通知，支持8个用户电话号码和3个独立的中心接警号码；支持Contact ID protocol协议；支持250条CID报告缓存；支持1000条报警事件记录，1000条操作事件和管理操作记录；支持8个LCD键盘，包括1个主键盘和7个从键盘；支持8个键盘分区管理；支持设备、防区名称汉字任意更改，防区最多支持7个汉字；支持接入一台串口打印机；支持定时布撤防功能，每个键盘支持6组定时布撤防功能，共48组定时布撤防时间；支持主机防拆报警功能；支持129个密码，1个安装员密码、每个键盘16个用户密码；支持外置蓄电池，主辅电源可自动切换；主机采用AC220V供电，电源输入支持DC12-30V电源供电；支持键盘电源输出、辅助电源输出防反接和过流保护；支持1路12V/1A辅助电源输出；支持1路继电器输出，最多可扩展4096个联动继电器或LED输出；支持配置工具客户端升级；支持配置工具客户端对主机编程。可通过IP、RS232方式配置参数。</w:t>
            </w:r>
          </w:p>
        </w:tc>
        <w:tc>
          <w:tcPr>
            <w:tcW w:w="9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1台</w:t>
            </w:r>
          </w:p>
        </w:tc>
        <w:tc>
          <w:tcPr>
            <w:tcW w:w="13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c>
          <w:tcPr>
            <w:tcW w:w="14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2"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总线编程键盘</w:t>
            </w:r>
          </w:p>
        </w:tc>
        <w:tc>
          <w:tcPr>
            <w:tcW w:w="40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中文LCD编程键盘；支持显示设备的各类信息：报警、状态、编程等；键盘本身带有一个蜂鸣器，用来操作提示和报警提示；本身带有1路继电器报警输出；支持学习8个无线遥控器（433MHZ），通过遥控器对系统布撤防；支持防拆报警，内置光敏电阻；通讯方式:RS485总线；无线参数:433MHz，编码器的震荡电阻为4.7M，2262编码模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1个</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报警器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声光报警器</w:t>
            </w:r>
            <w:r>
              <w:rPr>
                <w:rFonts w:hint="eastAsia" w:ascii="仿宋" w:hAnsi="仿宋" w:eastAsia="仿宋" w:cs="仿宋"/>
                <w:color w:val="auto"/>
                <w:kern w:val="0"/>
                <w:sz w:val="28"/>
                <w:highlight w:val="none"/>
                <w:lang w:val="en-US" w:eastAsia="zh-CN" w:bidi="ar-SA"/>
              </w:rPr>
              <w:br w:type="textWrapping"/>
            </w:r>
            <w:r>
              <w:rPr>
                <w:rFonts w:hint="eastAsia" w:ascii="仿宋" w:hAnsi="仿宋" w:eastAsia="仿宋" w:cs="仿宋"/>
                <w:color w:val="auto"/>
                <w:kern w:val="0"/>
                <w:sz w:val="28"/>
                <w:highlight w:val="none"/>
                <w:lang w:val="en-US" w:eastAsia="zh-CN" w:bidi="ar-SA"/>
              </w:rPr>
              <w:t>声压：≥108分贝</w:t>
            </w:r>
            <w:r>
              <w:rPr>
                <w:rFonts w:hint="eastAsia" w:ascii="仿宋" w:hAnsi="仿宋" w:eastAsia="仿宋" w:cs="仿宋"/>
                <w:color w:val="auto"/>
                <w:kern w:val="0"/>
                <w:sz w:val="28"/>
                <w:highlight w:val="none"/>
                <w:lang w:val="en-US" w:eastAsia="zh-CN" w:bidi="ar-SA"/>
              </w:rPr>
              <w:br w:type="textWrapping"/>
            </w:r>
            <w:r>
              <w:rPr>
                <w:rFonts w:hint="eastAsia" w:ascii="仿宋" w:hAnsi="仿宋" w:eastAsia="仿宋" w:cs="仿宋"/>
                <w:color w:val="auto"/>
                <w:kern w:val="0"/>
                <w:sz w:val="28"/>
                <w:highlight w:val="none"/>
                <w:lang w:val="en-US" w:eastAsia="zh-CN" w:bidi="ar-SA"/>
              </w:rPr>
              <w:t>电流：≤250毫安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1个</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防区扩展模块</w:t>
            </w:r>
          </w:p>
        </w:tc>
        <w:tc>
          <w:tcPr>
            <w:tcW w:w="40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785" cy="0"/>
                  <wp:effectExtent l="0" t="0" r="0" b="0"/>
                  <wp:wrapNone/>
                  <wp:docPr id="3" name="直接连接符_24"/>
                  <wp:cNvGraphicFramePr/>
                  <a:graphic xmlns:a="http://schemas.openxmlformats.org/drawingml/2006/main">
                    <a:graphicData uri="http://schemas.openxmlformats.org/drawingml/2006/picture">
                      <pic:pic xmlns:pic="http://schemas.openxmlformats.org/drawingml/2006/picture">
                        <pic:nvPicPr>
                          <pic:cNvPr id="3" name="直接连接符_24"/>
                          <pic:cNvPicPr/>
                        </pic:nvPicPr>
                        <pic:blipFill>
                          <a:blip r:embed="rId15"/>
                          <a:stretch>
                            <a:fillRect/>
                          </a:stretch>
                        </pic:blipFill>
                        <pic:spPr>
                          <a:xfrm>
                            <a:off x="0" y="0"/>
                            <a:ext cx="57785" cy="0"/>
                          </a:xfrm>
                          <a:prstGeom prst="rect">
                            <a:avLst/>
                          </a:prstGeom>
                          <a:noFill/>
                          <a:ln>
                            <a:noFill/>
                          </a:ln>
                        </pic:spPr>
                      </pic:pic>
                    </a:graphicData>
                  </a:graphic>
                </wp:anchor>
              </w:drawing>
            </w:r>
            <w:r>
              <w:rPr>
                <w:rFonts w:hint="eastAsia" w:ascii="仿宋" w:hAnsi="仿宋" w:eastAsia="仿宋" w:cs="仿宋"/>
                <w:color w:val="auto"/>
                <w:kern w:val="0"/>
                <w:sz w:val="28"/>
                <w:highlight w:val="none"/>
                <w:lang w:val="en-US" w:eastAsia="zh-CN" w:bidi="ar-SA"/>
              </w:rPr>
              <w:t>支持RS485通讯方式；支持接入1个常闭（NC）信号探测设备</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31个</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红外光栅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探测距离：10米；封闭式外接线结构设计，创新性地吸取“瓶盖”倒置设计灵感在保留外接线的同时将红外光栅的防水性能提升到了新的的高度；采用数字变频与CPU微处理数码控制技术，整体稳定性更好，可靠性更高，抗干扰能力更强；采用高档铝合金外壳，防拆、防剪、防移动功能设计；支持异步、同步两种工作模式；两段频率可选，彻底解决相邻红外干扰；双束识别功能能有效地防止小动物、飞鸟等引起误报；灵敏度高、防范警戒距离三档可调；具有防风、霜、雨、雪、雾、潮、太阳光斜照等特点；支持防拆报警功能（当外壳被移去时报警）；支持蜂鸣器校准提示；已通过了3C、CE、RoHS认证；光栅高度：172cm；报警周期:≥1.5S（可定制及时恢复）；感应速度：40ms（可定制感应速度）；探测方式：相邻两光束遮挡报警；报警输出：无源继电器输出，（常闭、常开可选），接点容量AC\DC30V 1.0Amax；防拆输出：常闭，当外壳被移去时打开；防护等级：IP65；光轴角度：180°（水平）(垂直不可调)。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31对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电源</w:t>
            </w:r>
          </w:p>
        </w:tc>
        <w:tc>
          <w:tcPr>
            <w:tcW w:w="405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集中供电开关电源（DC-24V/10A）</w:t>
            </w:r>
          </w:p>
        </w:tc>
        <w:tc>
          <w:tcPr>
            <w:tcW w:w="91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3个</w:t>
            </w:r>
          </w:p>
        </w:tc>
        <w:tc>
          <w:tcPr>
            <w:tcW w:w="139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c>
          <w:tcPr>
            <w:tcW w:w="149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电源线</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2*1.0电源线</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3米</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信号线</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RVV2*1.0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3.6米</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0"/>
                <w:sz w:val="28"/>
                <w:highlight w:val="none"/>
                <w:lang w:val="en-US" w:eastAsia="zh-CN" w:bidi="ar-SA"/>
              </w:rPr>
            </w:pPr>
            <w:r>
              <w:rPr>
                <w:rFonts w:hint="eastAsia" w:ascii="仿宋" w:hAnsi="仿宋" w:eastAsia="仿宋" w:cs="仿宋"/>
                <w:color w:val="auto"/>
                <w:kern w:val="0"/>
                <w:sz w:val="28"/>
                <w:highlight w:val="none"/>
                <w:lang w:val="en-US" w:eastAsia="zh-CN" w:bidi="ar-SA"/>
              </w:rPr>
              <w:t>安装调试费</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0"/>
                <w:sz w:val="28"/>
                <w:highlight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0"/>
                <w:sz w:val="28"/>
                <w:highlight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0"/>
                <w:sz w:val="28"/>
                <w:highlight w:val="none"/>
                <w:lang w:val="en-US" w:eastAsia="zh-CN" w:bidi="ar-SA"/>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0"/>
                <w:sz w:val="28"/>
                <w:highlight w:val="none"/>
                <w:lang w:val="en-US" w:eastAsia="zh-CN" w:bidi="ar-SA"/>
              </w:rPr>
            </w:pPr>
          </w:p>
        </w:tc>
      </w:tr>
    </w:tbl>
    <w:p>
      <w:pPr>
        <w:pStyle w:val="11"/>
        <w:rPr>
          <w:rFonts w:hint="eastAsia" w:ascii="仿宋" w:hAnsi="仿宋" w:eastAsia="仿宋" w:cs="仿宋"/>
          <w:b/>
          <w:bCs/>
          <w:color w:val="auto"/>
          <w:kern w:val="0"/>
          <w:sz w:val="28"/>
          <w:szCs w:val="28"/>
          <w:highlight w:val="none"/>
          <w:lang w:val="en-US" w:eastAsia="zh-CN"/>
        </w:rPr>
      </w:pPr>
    </w:p>
    <w:p>
      <w:pPr>
        <w:pStyle w:val="11"/>
        <w:ind w:left="0" w:leftChars="0" w:firstLine="640" w:firstLineChars="200"/>
        <w:rPr>
          <w:rFonts w:hint="default" w:ascii="仿宋" w:hAnsi="仿宋" w:eastAsia="仿宋" w:cs="仿宋"/>
          <w:b/>
          <w:bCs/>
          <w:color w:val="auto"/>
          <w:sz w:val="32"/>
          <w:szCs w:val="32"/>
          <w:highlight w:val="none"/>
          <w:lang w:val="en-US" w:eastAsia="zh-CN"/>
        </w:rPr>
      </w:pPr>
    </w:p>
    <w:p>
      <w:pPr>
        <w:pStyle w:val="11"/>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pStyle w:val="19"/>
        <w:spacing w:line="520" w:lineRule="exact"/>
        <w:rPr>
          <w:rFonts w:hint="eastAsia" w:ascii="仿宋" w:hAnsi="仿宋" w:eastAsia="仿宋" w:cs="仿宋"/>
          <w:color w:val="auto"/>
          <w:sz w:val="32"/>
          <w:szCs w:val="32"/>
          <w:highlight w:val="none"/>
        </w:rPr>
      </w:pPr>
      <w:bookmarkStart w:id="48" w:name="_Toc487022589"/>
      <w:r>
        <w:rPr>
          <w:rFonts w:hint="eastAsia" w:ascii="仿宋" w:hAnsi="仿宋" w:eastAsia="仿宋" w:cs="仿宋"/>
          <w:color w:val="auto"/>
          <w:sz w:val="32"/>
          <w:szCs w:val="32"/>
          <w:highlight w:val="none"/>
        </w:rPr>
        <w:t>第四章  合同条款</w:t>
      </w:r>
      <w:bookmarkEnd w:id="48"/>
    </w:p>
    <w:p>
      <w:pPr>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single"/>
        </w:rPr>
        <w:t xml:space="preserve">           </w:t>
      </w:r>
    </w:p>
    <w:p>
      <w:pPr>
        <w:spacing w:line="480" w:lineRule="auto"/>
        <w:jc w:val="center"/>
        <w:rPr>
          <w:rFonts w:hint="eastAsia" w:ascii="仿宋" w:hAnsi="仿宋" w:eastAsia="仿宋" w:cs="仿宋"/>
          <w:b/>
          <w:color w:val="auto"/>
          <w:sz w:val="28"/>
          <w:szCs w:val="28"/>
          <w:highlight w:val="none"/>
        </w:rPr>
      </w:pPr>
    </w:p>
    <w:p>
      <w:pPr>
        <w:spacing w:line="480" w:lineRule="auto"/>
        <w:jc w:val="center"/>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spacing w:line="480" w:lineRule="auto"/>
        <w:jc w:val="center"/>
        <w:rPr>
          <w:rFonts w:hint="eastAsia" w:ascii="仿宋" w:hAnsi="仿宋" w:eastAsia="仿宋" w:cs="仿宋"/>
          <w:b/>
          <w:color w:val="auto"/>
          <w:sz w:val="28"/>
          <w:szCs w:val="28"/>
          <w:highlight w:val="none"/>
        </w:rPr>
      </w:pPr>
    </w:p>
    <w:p>
      <w:pPr>
        <w:spacing w:line="48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政府采购合同参考范本</w:t>
      </w:r>
    </w:p>
    <w:p>
      <w:pPr>
        <w:spacing w:line="48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（货物类）</w:t>
      </w:r>
    </w:p>
    <w:p>
      <w:pPr>
        <w:pStyle w:val="35"/>
        <w:ind w:firstLine="0"/>
        <w:rPr>
          <w:rFonts w:hint="eastAsia" w:ascii="仿宋" w:hAnsi="仿宋" w:eastAsia="仿宋" w:cs="仿宋"/>
          <w:color w:val="auto"/>
          <w:sz w:val="28"/>
          <w:szCs w:val="28"/>
          <w:highlight w:val="none"/>
        </w:rPr>
      </w:pPr>
    </w:p>
    <w:p>
      <w:pPr>
        <w:pStyle w:val="35"/>
        <w:ind w:firstLine="0"/>
        <w:rPr>
          <w:rFonts w:hint="eastAsia" w:ascii="仿宋" w:hAnsi="仿宋" w:eastAsia="仿宋" w:cs="仿宋"/>
          <w:color w:val="auto"/>
          <w:sz w:val="28"/>
          <w:szCs w:val="28"/>
          <w:highlight w:val="none"/>
        </w:rPr>
      </w:pPr>
    </w:p>
    <w:p>
      <w:pPr>
        <w:pStyle w:val="35"/>
        <w:ind w:firstLine="0"/>
        <w:rPr>
          <w:rFonts w:hint="eastAsia" w:ascii="仿宋" w:hAnsi="仿宋" w:eastAsia="仿宋" w:cs="仿宋"/>
          <w:color w:val="auto"/>
          <w:sz w:val="28"/>
          <w:szCs w:val="28"/>
          <w:highlight w:val="none"/>
        </w:rPr>
      </w:pPr>
    </w:p>
    <w:p>
      <w:pPr>
        <w:pStyle w:val="35"/>
        <w:ind w:firstLine="0"/>
        <w:rPr>
          <w:rFonts w:hint="eastAsia" w:ascii="仿宋" w:hAnsi="仿宋" w:eastAsia="仿宋" w:cs="仿宋"/>
          <w:color w:val="auto"/>
          <w:sz w:val="28"/>
          <w:szCs w:val="28"/>
          <w:highlight w:val="none"/>
        </w:rPr>
      </w:pPr>
    </w:p>
    <w:p>
      <w:pPr>
        <w:pStyle w:val="35"/>
        <w:ind w:firstLine="0"/>
        <w:rPr>
          <w:rFonts w:hint="eastAsia" w:ascii="仿宋" w:hAnsi="仿宋" w:eastAsia="仿宋" w:cs="仿宋"/>
          <w:color w:val="auto"/>
          <w:sz w:val="28"/>
          <w:szCs w:val="28"/>
          <w:highlight w:val="none"/>
        </w:rPr>
      </w:pPr>
    </w:p>
    <w:p>
      <w:pPr>
        <w:pStyle w:val="35"/>
        <w:ind w:firstLine="0"/>
        <w:rPr>
          <w:rFonts w:hint="eastAsia" w:ascii="仿宋" w:hAnsi="仿宋" w:eastAsia="仿宋" w:cs="仿宋"/>
          <w:color w:val="auto"/>
          <w:sz w:val="28"/>
          <w:szCs w:val="28"/>
          <w:highlight w:val="none"/>
        </w:rPr>
      </w:pPr>
    </w:p>
    <w:p>
      <w:pPr>
        <w:pStyle w:val="35"/>
        <w:ind w:firstLine="0"/>
        <w:rPr>
          <w:rFonts w:hint="eastAsia" w:ascii="仿宋" w:hAnsi="仿宋" w:eastAsia="仿宋" w:cs="仿宋"/>
          <w:color w:val="auto"/>
          <w:sz w:val="28"/>
          <w:szCs w:val="28"/>
          <w:highlight w:val="none"/>
        </w:rPr>
      </w:pPr>
    </w:p>
    <w:p>
      <w:pPr>
        <w:pStyle w:val="10"/>
        <w:rPr>
          <w:rFonts w:hint="eastAsia" w:ascii="仿宋" w:hAnsi="仿宋" w:eastAsia="仿宋" w:cs="仿宋"/>
          <w:b/>
          <w:color w:val="auto"/>
          <w:sz w:val="36"/>
          <w:highlight w:val="none"/>
        </w:rPr>
      </w:pPr>
    </w:p>
    <w:p>
      <w:pPr>
        <w:rPr>
          <w:rFonts w:hint="eastAsia" w:ascii="仿宋" w:hAnsi="仿宋" w:eastAsia="仿宋" w:cs="仿宋"/>
          <w:b/>
          <w:color w:val="auto"/>
          <w:sz w:val="36"/>
          <w:highlight w:val="none"/>
        </w:rPr>
      </w:pPr>
    </w:p>
    <w:p>
      <w:pPr>
        <w:pStyle w:val="10"/>
        <w:rPr>
          <w:rFonts w:hint="eastAsia" w:ascii="仿宋" w:hAnsi="仿宋" w:eastAsia="仿宋" w:cs="仿宋"/>
          <w:b/>
          <w:color w:val="auto"/>
          <w:sz w:val="36"/>
          <w:highlight w:val="none"/>
        </w:rPr>
      </w:pPr>
    </w:p>
    <w:p>
      <w:pPr>
        <w:rPr>
          <w:rFonts w:hint="eastAsia" w:ascii="仿宋" w:hAnsi="仿宋" w:eastAsia="仿宋" w:cs="仿宋"/>
          <w:b/>
          <w:color w:val="auto"/>
          <w:sz w:val="36"/>
          <w:highlight w:val="none"/>
        </w:rPr>
      </w:pPr>
    </w:p>
    <w:p>
      <w:pPr>
        <w:spacing w:line="360" w:lineRule="atLeast"/>
        <w:rPr>
          <w:rFonts w:hint="eastAsia" w:ascii="仿宋" w:hAnsi="仿宋" w:eastAsia="仿宋" w:cs="仿宋"/>
          <w:b/>
          <w:color w:val="auto"/>
          <w:highlight w:val="none"/>
        </w:rPr>
      </w:pPr>
      <w:r>
        <w:rPr>
          <w:rFonts w:hint="eastAsia" w:ascii="仿宋" w:hAnsi="仿宋" w:eastAsia="仿宋" w:cs="仿宋"/>
          <w:b/>
          <w:color w:val="auto"/>
          <w:sz w:val="36"/>
          <w:highlight w:val="none"/>
        </w:rPr>
        <w:t>附件：响应文件格式</w:t>
      </w:r>
    </w:p>
    <w:p>
      <w:pPr>
        <w:pStyle w:val="29"/>
        <w:spacing w:line="360" w:lineRule="auto"/>
        <w:ind w:firstLine="1400" w:firstLineChars="200"/>
        <w:jc w:val="both"/>
        <w:rPr>
          <w:rFonts w:hint="eastAsia" w:ascii="仿宋" w:hAnsi="仿宋" w:eastAsia="仿宋" w:cs="仿宋"/>
          <w:color w:val="auto"/>
          <w:sz w:val="70"/>
          <w:highlight w:val="none"/>
        </w:rPr>
      </w:pPr>
    </w:p>
    <w:p>
      <w:pPr>
        <w:spacing w:line="360" w:lineRule="atLeast"/>
        <w:ind w:hanging="23"/>
        <w:jc w:val="center"/>
        <w:rPr>
          <w:rFonts w:hint="eastAsia" w:ascii="仿宋" w:hAnsi="仿宋" w:eastAsia="仿宋" w:cs="仿宋"/>
          <w:b/>
          <w:color w:val="auto"/>
          <w:sz w:val="70"/>
          <w:highlight w:val="none"/>
        </w:rPr>
      </w:pPr>
    </w:p>
    <w:p>
      <w:pPr>
        <w:spacing w:line="360" w:lineRule="atLeast"/>
        <w:jc w:val="center"/>
        <w:rPr>
          <w:rFonts w:hint="eastAsia" w:ascii="仿宋" w:hAnsi="仿宋" w:eastAsia="仿宋" w:cs="仿宋"/>
          <w:b/>
          <w:color w:val="auto"/>
          <w:sz w:val="72"/>
          <w:highlight w:val="none"/>
        </w:rPr>
      </w:pPr>
      <w:r>
        <w:rPr>
          <w:rFonts w:hint="eastAsia" w:ascii="仿宋" w:hAnsi="仿宋" w:eastAsia="仿宋" w:cs="仿宋"/>
          <w:b/>
          <w:color w:val="auto"/>
          <w:sz w:val="72"/>
          <w:highlight w:val="none"/>
        </w:rPr>
        <w:t xml:space="preserve"> </w:t>
      </w:r>
      <w:r>
        <w:rPr>
          <w:rFonts w:hint="eastAsia" w:ascii="仿宋" w:hAnsi="仿宋" w:eastAsia="仿宋" w:cs="仿宋"/>
          <w:b/>
          <w:color w:val="auto"/>
          <w:sz w:val="72"/>
          <w:highlight w:val="none"/>
          <w:u w:val="single"/>
        </w:rPr>
        <w:t xml:space="preserve">         </w:t>
      </w:r>
      <w:r>
        <w:rPr>
          <w:rFonts w:hint="eastAsia" w:ascii="仿宋" w:hAnsi="仿宋" w:eastAsia="仿宋" w:cs="仿宋"/>
          <w:b/>
          <w:color w:val="auto"/>
          <w:sz w:val="72"/>
          <w:highlight w:val="none"/>
        </w:rPr>
        <w:t>项目</w:t>
      </w:r>
    </w:p>
    <w:p>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响应文件</w:t>
      </w:r>
    </w:p>
    <w:p>
      <w:pPr>
        <w:spacing w:line="360" w:lineRule="atLeast"/>
        <w:rPr>
          <w:rFonts w:hint="eastAsia" w:ascii="仿宋" w:hAnsi="仿宋" w:eastAsia="仿宋" w:cs="仿宋"/>
          <w:color w:val="auto"/>
          <w:highlight w:val="none"/>
        </w:rPr>
      </w:pPr>
    </w:p>
    <w:p>
      <w:pPr>
        <w:spacing w:line="360" w:lineRule="atLeast"/>
        <w:ind w:firstLine="567"/>
        <w:rPr>
          <w:rFonts w:hint="eastAsia" w:ascii="仿宋" w:hAnsi="仿宋" w:eastAsia="仿宋" w:cs="仿宋"/>
          <w:color w:val="auto"/>
          <w:sz w:val="44"/>
          <w:highlight w:val="none"/>
        </w:rPr>
      </w:pPr>
    </w:p>
    <w:p>
      <w:pPr>
        <w:spacing w:line="360" w:lineRule="atLeast"/>
        <w:ind w:firstLine="567"/>
        <w:rPr>
          <w:rFonts w:hint="eastAsia" w:ascii="仿宋" w:hAnsi="仿宋" w:eastAsia="仿宋" w:cs="仿宋"/>
          <w:color w:val="auto"/>
          <w:sz w:val="44"/>
          <w:highlight w:val="none"/>
        </w:rPr>
      </w:pPr>
      <w:r>
        <w:rPr>
          <w:rFonts w:hint="eastAsia" w:ascii="仿宋" w:hAnsi="仿宋" w:eastAsia="仿宋" w:cs="仿宋"/>
          <w:color w:val="auto"/>
          <w:sz w:val="44"/>
          <w:highlight w:val="none"/>
        </w:rPr>
        <w:t xml:space="preserve">采 购 项 目 名 称： </w:t>
      </w:r>
    </w:p>
    <w:p>
      <w:pPr>
        <w:spacing w:line="360" w:lineRule="atLeast"/>
        <w:ind w:firstLine="567"/>
        <w:rPr>
          <w:rFonts w:hint="eastAsia" w:ascii="仿宋" w:hAnsi="仿宋" w:eastAsia="仿宋" w:cs="仿宋"/>
          <w:color w:val="auto"/>
          <w:sz w:val="44"/>
          <w:highlight w:val="none"/>
        </w:rPr>
      </w:pPr>
    </w:p>
    <w:p>
      <w:pPr>
        <w:spacing w:line="360" w:lineRule="atLeast"/>
        <w:ind w:firstLine="567"/>
        <w:rPr>
          <w:rFonts w:hint="eastAsia" w:ascii="仿宋" w:hAnsi="仿宋" w:eastAsia="仿宋" w:cs="仿宋"/>
          <w:color w:val="auto"/>
          <w:sz w:val="44"/>
          <w:highlight w:val="none"/>
        </w:rPr>
      </w:pPr>
      <w:r>
        <w:rPr>
          <w:rFonts w:hint="eastAsia" w:ascii="仿宋" w:hAnsi="仿宋" w:eastAsia="仿宋" w:cs="仿宋"/>
          <w:color w:val="auto"/>
          <w:sz w:val="44"/>
          <w:highlight w:val="none"/>
        </w:rPr>
        <w:t>磋  商  单  位：</w:t>
      </w:r>
    </w:p>
    <w:p>
      <w:pPr>
        <w:spacing w:line="360" w:lineRule="atLeast"/>
        <w:ind w:firstLine="567"/>
        <w:rPr>
          <w:rFonts w:hint="eastAsia" w:ascii="仿宋" w:hAnsi="仿宋" w:eastAsia="仿宋" w:cs="仿宋"/>
          <w:color w:val="auto"/>
          <w:sz w:val="44"/>
          <w:highlight w:val="none"/>
        </w:rPr>
      </w:pPr>
    </w:p>
    <w:p>
      <w:pPr>
        <w:spacing w:line="360" w:lineRule="atLeast"/>
        <w:ind w:firstLine="567"/>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pPr>
        <w:spacing w:line="360" w:lineRule="atLeast"/>
        <w:rPr>
          <w:rFonts w:hint="eastAsia" w:ascii="仿宋" w:hAnsi="仿宋" w:eastAsia="仿宋" w:cs="仿宋"/>
          <w:color w:val="auto"/>
          <w:sz w:val="32"/>
          <w:highlight w:val="none"/>
        </w:rPr>
      </w:pPr>
    </w:p>
    <w:p>
      <w:pPr>
        <w:spacing w:line="360" w:lineRule="atLeast"/>
        <w:rPr>
          <w:rFonts w:hint="eastAsia" w:ascii="仿宋" w:hAnsi="仿宋" w:eastAsia="仿宋" w:cs="仿宋"/>
          <w:color w:val="auto"/>
          <w:sz w:val="32"/>
          <w:highlight w:val="none"/>
        </w:rPr>
      </w:pPr>
    </w:p>
    <w:p>
      <w:pPr>
        <w:spacing w:line="360" w:lineRule="atLeast"/>
        <w:rPr>
          <w:rFonts w:hint="eastAsia" w:ascii="仿宋" w:hAnsi="仿宋" w:eastAsia="仿宋" w:cs="仿宋"/>
          <w:color w:val="auto"/>
          <w:sz w:val="32"/>
          <w:highlight w:val="none"/>
        </w:rPr>
      </w:pPr>
    </w:p>
    <w:p>
      <w:pPr>
        <w:spacing w:line="360" w:lineRule="atLeast"/>
        <w:rPr>
          <w:rFonts w:hint="eastAsia" w:ascii="仿宋" w:hAnsi="仿宋" w:eastAsia="仿宋" w:cs="仿宋"/>
          <w:color w:val="auto"/>
          <w:sz w:val="32"/>
          <w:highlight w:val="none"/>
        </w:rPr>
      </w:pPr>
    </w:p>
    <w:p>
      <w:pPr>
        <w:spacing w:line="360" w:lineRule="atLeast"/>
        <w:rPr>
          <w:rFonts w:hint="eastAsia" w:ascii="仿宋" w:hAnsi="仿宋" w:eastAsia="仿宋" w:cs="仿宋"/>
          <w:color w:val="auto"/>
          <w:sz w:val="32"/>
          <w:highlight w:val="none"/>
        </w:rPr>
      </w:pPr>
    </w:p>
    <w:p>
      <w:pPr>
        <w:spacing w:line="360" w:lineRule="atLeast"/>
        <w:rPr>
          <w:rFonts w:hint="eastAsia" w:ascii="仿宋" w:hAnsi="仿宋" w:eastAsia="仿宋" w:cs="仿宋"/>
          <w:color w:val="auto"/>
          <w:sz w:val="32"/>
          <w:highlight w:val="none"/>
        </w:rPr>
      </w:pPr>
    </w:p>
    <w:p>
      <w:pPr>
        <w:spacing w:line="360" w:lineRule="atLeast"/>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pPr>
        <w:spacing w:line="360" w:lineRule="atLeast"/>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pPr>
        <w:pStyle w:val="30"/>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pPr>
        <w:spacing w:line="360" w:lineRule="atLeast"/>
        <w:ind w:firstLine="567"/>
        <w:rPr>
          <w:rFonts w:hint="eastAsia" w:ascii="仿宋" w:hAnsi="仿宋" w:eastAsia="仿宋" w:cs="仿宋"/>
          <w:color w:val="auto"/>
          <w:highlight w:val="none"/>
        </w:rPr>
      </w:pP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 xml:space="preserve"> 号磋商文件，经认真研究，我们决定参加本项目的磋商。</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⒈按照磋商文件中的一切要求，提供磋商货物、安装及技术服务磋商总报价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万元（人民币大写）￥：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万元（用阿拉伯数字书写）人民币，</w:t>
      </w:r>
      <w:r>
        <w:rPr>
          <w:rFonts w:hint="eastAsia" w:ascii="仿宋" w:hAnsi="仿宋" w:eastAsia="仿宋" w:cs="仿宋"/>
          <w:color w:val="auto"/>
          <w:sz w:val="28"/>
          <w:highlight w:val="none"/>
          <w:lang w:val="en-US" w:eastAsia="zh-CN"/>
        </w:rPr>
        <w:t>合同履行期限</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none"/>
          <w:lang w:val="en-US" w:eastAsia="zh-CN"/>
        </w:rPr>
        <w:t>日历日</w:t>
      </w:r>
      <w:r>
        <w:rPr>
          <w:rFonts w:hint="eastAsia" w:ascii="仿宋" w:hAnsi="仿宋" w:eastAsia="仿宋" w:cs="仿宋"/>
          <w:color w:val="auto"/>
          <w:sz w:val="28"/>
          <w:highlight w:val="none"/>
        </w:rPr>
        <w:t>，明细见磋商产品名称数量报价表。</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⒉如果我们的响应文件被接受，我们将履行磋商文件中规定的每一项要求，按期、按质、按量完成交货和完工任务。</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⒊我们同意按磋商文件的规定，本响应文件的有效期为磋商后</w:t>
      </w:r>
      <w:r>
        <w:rPr>
          <w:rFonts w:hint="eastAsia" w:ascii="仿宋" w:hAnsi="仿宋" w:eastAsia="仿宋" w:cs="仿宋"/>
          <w:color w:val="auto"/>
          <w:sz w:val="28"/>
          <w:highlight w:val="none"/>
          <w:u w:val="single"/>
        </w:rPr>
        <w:t xml:space="preserve"> </w:t>
      </w:r>
      <w:r>
        <w:rPr>
          <w:rFonts w:hint="eastAsia" w:ascii="仿宋" w:hAnsi="仿宋" w:eastAsia="仿宋" w:cs="仿宋"/>
          <w:b/>
          <w:color w:val="auto"/>
          <w:sz w:val="28"/>
          <w:highlight w:val="none"/>
          <w:u w:val="single"/>
          <w:lang w:val="en-US" w:eastAsia="zh-CN"/>
        </w:rPr>
        <w:t xml:space="preserve">30  </w:t>
      </w:r>
      <w:r>
        <w:rPr>
          <w:rFonts w:hint="eastAsia" w:ascii="仿宋" w:hAnsi="仿宋" w:eastAsia="仿宋" w:cs="仿宋"/>
          <w:color w:val="auto"/>
          <w:sz w:val="28"/>
          <w:highlight w:val="none"/>
        </w:rPr>
        <w:t xml:space="preserve"> 天。</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⒋我们愿意提供采购人在磋商文件中要求的所有资料。</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⒌我们认为你们有选择或拒绝任何供应商成交的权力。我们理解，最低报价不是成交的唯一条件。</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⒎我方愿意遵守国家有关规定及磋商文件中规定的收费标准，承付成交服务费。</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⒏该项响应在磋商后的全过程中保持有效，不作任何更改和变动。</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⒐我们同意按磋商文件规定，交纳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元的磋商保证金。并同意在确定最终成交供应商、发出成交通知书之后5个工作日内退还我公司的磋商保证金。（如因特殊原因，在磋商有效期之后确定成交供应商，本承诺依然有效。）</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（5）技术服务。</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（6）运输方式。</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（7）要求项目单位提供的配合。</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（8）对磋商文件内容有不同意见的偏离说明。</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（9）其它。</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11.所有有关本磋商文件的函电，请按下列地址联系：</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pPr>
        <w:spacing w:line="48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pPr>
        <w:spacing w:line="480" w:lineRule="exact"/>
        <w:ind w:firstLine="567"/>
        <w:rPr>
          <w:rFonts w:hint="eastAsia" w:ascii="仿宋" w:hAnsi="仿宋" w:eastAsia="仿宋" w:cs="仿宋"/>
          <w:color w:val="auto"/>
          <w:sz w:val="28"/>
          <w:highlight w:val="none"/>
        </w:rPr>
      </w:pPr>
    </w:p>
    <w:p>
      <w:pPr>
        <w:spacing w:line="480" w:lineRule="exact"/>
        <w:ind w:firstLine="432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供应商：（公章）</w:t>
      </w:r>
    </w:p>
    <w:p>
      <w:pPr>
        <w:spacing w:line="480" w:lineRule="exact"/>
        <w:ind w:firstLine="432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pPr>
        <w:spacing w:line="480" w:lineRule="exact"/>
        <w:ind w:firstLine="4320"/>
        <w:rPr>
          <w:rFonts w:hint="eastAsia" w:ascii="仿宋" w:hAnsi="仿宋" w:eastAsia="仿宋" w:cs="仿宋"/>
          <w:color w:val="auto"/>
          <w:sz w:val="28"/>
          <w:highlight w:val="none"/>
        </w:rPr>
      </w:pPr>
    </w:p>
    <w:p>
      <w:pPr>
        <w:spacing w:line="480" w:lineRule="exact"/>
        <w:ind w:firstLine="4320"/>
        <w:rPr>
          <w:rFonts w:hint="eastAsia" w:ascii="仿宋" w:hAnsi="仿宋" w:eastAsia="仿宋" w:cs="仿宋"/>
          <w:color w:val="auto"/>
          <w:sz w:val="28"/>
          <w:highlight w:val="none"/>
        </w:rPr>
      </w:pPr>
      <w:r>
        <w:rPr>
          <w:rFonts w:hint="eastAsia" w:ascii="仿宋" w:hAnsi="仿宋" w:eastAsia="仿宋" w:cs="仿宋"/>
          <w:color w:val="auto"/>
          <w:sz w:val="28"/>
          <w:highlight w:val="none"/>
        </w:rPr>
        <w:t>二○二</w:t>
      </w:r>
      <w:r>
        <w:rPr>
          <w:rFonts w:hint="eastAsia" w:ascii="仿宋" w:hAnsi="仿宋" w:eastAsia="仿宋" w:cs="仿宋"/>
          <w:color w:val="auto"/>
          <w:sz w:val="28"/>
          <w:highlight w:val="none"/>
          <w:lang w:val="en-US" w:eastAsia="zh-CN"/>
        </w:rPr>
        <w:t>二</w:t>
      </w:r>
      <w:r>
        <w:rPr>
          <w:rFonts w:hint="eastAsia" w:ascii="仿宋" w:hAnsi="仿宋" w:eastAsia="仿宋" w:cs="仿宋"/>
          <w:color w:val="auto"/>
          <w:sz w:val="28"/>
          <w:highlight w:val="none"/>
        </w:rPr>
        <w:t>年   月    日</w:t>
      </w:r>
    </w:p>
    <w:p>
      <w:pPr>
        <w:spacing w:line="520" w:lineRule="exact"/>
        <w:jc w:val="right"/>
        <w:rPr>
          <w:rFonts w:hint="eastAsia" w:ascii="仿宋" w:hAnsi="仿宋" w:eastAsia="仿宋" w:cs="仿宋"/>
          <w:b/>
          <w:color w:val="auto"/>
          <w:sz w:val="28"/>
          <w:highlight w:val="none"/>
        </w:rPr>
      </w:pP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pPr>
        <w:jc w:val="center"/>
        <w:rPr>
          <w:rFonts w:hint="eastAsia" w:ascii="仿宋" w:hAnsi="仿宋" w:eastAsia="仿宋" w:cs="仿宋"/>
          <w:b/>
          <w:color w:val="auto"/>
          <w:sz w:val="36"/>
          <w:highlight w:val="none"/>
        </w:rPr>
      </w:pPr>
      <w:r>
        <w:rPr>
          <w:rFonts w:hint="eastAsia" w:ascii="仿宋" w:hAnsi="仿宋" w:eastAsia="仿宋" w:cs="仿宋"/>
          <w:color w:val="auto"/>
          <w:sz w:val="28"/>
          <w:highlight w:val="none"/>
        </w:rPr>
        <w:tab/>
      </w:r>
      <w:r>
        <w:rPr>
          <w:rFonts w:hint="eastAsia" w:ascii="仿宋" w:hAnsi="仿宋" w:eastAsia="仿宋" w:cs="仿宋"/>
          <w:b/>
          <w:color w:val="auto"/>
          <w:sz w:val="36"/>
          <w:highlight w:val="none"/>
        </w:rPr>
        <w:t>法定代表人资格证明书</w:t>
      </w:r>
    </w:p>
    <w:p>
      <w:pPr>
        <w:spacing w:line="500" w:lineRule="exact"/>
        <w:rPr>
          <w:rFonts w:hint="eastAsia" w:ascii="仿宋" w:hAnsi="仿宋" w:eastAsia="仿宋" w:cs="仿宋"/>
          <w:color w:val="auto"/>
          <w:sz w:val="24"/>
          <w:szCs w:val="21"/>
          <w:highlight w:val="none"/>
        </w:rPr>
      </w:pPr>
    </w:p>
    <w:p>
      <w:pPr>
        <w:pStyle w:val="27"/>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p>
    <w:p>
      <w:pPr>
        <w:pStyle w:val="27"/>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p>
    <w:p>
      <w:pPr>
        <w:pStyle w:val="27"/>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p>
    <w:p>
      <w:pPr>
        <w:pStyle w:val="27"/>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 xml:space="preserve">                                  公司</w:t>
      </w:r>
      <w:r>
        <w:rPr>
          <w:rFonts w:hint="eastAsia" w:ascii="仿宋" w:hAnsi="仿宋" w:eastAsia="仿宋" w:cs="仿宋"/>
          <w:color w:val="auto"/>
          <w:highlight w:val="none"/>
        </w:rPr>
        <w:t>的法定代表人。为参加本项目，签署上述的协商文件、进行合同谈判、签署合同和处理与之有关的一切事务。</w:t>
      </w:r>
    </w:p>
    <w:p>
      <w:pPr>
        <w:pStyle w:val="27"/>
        <w:spacing w:line="580" w:lineRule="exact"/>
        <w:ind w:firstLine="560"/>
        <w:rPr>
          <w:rFonts w:hint="eastAsia" w:ascii="仿宋" w:hAnsi="仿宋" w:eastAsia="仿宋" w:cs="仿宋"/>
          <w:color w:val="auto"/>
          <w:highlight w:val="none"/>
        </w:rPr>
      </w:pPr>
    </w:p>
    <w:p>
      <w:pPr>
        <w:pStyle w:val="27"/>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pPr>
        <w:pStyle w:val="27"/>
        <w:ind w:firstLine="560"/>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360680</wp:posOffset>
                </wp:positionH>
                <wp:positionV relativeFrom="paragraph">
                  <wp:posOffset>-219075</wp:posOffset>
                </wp:positionV>
                <wp:extent cx="4800600" cy="1981200"/>
                <wp:effectExtent l="4445" t="5080" r="14605" b="13970"/>
                <wp:wrapNone/>
                <wp:docPr id="1" name="矩形 1"/>
                <wp:cNvGraphicFramePr/>
                <a:graphic xmlns:a="http://schemas.openxmlformats.org/drawingml/2006/main">
                  <a:graphicData uri="http://schemas.microsoft.com/office/word/2010/wordprocessingShape">
                    <wps:wsp>
                      <wps:cNvSpPr/>
                      <wps:spPr>
                        <a:xfrm>
                          <a:off x="0" y="0"/>
                          <a:ext cx="48006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仿宋_GB2312"/>
                                <w:sz w:val="28"/>
                                <w:szCs w:val="28"/>
                              </w:rPr>
                            </w:pPr>
                          </w:p>
                          <w:p>
                            <w:pPr>
                              <w:rPr>
                                <w:rFonts w:hint="eastAsia" w:eastAsia="仿宋_GB2312"/>
                                <w:sz w:val="28"/>
                                <w:szCs w:val="28"/>
                              </w:rPr>
                            </w:pPr>
                          </w:p>
                          <w:p>
                            <w:pPr>
                              <w:jc w:val="center"/>
                              <w:rPr>
                                <w:rFonts w:hint="eastAsia" w:eastAsia="仿宋_GB2312"/>
                                <w:sz w:val="28"/>
                                <w:szCs w:val="28"/>
                              </w:rPr>
                            </w:pPr>
                            <w:r>
                              <w:rPr>
                                <w:rFonts w:hint="eastAsia" w:eastAsia="仿宋_GB2312"/>
                                <w:sz w:val="28"/>
                                <w:szCs w:val="28"/>
                              </w:rPr>
                              <w:t>法定代表人身份证复印件（正反面）</w:t>
                            </w:r>
                          </w:p>
                        </w:txbxContent>
                      </wps:txbx>
                      <wps:bodyPr upright="1"/>
                    </wps:wsp>
                  </a:graphicData>
                </a:graphic>
              </wp:anchor>
            </w:drawing>
          </mc:Choice>
          <mc:Fallback>
            <w:pict>
              <v:rect id="_x0000_s1026" o:spid="_x0000_s1026" o:spt="1" style="position:absolute;left:0pt;margin-left:28.4pt;margin-top:-17.25pt;height:156pt;width:378pt;z-index:251661312;mso-width-relative:page;mso-height-relative:page;" fillcolor="#FFFFFF" filled="t" stroked="t" coordsize="21600,21600" o:gfxdata="UEsDBAoAAAAAAIdO4kAAAAAAAAAAAAAAAAAEAAAAZHJzL1BLAwQUAAAACACHTuJABYUbbtkAAAAK&#10;AQAADwAAAGRycy9kb3ducmV2LnhtbE2PQU+DQBCF7yb+h82YeGsXqLQVWXrQ1MRjSy/eBnYElJ0l&#10;7NKiv971VI/z5uW97+W72fTiTKPrLCuIlxEI4trqjhsFp3K/2IJwHlljb5kUfJODXXF7k2Om7YUP&#10;dD76RoQQdhkqaL0fMild3ZJBt7QDcfh92NGgD+fYSD3iJYSbXiZRtJYGOw4NLQ703FL9dZyMgqpL&#10;TvhzKF8j87hf+be5/JzeX5S6v4ujJxCeZn81wx9+QIciMFV2Yu1EryBdB3KvYLF6SEEEwzZOglIp&#10;SDabFGSRy/8Til9QSwMEFAAAAAgAh07iQFhtHRX+AQAAKgQAAA4AAABkcnMvZTJvRG9jLnhtbK1T&#10;y47TMBTdI/EPlvc0ScWgTtR0FlPKBsFIAx/g2k5iyS/5uk36NUjs+Ag+B/EbXDuh84BFF5OFc21f&#10;H99zzvX6ZjSaHGUA5WxDq0VJibTcCWW7hn79snuzogQis4JpZ2VDTxLozeb1q/Xga7l0vdNCBoIg&#10;FurBN7SP0ddFAbyXhsHCeWlxs3XBsIjT0BUisAHRjS6WZfmuGFwQPjguAXB1O23SGTFcAujaVnG5&#10;dfxgpI0TapCaRaQEvfJAN7natpU8fm5bkJHohiLTmEe8BON9GovNmtVdYL5XfC6BXVLCM06GKYuX&#10;nqG2LDJyCOofKKN4cODauODOFBORrAiyqMpn2tz3zMvMBaUGfxYdXg6WfzreBaIEdgIllhk0/Pe3&#10;H79+fidV0mbwUGPKvb8L8wwwTETHNpj0RwpkzHqeznrKMRKOi29X6HeJUnPcq65XFfqfUIuH4z5A&#10;/CCdISloaEDDso7s+BHilPo3Jd0GTiuxU1rnSej2tzqQI0Nzd/mb0Z+kaUuGhl5fLa+wEIYd22Kn&#10;YGg8sgbb5fuenIDHwGX+/gecCtsy6KcCMkJKY7VRUYYc9ZKJ91aQePKorMUHRVMxRgpKtMT3l6Kc&#10;GZnSl2SidtqihMmZyYsUxXE/IkwK906c0NKDD6rrUdLsY07HFsraz+2eevTxPIM+PPH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WFG27ZAAAACgEAAA8AAAAAAAAAAQAgAAAAIgAAAGRycy9kb3du&#10;cmV2LnhtbFBLAQIUABQAAAAIAIdO4kBYbR0V/gEAACoEAAAOAAAAAAAAAAEAIAAAACgBAABkcnMv&#10;ZTJvRG9jLnhtbFBLBQYAAAAABgAGAFkBAACYBQAAAAA=&#10;">
                <v:fill on="t" focussize="0,0"/>
                <v:stroke color="#000000" joinstyle="miter"/>
                <v:imagedata o:title=""/>
                <o:lock v:ext="edit" aspectratio="f"/>
                <v:textbox>
                  <w:txbxContent>
                    <w:p>
                      <w:pPr>
                        <w:rPr>
                          <w:rFonts w:hint="eastAsia" w:eastAsia="仿宋_GB2312"/>
                          <w:sz w:val="28"/>
                          <w:szCs w:val="28"/>
                        </w:rPr>
                      </w:pPr>
                    </w:p>
                    <w:p>
                      <w:pPr>
                        <w:rPr>
                          <w:rFonts w:hint="eastAsia" w:eastAsia="仿宋_GB2312"/>
                          <w:sz w:val="28"/>
                          <w:szCs w:val="28"/>
                        </w:rPr>
                      </w:pPr>
                    </w:p>
                    <w:p>
                      <w:pPr>
                        <w:jc w:val="center"/>
                        <w:rPr>
                          <w:rFonts w:hint="eastAsia" w:eastAsia="仿宋_GB2312"/>
                          <w:sz w:val="28"/>
                          <w:szCs w:val="28"/>
                        </w:rPr>
                      </w:pPr>
                      <w:r>
                        <w:rPr>
                          <w:rFonts w:hint="eastAsia" w:eastAsia="仿宋_GB2312"/>
                          <w:sz w:val="28"/>
                          <w:szCs w:val="28"/>
                        </w:rPr>
                        <w:t>法定代表人身份证复印件（正反面）</w:t>
                      </w:r>
                    </w:p>
                  </w:txbxContent>
                </v:textbox>
              </v:rect>
            </w:pict>
          </mc:Fallback>
        </mc:AlternateContent>
      </w:r>
    </w:p>
    <w:p>
      <w:pPr>
        <w:pStyle w:val="27"/>
        <w:ind w:firstLine="560"/>
        <w:rPr>
          <w:rFonts w:hint="eastAsia" w:ascii="仿宋" w:hAnsi="仿宋" w:eastAsia="仿宋" w:cs="仿宋"/>
          <w:color w:val="auto"/>
          <w:highlight w:val="none"/>
        </w:rPr>
      </w:pPr>
    </w:p>
    <w:p>
      <w:pPr>
        <w:pStyle w:val="27"/>
        <w:ind w:firstLine="560"/>
        <w:rPr>
          <w:rFonts w:hint="eastAsia" w:ascii="仿宋" w:hAnsi="仿宋" w:eastAsia="仿宋" w:cs="仿宋"/>
          <w:color w:val="auto"/>
          <w:highlight w:val="none"/>
        </w:rPr>
      </w:pPr>
    </w:p>
    <w:p>
      <w:pPr>
        <w:pStyle w:val="27"/>
        <w:ind w:firstLine="560"/>
        <w:rPr>
          <w:rFonts w:hint="eastAsia" w:ascii="仿宋" w:hAnsi="仿宋" w:eastAsia="仿宋" w:cs="仿宋"/>
          <w:color w:val="auto"/>
          <w:highlight w:val="none"/>
        </w:rPr>
      </w:pPr>
    </w:p>
    <w:p>
      <w:pPr>
        <w:pStyle w:val="27"/>
        <w:ind w:firstLine="560"/>
        <w:rPr>
          <w:rFonts w:hint="eastAsia" w:ascii="仿宋" w:hAnsi="仿宋" w:eastAsia="仿宋" w:cs="仿宋"/>
          <w:color w:val="auto"/>
          <w:highlight w:val="none"/>
        </w:rPr>
      </w:pPr>
    </w:p>
    <w:p>
      <w:pPr>
        <w:pStyle w:val="27"/>
        <w:ind w:firstLine="560"/>
        <w:rPr>
          <w:rFonts w:hint="eastAsia" w:ascii="仿宋" w:hAnsi="仿宋" w:eastAsia="仿宋" w:cs="仿宋"/>
          <w:color w:val="auto"/>
          <w:highlight w:val="none"/>
        </w:rPr>
      </w:pPr>
    </w:p>
    <w:p>
      <w:pPr>
        <w:pStyle w:val="27"/>
        <w:ind w:firstLine="560"/>
        <w:rPr>
          <w:rFonts w:hint="eastAsia" w:ascii="仿宋" w:hAnsi="仿宋" w:eastAsia="仿宋" w:cs="仿宋"/>
          <w:color w:val="auto"/>
          <w:highlight w:val="none"/>
        </w:rPr>
      </w:pPr>
    </w:p>
    <w:p>
      <w:pPr>
        <w:pStyle w:val="27"/>
        <w:ind w:firstLine="560"/>
        <w:rPr>
          <w:rFonts w:hint="eastAsia" w:ascii="仿宋" w:hAnsi="仿宋" w:eastAsia="仿宋" w:cs="仿宋"/>
          <w:color w:val="auto"/>
          <w:highlight w:val="none"/>
        </w:rPr>
      </w:pPr>
    </w:p>
    <w:p>
      <w:pPr>
        <w:pStyle w:val="27"/>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（公章）</w:t>
      </w:r>
    </w:p>
    <w:p>
      <w:pPr>
        <w:pStyle w:val="27"/>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r>
        <w:rPr>
          <w:rFonts w:hint="eastAsia" w:ascii="仿宋" w:hAnsi="仿宋" w:eastAsia="仿宋" w:cs="仿宋"/>
          <w:color w:val="auto"/>
          <w:highlight w:val="none"/>
          <w:u w:val="single"/>
        </w:rPr>
        <w:t xml:space="preserve">              </w:t>
      </w:r>
    </w:p>
    <w:p>
      <w:pPr>
        <w:pStyle w:val="27"/>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spacing w:line="520" w:lineRule="exact"/>
        <w:jc w:val="right"/>
        <w:rPr>
          <w:rFonts w:hint="eastAsia" w:ascii="仿宋" w:hAnsi="仿宋" w:eastAsia="仿宋" w:cs="仿宋"/>
          <w:color w:val="auto"/>
          <w:sz w:val="28"/>
          <w:highlight w:val="none"/>
        </w:rPr>
      </w:pPr>
    </w:p>
    <w:p>
      <w:pPr>
        <w:tabs>
          <w:tab w:val="left" w:pos="5460"/>
        </w:tabs>
        <w:spacing w:line="520" w:lineRule="exact"/>
        <w:rPr>
          <w:rFonts w:hint="eastAsia" w:ascii="仿宋" w:hAnsi="仿宋" w:eastAsia="仿宋" w:cs="仿宋"/>
          <w:color w:val="auto"/>
          <w:sz w:val="28"/>
          <w:highlight w:val="none"/>
        </w:rPr>
      </w:pPr>
    </w:p>
    <w:p>
      <w:pPr>
        <w:spacing w:line="520" w:lineRule="exact"/>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pPr>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法人授权委托书</w:t>
      </w:r>
    </w:p>
    <w:p>
      <w:pPr>
        <w:spacing w:line="520" w:lineRule="exact"/>
        <w:ind w:firstLine="567"/>
        <w:rPr>
          <w:rFonts w:hint="eastAsia" w:ascii="仿宋" w:hAnsi="仿宋" w:eastAsia="仿宋" w:cs="仿宋"/>
          <w:color w:val="auto"/>
          <w:sz w:val="28"/>
          <w:highlight w:val="none"/>
        </w:rPr>
      </w:pPr>
    </w:p>
    <w:p>
      <w:pPr>
        <w:spacing w:line="520" w:lineRule="exact"/>
        <w:rPr>
          <w:rFonts w:hint="eastAsia" w:ascii="仿宋" w:hAnsi="仿宋" w:eastAsia="仿宋" w:cs="仿宋"/>
          <w:color w:val="auto"/>
          <w:sz w:val="36"/>
          <w:highlight w:val="none"/>
        </w:rPr>
      </w:pPr>
      <w:r>
        <w:rPr>
          <w:rFonts w:hint="eastAsia" w:ascii="仿宋" w:hAnsi="仿宋" w:eastAsia="仿宋" w:cs="仿宋"/>
          <w:color w:val="auto"/>
          <w:sz w:val="36"/>
          <w:highlight w:val="none"/>
        </w:rPr>
        <w:t>新疆新之建工程咨询有限公司：</w:t>
      </w:r>
    </w:p>
    <w:p>
      <w:pPr>
        <w:spacing w:line="520" w:lineRule="exact"/>
        <w:ind w:firstLine="567"/>
        <w:rPr>
          <w:rFonts w:hint="eastAsia" w:ascii="仿宋" w:hAnsi="仿宋" w:eastAsia="仿宋" w:cs="仿宋"/>
          <w:color w:val="auto"/>
          <w:sz w:val="28"/>
          <w:highlight w:val="none"/>
        </w:rPr>
      </w:pPr>
    </w:p>
    <w:p>
      <w:pPr>
        <w:spacing w:line="52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现委托</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 xml:space="preserve"> 参加贵公司组织的</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 xml:space="preserve"> 磋商活动，全权代表我单位处理磋商的有关事宜，代理人所签署的一切有关文件，我单位均予承认。</w:t>
      </w:r>
    </w:p>
    <w:p>
      <w:pPr>
        <w:spacing w:line="520" w:lineRule="exact"/>
        <w:ind w:firstLine="567"/>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198120</wp:posOffset>
                </wp:positionV>
                <wp:extent cx="4800600" cy="198120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48006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仿宋_GB2312"/>
                                <w:sz w:val="28"/>
                                <w:szCs w:val="28"/>
                              </w:rPr>
                            </w:pPr>
                          </w:p>
                          <w:p>
                            <w:pPr>
                              <w:rPr>
                                <w:rFonts w:hint="eastAsia" w:eastAsia="仿宋_GB2312"/>
                                <w:sz w:val="28"/>
                                <w:szCs w:val="28"/>
                              </w:rPr>
                            </w:pPr>
                          </w:p>
                          <w:p>
                            <w:pPr>
                              <w:ind w:firstLine="1820" w:firstLineChars="650"/>
                              <w:rPr>
                                <w:rFonts w:hint="eastAsia" w:eastAsia="仿宋_GB2312"/>
                                <w:sz w:val="28"/>
                                <w:szCs w:val="28"/>
                              </w:rPr>
                            </w:pPr>
                            <w:r>
                              <w:rPr>
                                <w:rFonts w:hint="eastAsia" w:eastAsia="仿宋_GB2312"/>
                                <w:sz w:val="28"/>
                                <w:szCs w:val="28"/>
                              </w:rPr>
                              <w:t>被授权人身份证复印件（正反面）</w:t>
                            </w:r>
                          </w:p>
                        </w:txbxContent>
                      </wps:txbx>
                      <wps:bodyPr upright="1"/>
                    </wps:wsp>
                  </a:graphicData>
                </a:graphic>
              </wp:anchor>
            </w:drawing>
          </mc:Choice>
          <mc:Fallback>
            <w:pict>
              <v:rect id="_x0000_s1026" o:spid="_x0000_s1026" o:spt="1" style="position:absolute;left:0pt;margin-left:27pt;margin-top:15.6pt;height:156pt;width:378pt;z-index:251660288;mso-width-relative:page;mso-height-relative:page;" fillcolor="#FFFFFF" filled="t" stroked="t" coordsize="21600,21600" o:gfxdata="UEsDBAoAAAAAAIdO4kAAAAAAAAAAAAAAAAAEAAAAZHJzL1BLAwQUAAAACACHTuJAFj+Hr9cAAAAJ&#10;AQAADwAAAGRycy9kb3ducmV2LnhtbE2PwU7DMBBE70j8g7VI3KidpKAS4vQAKhLHNr1w28RLEojt&#10;KHbawNeznOhxZ0azb4rtYgdxoin03mlIVgoEucab3rUajtXubgMiRHQGB+9IwzcF2JbXVwXmxp/d&#10;nk6H2AoucSFHDV2MYy5laDqyGFZ+JMfeh58sRj6nVpoJz1xuB5kq9SAt9o4/dDjSc0fN12G2Guo+&#10;PeLPvnpV9nGXxbel+pzfX7S+vUnUE4hIS/wPwx8+o0PJTLWfnQli0HC/5ilRQ5akINjfJIqFmoV1&#10;loIsC3m5oPwFUEsDBBQAAAAIAIdO4kBSaW7D/wEAACoEAAAOAAAAZHJzL2Uyb0RvYy54bWytU82O&#10;0zAQviPxDpbvNEnFom7UdA9bygXBSgsP4NpOYsl/8rhN+jRI3HgIHgfxGoyd0P2BQw+bgzNjj7+Z&#10;75vx+mY0mhxlAOVsQ6tFSYm03Allu4Z+/bJ7s6IEIrOCaWdlQ08S6M3m9av14Gu5dL3TQgaCIBbq&#10;wTe0j9HXRQG8l4bBwnlp8bB1wbCIbugKEdiA6EYXy7J8VwwuCB8clwC4u50O6YwYLgF0bau43Dp+&#10;MNLGCTVIzSJSgl55oJtcbdtKHj+3LchIdEORacwrJkF7n9Zis2Z1F5jvFZ9LYJeU8IyTYcpi0jPU&#10;lkVGDkH9A2UUDw5cGxfcmWIikhVBFlX5TJv7nnmZuaDU4M+iw8vB8k/Hu0CUaOiSEssMNvz3tx+/&#10;fn4ny6TN4KHGkHt/F2YP0ExExzaY9EcKZMx6ns56yjESjptvV9jvEqXmeFZdryrsf0ItHq77APGD&#10;dIYko6EBG5Z1ZMePEKfQvyEpGzitxE5pnZ3Q7W91IEeGzd3lb0Z/EqYtGRp6fbW8wkIYTmyLk4Km&#10;8cgabJfzPbkBj4HL/P0POBW2ZdBPBWSEFMZqo6IM2eolE++tIPHkUVmLD4qmYowUlGiJ7y9ZOTIy&#10;pS+JRO20RQlTZ6ZeJCuO+xFhkrl34oQtPfiguh4lrXLp6QRHKGs/j3ua0cd+Bn144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j+Hr9cAAAAJAQAADwAAAAAAAAABACAAAAAiAAAAZHJzL2Rvd25y&#10;ZXYueG1sUEsBAhQAFAAAAAgAh07iQFJpbsP/AQAAKgQAAA4AAAAAAAAAAQAgAAAAJgEAAGRycy9l&#10;Mm9Eb2MueG1sUEsFBgAAAAAGAAYAWQEAAJcFAAAAAA==&#10;">
                <v:fill on="t" focussize="0,0"/>
                <v:stroke color="#000000" joinstyle="miter"/>
                <v:imagedata o:title=""/>
                <o:lock v:ext="edit" aspectratio="f"/>
                <v:textbox>
                  <w:txbxContent>
                    <w:p>
                      <w:pPr>
                        <w:rPr>
                          <w:rFonts w:hint="eastAsia" w:eastAsia="仿宋_GB2312"/>
                          <w:sz w:val="28"/>
                          <w:szCs w:val="28"/>
                        </w:rPr>
                      </w:pPr>
                    </w:p>
                    <w:p>
                      <w:pPr>
                        <w:rPr>
                          <w:rFonts w:hint="eastAsia" w:eastAsia="仿宋_GB2312"/>
                          <w:sz w:val="28"/>
                          <w:szCs w:val="28"/>
                        </w:rPr>
                      </w:pPr>
                    </w:p>
                    <w:p>
                      <w:pPr>
                        <w:ind w:firstLine="1820" w:firstLineChars="650"/>
                        <w:rPr>
                          <w:rFonts w:hint="eastAsia" w:eastAsia="仿宋_GB2312"/>
                          <w:sz w:val="28"/>
                          <w:szCs w:val="28"/>
                        </w:rPr>
                      </w:pPr>
                      <w:r>
                        <w:rPr>
                          <w:rFonts w:hint="eastAsia" w:eastAsia="仿宋_GB2312"/>
                          <w:sz w:val="28"/>
                          <w:szCs w:val="28"/>
                        </w:rPr>
                        <w:t>被授权人身份证复印件（正反面）</w:t>
                      </w:r>
                    </w:p>
                  </w:txbxContent>
                </v:textbox>
              </v:rect>
            </w:pict>
          </mc:Fallback>
        </mc:AlternateContent>
      </w:r>
    </w:p>
    <w:p>
      <w:pPr>
        <w:spacing w:line="520" w:lineRule="exact"/>
        <w:ind w:firstLine="567"/>
        <w:rPr>
          <w:rFonts w:hint="eastAsia" w:ascii="仿宋" w:hAnsi="仿宋" w:eastAsia="仿宋" w:cs="仿宋"/>
          <w:color w:val="auto"/>
          <w:highlight w:val="none"/>
        </w:rPr>
      </w:pPr>
    </w:p>
    <w:p>
      <w:pPr>
        <w:spacing w:line="520" w:lineRule="exact"/>
        <w:rPr>
          <w:rFonts w:hint="eastAsia" w:ascii="仿宋" w:hAnsi="仿宋" w:eastAsia="仿宋" w:cs="仿宋"/>
          <w:color w:val="auto"/>
          <w:sz w:val="36"/>
          <w:highlight w:val="none"/>
        </w:rPr>
      </w:pPr>
    </w:p>
    <w:p>
      <w:pPr>
        <w:spacing w:line="520" w:lineRule="exact"/>
        <w:rPr>
          <w:rFonts w:hint="eastAsia" w:ascii="仿宋" w:hAnsi="仿宋" w:eastAsia="仿宋" w:cs="仿宋"/>
          <w:color w:val="auto"/>
          <w:sz w:val="36"/>
          <w:highlight w:val="none"/>
        </w:rPr>
      </w:pPr>
    </w:p>
    <w:p>
      <w:pPr>
        <w:spacing w:line="520" w:lineRule="exact"/>
        <w:rPr>
          <w:rFonts w:hint="eastAsia" w:ascii="仿宋" w:hAnsi="仿宋" w:eastAsia="仿宋" w:cs="仿宋"/>
          <w:color w:val="auto"/>
          <w:sz w:val="36"/>
          <w:highlight w:val="none"/>
        </w:rPr>
      </w:pPr>
    </w:p>
    <w:p>
      <w:pPr>
        <w:spacing w:line="520" w:lineRule="exact"/>
        <w:rPr>
          <w:rFonts w:hint="eastAsia" w:ascii="仿宋" w:hAnsi="仿宋" w:eastAsia="仿宋" w:cs="仿宋"/>
          <w:color w:val="auto"/>
          <w:sz w:val="36"/>
          <w:highlight w:val="none"/>
        </w:rPr>
      </w:pPr>
    </w:p>
    <w:p>
      <w:pPr>
        <w:spacing w:line="520" w:lineRule="exact"/>
        <w:rPr>
          <w:rFonts w:hint="eastAsia" w:ascii="仿宋" w:hAnsi="仿宋" w:eastAsia="仿宋" w:cs="仿宋"/>
          <w:color w:val="auto"/>
          <w:sz w:val="36"/>
          <w:highlight w:val="none"/>
        </w:rPr>
      </w:pPr>
    </w:p>
    <w:p>
      <w:pPr>
        <w:spacing w:line="520" w:lineRule="exact"/>
        <w:rPr>
          <w:rFonts w:hint="eastAsia" w:ascii="仿宋" w:hAnsi="仿宋" w:eastAsia="仿宋" w:cs="仿宋"/>
          <w:color w:val="auto"/>
          <w:highlight w:val="none"/>
        </w:rPr>
      </w:pPr>
      <w:r>
        <w:rPr>
          <w:rFonts w:hint="eastAsia" w:ascii="仿宋" w:hAnsi="仿宋" w:eastAsia="仿宋" w:cs="仿宋"/>
          <w:color w:val="auto"/>
          <w:sz w:val="36"/>
          <w:highlight w:val="none"/>
        </w:rPr>
        <w:t>代理人情况：</w:t>
      </w:r>
    </w:p>
    <w:p>
      <w:pPr>
        <w:spacing w:line="520" w:lineRule="exact"/>
        <w:ind w:left="178" w:firstLine="2"/>
        <w:rPr>
          <w:rFonts w:hint="eastAsia" w:ascii="仿宋" w:hAnsi="仿宋" w:eastAsia="仿宋" w:cs="仿宋"/>
          <w:color w:val="auto"/>
          <w:sz w:val="28"/>
          <w:highlight w:val="none"/>
        </w:rPr>
      </w:pPr>
      <w:r>
        <w:rPr>
          <w:rFonts w:hint="eastAsia" w:ascii="仿宋" w:hAnsi="仿宋" w:eastAsia="仿宋" w:cs="仿宋"/>
          <w:color w:val="auto"/>
          <w:sz w:val="28"/>
          <w:highlight w:val="none"/>
        </w:rPr>
        <w:t>姓    名：                  性    别：</w:t>
      </w:r>
    </w:p>
    <w:p>
      <w:pPr>
        <w:spacing w:line="520" w:lineRule="exact"/>
        <w:ind w:left="178" w:firstLine="2"/>
        <w:rPr>
          <w:rFonts w:hint="eastAsia" w:ascii="仿宋" w:hAnsi="仿宋" w:eastAsia="仿宋" w:cs="仿宋"/>
          <w:color w:val="auto"/>
          <w:sz w:val="28"/>
          <w:highlight w:val="none"/>
        </w:rPr>
      </w:pPr>
      <w:r>
        <w:rPr>
          <w:rFonts w:hint="eastAsia" w:ascii="仿宋" w:hAnsi="仿宋" w:eastAsia="仿宋" w:cs="仿宋"/>
          <w:color w:val="auto"/>
          <w:sz w:val="28"/>
          <w:highlight w:val="none"/>
        </w:rPr>
        <w:t>年    龄：                  职    务：</w:t>
      </w:r>
    </w:p>
    <w:p>
      <w:pPr>
        <w:spacing w:line="520" w:lineRule="exact"/>
        <w:ind w:left="178" w:firstLine="2"/>
        <w:rPr>
          <w:rFonts w:hint="eastAsia" w:ascii="仿宋" w:hAnsi="仿宋" w:eastAsia="仿宋" w:cs="仿宋"/>
          <w:color w:val="auto"/>
          <w:sz w:val="28"/>
          <w:highlight w:val="none"/>
        </w:rPr>
      </w:pPr>
      <w:r>
        <w:rPr>
          <w:rFonts w:hint="eastAsia" w:ascii="仿宋" w:hAnsi="仿宋" w:eastAsia="仿宋" w:cs="仿宋"/>
          <w:color w:val="auto"/>
          <w:sz w:val="28"/>
          <w:highlight w:val="none"/>
        </w:rPr>
        <w:t>身份证号码：</w:t>
      </w:r>
    </w:p>
    <w:p>
      <w:pPr>
        <w:spacing w:line="520" w:lineRule="exact"/>
        <w:ind w:left="178" w:firstLine="2"/>
        <w:rPr>
          <w:rFonts w:hint="eastAsia" w:ascii="仿宋" w:hAnsi="仿宋" w:eastAsia="仿宋" w:cs="仿宋"/>
          <w:color w:val="auto"/>
          <w:sz w:val="28"/>
          <w:highlight w:val="none"/>
        </w:rPr>
      </w:pPr>
      <w:r>
        <w:rPr>
          <w:rFonts w:hint="eastAsia" w:ascii="仿宋" w:hAnsi="仿宋" w:eastAsia="仿宋" w:cs="仿宋"/>
          <w:color w:val="auto"/>
          <w:sz w:val="28"/>
          <w:highlight w:val="none"/>
        </w:rPr>
        <w:t>详细通讯地址：</w:t>
      </w:r>
    </w:p>
    <w:p>
      <w:pPr>
        <w:spacing w:line="520" w:lineRule="exact"/>
        <w:ind w:left="391" w:hanging="213"/>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pPr>
        <w:spacing w:line="520" w:lineRule="exact"/>
        <w:ind w:left="391" w:hanging="213"/>
        <w:rPr>
          <w:rFonts w:hint="eastAsia" w:ascii="仿宋" w:hAnsi="仿宋" w:eastAsia="仿宋" w:cs="仿宋"/>
          <w:color w:val="auto"/>
          <w:sz w:val="28"/>
          <w:highlight w:val="none"/>
        </w:rPr>
      </w:pPr>
      <w:r>
        <w:rPr>
          <w:rFonts w:hint="eastAsia" w:ascii="仿宋" w:hAnsi="仿宋" w:eastAsia="仿宋" w:cs="仿宋"/>
          <w:color w:val="auto"/>
          <w:sz w:val="28"/>
          <w:highlight w:val="none"/>
        </w:rPr>
        <w:t>邮政编码：</w:t>
      </w:r>
    </w:p>
    <w:p>
      <w:pPr>
        <w:spacing w:line="520" w:lineRule="exact"/>
        <w:ind w:left="391" w:hanging="213"/>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pPr>
        <w:spacing w:line="520" w:lineRule="exact"/>
        <w:ind w:left="178" w:firstLine="2"/>
        <w:rPr>
          <w:rFonts w:hint="eastAsia" w:ascii="仿宋" w:hAnsi="仿宋" w:eastAsia="仿宋" w:cs="仿宋"/>
          <w:color w:val="auto"/>
          <w:sz w:val="28"/>
          <w:highlight w:val="none"/>
        </w:rPr>
      </w:pPr>
      <w:r>
        <w:rPr>
          <w:rFonts w:hint="eastAsia" w:ascii="仿宋" w:hAnsi="仿宋" w:eastAsia="仿宋" w:cs="仿宋"/>
          <w:color w:val="auto"/>
          <w:sz w:val="28"/>
          <w:highlight w:val="none"/>
        </w:rPr>
        <w:t>单位名称（公章）                     法定代表人（签名）</w:t>
      </w:r>
    </w:p>
    <w:p>
      <w:pPr>
        <w:spacing w:line="520" w:lineRule="exact"/>
        <w:ind w:firstLine="567"/>
        <w:rPr>
          <w:rFonts w:hint="eastAsia" w:ascii="仿宋" w:hAnsi="仿宋" w:eastAsia="仿宋" w:cs="仿宋"/>
          <w:color w:val="auto"/>
          <w:sz w:val="28"/>
          <w:highlight w:val="none"/>
        </w:rPr>
      </w:pPr>
    </w:p>
    <w:p>
      <w:pPr>
        <w:spacing w:line="520" w:lineRule="exact"/>
        <w:ind w:firstLine="5400"/>
        <w:rPr>
          <w:rFonts w:hint="eastAsia" w:ascii="仿宋" w:hAnsi="仿宋" w:eastAsia="仿宋" w:cs="仿宋"/>
          <w:color w:val="auto"/>
          <w:sz w:val="28"/>
          <w:highlight w:val="none"/>
        </w:rPr>
      </w:pPr>
      <w:r>
        <w:rPr>
          <w:rFonts w:hint="eastAsia" w:ascii="仿宋" w:hAnsi="仿宋" w:eastAsia="仿宋" w:cs="仿宋"/>
          <w:color w:val="auto"/>
          <w:sz w:val="28"/>
          <w:highlight w:val="none"/>
        </w:rPr>
        <w:t>年    月    日</w:t>
      </w:r>
    </w:p>
    <w:p>
      <w:pPr>
        <w:rPr>
          <w:rFonts w:hint="eastAsia" w:ascii="仿宋" w:hAnsi="仿宋" w:eastAsia="仿宋" w:cs="仿宋"/>
          <w:color w:val="auto"/>
          <w:sz w:val="28"/>
          <w:highlight w:val="none"/>
        </w:rPr>
      </w:pPr>
    </w:p>
    <w:p>
      <w:pPr>
        <w:rPr>
          <w:rFonts w:hint="eastAsia" w:ascii="仿宋" w:hAnsi="仿宋" w:eastAsia="仿宋" w:cs="仿宋"/>
          <w:b/>
          <w:color w:val="auto"/>
          <w:sz w:val="31"/>
          <w:highlight w:val="none"/>
        </w:rPr>
        <w:sectPr>
          <w:headerReference r:id="rId7" w:type="first"/>
          <w:footerReference r:id="rId9" w:type="first"/>
          <w:headerReference r:id="rId6" w:type="default"/>
          <w:footerReference r:id="rId8" w:type="default"/>
          <w:pgSz w:w="11906" w:h="16838"/>
          <w:pgMar w:top="1304" w:right="1304" w:bottom="1304" w:left="1304" w:header="851" w:footer="851" w:gutter="0"/>
          <w:pgBorders>
            <w:top w:val="none" w:sz="0" w:space="0"/>
            <w:left w:val="none" w:sz="0" w:space="0"/>
            <w:bottom w:val="none" w:sz="0" w:space="0"/>
            <w:right w:val="none" w:sz="0" w:space="0"/>
          </w:pgBorders>
          <w:cols w:space="720" w:num="1"/>
          <w:titlePg/>
          <w:docGrid w:type="linesAndChars" w:linePitch="312" w:charSpace="0"/>
        </w:sectPr>
      </w:pPr>
    </w:p>
    <w:p>
      <w:pPr>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附件四</w:t>
      </w:r>
    </w:p>
    <w:p>
      <w:pPr>
        <w:tabs>
          <w:tab w:val="center" w:pos="7115"/>
          <w:tab w:val="right" w:pos="14230"/>
        </w:tabs>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磋 商 一 览 表</w:t>
      </w:r>
    </w:p>
    <w:p>
      <w:pPr>
        <w:tabs>
          <w:tab w:val="center" w:pos="7115"/>
          <w:tab w:val="right" w:pos="14230"/>
        </w:tabs>
        <w:spacing w:line="520" w:lineRule="exact"/>
        <w:jc w:val="center"/>
        <w:rPr>
          <w:rFonts w:hint="eastAsia" w:ascii="仿宋" w:hAnsi="仿宋" w:eastAsia="仿宋" w:cs="仿宋"/>
          <w:b/>
          <w:color w:val="auto"/>
          <w:sz w:val="28"/>
          <w:highlight w:val="none"/>
        </w:rPr>
      </w:pPr>
      <w:r>
        <w:rPr>
          <w:rFonts w:hint="eastAsia" w:ascii="仿宋" w:hAnsi="仿宋" w:eastAsia="仿宋" w:cs="仿宋"/>
          <w:color w:val="auto"/>
          <w:sz w:val="28"/>
          <w:highlight w:val="none"/>
        </w:rPr>
        <w:t>供应商名称：                                                                                单位：元</w:t>
      </w:r>
    </w:p>
    <w:p>
      <w:pPr>
        <w:spacing w:line="520" w:lineRule="exact"/>
        <w:ind w:left="140" w:hanging="140" w:hangingChars="50"/>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                                                                     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95"/>
        <w:gridCol w:w="4721"/>
        <w:gridCol w:w="1513"/>
        <w:gridCol w:w="1991"/>
        <w:gridCol w:w="1934"/>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 w:hRule="exact"/>
          <w:jc w:val="center"/>
        </w:trPr>
        <w:tc>
          <w:tcPr>
            <w:tcW w:w="3195" w:type="dxa"/>
            <w:tcBorders>
              <w:bottom w:val="single" w:color="auto" w:sz="4"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磋商名称</w:t>
            </w:r>
          </w:p>
        </w:tc>
        <w:tc>
          <w:tcPr>
            <w:tcW w:w="4721" w:type="dxa"/>
            <w:tcBorders>
              <w:bottom w:val="single" w:color="auto" w:sz="4"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磋商内容</w:t>
            </w:r>
          </w:p>
        </w:tc>
        <w:tc>
          <w:tcPr>
            <w:tcW w:w="1513" w:type="dxa"/>
            <w:tcBorders>
              <w:bottom w:val="single" w:color="auto" w:sz="4"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1991" w:type="dxa"/>
            <w:tcBorders>
              <w:bottom w:val="single" w:color="auto" w:sz="4"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报   价</w:t>
            </w:r>
          </w:p>
        </w:tc>
        <w:tc>
          <w:tcPr>
            <w:tcW w:w="1934" w:type="dxa"/>
            <w:tcBorders>
              <w:bottom w:val="single" w:color="auto" w:sz="4"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供货</w:t>
            </w:r>
            <w:r>
              <w:rPr>
                <w:rFonts w:hint="eastAsia" w:ascii="仿宋" w:hAnsi="仿宋" w:eastAsia="仿宋" w:cs="仿宋"/>
                <w:color w:val="auto"/>
                <w:sz w:val="28"/>
                <w:highlight w:val="none"/>
              </w:rPr>
              <w:t>期限</w:t>
            </w:r>
          </w:p>
        </w:tc>
        <w:tc>
          <w:tcPr>
            <w:tcW w:w="1303" w:type="dxa"/>
            <w:tcBorders>
              <w:bottom w:val="single" w:color="auto" w:sz="4"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7" w:hRule="atLeast"/>
          <w:jc w:val="center"/>
        </w:trPr>
        <w:tc>
          <w:tcPr>
            <w:tcW w:w="3195" w:type="dxa"/>
            <w:tcBorders>
              <w:bottom w:val="single" w:color="auto" w:sz="4" w:space="0"/>
            </w:tcBorders>
            <w:noWrap w:val="0"/>
            <w:vAlign w:val="center"/>
          </w:tcPr>
          <w:p>
            <w:pPr>
              <w:pStyle w:val="27"/>
              <w:spacing w:line="420" w:lineRule="exact"/>
              <w:ind w:firstLine="0" w:firstLineChars="0"/>
              <w:jc w:val="center"/>
              <w:rPr>
                <w:rFonts w:hint="eastAsia" w:ascii="仿宋" w:hAnsi="仿宋" w:eastAsia="仿宋" w:cs="仿宋"/>
                <w:color w:val="auto"/>
                <w:szCs w:val="28"/>
                <w:highlight w:val="none"/>
              </w:rPr>
            </w:pPr>
          </w:p>
        </w:tc>
        <w:tc>
          <w:tcPr>
            <w:tcW w:w="4721" w:type="dxa"/>
            <w:tcBorders>
              <w:bottom w:val="single" w:color="auto" w:sz="4" w:space="0"/>
            </w:tcBorders>
            <w:noWrap w:val="0"/>
            <w:vAlign w:val="center"/>
          </w:tcPr>
          <w:p>
            <w:pPr>
              <w:adjustRightInd w:val="0"/>
              <w:snapToGrid w:val="0"/>
              <w:ind w:firstLine="560" w:firstLineChars="200"/>
              <w:rPr>
                <w:rFonts w:hint="eastAsia" w:ascii="仿宋" w:hAnsi="仿宋" w:eastAsia="仿宋" w:cs="仿宋"/>
                <w:color w:val="auto"/>
                <w:sz w:val="28"/>
                <w:szCs w:val="28"/>
                <w:highlight w:val="none"/>
              </w:rPr>
            </w:pPr>
          </w:p>
        </w:tc>
        <w:tc>
          <w:tcPr>
            <w:tcW w:w="1513" w:type="dxa"/>
            <w:tcBorders>
              <w:bottom w:val="single" w:color="auto" w:sz="4" w:space="0"/>
            </w:tcBorders>
            <w:noWrap w:val="0"/>
            <w:vAlign w:val="center"/>
          </w:tcPr>
          <w:p>
            <w:pPr>
              <w:jc w:val="center"/>
              <w:rPr>
                <w:rFonts w:hint="eastAsia" w:ascii="仿宋" w:hAnsi="仿宋" w:eastAsia="仿宋" w:cs="仿宋"/>
                <w:color w:val="auto"/>
                <w:sz w:val="28"/>
                <w:highlight w:val="none"/>
              </w:rPr>
            </w:pPr>
          </w:p>
        </w:tc>
        <w:tc>
          <w:tcPr>
            <w:tcW w:w="1991" w:type="dxa"/>
            <w:tcBorders>
              <w:bottom w:val="single" w:color="auto" w:sz="4" w:space="0"/>
            </w:tcBorders>
            <w:noWrap w:val="0"/>
            <w:vAlign w:val="center"/>
          </w:tcPr>
          <w:p>
            <w:pPr>
              <w:jc w:val="center"/>
              <w:rPr>
                <w:rFonts w:hint="eastAsia" w:ascii="仿宋" w:hAnsi="仿宋" w:eastAsia="仿宋" w:cs="仿宋"/>
                <w:color w:val="auto"/>
                <w:sz w:val="28"/>
                <w:highlight w:val="none"/>
              </w:rPr>
            </w:pPr>
          </w:p>
        </w:tc>
        <w:tc>
          <w:tcPr>
            <w:tcW w:w="1934" w:type="dxa"/>
            <w:tcBorders>
              <w:bottom w:val="single" w:color="auto" w:sz="4" w:space="0"/>
            </w:tcBorders>
            <w:noWrap w:val="0"/>
            <w:vAlign w:val="center"/>
          </w:tcPr>
          <w:p>
            <w:pPr>
              <w:jc w:val="center"/>
              <w:rPr>
                <w:rFonts w:hint="eastAsia" w:ascii="仿宋" w:hAnsi="仿宋" w:eastAsia="仿宋" w:cs="仿宋"/>
                <w:color w:val="auto"/>
                <w:sz w:val="28"/>
                <w:highlight w:val="none"/>
              </w:rPr>
            </w:pPr>
          </w:p>
        </w:tc>
        <w:tc>
          <w:tcPr>
            <w:tcW w:w="1303" w:type="dxa"/>
            <w:tcBorders>
              <w:bottom w:val="single" w:color="auto" w:sz="4" w:space="0"/>
            </w:tcBorders>
            <w:noWrap w:val="0"/>
            <w:vAlign w:val="center"/>
          </w:tcPr>
          <w:p>
            <w:pPr>
              <w:jc w:val="center"/>
              <w:rPr>
                <w:rFonts w:hint="eastAsia" w:ascii="仿宋" w:hAnsi="仿宋" w:eastAsia="仿宋" w:cs="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7" w:hRule="exact"/>
          <w:jc w:val="center"/>
        </w:trPr>
        <w:tc>
          <w:tcPr>
            <w:tcW w:w="3195" w:type="dxa"/>
            <w:tcBorders>
              <w:bottom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8"/>
                <w:highlight w:val="none"/>
              </w:rPr>
              <w:t>磋商总报价</w:t>
            </w:r>
          </w:p>
        </w:tc>
        <w:tc>
          <w:tcPr>
            <w:tcW w:w="11462" w:type="dxa"/>
            <w:gridSpan w:val="5"/>
            <w:tcBorders>
              <w:bottom w:val="single" w:color="auto" w:sz="4" w:space="0"/>
            </w:tcBorders>
            <w:noWrap w:val="0"/>
            <w:vAlign w:val="center"/>
          </w:tcPr>
          <w:p>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小写：                        </w:t>
            </w:r>
          </w:p>
          <w:p>
            <w:pPr>
              <w:rPr>
                <w:rFonts w:hint="eastAsia" w:ascii="仿宋" w:hAnsi="仿宋" w:eastAsia="仿宋" w:cs="仿宋"/>
                <w:color w:val="auto"/>
                <w:sz w:val="28"/>
                <w:highlight w:val="none"/>
              </w:rPr>
            </w:pPr>
            <w:r>
              <w:rPr>
                <w:rFonts w:hint="eastAsia" w:ascii="仿宋" w:hAnsi="仿宋" w:eastAsia="仿宋" w:cs="仿宋"/>
                <w:color w:val="auto"/>
                <w:sz w:val="28"/>
                <w:highlight w:val="none"/>
              </w:rPr>
              <w:t>大写：</w:t>
            </w:r>
          </w:p>
        </w:tc>
      </w:tr>
    </w:tbl>
    <w:p>
      <w:pPr>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供应商授权代表签字：                                                单位公章：</w:t>
      </w:r>
    </w:p>
    <w:p>
      <w:pPr>
        <w:spacing w:line="320" w:lineRule="exact"/>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注：1、请单独封装一份在信封内。</w:t>
      </w:r>
    </w:p>
    <w:p>
      <w:pPr>
        <w:spacing w:line="320" w:lineRule="exact"/>
        <w:ind w:firstLine="564"/>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2、在磋商报价一览表中，不允许出现两种报价，否则其磋商报价将被拒绝。</w:t>
      </w:r>
    </w:p>
    <w:p>
      <w:pPr>
        <w:spacing w:line="320" w:lineRule="exact"/>
        <w:ind w:firstLine="564"/>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3、详细清单参照附件四自制。</w:t>
      </w:r>
    </w:p>
    <w:p>
      <w:pPr>
        <w:spacing w:line="320" w:lineRule="exact"/>
        <w:ind w:firstLine="564"/>
        <w:jc w:val="right"/>
        <w:rPr>
          <w:rFonts w:hint="eastAsia" w:ascii="仿宋" w:hAnsi="仿宋" w:eastAsia="仿宋" w:cs="仿宋"/>
          <w:b/>
          <w:color w:val="auto"/>
          <w:sz w:val="28"/>
          <w:highlight w:val="none"/>
        </w:rPr>
      </w:pP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附件五</w:t>
      </w:r>
    </w:p>
    <w:p>
      <w:pPr>
        <w:pStyle w:val="30"/>
        <w:rPr>
          <w:rFonts w:hint="eastAsia" w:ascii="仿宋" w:hAnsi="仿宋" w:eastAsia="仿宋" w:cs="仿宋"/>
          <w:color w:val="auto"/>
          <w:highlight w:val="none"/>
        </w:rPr>
      </w:pPr>
      <w:r>
        <w:rPr>
          <w:rFonts w:hint="eastAsia" w:ascii="仿宋" w:hAnsi="仿宋" w:eastAsia="仿宋" w:cs="仿宋"/>
          <w:color w:val="auto"/>
          <w:highlight w:val="none"/>
        </w:rPr>
        <w:t>磋商内容及相关产品名称、数量、规格及报价明细表</w:t>
      </w:r>
    </w:p>
    <w:p>
      <w:pPr>
        <w:pStyle w:val="27"/>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（此表参照下表或者由各供应商自行编制填写，须包括详细的产品清单、价格、供货范围、名称、规格、技术参数、主要配件的品牌及供货厂家等。）</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3592"/>
        <w:gridCol w:w="1796"/>
        <w:gridCol w:w="2298"/>
        <w:gridCol w:w="1724"/>
        <w:gridCol w:w="213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148"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92"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1796"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2298"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数量（标明单位）</w:t>
            </w:r>
          </w:p>
        </w:tc>
        <w:tc>
          <w:tcPr>
            <w:tcW w:w="1724"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2130"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生产厂家及品牌</w:t>
            </w:r>
          </w:p>
        </w:tc>
        <w:tc>
          <w:tcPr>
            <w:tcW w:w="1733"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trPr>
        <w:tc>
          <w:tcPr>
            <w:tcW w:w="1148"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92"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（所有磋商的内容）</w:t>
            </w:r>
          </w:p>
        </w:tc>
        <w:tc>
          <w:tcPr>
            <w:tcW w:w="1796" w:type="dxa"/>
            <w:noWrap w:val="0"/>
            <w:vAlign w:val="center"/>
          </w:tcPr>
          <w:p>
            <w:pPr>
              <w:spacing w:line="420" w:lineRule="exact"/>
              <w:jc w:val="center"/>
              <w:rPr>
                <w:rFonts w:hint="eastAsia" w:ascii="仿宋" w:hAnsi="仿宋" w:eastAsia="仿宋" w:cs="仿宋"/>
                <w:color w:val="auto"/>
                <w:sz w:val="24"/>
                <w:highlight w:val="none"/>
              </w:rPr>
            </w:pPr>
          </w:p>
        </w:tc>
        <w:tc>
          <w:tcPr>
            <w:tcW w:w="2298" w:type="dxa"/>
            <w:noWrap w:val="0"/>
            <w:vAlign w:val="center"/>
          </w:tcPr>
          <w:p>
            <w:pPr>
              <w:spacing w:line="420" w:lineRule="exact"/>
              <w:jc w:val="center"/>
              <w:rPr>
                <w:rFonts w:hint="eastAsia" w:ascii="仿宋" w:hAnsi="仿宋" w:eastAsia="仿宋" w:cs="仿宋"/>
                <w:color w:val="auto"/>
                <w:sz w:val="24"/>
                <w:highlight w:val="none"/>
              </w:rPr>
            </w:pPr>
          </w:p>
        </w:tc>
        <w:tc>
          <w:tcPr>
            <w:tcW w:w="1724" w:type="dxa"/>
            <w:noWrap w:val="0"/>
            <w:vAlign w:val="center"/>
          </w:tcPr>
          <w:p>
            <w:pPr>
              <w:spacing w:line="420" w:lineRule="exact"/>
              <w:jc w:val="center"/>
              <w:rPr>
                <w:rFonts w:hint="eastAsia" w:ascii="仿宋" w:hAnsi="仿宋" w:eastAsia="仿宋" w:cs="仿宋"/>
                <w:color w:val="auto"/>
                <w:sz w:val="24"/>
                <w:highlight w:val="none"/>
              </w:rPr>
            </w:pPr>
          </w:p>
        </w:tc>
        <w:tc>
          <w:tcPr>
            <w:tcW w:w="2130" w:type="dxa"/>
            <w:noWrap w:val="0"/>
            <w:vAlign w:val="center"/>
          </w:tcPr>
          <w:p>
            <w:pPr>
              <w:spacing w:line="420" w:lineRule="exact"/>
              <w:jc w:val="center"/>
              <w:rPr>
                <w:rFonts w:hint="eastAsia" w:ascii="仿宋" w:hAnsi="仿宋" w:eastAsia="仿宋" w:cs="仿宋"/>
                <w:color w:val="auto"/>
                <w:sz w:val="24"/>
                <w:highlight w:val="none"/>
              </w:rPr>
            </w:pPr>
          </w:p>
        </w:tc>
        <w:tc>
          <w:tcPr>
            <w:tcW w:w="1733" w:type="dxa"/>
            <w:noWrap w:val="0"/>
            <w:vAlign w:val="center"/>
          </w:tcPr>
          <w:p>
            <w:pPr>
              <w:spacing w:line="42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1148"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92"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796" w:type="dxa"/>
            <w:noWrap w:val="0"/>
            <w:vAlign w:val="center"/>
          </w:tcPr>
          <w:p>
            <w:pPr>
              <w:spacing w:line="420" w:lineRule="exact"/>
              <w:jc w:val="center"/>
              <w:rPr>
                <w:rFonts w:hint="eastAsia" w:ascii="仿宋" w:hAnsi="仿宋" w:eastAsia="仿宋" w:cs="仿宋"/>
                <w:color w:val="auto"/>
                <w:sz w:val="24"/>
                <w:highlight w:val="none"/>
              </w:rPr>
            </w:pPr>
          </w:p>
        </w:tc>
        <w:tc>
          <w:tcPr>
            <w:tcW w:w="2298" w:type="dxa"/>
            <w:noWrap w:val="0"/>
            <w:vAlign w:val="center"/>
          </w:tcPr>
          <w:p>
            <w:pPr>
              <w:spacing w:line="420" w:lineRule="exact"/>
              <w:jc w:val="center"/>
              <w:rPr>
                <w:rFonts w:hint="eastAsia" w:ascii="仿宋" w:hAnsi="仿宋" w:eastAsia="仿宋" w:cs="仿宋"/>
                <w:color w:val="auto"/>
                <w:sz w:val="24"/>
                <w:highlight w:val="none"/>
              </w:rPr>
            </w:pPr>
          </w:p>
        </w:tc>
        <w:tc>
          <w:tcPr>
            <w:tcW w:w="1724" w:type="dxa"/>
            <w:noWrap w:val="0"/>
            <w:vAlign w:val="center"/>
          </w:tcPr>
          <w:p>
            <w:pPr>
              <w:spacing w:line="420" w:lineRule="exact"/>
              <w:jc w:val="center"/>
              <w:rPr>
                <w:rFonts w:hint="eastAsia" w:ascii="仿宋" w:hAnsi="仿宋" w:eastAsia="仿宋" w:cs="仿宋"/>
                <w:color w:val="auto"/>
                <w:sz w:val="24"/>
                <w:highlight w:val="none"/>
              </w:rPr>
            </w:pPr>
          </w:p>
        </w:tc>
        <w:tc>
          <w:tcPr>
            <w:tcW w:w="2130" w:type="dxa"/>
            <w:noWrap w:val="0"/>
            <w:vAlign w:val="center"/>
          </w:tcPr>
          <w:p>
            <w:pPr>
              <w:spacing w:line="420" w:lineRule="exact"/>
              <w:jc w:val="center"/>
              <w:rPr>
                <w:rFonts w:hint="eastAsia" w:ascii="仿宋" w:hAnsi="仿宋" w:eastAsia="仿宋" w:cs="仿宋"/>
                <w:color w:val="auto"/>
                <w:sz w:val="24"/>
                <w:highlight w:val="none"/>
              </w:rPr>
            </w:pPr>
          </w:p>
        </w:tc>
        <w:tc>
          <w:tcPr>
            <w:tcW w:w="1733" w:type="dxa"/>
            <w:noWrap w:val="0"/>
            <w:vAlign w:val="center"/>
          </w:tcPr>
          <w:p>
            <w:pPr>
              <w:spacing w:line="42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1148"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92"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796" w:type="dxa"/>
            <w:noWrap w:val="0"/>
            <w:vAlign w:val="center"/>
          </w:tcPr>
          <w:p>
            <w:pPr>
              <w:spacing w:line="420" w:lineRule="exact"/>
              <w:jc w:val="center"/>
              <w:rPr>
                <w:rFonts w:hint="eastAsia" w:ascii="仿宋" w:hAnsi="仿宋" w:eastAsia="仿宋" w:cs="仿宋"/>
                <w:color w:val="auto"/>
                <w:sz w:val="24"/>
                <w:highlight w:val="none"/>
              </w:rPr>
            </w:pPr>
          </w:p>
        </w:tc>
        <w:tc>
          <w:tcPr>
            <w:tcW w:w="2298" w:type="dxa"/>
            <w:noWrap w:val="0"/>
            <w:vAlign w:val="center"/>
          </w:tcPr>
          <w:p>
            <w:pPr>
              <w:spacing w:line="420" w:lineRule="exact"/>
              <w:jc w:val="center"/>
              <w:rPr>
                <w:rFonts w:hint="eastAsia" w:ascii="仿宋" w:hAnsi="仿宋" w:eastAsia="仿宋" w:cs="仿宋"/>
                <w:color w:val="auto"/>
                <w:sz w:val="24"/>
                <w:highlight w:val="none"/>
              </w:rPr>
            </w:pPr>
          </w:p>
        </w:tc>
        <w:tc>
          <w:tcPr>
            <w:tcW w:w="1724" w:type="dxa"/>
            <w:noWrap w:val="0"/>
            <w:vAlign w:val="center"/>
          </w:tcPr>
          <w:p>
            <w:pPr>
              <w:spacing w:line="420" w:lineRule="exact"/>
              <w:jc w:val="center"/>
              <w:rPr>
                <w:rFonts w:hint="eastAsia" w:ascii="仿宋" w:hAnsi="仿宋" w:eastAsia="仿宋" w:cs="仿宋"/>
                <w:color w:val="auto"/>
                <w:sz w:val="24"/>
                <w:highlight w:val="none"/>
              </w:rPr>
            </w:pPr>
          </w:p>
        </w:tc>
        <w:tc>
          <w:tcPr>
            <w:tcW w:w="2130" w:type="dxa"/>
            <w:noWrap w:val="0"/>
            <w:vAlign w:val="center"/>
          </w:tcPr>
          <w:p>
            <w:pPr>
              <w:spacing w:line="420" w:lineRule="exact"/>
              <w:jc w:val="center"/>
              <w:rPr>
                <w:rFonts w:hint="eastAsia" w:ascii="仿宋" w:hAnsi="仿宋" w:eastAsia="仿宋" w:cs="仿宋"/>
                <w:color w:val="auto"/>
                <w:sz w:val="24"/>
                <w:highlight w:val="none"/>
              </w:rPr>
            </w:pPr>
          </w:p>
        </w:tc>
        <w:tc>
          <w:tcPr>
            <w:tcW w:w="1733" w:type="dxa"/>
            <w:noWrap w:val="0"/>
            <w:vAlign w:val="center"/>
          </w:tcPr>
          <w:p>
            <w:pPr>
              <w:spacing w:line="42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trPr>
        <w:tc>
          <w:tcPr>
            <w:tcW w:w="1148"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3592"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c>
          <w:tcPr>
            <w:tcW w:w="9681" w:type="dxa"/>
            <w:gridSpan w:val="5"/>
            <w:noWrap w:val="0"/>
            <w:vAlign w:val="center"/>
          </w:tcPr>
          <w:p>
            <w:pPr>
              <w:spacing w:line="42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exact"/>
        </w:trPr>
        <w:tc>
          <w:tcPr>
            <w:tcW w:w="1148"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3592"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安装调试费</w:t>
            </w:r>
          </w:p>
        </w:tc>
        <w:tc>
          <w:tcPr>
            <w:tcW w:w="9681" w:type="dxa"/>
            <w:gridSpan w:val="5"/>
            <w:noWrap w:val="0"/>
            <w:vAlign w:val="center"/>
          </w:tcPr>
          <w:p>
            <w:pPr>
              <w:spacing w:line="42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1148"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3592" w:type="dxa"/>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运杂费</w:t>
            </w:r>
          </w:p>
        </w:tc>
        <w:tc>
          <w:tcPr>
            <w:tcW w:w="9681" w:type="dxa"/>
            <w:gridSpan w:val="5"/>
            <w:noWrap w:val="0"/>
            <w:vAlign w:val="center"/>
          </w:tcPr>
          <w:p>
            <w:pPr>
              <w:spacing w:line="42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trPr>
        <w:tc>
          <w:tcPr>
            <w:tcW w:w="1148" w:type="dxa"/>
            <w:noWrap w:val="0"/>
            <w:vAlign w:val="center"/>
          </w:tcPr>
          <w:p>
            <w:pPr>
              <w:spacing w:line="420" w:lineRule="exact"/>
              <w:jc w:val="center"/>
              <w:rPr>
                <w:rFonts w:hint="eastAsia" w:ascii="仿宋" w:hAnsi="仿宋" w:eastAsia="仿宋" w:cs="仿宋"/>
                <w:color w:val="auto"/>
                <w:sz w:val="24"/>
                <w:highlight w:val="none"/>
              </w:rPr>
            </w:pPr>
          </w:p>
        </w:tc>
        <w:tc>
          <w:tcPr>
            <w:tcW w:w="3592" w:type="dxa"/>
            <w:noWrap w:val="0"/>
            <w:vAlign w:val="center"/>
          </w:tcPr>
          <w:p>
            <w:pPr>
              <w:spacing w:line="420" w:lineRule="exact"/>
              <w:jc w:val="center"/>
              <w:rPr>
                <w:rFonts w:hint="eastAsia" w:ascii="仿宋" w:hAnsi="仿宋" w:eastAsia="仿宋" w:cs="仿宋"/>
                <w:color w:val="auto"/>
                <w:sz w:val="24"/>
                <w:highlight w:val="none"/>
              </w:rPr>
            </w:pPr>
          </w:p>
        </w:tc>
        <w:tc>
          <w:tcPr>
            <w:tcW w:w="9681" w:type="dxa"/>
            <w:gridSpan w:val="5"/>
            <w:noWrap w:val="0"/>
            <w:vAlign w:val="center"/>
          </w:tcPr>
          <w:p>
            <w:pPr>
              <w:spacing w:line="42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4740" w:type="dxa"/>
            <w:gridSpan w:val="2"/>
            <w:noWrap w:val="0"/>
            <w:vAlign w:val="center"/>
          </w:tcPr>
          <w:p>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合计总价（万元）</w:t>
            </w:r>
          </w:p>
        </w:tc>
        <w:tc>
          <w:tcPr>
            <w:tcW w:w="9681" w:type="dxa"/>
            <w:gridSpan w:val="5"/>
            <w:noWrap w:val="0"/>
            <w:vAlign w:val="center"/>
          </w:tcPr>
          <w:p>
            <w:pPr>
              <w:spacing w:line="420" w:lineRule="exact"/>
              <w:jc w:val="center"/>
              <w:rPr>
                <w:rFonts w:hint="eastAsia" w:ascii="仿宋" w:hAnsi="仿宋" w:eastAsia="仿宋" w:cs="仿宋"/>
                <w:color w:val="auto"/>
                <w:sz w:val="24"/>
                <w:highlight w:val="none"/>
              </w:rPr>
            </w:pPr>
          </w:p>
        </w:tc>
      </w:tr>
    </w:tbl>
    <w:p>
      <w:pPr>
        <w:spacing w:before="156" w:beforeLines="50" w:line="460" w:lineRule="exact"/>
        <w:ind w:firstLine="560" w:firstLineChars="200"/>
        <w:rPr>
          <w:rFonts w:hint="eastAsia" w:ascii="仿宋" w:hAnsi="仿宋" w:eastAsia="仿宋" w:cs="仿宋"/>
          <w:color w:val="auto"/>
          <w:sz w:val="28"/>
          <w:highlight w:val="none"/>
        </w:rPr>
      </w:pPr>
      <w:r>
        <w:rPr>
          <w:rFonts w:hint="eastAsia" w:ascii="仿宋" w:hAnsi="仿宋" w:eastAsia="仿宋" w:cs="仿宋"/>
          <w:b/>
          <w:color w:val="auto"/>
          <w:sz w:val="28"/>
          <w:highlight w:val="none"/>
        </w:rPr>
        <w:t>注明</w:t>
      </w:r>
      <w:r>
        <w:rPr>
          <w:rFonts w:hint="eastAsia" w:ascii="仿宋" w:hAnsi="仿宋" w:eastAsia="仿宋" w:cs="仿宋"/>
          <w:color w:val="auto"/>
          <w:sz w:val="28"/>
          <w:highlight w:val="none"/>
        </w:rPr>
        <w:t>：</w:t>
      </w:r>
    </w:p>
    <w:p>
      <w:pPr>
        <w:spacing w:line="4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1、如果按单价计算的结果与总价不一致，以单价为准修正总价。</w:t>
      </w:r>
    </w:p>
    <w:p>
      <w:pPr>
        <w:pStyle w:val="14"/>
        <w:spacing w:line="460" w:lineRule="exact"/>
        <w:ind w:right="-15"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2、供应商须参照第三章所列明的内容全部报价。如果不提供详细分项报价将视为未实质性响应磋商文件。</w:t>
      </w:r>
    </w:p>
    <w:p>
      <w:pPr>
        <w:pStyle w:val="14"/>
        <w:spacing w:line="520" w:lineRule="exact"/>
        <w:ind w:right="-553" w:firstLine="537" w:firstLineChars="19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3、技术参数中要求单独报价部分必须填报，如不提供</w:t>
      </w:r>
      <w:r>
        <w:rPr>
          <w:rFonts w:hint="eastAsia" w:ascii="仿宋" w:hAnsi="仿宋" w:eastAsia="仿宋" w:cs="仿宋"/>
          <w:b/>
          <w:color w:val="auto"/>
          <w:sz w:val="28"/>
          <w:highlight w:val="none"/>
        </w:rPr>
        <w:t>将视为没有实质性响应磋商文件。</w:t>
      </w:r>
    </w:p>
    <w:p>
      <w:pPr>
        <w:pStyle w:val="14"/>
        <w:ind w:right="-553"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供应商授权代表签字：                                         单位公章： </w:t>
      </w:r>
    </w:p>
    <w:p>
      <w:pPr>
        <w:pStyle w:val="27"/>
        <w:ind w:firstLine="560"/>
        <w:jc w:val="right"/>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附件六</w:t>
      </w:r>
    </w:p>
    <w:p>
      <w:pPr>
        <w:spacing w:line="360" w:lineRule="atLeast"/>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pPr>
        <w:spacing w:line="360" w:lineRule="atLeast"/>
        <w:ind w:hanging="23"/>
        <w:jc w:val="distribute"/>
        <w:rPr>
          <w:rFonts w:hint="eastAsia" w:ascii="仿宋" w:hAnsi="仿宋" w:eastAsia="仿宋" w:cs="仿宋"/>
          <w:color w:val="auto"/>
          <w:sz w:val="28"/>
          <w:highlight w:val="none"/>
        </w:rPr>
      </w:pPr>
      <w:r>
        <w:rPr>
          <w:rFonts w:hint="eastAsia" w:ascii="仿宋" w:hAnsi="仿宋" w:eastAsia="仿宋" w:cs="仿宋"/>
          <w:color w:val="auto"/>
          <w:sz w:val="28"/>
          <w:highlight w:val="none"/>
        </w:rPr>
        <w:t>项目编号：                                                      年    月    日</w:t>
      </w:r>
    </w:p>
    <w:tbl>
      <w:tblPr>
        <w:tblStyle w:val="20"/>
        <w:tblW w:w="0" w:type="auto"/>
        <w:jc w:val="center"/>
        <w:tblLayout w:type="fixed"/>
        <w:tblCellMar>
          <w:top w:w="0" w:type="dxa"/>
          <w:left w:w="108" w:type="dxa"/>
          <w:bottom w:w="0" w:type="dxa"/>
          <w:right w:w="108" w:type="dxa"/>
        </w:tblCellMar>
      </w:tblPr>
      <w:tblGrid>
        <w:gridCol w:w="918"/>
        <w:gridCol w:w="3762"/>
        <w:gridCol w:w="4500"/>
        <w:gridCol w:w="486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磋商规格</w:t>
            </w: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响应规格</w:t>
            </w: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bl>
    <w:p>
      <w:pPr>
        <w:ind w:firstLine="9520"/>
        <w:rPr>
          <w:rFonts w:hint="eastAsia" w:ascii="仿宋" w:hAnsi="仿宋" w:eastAsia="仿宋" w:cs="仿宋"/>
          <w:color w:val="auto"/>
          <w:kern w:val="0"/>
          <w:sz w:val="24"/>
          <w:highlight w:val="none"/>
        </w:rPr>
      </w:pPr>
    </w:p>
    <w:p>
      <w:pPr>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供应商授权代表签字：                                            单位公章：</w:t>
      </w:r>
    </w:p>
    <w:p>
      <w:pPr>
        <w:rPr>
          <w:rFonts w:hint="eastAsia" w:ascii="仿宋" w:hAnsi="仿宋" w:eastAsia="仿宋" w:cs="仿宋"/>
          <w:color w:val="auto"/>
          <w:sz w:val="24"/>
          <w:highlight w:val="none"/>
        </w:rPr>
      </w:pPr>
      <w:r>
        <w:rPr>
          <w:rFonts w:hint="eastAsia" w:ascii="仿宋" w:hAnsi="仿宋" w:eastAsia="仿宋" w:cs="仿宋"/>
          <w:color w:val="auto"/>
          <w:sz w:val="28"/>
          <w:highlight w:val="none"/>
        </w:rPr>
        <w:t xml:space="preserve">                  </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 xml:space="preserve">                                                                                             附件七</w:t>
      </w:r>
    </w:p>
    <w:p>
      <w:pPr>
        <w:spacing w:line="360" w:lineRule="atLeast"/>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合 同 条 款 偏 离 表</w:t>
      </w:r>
    </w:p>
    <w:p>
      <w:pPr>
        <w:spacing w:line="360" w:lineRule="atLeast"/>
        <w:ind w:right="352" w:hanging="23"/>
        <w:jc w:val="distribute"/>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项目编号：                                                     年   月   日 </w:t>
      </w:r>
    </w:p>
    <w:tbl>
      <w:tblPr>
        <w:tblStyle w:val="20"/>
        <w:tblW w:w="0" w:type="auto"/>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bl>
    <w:p>
      <w:pPr>
        <w:rPr>
          <w:rFonts w:hint="eastAsia" w:ascii="仿宋" w:hAnsi="仿宋" w:eastAsia="仿宋" w:cs="仿宋"/>
          <w:color w:val="auto"/>
          <w:sz w:val="31"/>
          <w:highlight w:val="none"/>
        </w:rPr>
      </w:pPr>
    </w:p>
    <w:p>
      <w:pPr>
        <w:ind w:left="140" w:right="280" w:hanging="140" w:hangingChars="50"/>
        <w:rPr>
          <w:rFonts w:hint="eastAsia" w:ascii="仿宋" w:hAnsi="仿宋" w:eastAsia="仿宋" w:cs="仿宋"/>
          <w:color w:val="auto"/>
          <w:sz w:val="24"/>
          <w:highlight w:val="none"/>
        </w:rPr>
      </w:pPr>
      <w:r>
        <w:rPr>
          <w:rFonts w:hint="eastAsia" w:ascii="仿宋" w:hAnsi="仿宋" w:eastAsia="仿宋" w:cs="仿宋"/>
          <w:color w:val="auto"/>
          <w:sz w:val="28"/>
          <w:highlight w:val="none"/>
        </w:rPr>
        <w:t xml:space="preserve">供应商授权代表签字：                                            单位公章：      </w:t>
      </w: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 xml:space="preserve">                                                                                           附件八</w:t>
      </w:r>
    </w:p>
    <w:p>
      <w:pPr>
        <w:spacing w:line="360" w:lineRule="atLeast"/>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代表性项目业绩表</w:t>
      </w:r>
    </w:p>
    <w:p>
      <w:pPr>
        <w:spacing w:line="360" w:lineRule="atLeast"/>
        <w:ind w:hanging="23"/>
        <w:jc w:val="distribute"/>
        <w:rPr>
          <w:rFonts w:hint="eastAsia" w:ascii="仿宋" w:hAnsi="仿宋" w:eastAsia="仿宋" w:cs="仿宋"/>
          <w:color w:val="auto"/>
          <w:sz w:val="28"/>
          <w:highlight w:val="none"/>
        </w:rPr>
      </w:pPr>
      <w:r>
        <w:rPr>
          <w:rFonts w:hint="eastAsia" w:ascii="仿宋" w:hAnsi="仿宋" w:eastAsia="仿宋" w:cs="仿宋"/>
          <w:color w:val="auto"/>
          <w:sz w:val="28"/>
          <w:highlight w:val="none"/>
        </w:rPr>
        <w:t>项目编号：                                                年     月    日</w:t>
      </w:r>
    </w:p>
    <w:tbl>
      <w:tblPr>
        <w:tblStyle w:val="20"/>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中标/成交货物名称、型号</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bl>
    <w:p>
      <w:pPr>
        <w:spacing w:line="520" w:lineRule="exact"/>
        <w:ind w:firstLine="137"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注：供应商应随此表附上相关的业绩证明（如中标/成交通知书、合同、顾客意见反馈表等的复印件）。</w:t>
      </w:r>
    </w:p>
    <w:p>
      <w:pPr>
        <w:spacing w:line="520" w:lineRule="exact"/>
        <w:rPr>
          <w:rFonts w:hint="eastAsia" w:ascii="仿宋" w:hAnsi="仿宋" w:eastAsia="仿宋" w:cs="仿宋"/>
          <w:color w:val="auto"/>
          <w:sz w:val="28"/>
          <w:highlight w:val="none"/>
        </w:rPr>
      </w:pPr>
    </w:p>
    <w:p>
      <w:pPr>
        <w:spacing w:line="520" w:lineRule="exact"/>
        <w:ind w:firstLine="560" w:firstLineChars="200"/>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供应商授权代表签字：                                         单位公章：</w:t>
      </w:r>
    </w:p>
    <w:p>
      <w:pPr>
        <w:pStyle w:val="11"/>
        <w:jc w:val="right"/>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附件九</w:t>
      </w:r>
    </w:p>
    <w:p>
      <w:pPr>
        <w:pStyle w:val="11"/>
        <w:jc w:val="center"/>
        <w:rPr>
          <w:rFonts w:hint="eastAsia" w:ascii="仿宋" w:hAnsi="仿宋" w:eastAsia="仿宋" w:cs="仿宋"/>
          <w:b/>
          <w:color w:val="auto"/>
          <w:kern w:val="2"/>
          <w:sz w:val="36"/>
          <w:highlight w:val="none"/>
          <w:lang w:val="en-US" w:eastAsia="zh-CN" w:bidi="ar-SA"/>
        </w:rPr>
      </w:pPr>
      <w:r>
        <w:rPr>
          <w:rFonts w:hint="eastAsia" w:ascii="仿宋" w:hAnsi="仿宋" w:eastAsia="仿宋" w:cs="仿宋"/>
          <w:b/>
          <w:color w:val="auto"/>
          <w:kern w:val="2"/>
          <w:sz w:val="36"/>
          <w:highlight w:val="none"/>
          <w:lang w:val="en-US" w:eastAsia="zh-CN" w:bidi="ar-SA"/>
        </w:rPr>
        <w:t>售后服务</w:t>
      </w: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center"/>
        <w:rPr>
          <w:rFonts w:hint="eastAsia" w:ascii="仿宋" w:hAnsi="仿宋" w:eastAsia="仿宋" w:cs="仿宋"/>
          <w:b/>
          <w:color w:val="auto"/>
          <w:kern w:val="2"/>
          <w:sz w:val="36"/>
          <w:highlight w:val="none"/>
          <w:lang w:val="en-US" w:eastAsia="zh-CN" w:bidi="ar-SA"/>
        </w:rPr>
      </w:pPr>
    </w:p>
    <w:p>
      <w:pPr>
        <w:pStyle w:val="11"/>
        <w:jc w:val="right"/>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附件十</w:t>
      </w:r>
    </w:p>
    <w:p>
      <w:pPr>
        <w:pStyle w:val="11"/>
        <w:jc w:val="center"/>
        <w:rPr>
          <w:rFonts w:hint="eastAsia" w:ascii="仿宋" w:hAnsi="仿宋" w:eastAsia="仿宋" w:cs="仿宋"/>
          <w:b/>
          <w:color w:val="auto"/>
          <w:kern w:val="2"/>
          <w:sz w:val="36"/>
          <w:highlight w:val="none"/>
          <w:lang w:val="en-US" w:eastAsia="zh-CN" w:bidi="ar-SA"/>
        </w:rPr>
      </w:pPr>
      <w:r>
        <w:rPr>
          <w:rFonts w:hint="eastAsia" w:ascii="仿宋" w:hAnsi="仿宋" w:eastAsia="仿宋" w:cs="仿宋"/>
          <w:b/>
          <w:color w:val="auto"/>
          <w:kern w:val="2"/>
          <w:sz w:val="36"/>
          <w:highlight w:val="none"/>
          <w:lang w:val="en-US" w:eastAsia="zh-CN" w:bidi="ar-SA"/>
        </w:rPr>
        <w:t>其他资料</w:t>
      </w:r>
    </w:p>
    <w:p>
      <w:pPr>
        <w:rPr>
          <w:rFonts w:hint="eastAsia" w:ascii="仿宋" w:hAnsi="仿宋" w:eastAsia="仿宋" w:cs="仿宋"/>
          <w:color w:val="auto"/>
          <w:highlight w:val="none"/>
        </w:rPr>
      </w:pPr>
    </w:p>
    <w:sectPr>
      <w:footerReference r:id="rId13" w:type="first"/>
      <w:headerReference r:id="rId10" w:type="default"/>
      <w:footerReference r:id="rId12" w:type="default"/>
      <w:headerReference r:id="rId11" w:type="even"/>
      <w:pgSz w:w="16838" w:h="11906" w:orient="landscape"/>
      <w:pgMar w:top="1304" w:right="1304" w:bottom="1304" w:left="1304" w:header="851" w:footer="851"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SimSun">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jc w:val="center"/>
      <w:rPr>
        <w:rStyle w:val="23"/>
        <w:rFonts w:hAnsi="Times New Roman"/>
      </w:rPr>
    </w:pPr>
    <w:r>
      <w:rPr>
        <w:rStyle w:val="23"/>
      </w:rPr>
      <w:t xml:space="preserve">  </w:t>
    </w: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3"/>
      </w:rPr>
    </w:pPr>
    <w:r>
      <w:fldChar w:fldCharType="begin"/>
    </w:r>
    <w:r>
      <w:rPr>
        <w:rStyle w:val="23"/>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4"/>
      </w:rPr>
    </w:pPr>
    <w:r>
      <w:rPr>
        <w:rStyle w:val="34"/>
        <w:rFonts w:hint="eastAsia"/>
        <w:color w:val="000000"/>
      </w:rPr>
      <w:t xml:space="preserve">电话：0999—8039929                       </w:t>
    </w:r>
    <w:r>
      <w:rPr>
        <w:rStyle w:val="34"/>
        <w:rFonts w:hint="eastAsia"/>
      </w:rPr>
      <w:t xml:space="preserve">      </w:t>
    </w:r>
    <w:r>
      <w:rPr>
        <w:rStyle w:val="34"/>
        <w:rFonts w:hint="eastAsia"/>
        <w:i w:val="0"/>
        <w:kern w:val="0"/>
      </w:rPr>
      <w:t xml:space="preserve"> </w:t>
    </w:r>
    <w:r>
      <w:rPr>
        <w:rStyle w:val="23"/>
        <w:rFonts w:hint="eastAsia"/>
        <w:sz w:val="18"/>
      </w:rPr>
      <w:t xml:space="preserve"> </w:t>
    </w:r>
    <w:r>
      <w:rPr>
        <w:rStyle w:val="34"/>
        <w:i w:val="0"/>
        <w:kern w:val="0"/>
      </w:rPr>
      <w:t xml:space="preserve">- </w:t>
    </w:r>
    <w:r>
      <w:rPr>
        <w:i/>
        <w:kern w:val="0"/>
      </w:rPr>
      <w:fldChar w:fldCharType="begin"/>
    </w:r>
    <w:r>
      <w:rPr>
        <w:rStyle w:val="34"/>
        <w:i w:val="0"/>
        <w:kern w:val="0"/>
      </w:rPr>
      <w:instrText xml:space="preserve"> PAGE </w:instrText>
    </w:r>
    <w:r>
      <w:rPr>
        <w:i/>
        <w:kern w:val="0"/>
      </w:rPr>
      <w:fldChar w:fldCharType="separate"/>
    </w:r>
    <w:r>
      <w:rPr>
        <w:rStyle w:val="34"/>
        <w:i w:val="0"/>
        <w:kern w:val="0"/>
      </w:rPr>
      <w:t>52</w:t>
    </w:r>
    <w:r>
      <w:rPr>
        <w:i/>
        <w:kern w:val="0"/>
      </w:rPr>
      <w:fldChar w:fldCharType="end"/>
    </w:r>
    <w:r>
      <w:rPr>
        <w:rStyle w:val="34"/>
        <w:i w:val="0"/>
        <w:kern w:val="0"/>
      </w:rPr>
      <w:t xml:space="preserve"> -</w:t>
    </w:r>
    <w:r>
      <w:rPr>
        <w:rStyle w:val="23"/>
        <w:rFonts w:hint="eastAsia"/>
        <w:sz w:val="18"/>
      </w:rPr>
      <w:t xml:space="preserve">           </w:t>
    </w:r>
    <w:r>
      <w:rPr>
        <w:rStyle w:val="34"/>
        <w:rFonts w:hint="eastAsia"/>
        <w:i w:val="0"/>
        <w:kern w:val="0"/>
      </w:rPr>
      <w:t xml:space="preserve"> </w:t>
    </w:r>
    <w:r>
      <w:rPr>
        <w:rStyle w:val="34"/>
        <w:rFonts w:hint="eastAsia"/>
      </w:rPr>
      <w:t xml:space="preserve">  新疆新之建工程咨询有限公司编制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dashDotStroked" w:color="auto" w:sz="24" w:space="1"/>
      </w:pBdr>
    </w:pPr>
    <w:r>
      <w:rPr>
        <w:rStyle w:val="34"/>
        <w:rFonts w:hint="eastAsia"/>
        <w:color w:val="000000"/>
      </w:rPr>
      <w:t xml:space="preserve">电话：0999-8039929                               </w:t>
    </w:r>
    <w:r>
      <w:rPr>
        <w:rFonts w:hint="eastAsia" w:ascii="仿宋_GB2312" w:eastAsia="仿宋_GB2312"/>
        <w:b/>
        <w:iCs/>
        <w:color w:val="000000"/>
      </w:rPr>
      <w:t xml:space="preserve"> </w:t>
    </w:r>
    <w:r>
      <w:rPr>
        <w:rStyle w:val="23"/>
        <w:rFonts w:hint="eastAsia"/>
        <w:color w:val="000000"/>
      </w:rPr>
      <w:t xml:space="preserve">  </w:t>
    </w:r>
    <w:r>
      <w:rPr>
        <w:rStyle w:val="34"/>
        <w:i w:val="0"/>
        <w:kern w:val="0"/>
      </w:rPr>
      <w:t xml:space="preserve">- </w:t>
    </w:r>
    <w:r>
      <w:rPr>
        <w:i/>
        <w:kern w:val="0"/>
      </w:rPr>
      <w:fldChar w:fldCharType="begin"/>
    </w:r>
    <w:r>
      <w:rPr>
        <w:rStyle w:val="34"/>
        <w:i w:val="0"/>
        <w:kern w:val="0"/>
      </w:rPr>
      <w:instrText xml:space="preserve"> PAGE </w:instrText>
    </w:r>
    <w:r>
      <w:rPr>
        <w:i/>
        <w:kern w:val="0"/>
      </w:rPr>
      <w:fldChar w:fldCharType="separate"/>
    </w:r>
    <w:r>
      <w:rPr>
        <w:rStyle w:val="34"/>
        <w:i w:val="0"/>
        <w:kern w:val="0"/>
      </w:rPr>
      <w:t>48</w:t>
    </w:r>
    <w:r>
      <w:rPr>
        <w:i/>
        <w:kern w:val="0"/>
      </w:rPr>
      <w:fldChar w:fldCharType="end"/>
    </w:r>
    <w:r>
      <w:rPr>
        <w:rStyle w:val="34"/>
        <w:i w:val="0"/>
        <w:kern w:val="0"/>
      </w:rPr>
      <w:t xml:space="preserve"> -</w:t>
    </w:r>
    <w:r>
      <w:rPr>
        <w:rStyle w:val="23"/>
        <w:rFonts w:hint="eastAsia"/>
        <w:color w:val="000000"/>
      </w:rPr>
      <w:t xml:space="preserve">             </w:t>
    </w:r>
    <w:r>
      <w:rPr>
        <w:rStyle w:val="34"/>
        <w:rFonts w:hint="eastAsia"/>
        <w:color w:val="000000"/>
      </w:rPr>
      <w:t xml:space="preserve"> 新疆新之建工程咨询有限公司</w:t>
    </w:r>
    <w:r>
      <w:rPr>
        <w:rStyle w:val="34"/>
        <w:rFonts w:hint="eastAsia"/>
      </w:rPr>
      <w:t>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4"/>
      </w:rPr>
    </w:pPr>
    <w:r>
      <w:rPr>
        <w:rStyle w:val="34"/>
        <w:rFonts w:hint="eastAsia"/>
        <w:color w:val="000000"/>
      </w:rPr>
      <w:t>电话：0999—8039929</w:t>
    </w:r>
    <w:r>
      <w:rPr>
        <w:rStyle w:val="34"/>
        <w:rFonts w:hint="eastAsia"/>
      </w:rPr>
      <w:t xml:space="preserve">                                                 </w:t>
    </w:r>
    <w:r>
      <w:rPr>
        <w:rStyle w:val="23"/>
        <w:rFonts w:hint="eastAsia"/>
        <w:sz w:val="18"/>
      </w:rPr>
      <w:t xml:space="preserve">    </w:t>
    </w:r>
    <w:r>
      <w:rPr>
        <w:rStyle w:val="34"/>
        <w:i w:val="0"/>
        <w:kern w:val="0"/>
      </w:rPr>
      <w:t xml:space="preserve">- </w:t>
    </w:r>
    <w:r>
      <w:rPr>
        <w:i/>
        <w:kern w:val="0"/>
      </w:rPr>
      <w:fldChar w:fldCharType="begin"/>
    </w:r>
    <w:r>
      <w:rPr>
        <w:rStyle w:val="34"/>
        <w:i w:val="0"/>
        <w:kern w:val="0"/>
      </w:rPr>
      <w:instrText xml:space="preserve"> PAGE </w:instrText>
    </w:r>
    <w:r>
      <w:rPr>
        <w:i/>
        <w:kern w:val="0"/>
      </w:rPr>
      <w:fldChar w:fldCharType="separate"/>
    </w:r>
    <w:r>
      <w:rPr>
        <w:rStyle w:val="34"/>
        <w:i w:val="0"/>
        <w:kern w:val="0"/>
      </w:rPr>
      <w:t>57</w:t>
    </w:r>
    <w:r>
      <w:rPr>
        <w:i/>
        <w:kern w:val="0"/>
      </w:rPr>
      <w:fldChar w:fldCharType="end"/>
    </w:r>
    <w:r>
      <w:rPr>
        <w:rStyle w:val="34"/>
        <w:i w:val="0"/>
        <w:kern w:val="0"/>
      </w:rPr>
      <w:t xml:space="preserve"> -</w:t>
    </w:r>
    <w:r>
      <w:rPr>
        <w:rStyle w:val="23"/>
        <w:rFonts w:hint="eastAsia"/>
        <w:sz w:val="18"/>
      </w:rPr>
      <w:t xml:space="preserve">  </w:t>
    </w:r>
    <w:r>
      <w:rPr>
        <w:rStyle w:val="34"/>
        <w:rFonts w:hint="eastAsia"/>
      </w:rPr>
      <w:t xml:space="preserve">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Fonts w:hint="eastAsia"/>
      </w:rPr>
    </w:pPr>
    <w:r>
      <w:rPr>
        <w:rFonts w:hint="eastAsia"/>
        <w:b/>
        <w:i/>
      </w:rPr>
      <w:t>电话：0991-885223</w:t>
    </w:r>
    <w:r>
      <w:rPr>
        <w:b/>
        <w:i/>
      </w:rPr>
      <w:t>1</w:t>
    </w:r>
    <w:r>
      <w:rPr>
        <w:rFonts w:hint="eastAsia"/>
        <w:b/>
        <w:i/>
      </w:rPr>
      <w:t xml:space="preserve">  传真：0991-8852230                          新疆新之建工程咨询有限公司编制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uppressAutoHyphens/>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4"/>
        <w:rFonts w:hint="eastAsia" w:eastAsia="仿宋_GB2312"/>
        <w:szCs w:val="22"/>
        <w:lang w:val="en-US" w:eastAsia="zh-CN"/>
      </w:rPr>
    </w:pPr>
    <w:r>
      <w:rPr>
        <w:rFonts w:hint="eastAsia" w:ascii="仿宋_GB2312" w:hAnsi="新宋体" w:eastAsia="仿宋_GB2312" w:cs="宋体"/>
        <w:b/>
        <w:bCs/>
        <w:i/>
        <w:iCs/>
        <w:color w:val="000000"/>
        <w:kern w:val="0"/>
        <w:sz w:val="18"/>
        <w:szCs w:val="18"/>
      </w:rPr>
      <w:t xml:space="preserve">  </w:t>
    </w:r>
    <w:r>
      <w:rPr>
        <w:rFonts w:hint="eastAsia" w:ascii="仿宋_GB2312" w:hAnsi="新宋体" w:eastAsia="仿宋_GB2312" w:cs="宋体"/>
        <w:b/>
        <w:bCs/>
        <w:i/>
        <w:iCs/>
        <w:color w:val="000000"/>
        <w:kern w:val="0"/>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4"/>
        <w:rFonts w:hint="eastAsia" w:eastAsia="仿宋_GB2312"/>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92DA0"/>
    <w:multiLevelType w:val="singleLevel"/>
    <w:tmpl w:val="B4092DA0"/>
    <w:lvl w:ilvl="0" w:tentative="0">
      <w:start w:val="3"/>
      <w:numFmt w:val="chineseCounting"/>
      <w:suff w:val="space"/>
      <w:lvlText w:val="第%1章"/>
      <w:lvlJc w:val="left"/>
      <w:rPr>
        <w:rFonts w:hint="eastAsia"/>
      </w:rPr>
    </w:lvl>
  </w:abstractNum>
  <w:abstractNum w:abstractNumId="1">
    <w:nsid w:val="24E409BB"/>
    <w:multiLevelType w:val="multilevel"/>
    <w:tmpl w:val="24E409BB"/>
    <w:lvl w:ilvl="0" w:tentative="0">
      <w:start w:val="1"/>
      <w:numFmt w:val="decimal"/>
      <w:pStyle w:val="2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5090165"/>
    <w:multiLevelType w:val="multilevel"/>
    <w:tmpl w:val="25090165"/>
    <w:lvl w:ilvl="0" w:tentative="0">
      <w:start w:val="1"/>
      <w:numFmt w:val="none"/>
      <w:suff w:val="nothing"/>
      <w:lvlText w:val=""/>
      <w:lvlJc w:val="left"/>
    </w:lvl>
    <w:lvl w:ilvl="1" w:tentative="0">
      <w:start w:val="1"/>
      <w:numFmt w:val="none"/>
      <w:pStyle w:val="25"/>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3">
    <w:nsid w:val="7D8813A8"/>
    <w:multiLevelType w:val="multilevel"/>
    <w:tmpl w:val="7D8813A8"/>
    <w:lvl w:ilvl="0" w:tentative="0">
      <w:start w:val="1"/>
      <w:numFmt w:val="decimal"/>
      <w:suff w:val="space"/>
      <w:lvlText w:val="第%1章 "/>
      <w:lvlJc w:val="left"/>
      <w:pPr>
        <w:ind w:left="0" w:firstLine="0"/>
      </w:pPr>
      <w:rPr>
        <w:rFonts w:hint="eastAsia"/>
        <w:b/>
        <w:sz w:val="44"/>
      </w:rPr>
    </w:lvl>
    <w:lvl w:ilvl="1" w:tentative="0">
      <w:start w:val="1"/>
      <w:numFmt w:val="decimal"/>
      <w:pStyle w:val="39"/>
      <w:isLgl/>
      <w:suff w:val="space"/>
      <w:lvlText w:val="%1.%2 "/>
      <w:lvlJc w:val="left"/>
      <w:pPr>
        <w:ind w:left="567" w:hanging="567"/>
      </w:pPr>
      <w:rPr>
        <w:rFonts w:hint="default" w:ascii="Times New Roman" w:hAnsi="Times New Roman"/>
      </w:rPr>
    </w:lvl>
    <w:lvl w:ilvl="2" w:tentative="0">
      <w:start w:val="1"/>
      <w:numFmt w:val="decimal"/>
      <w:pStyle w:val="40"/>
      <w:isLgl/>
      <w:suff w:val="space"/>
      <w:lvlText w:val="%1.%2.%3 "/>
      <w:lvlJc w:val="left"/>
      <w:pPr>
        <w:ind w:left="567" w:hanging="567"/>
      </w:pPr>
      <w:rPr>
        <w:rFonts w:hint="eastAsia"/>
      </w:rPr>
    </w:lvl>
    <w:lvl w:ilvl="3" w:tentative="0">
      <w:start w:val="1"/>
      <w:numFmt w:val="decimal"/>
      <w:pStyle w:val="42"/>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pStyle w:val="43"/>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OTFjNTNlYTBiNjMwMDYzNDVjM2I0ODFhMTRiYzkifQ=="/>
  </w:docVars>
  <w:rsids>
    <w:rsidRoot w:val="6BBD448F"/>
    <w:rsid w:val="064217B6"/>
    <w:rsid w:val="06FA737B"/>
    <w:rsid w:val="099E3993"/>
    <w:rsid w:val="0F0F6D71"/>
    <w:rsid w:val="0FBF4671"/>
    <w:rsid w:val="148A6110"/>
    <w:rsid w:val="163331EC"/>
    <w:rsid w:val="18166AB7"/>
    <w:rsid w:val="18603295"/>
    <w:rsid w:val="1AC91A3A"/>
    <w:rsid w:val="1EC31A5F"/>
    <w:rsid w:val="23FC3B28"/>
    <w:rsid w:val="240D55B4"/>
    <w:rsid w:val="26AC12F1"/>
    <w:rsid w:val="26E266EC"/>
    <w:rsid w:val="272B4FE0"/>
    <w:rsid w:val="280B60B7"/>
    <w:rsid w:val="282D4E02"/>
    <w:rsid w:val="2B0F6F01"/>
    <w:rsid w:val="2C2C6DB6"/>
    <w:rsid w:val="2F7677AD"/>
    <w:rsid w:val="329D3082"/>
    <w:rsid w:val="33312E38"/>
    <w:rsid w:val="37723CA6"/>
    <w:rsid w:val="39935D3B"/>
    <w:rsid w:val="39F30277"/>
    <w:rsid w:val="3BE953F3"/>
    <w:rsid w:val="3C013AB9"/>
    <w:rsid w:val="3C535371"/>
    <w:rsid w:val="3DC137F8"/>
    <w:rsid w:val="3DE01360"/>
    <w:rsid w:val="3DEA57B1"/>
    <w:rsid w:val="3F2C4765"/>
    <w:rsid w:val="43156B9F"/>
    <w:rsid w:val="44F336E0"/>
    <w:rsid w:val="45E23F84"/>
    <w:rsid w:val="468211C5"/>
    <w:rsid w:val="497E369D"/>
    <w:rsid w:val="49CC25F7"/>
    <w:rsid w:val="4A7C067A"/>
    <w:rsid w:val="4B994A60"/>
    <w:rsid w:val="4F63065D"/>
    <w:rsid w:val="50197F35"/>
    <w:rsid w:val="50B36F17"/>
    <w:rsid w:val="50BD377D"/>
    <w:rsid w:val="51F95486"/>
    <w:rsid w:val="54642A21"/>
    <w:rsid w:val="54736A7C"/>
    <w:rsid w:val="54A11358"/>
    <w:rsid w:val="564A6098"/>
    <w:rsid w:val="57C47D96"/>
    <w:rsid w:val="5AAE3F11"/>
    <w:rsid w:val="5BFA38FF"/>
    <w:rsid w:val="5E23047C"/>
    <w:rsid w:val="5E643E60"/>
    <w:rsid w:val="60FB0E45"/>
    <w:rsid w:val="63166A35"/>
    <w:rsid w:val="65594CA4"/>
    <w:rsid w:val="66012EE4"/>
    <w:rsid w:val="661A5702"/>
    <w:rsid w:val="664916EF"/>
    <w:rsid w:val="670200BD"/>
    <w:rsid w:val="685720B6"/>
    <w:rsid w:val="697F3C95"/>
    <w:rsid w:val="69DB3AC7"/>
    <w:rsid w:val="6A2904CA"/>
    <w:rsid w:val="6A75646D"/>
    <w:rsid w:val="6BBC7117"/>
    <w:rsid w:val="6BBD448F"/>
    <w:rsid w:val="6C360D23"/>
    <w:rsid w:val="72DD16ED"/>
    <w:rsid w:val="73091950"/>
    <w:rsid w:val="741E17D9"/>
    <w:rsid w:val="745B08FB"/>
    <w:rsid w:val="75E76BA6"/>
    <w:rsid w:val="76C82E55"/>
    <w:rsid w:val="778B1FBA"/>
    <w:rsid w:val="78522BA3"/>
    <w:rsid w:val="79C45CD3"/>
    <w:rsid w:val="7ECF5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szCs w:val="24"/>
    </w:rPr>
  </w:style>
  <w:style w:type="paragraph" w:styleId="3">
    <w:name w:val="Body Text Indent"/>
    <w:basedOn w:val="1"/>
    <w:next w:val="4"/>
    <w:qFormat/>
    <w:uiPriority w:val="0"/>
    <w:pPr>
      <w:spacing w:line="360" w:lineRule="auto"/>
      <w:ind w:firstLine="570"/>
    </w:pPr>
    <w:rPr>
      <w:sz w:val="24"/>
    </w:rPr>
  </w:style>
  <w:style w:type="paragraph" w:customStyle="1" w:styleId="4">
    <w:name w:val="Default"/>
    <w:qFormat/>
    <w:uiPriority w:val="6"/>
    <w:pPr>
      <w:widowControl w:val="0"/>
    </w:pPr>
    <w:rPr>
      <w:rFonts w:ascii="黑体" w:hAnsi="黑体" w:eastAsia="黑体" w:cs="黑体"/>
      <w:color w:val="000000"/>
      <w:lang w:val="en-US" w:eastAsia="zh-CN" w:bidi="ar-SA"/>
    </w:rPr>
  </w:style>
  <w:style w:type="paragraph" w:styleId="10">
    <w:name w:val="table of authorities"/>
    <w:basedOn w:val="1"/>
    <w:next w:val="1"/>
    <w:qFormat/>
    <w:uiPriority w:val="0"/>
    <w:pPr>
      <w:ind w:left="420" w:leftChars="200"/>
    </w:pPr>
  </w:style>
  <w:style w:type="paragraph" w:styleId="11">
    <w:name w:val="Normal Indent"/>
    <w:basedOn w:val="1"/>
    <w:qFormat/>
    <w:uiPriority w:val="0"/>
    <w:pPr>
      <w:ind w:firstLine="420"/>
    </w:pPr>
    <w:rPr>
      <w:sz w:val="24"/>
    </w:rPr>
  </w:style>
  <w:style w:type="paragraph" w:styleId="12">
    <w:name w:val="toa heading"/>
    <w:basedOn w:val="1"/>
    <w:next w:val="1"/>
    <w:qFormat/>
    <w:uiPriority w:val="0"/>
    <w:pPr>
      <w:spacing w:before="120"/>
    </w:pPr>
    <w:rPr>
      <w:rFonts w:ascii="Cambria" w:hAnsi="Cambria"/>
      <w:sz w:val="24"/>
      <w:szCs w:val="24"/>
    </w:rPr>
  </w:style>
  <w:style w:type="paragraph" w:styleId="13">
    <w:name w:val="toc 3"/>
    <w:basedOn w:val="1"/>
    <w:next w:val="1"/>
    <w:qFormat/>
    <w:uiPriority w:val="0"/>
    <w:pPr>
      <w:suppressAutoHyphens w:val="0"/>
      <w:ind w:left="420"/>
      <w:jc w:val="left"/>
    </w:pPr>
    <w:rPr>
      <w:rFonts w:eastAsia="宋体"/>
      <w:i/>
      <w:iCs/>
      <w:sz w:val="20"/>
      <w:szCs w:val="20"/>
    </w:rPr>
  </w:style>
  <w:style w:type="paragraph" w:styleId="14">
    <w:name w:val="Plain Text"/>
    <w:basedOn w:val="1"/>
    <w:qFormat/>
    <w:uiPriority w:val="0"/>
    <w:rPr>
      <w:rFonts w:ascii="宋体" w:hAnsi="Courier New"/>
      <w:sz w:val="11"/>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2"/>
    <w:basedOn w:val="1"/>
    <w:next w:val="1"/>
    <w:semiHidden/>
    <w:qFormat/>
    <w:uiPriority w:val="0"/>
    <w:pPr>
      <w:ind w:left="420" w:leftChars="200"/>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9">
    <w:name w:val="Title"/>
    <w:basedOn w:val="1"/>
    <w:qFormat/>
    <w:uiPriority w:val="0"/>
    <w:pPr>
      <w:spacing w:before="240" w:beforeLines="0" w:after="60" w:afterLines="0"/>
      <w:ind w:left="425" w:hanging="425"/>
      <w:jc w:val="center"/>
      <w:outlineLvl w:val="0"/>
    </w:pPr>
    <w:rPr>
      <w:rFonts w:ascii="Arial" w:hAnsi="Arial" w:cs="Arial"/>
      <w:b/>
      <w:bCs/>
      <w:sz w:val="32"/>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rPr>
      <w:rFonts w:ascii="宋体" w:hAnsi="宋体" w:eastAsia="宋体"/>
    </w:rPr>
  </w:style>
  <w:style w:type="paragraph" w:customStyle="1" w:styleId="24">
    <w:name w:val="TOC 21"/>
    <w:basedOn w:val="1"/>
    <w:next w:val="1"/>
    <w:qFormat/>
    <w:uiPriority w:val="0"/>
    <w:pPr>
      <w:ind w:left="420"/>
    </w:pPr>
  </w:style>
  <w:style w:type="paragraph" w:customStyle="1" w:styleId="25">
    <w:name w:val="Heading 21"/>
    <w:basedOn w:val="1"/>
    <w:next w:val="1"/>
    <w:qFormat/>
    <w:uiPriority w:val="0"/>
    <w:pPr>
      <w:widowControl/>
      <w:numPr>
        <w:ilvl w:val="1"/>
        <w:numId w:val="1"/>
      </w:numPr>
      <w:spacing w:before="280" w:after="280"/>
      <w:jc w:val="left"/>
      <w:outlineLvl w:val="1"/>
    </w:pPr>
    <w:rPr>
      <w:rFonts w:ascii="宋体;SimSun" w:hAnsi="宋体;SimSun" w:cs="宋体;SimSun"/>
      <w:b/>
      <w:bCs/>
      <w:kern w:val="0"/>
      <w:sz w:val="36"/>
      <w:szCs w:val="36"/>
    </w:rPr>
  </w:style>
  <w:style w:type="paragraph" w:customStyle="1" w:styleId="26">
    <w:name w:val="表名称"/>
    <w:basedOn w:val="11"/>
    <w:qFormat/>
    <w:uiPriority w:val="0"/>
    <w:pPr>
      <w:numPr>
        <w:ilvl w:val="0"/>
        <w:numId w:val="2"/>
      </w:numPr>
      <w:ind w:firstLine="0" w:firstLineChars="0"/>
      <w:jc w:val="center"/>
    </w:pPr>
  </w:style>
  <w:style w:type="paragraph" w:customStyle="1" w:styleId="2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1">
    <w:name w:val="样式3-19"/>
    <w:basedOn w:val="32"/>
    <w:qFormat/>
    <w:uiPriority w:val="0"/>
    <w:pPr>
      <w:tabs>
        <w:tab w:val="left" w:pos="420"/>
        <w:tab w:val="left" w:pos="600"/>
        <w:tab w:val="left" w:pos="675"/>
      </w:tabs>
      <w:ind w:left="420" w:hanging="420"/>
    </w:pPr>
  </w:style>
  <w:style w:type="paragraph" w:customStyle="1" w:styleId="32">
    <w:name w:val="样式3-18"/>
    <w:basedOn w:val="33"/>
    <w:qFormat/>
    <w:uiPriority w:val="0"/>
    <w:pPr>
      <w:tabs>
        <w:tab w:val="left" w:pos="600"/>
        <w:tab w:val="left" w:pos="675"/>
      </w:tabs>
      <w:ind w:left="675" w:hanging="360"/>
      <w:jc w:val="left"/>
    </w:pPr>
  </w:style>
  <w:style w:type="paragraph" w:customStyle="1" w:styleId="33">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color w:val="000000"/>
      <w:kern w:val="28"/>
      <w:sz w:val="24"/>
      <w14:shadow w14:blurRad="50800" w14:dist="38100" w14:dir="2700000" w14:sx="100000" w14:sy="100000" w14:kx="0" w14:ky="0" w14:algn="tl">
        <w14:srgbClr w14:val="000000">
          <w14:alpha w14:val="60000"/>
        </w14:srgbClr>
      </w14:shadow>
    </w:rPr>
  </w:style>
  <w:style w:type="character" w:customStyle="1" w:styleId="34">
    <w:name w:val="7）页眉页脚"/>
    <w:basedOn w:val="22"/>
    <w:qFormat/>
    <w:uiPriority w:val="0"/>
    <w:rPr>
      <w:rFonts w:ascii="仿宋_GB2312" w:eastAsia="仿宋_GB2312"/>
      <w:b/>
      <w:i/>
      <w:sz w:val="18"/>
      <w:vertAlign w:val="baseline"/>
    </w:rPr>
  </w:style>
  <w:style w:type="paragraph" w:customStyle="1" w:styleId="35">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36">
    <w:name w:val="索引 11"/>
    <w:basedOn w:val="1"/>
    <w:next w:val="1"/>
    <w:qFormat/>
    <w:uiPriority w:val="0"/>
    <w:pPr>
      <w:spacing w:line="360" w:lineRule="auto"/>
    </w:pPr>
    <w:rPr>
      <w:rFonts w:ascii="仿宋_GB2312" w:eastAsia="仿宋_GB2312"/>
      <w:sz w:val="24"/>
      <w:szCs w:val="20"/>
    </w:rPr>
  </w:style>
  <w:style w:type="paragraph" w:customStyle="1" w:styleId="37">
    <w:name w:val="纯文本1"/>
    <w:basedOn w:val="1"/>
    <w:qFormat/>
    <w:uiPriority w:val="0"/>
    <w:rPr>
      <w:rFonts w:ascii="宋体" w:hAnsi="Courier New" w:eastAsiaTheme="minorEastAsia" w:cstheme="minorBidi"/>
      <w:szCs w:val="22"/>
    </w:rPr>
  </w:style>
  <w:style w:type="paragraph" w:styleId="38">
    <w:name w:val="List Paragraph"/>
    <w:basedOn w:val="1"/>
    <w:qFormat/>
    <w:uiPriority w:val="34"/>
    <w:pPr>
      <w:ind w:firstLine="420" w:firstLineChars="200"/>
    </w:pPr>
  </w:style>
  <w:style w:type="paragraph" w:customStyle="1" w:styleId="39">
    <w:name w:val="2 级标题"/>
    <w:basedOn w:val="6"/>
    <w:qFormat/>
    <w:uiPriority w:val="0"/>
    <w:pPr>
      <w:numPr>
        <w:ilvl w:val="1"/>
        <w:numId w:val="3"/>
      </w:numPr>
      <w:spacing w:before="120" w:after="120" w:line="360" w:lineRule="auto"/>
      <w:ind w:right="27" w:rightChars="13"/>
      <w:jc w:val="left"/>
    </w:pPr>
    <w:rPr>
      <w:rFonts w:ascii="Cambria" w:hAnsi="Cambria" w:eastAsia="宋体" w:cs="Times New Roman"/>
      <w:kern w:val="0"/>
      <w:lang w:val="zh-CN"/>
    </w:rPr>
  </w:style>
  <w:style w:type="paragraph" w:customStyle="1" w:styleId="40">
    <w:name w:val="3 级标题"/>
    <w:basedOn w:val="7"/>
    <w:qFormat/>
    <w:uiPriority w:val="0"/>
    <w:pPr>
      <w:numPr>
        <w:ilvl w:val="2"/>
        <w:numId w:val="3"/>
      </w:numPr>
      <w:spacing w:before="120" w:after="120" w:line="360" w:lineRule="auto"/>
      <w:ind w:right="27" w:rightChars="13"/>
      <w:jc w:val="left"/>
    </w:pPr>
    <w:rPr>
      <w:sz w:val="28"/>
      <w:lang w:val="zh-CN"/>
    </w:rPr>
  </w:style>
  <w:style w:type="paragraph" w:customStyle="1" w:styleId="41">
    <w:name w:val="正文 正文"/>
    <w:basedOn w:val="1"/>
    <w:qFormat/>
    <w:uiPriority w:val="0"/>
    <w:pPr>
      <w:spacing w:before="120" w:beforeLines="50" w:line="360" w:lineRule="auto"/>
      <w:ind w:firstLine="480" w:firstLineChars="200"/>
    </w:pPr>
    <w:rPr>
      <w:sz w:val="24"/>
    </w:rPr>
  </w:style>
  <w:style w:type="paragraph" w:customStyle="1" w:styleId="42">
    <w:name w:val="4 级标题"/>
    <w:basedOn w:val="8"/>
    <w:qFormat/>
    <w:uiPriority w:val="0"/>
    <w:pPr>
      <w:numPr>
        <w:ilvl w:val="3"/>
        <w:numId w:val="3"/>
      </w:numPr>
      <w:spacing w:before="120" w:after="120" w:line="360" w:lineRule="auto"/>
      <w:ind w:right="27" w:rightChars="13"/>
      <w:jc w:val="left"/>
    </w:pPr>
    <w:rPr>
      <w:rFonts w:ascii="Times New Roman" w:hAnsi="Times New Roman" w:eastAsia="宋体" w:cs="Times New Roman"/>
      <w:sz w:val="24"/>
      <w:lang w:val="zh-CN"/>
    </w:rPr>
  </w:style>
  <w:style w:type="paragraph" w:customStyle="1" w:styleId="43">
    <w:name w:val="5 级标题"/>
    <w:basedOn w:val="9"/>
    <w:qFormat/>
    <w:uiPriority w:val="0"/>
    <w:pPr>
      <w:numPr>
        <w:ilvl w:val="4"/>
        <w:numId w:val="3"/>
      </w:numPr>
      <w:spacing w:before="120" w:after="120" w:line="360" w:lineRule="auto"/>
      <w:ind w:right="27" w:rightChars="13"/>
      <w:jc w:val="left"/>
    </w:pPr>
    <w:rPr>
      <w:sz w:val="24"/>
      <w:lang w:val="zh-CN"/>
    </w:rPr>
  </w:style>
  <w:style w:type="paragraph" w:customStyle="1" w:styleId="44">
    <w:name w:val="列表段落1"/>
    <w:basedOn w:val="1"/>
    <w:qFormat/>
    <w:uiPriority w:val="34"/>
    <w:pPr>
      <w:ind w:firstLine="420" w:firstLineChars="200"/>
    </w:pPr>
  </w:style>
  <w:style w:type="character" w:customStyle="1" w:styleId="45">
    <w:name w:val="font31"/>
    <w:basedOn w:val="22"/>
    <w:qFormat/>
    <w:uiPriority w:val="0"/>
    <w:rPr>
      <w:rFonts w:hint="eastAsia" w:ascii="宋体" w:hAnsi="宋体" w:eastAsia="宋体" w:cs="宋体"/>
      <w:color w:val="000000"/>
      <w:sz w:val="20"/>
      <w:szCs w:val="20"/>
      <w:u w:val="none"/>
    </w:rPr>
  </w:style>
  <w:style w:type="table" w:customStyle="1" w:styleId="46">
    <w:name w:val="网格型2"/>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font6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18467</Words>
  <Characters>20081</Characters>
  <Lines>0</Lines>
  <Paragraphs>0</Paragraphs>
  <TotalTime>0</TotalTime>
  <ScaleCrop>false</ScaleCrop>
  <LinksUpToDate>false</LinksUpToDate>
  <CharactersWithSpaces>21932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2020-10-26T08:53:00Z</dcterms:created>
  <dc:creator>^_^</dc:creator>
  <cp:lastModifiedBy>^_^</cp:lastModifiedBy>
  <cp:lastPrinted>2022-06-21T11:58:00Z</cp:lastPrinted>
  <dcterms:modified xsi:type="dcterms:W3CDTF">2022-07-06T11:49:45Z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42E34F938AFD45E7AE40CDA8B8CA56D5</vt:lpwstr>
  </property>
</Properties>
</file>