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insoku w:val="0"/>
        <w:overflowPunct w:val="0"/>
        <w:ind w:left="0"/>
        <w:rPr>
          <w:rFonts w:ascii="Times New Roman" w:eastAsia="Times New Roman"/>
          <w:sz w:val="20"/>
        </w:rPr>
      </w:pPr>
    </w:p>
    <w:p>
      <w:pPr>
        <w:pStyle w:val="18"/>
        <w:kinsoku w:val="0"/>
        <w:overflowPunct w:val="0"/>
        <w:ind w:left="0"/>
        <w:rPr>
          <w:rFonts w:ascii="Times New Roman" w:eastAsia="Times New Roman"/>
          <w:sz w:val="20"/>
        </w:rPr>
      </w:pPr>
    </w:p>
    <w:p>
      <w:pPr>
        <w:pStyle w:val="18"/>
        <w:kinsoku w:val="0"/>
        <w:overflowPunct w:val="0"/>
        <w:ind w:left="0" w:right="501"/>
        <w:jc w:val="center"/>
        <w:rPr>
          <w:rFonts w:hint="eastAsia" w:cs="Times New Roman"/>
          <w:b/>
          <w:shadow/>
          <w:spacing w:val="4"/>
          <w:sz w:val="32"/>
          <w:szCs w:val="32"/>
          <w:lang w:eastAsia="zh-CN"/>
        </w:rPr>
      </w:pPr>
      <w:r>
        <w:rPr>
          <w:rFonts w:hint="eastAsia" w:cs="Times New Roman"/>
          <w:b/>
          <w:shadow/>
          <w:spacing w:val="4"/>
          <w:sz w:val="32"/>
          <w:szCs w:val="32"/>
          <w:lang w:eastAsia="zh-CN"/>
        </w:rPr>
        <w:t>新疆博湖通用机场首选址临时气象观测站建设</w:t>
      </w:r>
    </w:p>
    <w:p>
      <w:pPr>
        <w:pStyle w:val="18"/>
        <w:kinsoku w:val="0"/>
        <w:overflowPunct w:val="0"/>
        <w:ind w:left="0" w:right="501"/>
        <w:jc w:val="center"/>
        <w:rPr>
          <w:rFonts w:hint="eastAsia" w:ascii="宋体" w:hAnsi="宋体" w:eastAsia="宋体" w:cs="Times New Roman"/>
          <w:b/>
          <w:shadow/>
          <w:spacing w:val="4"/>
          <w:sz w:val="32"/>
          <w:szCs w:val="32"/>
          <w:lang w:eastAsia="zh-CN"/>
        </w:rPr>
      </w:pPr>
      <w:r>
        <w:rPr>
          <w:rFonts w:hint="eastAsia" w:cs="Times New Roman"/>
          <w:b/>
          <w:shadow/>
          <w:spacing w:val="4"/>
          <w:sz w:val="32"/>
          <w:szCs w:val="32"/>
          <w:lang w:eastAsia="zh-CN"/>
        </w:rPr>
        <w:t>及气象条件分析项目</w:t>
      </w:r>
    </w:p>
    <w:p>
      <w:pPr>
        <w:pStyle w:val="18"/>
        <w:kinsoku w:val="0"/>
        <w:overflowPunct w:val="0"/>
        <w:spacing w:before="6"/>
        <w:ind w:left="0"/>
        <w:jc w:val="center"/>
        <w:rPr>
          <w:b/>
          <w:sz w:val="94"/>
        </w:rPr>
      </w:pPr>
    </w:p>
    <w:p>
      <w:pPr>
        <w:pStyle w:val="18"/>
        <w:kinsoku w:val="0"/>
        <w:overflowPunct w:val="0"/>
        <w:ind w:left="0" w:right="501"/>
        <w:jc w:val="center"/>
        <w:rPr>
          <w:sz w:val="72"/>
        </w:rPr>
      </w:pPr>
      <w:r>
        <w:rPr>
          <w:rFonts w:hint="eastAsia"/>
          <w:b/>
          <w:shadow/>
          <w:spacing w:val="2"/>
          <w:sz w:val="72"/>
        </w:rPr>
        <w:t>竞争</w:t>
      </w:r>
      <w:r>
        <w:rPr>
          <w:rFonts w:hint="eastAsia"/>
          <w:b/>
          <w:shadow/>
          <w:spacing w:val="4"/>
          <w:sz w:val="72"/>
        </w:rPr>
        <w:t>性</w:t>
      </w:r>
      <w:r>
        <w:rPr>
          <w:rFonts w:hint="eastAsia"/>
          <w:b/>
          <w:shadow/>
          <w:spacing w:val="2"/>
          <w:sz w:val="72"/>
        </w:rPr>
        <w:t>磋商文</w:t>
      </w:r>
      <w:r>
        <w:rPr>
          <w:rFonts w:hint="eastAsia"/>
          <w:b/>
          <w:shadow/>
          <w:sz w:val="72"/>
        </w:rPr>
        <w:t>件</w:t>
      </w:r>
    </w:p>
    <w:p>
      <w:pPr>
        <w:pStyle w:val="18"/>
        <w:kinsoku w:val="0"/>
        <w:overflowPunct w:val="0"/>
        <w:ind w:left="0"/>
        <w:rPr>
          <w:b/>
          <w:sz w:val="30"/>
        </w:rPr>
      </w:pPr>
    </w:p>
    <w:p>
      <w:pPr>
        <w:pStyle w:val="18"/>
        <w:kinsoku w:val="0"/>
        <w:overflowPunct w:val="0"/>
        <w:ind w:left="0"/>
        <w:rPr>
          <w:b/>
          <w:sz w:val="30"/>
        </w:rPr>
      </w:pPr>
    </w:p>
    <w:p>
      <w:pPr>
        <w:pStyle w:val="18"/>
        <w:kinsoku w:val="0"/>
        <w:overflowPunct w:val="0"/>
        <w:spacing w:line="600" w:lineRule="exact"/>
        <w:ind w:left="0" w:firstLine="2281" w:firstLineChars="800"/>
        <w:rPr>
          <w:b/>
          <w:shadow/>
          <w:spacing w:val="2"/>
          <w:sz w:val="28"/>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spacing w:line="600" w:lineRule="exact"/>
        <w:ind w:left="0"/>
        <w:rPr>
          <w:b/>
          <w:shadow/>
          <w:spacing w:val="2"/>
          <w:sz w:val="28"/>
        </w:rPr>
      </w:pPr>
    </w:p>
    <w:p>
      <w:pPr>
        <w:pStyle w:val="19"/>
        <w:rPr>
          <w:b/>
          <w:shadow/>
          <w:spacing w:val="2"/>
          <w:sz w:val="28"/>
        </w:rPr>
      </w:pPr>
    </w:p>
    <w:p/>
    <w:p>
      <w:pPr>
        <w:pStyle w:val="18"/>
        <w:kinsoku w:val="0"/>
        <w:overflowPunct w:val="0"/>
        <w:spacing w:line="600" w:lineRule="exact"/>
        <w:ind w:left="0" w:firstLine="1425" w:firstLineChars="500"/>
        <w:rPr>
          <w:b/>
          <w:shadow/>
          <w:spacing w:val="2"/>
          <w:sz w:val="28"/>
        </w:rPr>
      </w:pPr>
    </w:p>
    <w:p>
      <w:pPr>
        <w:spacing w:line="600" w:lineRule="exact"/>
        <w:ind w:firstLine="562" w:firstLineChars="200"/>
        <w:rPr>
          <w:rFonts w:hint="eastAsia" w:ascii="宋体" w:hAnsi="宋体" w:eastAsia="宋体"/>
          <w:b/>
          <w:sz w:val="28"/>
          <w:lang w:eastAsia="zh-CN"/>
        </w:rPr>
      </w:pPr>
      <w:r>
        <w:rPr>
          <w:rFonts w:hint="eastAsia" w:ascii="宋体" w:hAnsi="宋体"/>
          <w:b/>
          <w:sz w:val="28"/>
        </w:rPr>
        <w:t>采购文件编号：</w:t>
      </w:r>
      <w:r>
        <w:rPr>
          <w:rFonts w:hint="eastAsia" w:ascii="宋体" w:hAnsi="宋体"/>
          <w:b/>
          <w:sz w:val="28"/>
          <w:lang w:eastAsia="zh-CN"/>
        </w:rPr>
        <w:t>HLFNZFCG2022-CS002</w:t>
      </w:r>
    </w:p>
    <w:p>
      <w:pPr>
        <w:spacing w:line="600" w:lineRule="exact"/>
        <w:ind w:firstLine="562" w:firstLineChars="200"/>
        <w:rPr>
          <w:rFonts w:hint="eastAsia" w:ascii="宋体" w:hAnsi="宋体" w:eastAsia="宋体"/>
          <w:b/>
          <w:color w:val="000000" w:themeColor="text1"/>
          <w:sz w:val="24"/>
          <w:szCs w:val="24"/>
          <w:lang w:eastAsia="zh-CN"/>
        </w:rPr>
      </w:pPr>
      <w:r>
        <w:rPr>
          <w:rFonts w:hint="eastAsia" w:ascii="宋体" w:hAnsi="宋体"/>
          <w:b/>
          <w:sz w:val="28"/>
        </w:rPr>
        <w:t>项目名称：</w:t>
      </w:r>
      <w:r>
        <w:rPr>
          <w:rFonts w:hint="eastAsia" w:ascii="宋体" w:hAnsi="宋体"/>
          <w:b/>
          <w:color w:val="000000" w:themeColor="text1"/>
          <w:sz w:val="24"/>
          <w:szCs w:val="24"/>
          <w:lang w:eastAsia="zh-CN"/>
        </w:rPr>
        <w:t>新疆博湖通用机场首选址临时气象观测站建设及气象条件分析项目</w:t>
      </w:r>
    </w:p>
    <w:p>
      <w:pPr>
        <w:spacing w:line="600" w:lineRule="exact"/>
        <w:ind w:firstLine="562" w:firstLineChars="200"/>
        <w:rPr>
          <w:rFonts w:hint="eastAsia" w:ascii="宋体" w:hAnsi="宋体" w:eastAsia="宋体"/>
          <w:b/>
          <w:color w:val="000000" w:themeColor="text1"/>
          <w:sz w:val="28"/>
          <w:lang w:eastAsia="zh-CN"/>
        </w:rPr>
      </w:pPr>
      <w:r>
        <w:rPr>
          <w:rFonts w:hint="eastAsia" w:ascii="宋体" w:hAnsi="宋体"/>
          <w:b/>
          <w:sz w:val="28"/>
        </w:rPr>
        <w:t>采购单位：</w:t>
      </w:r>
      <w:r>
        <w:rPr>
          <w:rFonts w:hint="eastAsia" w:ascii="宋体" w:hAnsi="宋体"/>
          <w:b/>
          <w:color w:val="000000" w:themeColor="text1"/>
          <w:sz w:val="28"/>
          <w:lang w:eastAsia="zh-CN"/>
        </w:rPr>
        <w:t>博湖县发展和改革委员会</w:t>
      </w:r>
    </w:p>
    <w:p>
      <w:pPr>
        <w:spacing w:line="600" w:lineRule="exact"/>
        <w:ind w:firstLine="562" w:firstLineChars="200"/>
        <w:rPr>
          <w:rFonts w:ascii="宋体" w:hAnsi="宋体"/>
          <w:b/>
          <w:sz w:val="28"/>
        </w:rPr>
      </w:pPr>
      <w:r>
        <w:rPr>
          <w:rFonts w:hint="eastAsia" w:ascii="宋体" w:hAnsi="宋体"/>
          <w:b/>
          <w:sz w:val="28"/>
        </w:rPr>
        <w:t>采购单位代表确认（签字）：</w:t>
      </w:r>
    </w:p>
    <w:p>
      <w:pPr>
        <w:spacing w:line="600" w:lineRule="exact"/>
        <w:ind w:firstLine="562" w:firstLineChars="200"/>
        <w:rPr>
          <w:rFonts w:hint="default" w:ascii="宋体" w:hAnsi="宋体" w:eastAsia="宋体"/>
          <w:b/>
          <w:sz w:val="28"/>
          <w:lang w:val="en-US" w:eastAsia="zh-CN"/>
        </w:rPr>
      </w:pPr>
      <w:r>
        <w:rPr>
          <w:rFonts w:hint="eastAsia" w:ascii="宋体" w:hAnsi="宋体"/>
          <w:b/>
          <w:sz w:val="28"/>
        </w:rPr>
        <w:t>采购单位代表确认时</w:t>
      </w:r>
      <w:r>
        <w:rPr>
          <w:rFonts w:hint="eastAsia" w:ascii="宋体" w:hAnsi="宋体"/>
          <w:b/>
          <w:color w:val="000000" w:themeColor="text1"/>
          <w:sz w:val="28"/>
        </w:rPr>
        <w:t>间：</w:t>
      </w:r>
      <w:r>
        <w:rPr>
          <w:rFonts w:ascii="宋体" w:hAnsi="宋体"/>
          <w:b/>
          <w:color w:val="000000" w:themeColor="text1"/>
          <w:sz w:val="28"/>
        </w:rPr>
        <w:t>202</w:t>
      </w:r>
      <w:r>
        <w:rPr>
          <w:rFonts w:hint="eastAsia" w:ascii="宋体" w:hAnsi="宋体"/>
          <w:b/>
          <w:color w:val="000000" w:themeColor="text1"/>
          <w:sz w:val="28"/>
        </w:rPr>
        <w:t>2年</w:t>
      </w:r>
      <w:r>
        <w:rPr>
          <w:rFonts w:hint="default" w:ascii="宋体" w:hAnsi="宋体"/>
          <w:b/>
          <w:color w:val="000000" w:themeColor="text1"/>
          <w:sz w:val="28"/>
          <w:lang w:val="en-US" w:eastAsia="zh-CN"/>
        </w:rPr>
        <w:t>7</w:t>
      </w:r>
      <w:r>
        <w:rPr>
          <w:rFonts w:hint="eastAsia" w:ascii="宋体" w:hAnsi="宋体"/>
          <w:b/>
          <w:color w:val="000000" w:themeColor="text1"/>
          <w:sz w:val="28"/>
        </w:rPr>
        <w:t>月</w:t>
      </w:r>
      <w:r>
        <w:rPr>
          <w:rFonts w:hint="default" w:ascii="宋体" w:hAnsi="宋体"/>
          <w:b/>
          <w:color w:val="000000" w:themeColor="text1"/>
          <w:sz w:val="28"/>
          <w:lang w:val="en-US"/>
        </w:rPr>
        <w:t>7</w:t>
      </w:r>
      <w:r>
        <w:rPr>
          <w:rFonts w:hint="eastAsia" w:ascii="宋体" w:hAnsi="宋体"/>
          <w:b/>
          <w:color w:val="000000" w:themeColor="text1"/>
          <w:sz w:val="28"/>
          <w:lang w:val="en-US" w:eastAsia="zh-CN"/>
        </w:rPr>
        <w:t>日</w:t>
      </w:r>
    </w:p>
    <w:p>
      <w:pPr>
        <w:pStyle w:val="18"/>
        <w:kinsoku w:val="0"/>
        <w:overflowPunct w:val="0"/>
        <w:spacing w:line="600" w:lineRule="exact"/>
        <w:ind w:left="0" w:firstLine="1425" w:firstLineChars="500"/>
        <w:rPr>
          <w:rFonts w:ascii="黑体" w:hAnsi="黑体" w:eastAsia="黑体"/>
          <w:b/>
          <w:shadow/>
          <w:spacing w:val="2"/>
          <w:sz w:val="28"/>
        </w:rPr>
      </w:pPr>
    </w:p>
    <w:p>
      <w:pPr>
        <w:pStyle w:val="18"/>
        <w:kinsoku w:val="0"/>
        <w:overflowPunct w:val="0"/>
        <w:ind w:left="0"/>
        <w:rPr>
          <w:rFonts w:ascii="黑体" w:hAnsi="黑体" w:eastAsia="黑体"/>
          <w:b/>
          <w:sz w:val="20"/>
        </w:rPr>
      </w:pPr>
    </w:p>
    <w:p>
      <w:pPr>
        <w:pStyle w:val="18"/>
        <w:tabs>
          <w:tab w:val="left" w:pos="1684"/>
        </w:tabs>
        <w:kinsoku w:val="0"/>
        <w:overflowPunct w:val="0"/>
        <w:spacing w:line="580" w:lineRule="exact"/>
        <w:ind w:left="0" w:right="1"/>
        <w:rPr>
          <w:rFonts w:eastAsia="宋体"/>
          <w:b/>
          <w:color w:val="FFFFFF"/>
          <w:w w:val="95"/>
          <w:sz w:val="48"/>
        </w:rPr>
        <w:sectPr>
          <w:headerReference r:id="rId3" w:type="default"/>
          <w:footerReference r:id="rId4" w:type="default"/>
          <w:pgSz w:w="11910" w:h="16840"/>
          <w:pgMar w:top="1040" w:right="1440" w:bottom="1180" w:left="1420" w:header="858" w:footer="997" w:gutter="0"/>
          <w:pgBorders>
            <w:top w:val="none" w:sz="0" w:space="0"/>
            <w:left w:val="none" w:sz="0" w:space="0"/>
            <w:bottom w:val="none" w:sz="0" w:space="0"/>
            <w:right w:val="none" w:sz="0" w:space="0"/>
          </w:pgBorders>
          <w:pgNumType w:start="2"/>
          <w:cols w:space="720" w:num="1"/>
        </w:sectPr>
      </w:pPr>
    </w:p>
    <w:p>
      <w:pPr>
        <w:pStyle w:val="18"/>
        <w:tabs>
          <w:tab w:val="left" w:pos="1684"/>
        </w:tabs>
        <w:kinsoku w:val="0"/>
        <w:overflowPunct w:val="0"/>
        <w:spacing w:line="580" w:lineRule="exact"/>
        <w:ind w:left="0" w:right="1"/>
        <w:rPr>
          <w:rFonts w:eastAsia="宋体"/>
          <w:b/>
          <w:color w:val="FFFFFF"/>
          <w:w w:val="95"/>
          <w:sz w:val="48"/>
        </w:rPr>
      </w:pPr>
    </w:p>
    <w:p>
      <w:pPr>
        <w:pStyle w:val="18"/>
        <w:tabs>
          <w:tab w:val="left" w:pos="1684"/>
        </w:tabs>
        <w:kinsoku w:val="0"/>
        <w:overflowPunct w:val="0"/>
        <w:spacing w:line="580" w:lineRule="exact"/>
        <w:ind w:left="0" w:right="1"/>
        <w:jc w:val="center"/>
        <w:rPr>
          <w:b/>
          <w:w w:val="95"/>
          <w:sz w:val="48"/>
        </w:rPr>
      </w:pPr>
      <w:r>
        <w:rPr>
          <w:b/>
          <w:w w:val="95"/>
          <w:sz w:val="48"/>
        </w:rPr>
        <w:br w:type="page"/>
      </w:r>
    </w:p>
    <w:p>
      <w:pPr>
        <w:pStyle w:val="18"/>
        <w:tabs>
          <w:tab w:val="left" w:pos="1684"/>
        </w:tabs>
        <w:kinsoku w:val="0"/>
        <w:overflowPunct w:val="0"/>
        <w:spacing w:line="580" w:lineRule="exact"/>
        <w:ind w:left="0" w:right="1"/>
        <w:jc w:val="center"/>
        <w:rPr>
          <w:b/>
          <w:w w:val="95"/>
          <w:sz w:val="48"/>
        </w:rPr>
      </w:pPr>
    </w:p>
    <w:p>
      <w:pPr>
        <w:pStyle w:val="18"/>
        <w:tabs>
          <w:tab w:val="left" w:pos="1684"/>
        </w:tabs>
        <w:kinsoku w:val="0"/>
        <w:overflowPunct w:val="0"/>
        <w:spacing w:line="580" w:lineRule="exact"/>
        <w:ind w:left="0" w:right="1"/>
        <w:jc w:val="center"/>
        <w:rPr>
          <w:rFonts w:eastAsia="Times New Roman"/>
          <w:sz w:val="48"/>
        </w:rPr>
      </w:pPr>
      <w:r>
        <w:rPr>
          <w:rFonts w:hint="eastAsia"/>
          <w:b/>
          <w:w w:val="95"/>
          <w:sz w:val="48"/>
        </w:rPr>
        <w:t>目</w:t>
      </w:r>
      <w:r>
        <w:rPr>
          <w:rFonts w:eastAsia="Times New Roman"/>
          <w:b/>
          <w:w w:val="95"/>
          <w:sz w:val="48"/>
        </w:rPr>
        <w:tab/>
      </w:r>
      <w:r>
        <w:rPr>
          <w:rFonts w:hint="eastAsia"/>
          <w:b/>
          <w:sz w:val="48"/>
        </w:rPr>
        <w:t>录</w:t>
      </w:r>
    </w:p>
    <w:p>
      <w:pPr>
        <w:pStyle w:val="18"/>
        <w:kinsoku w:val="0"/>
        <w:overflowPunct w:val="0"/>
        <w:ind w:left="0"/>
        <w:rPr>
          <w:rFonts w:eastAsia="Times New Roman"/>
          <w:b/>
          <w:sz w:val="20"/>
        </w:rPr>
      </w:pPr>
    </w:p>
    <w:p>
      <w:pPr>
        <w:pStyle w:val="18"/>
        <w:kinsoku w:val="0"/>
        <w:overflowPunct w:val="0"/>
        <w:ind w:left="0"/>
        <w:rPr>
          <w:rFonts w:eastAsia="Times New Roman"/>
          <w:b/>
          <w:sz w:val="20"/>
        </w:rPr>
      </w:pPr>
    </w:p>
    <w:p>
      <w:pPr>
        <w:pStyle w:val="18"/>
        <w:kinsoku w:val="0"/>
        <w:overflowPunct w:val="0"/>
        <w:ind w:left="0"/>
        <w:rPr>
          <w:rFonts w:eastAsia="Times New Roman"/>
          <w:b/>
          <w:sz w:val="20"/>
        </w:rPr>
      </w:pPr>
    </w:p>
    <w:p>
      <w:pPr>
        <w:pStyle w:val="18"/>
        <w:kinsoku w:val="0"/>
        <w:overflowPunct w:val="0"/>
        <w:ind w:left="0"/>
        <w:rPr>
          <w:rFonts w:eastAsia="Times New Roman"/>
          <w:b/>
          <w:sz w:val="20"/>
        </w:rPr>
      </w:pPr>
    </w:p>
    <w:p>
      <w:pPr>
        <w:pStyle w:val="18"/>
        <w:kinsoku w:val="0"/>
        <w:overflowPunct w:val="0"/>
        <w:spacing w:before="160"/>
        <w:ind w:left="111"/>
        <w:rPr>
          <w:rFonts w:eastAsia="Times New Roman"/>
          <w:sz w:val="28"/>
          <w:szCs w:val="28"/>
        </w:rPr>
      </w:pPr>
      <w:r>
        <w:rPr>
          <w:rFonts w:hint="eastAsia"/>
          <w:sz w:val="28"/>
          <w:szCs w:val="28"/>
        </w:rPr>
        <w:t>竞争性磋商公告</w:t>
      </w:r>
    </w:p>
    <w:p>
      <w:pPr>
        <w:pStyle w:val="18"/>
        <w:kinsoku w:val="0"/>
        <w:overflowPunct w:val="0"/>
        <w:spacing w:before="3"/>
        <w:ind w:left="0"/>
        <w:rPr>
          <w:rFonts w:eastAsia="Times New Roman"/>
          <w:sz w:val="28"/>
          <w:szCs w:val="28"/>
        </w:rPr>
      </w:pPr>
    </w:p>
    <w:p>
      <w:pPr>
        <w:pStyle w:val="18"/>
        <w:tabs>
          <w:tab w:val="left" w:pos="1776"/>
        </w:tabs>
        <w:kinsoku w:val="0"/>
        <w:overflowPunct w:val="0"/>
        <w:spacing w:line="488" w:lineRule="auto"/>
        <w:ind w:left="111" w:right="3667"/>
        <w:rPr>
          <w:rFonts w:eastAsia="Times New Roman"/>
          <w:sz w:val="28"/>
          <w:szCs w:val="28"/>
        </w:rPr>
      </w:pPr>
      <w:r>
        <w:rPr>
          <w:rFonts w:hint="eastAsia"/>
          <w:sz w:val="28"/>
          <w:szCs w:val="28"/>
        </w:rPr>
        <w:t>第一章</w:t>
      </w:r>
      <w:r>
        <w:rPr>
          <w:rFonts w:eastAsia="Times New Roman"/>
          <w:sz w:val="28"/>
          <w:szCs w:val="28"/>
        </w:rPr>
        <w:tab/>
      </w:r>
      <w:r>
        <w:rPr>
          <w:rFonts w:hint="eastAsia"/>
          <w:sz w:val="28"/>
          <w:szCs w:val="28"/>
        </w:rPr>
        <w:t>磋商须知前附表及磋商须知第二章</w:t>
      </w:r>
      <w:r>
        <w:rPr>
          <w:rFonts w:eastAsia="Times New Roman"/>
          <w:sz w:val="28"/>
          <w:szCs w:val="28"/>
        </w:rPr>
        <w:tab/>
      </w:r>
      <w:r>
        <w:rPr>
          <w:rFonts w:hint="eastAsia"/>
          <w:sz w:val="28"/>
          <w:szCs w:val="28"/>
        </w:rPr>
        <w:t>合同文本格式</w:t>
      </w:r>
    </w:p>
    <w:p>
      <w:pPr>
        <w:pStyle w:val="18"/>
        <w:tabs>
          <w:tab w:val="left" w:pos="1776"/>
        </w:tabs>
        <w:kinsoku w:val="0"/>
        <w:overflowPunct w:val="0"/>
        <w:spacing w:before="96" w:line="489" w:lineRule="auto"/>
        <w:ind w:left="111" w:right="4267"/>
        <w:rPr>
          <w:rFonts w:hint="default" w:eastAsia="宋体"/>
          <w:color w:val="000000"/>
          <w:sz w:val="28"/>
          <w:szCs w:val="28"/>
          <w:lang w:val="en-US" w:eastAsia="zh-CN"/>
        </w:rPr>
      </w:pPr>
      <w:r>
        <w:rPr>
          <w:rFonts w:hint="eastAsia"/>
          <w:color w:val="000000"/>
          <w:sz w:val="28"/>
          <w:szCs w:val="28"/>
        </w:rPr>
        <w:t>第</w:t>
      </w:r>
      <w:r>
        <w:rPr>
          <w:rFonts w:hint="eastAsia"/>
          <w:color w:val="000000"/>
          <w:sz w:val="28"/>
          <w:szCs w:val="28"/>
          <w:lang w:eastAsia="zh-CN"/>
        </w:rPr>
        <w:t>三</w:t>
      </w:r>
      <w:r>
        <w:rPr>
          <w:rFonts w:hint="eastAsia"/>
          <w:color w:val="000000"/>
          <w:sz w:val="28"/>
          <w:szCs w:val="28"/>
        </w:rPr>
        <w:t>章</w:t>
      </w:r>
      <w:r>
        <w:rPr>
          <w:rFonts w:eastAsia="Times New Roman"/>
          <w:color w:val="000000"/>
          <w:sz w:val="28"/>
          <w:szCs w:val="28"/>
        </w:rPr>
        <w:tab/>
      </w:r>
      <w:r>
        <w:rPr>
          <w:rFonts w:hint="eastAsia"/>
          <w:color w:val="000000"/>
          <w:sz w:val="28"/>
          <w:szCs w:val="28"/>
          <w:lang w:val="en-US" w:eastAsia="zh-CN"/>
        </w:rPr>
        <w:t>技术标准及要求</w:t>
      </w:r>
    </w:p>
    <w:p>
      <w:pPr>
        <w:pStyle w:val="18"/>
        <w:tabs>
          <w:tab w:val="left" w:pos="1776"/>
        </w:tabs>
        <w:kinsoku w:val="0"/>
        <w:overflowPunct w:val="0"/>
        <w:spacing w:before="96" w:line="489" w:lineRule="auto"/>
        <w:ind w:left="111" w:right="4267"/>
        <w:rPr>
          <w:rFonts w:eastAsia="Times New Roman"/>
          <w:sz w:val="28"/>
          <w:szCs w:val="28"/>
        </w:rPr>
      </w:pPr>
      <w:r>
        <w:rPr>
          <w:rFonts w:hint="eastAsia"/>
          <w:sz w:val="28"/>
          <w:szCs w:val="28"/>
        </w:rPr>
        <w:t>第</w:t>
      </w:r>
      <w:r>
        <w:rPr>
          <w:rFonts w:hint="eastAsia"/>
          <w:sz w:val="28"/>
          <w:szCs w:val="28"/>
          <w:lang w:val="en-US" w:eastAsia="zh-CN"/>
        </w:rPr>
        <w:t>四</w:t>
      </w:r>
      <w:r>
        <w:rPr>
          <w:rFonts w:hint="eastAsia"/>
          <w:sz w:val="28"/>
          <w:szCs w:val="28"/>
        </w:rPr>
        <w:t>章</w:t>
      </w:r>
      <w:r>
        <w:rPr>
          <w:rFonts w:eastAsia="Times New Roman"/>
          <w:sz w:val="28"/>
          <w:szCs w:val="28"/>
        </w:rPr>
        <w:tab/>
      </w:r>
      <w:r>
        <w:rPr>
          <w:rFonts w:hint="eastAsia"/>
          <w:sz w:val="28"/>
          <w:szCs w:val="28"/>
        </w:rPr>
        <w:t>响应文件格式</w:t>
      </w:r>
    </w:p>
    <w:p>
      <w:pPr>
        <w:pStyle w:val="18"/>
        <w:tabs>
          <w:tab w:val="left" w:pos="1776"/>
        </w:tabs>
        <w:kinsoku w:val="0"/>
        <w:overflowPunct w:val="0"/>
        <w:spacing w:before="96" w:line="489" w:lineRule="auto"/>
        <w:ind w:left="111" w:right="4267"/>
        <w:rPr>
          <w:rFonts w:eastAsia="Times New Roman"/>
          <w:sz w:val="28"/>
          <w:szCs w:val="28"/>
        </w:rPr>
        <w:sectPr>
          <w:footerReference r:id="rId5" w:type="default"/>
          <w:pgSz w:w="11910" w:h="16840"/>
          <w:pgMar w:top="1040" w:right="1440" w:bottom="1180" w:left="1420" w:header="858" w:footer="997" w:gutter="0"/>
          <w:pgBorders>
            <w:top w:val="none" w:sz="0" w:space="0"/>
            <w:left w:val="none" w:sz="0" w:space="0"/>
            <w:bottom w:val="none" w:sz="0" w:space="0"/>
            <w:right w:val="none" w:sz="0" w:space="0"/>
          </w:pgBorders>
          <w:pgNumType w:start="1"/>
          <w:cols w:space="720" w:num="1"/>
        </w:sect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rPr>
        <w:t>评审方法及标准</w:t>
      </w:r>
    </w:p>
    <w:p>
      <w:pPr>
        <w:pStyle w:val="18"/>
        <w:kinsoku w:val="0"/>
        <w:overflowPunct w:val="0"/>
        <w:spacing w:line="500" w:lineRule="exact"/>
        <w:ind w:left="0"/>
        <w:jc w:val="center"/>
        <w:rPr>
          <w:rFonts w:eastAsia="Times New Roman"/>
          <w:b/>
          <w:w w:val="99"/>
          <w:sz w:val="33"/>
        </w:rPr>
      </w:pPr>
      <w:r>
        <w:rPr>
          <w:rFonts w:hint="eastAsia"/>
          <w:b/>
          <w:spacing w:val="1"/>
          <w:sz w:val="33"/>
        </w:rPr>
        <w:t>竞争性磋商公告</w:t>
      </w:r>
    </w:p>
    <w:p>
      <w:pPr>
        <w:pStyle w:val="18"/>
        <w:kinsoku w:val="0"/>
        <w:overflowPunct w:val="0"/>
        <w:spacing w:line="500" w:lineRule="exact"/>
        <w:ind w:left="3700" w:leftChars="1132" w:hanging="983" w:hangingChars="296"/>
        <w:jc w:val="both"/>
        <w:rPr>
          <w:rFonts w:eastAsia="Times New Roman"/>
          <w:b/>
          <w:spacing w:val="1"/>
          <w:sz w:val="33"/>
        </w:rPr>
      </w:pPr>
    </w:p>
    <w:p>
      <w:pPr>
        <w:spacing w:line="360" w:lineRule="auto"/>
        <w:ind w:firstLine="480" w:firstLineChars="200"/>
        <w:rPr>
          <w:rFonts w:eastAsia="Times New Roman"/>
        </w:rPr>
      </w:pPr>
      <w:r>
        <w:rPr>
          <w:rFonts w:hint="eastAsia"/>
          <w:u w:val="single"/>
          <w:lang w:eastAsia="zh-CN"/>
        </w:rPr>
        <w:t>新疆汇力赋能项目管理有限责任公司</w:t>
      </w:r>
      <w:r>
        <w:rPr>
          <w:rFonts w:hint="eastAsia"/>
        </w:rPr>
        <w:t>受</w:t>
      </w:r>
      <w:r>
        <w:rPr>
          <w:rFonts w:hint="eastAsia"/>
          <w:u w:val="single"/>
          <w:lang w:eastAsia="zh-CN"/>
        </w:rPr>
        <w:t>博湖县发展和改革委员会</w:t>
      </w:r>
      <w:r>
        <w:rPr>
          <w:rFonts w:hint="eastAsia"/>
        </w:rPr>
        <w:t>的委托，现对</w:t>
      </w:r>
      <w:r>
        <w:rPr>
          <w:rFonts w:hint="eastAsia"/>
          <w:color w:val="auto"/>
          <w:u w:val="single"/>
          <w:lang w:eastAsia="zh-CN"/>
        </w:rPr>
        <w:t>新疆博湖通用机场首选址临时气象观测站建设及气象条件分析项目</w:t>
      </w:r>
      <w:r>
        <w:rPr>
          <w:rFonts w:hint="eastAsia"/>
        </w:rPr>
        <w:t>以竞争性磋商方式组织采购，欢迎符合条件的供应商参加磋商。</w:t>
      </w:r>
    </w:p>
    <w:p>
      <w:pPr>
        <w:spacing w:line="360" w:lineRule="auto"/>
        <w:rPr>
          <w:color w:val="FF0000"/>
        </w:rPr>
      </w:pPr>
      <w:r>
        <w:rPr>
          <w:rFonts w:hint="eastAsia"/>
          <w:b/>
          <w:bCs/>
        </w:rPr>
        <w:t>一、项目名称</w:t>
      </w:r>
      <w:r>
        <w:rPr>
          <w:rFonts w:hint="eastAsia"/>
          <w:b/>
          <w:bCs/>
          <w:color w:val="auto"/>
        </w:rPr>
        <w:t>：</w:t>
      </w:r>
      <w:r>
        <w:rPr>
          <w:rFonts w:hint="eastAsia"/>
          <w:color w:val="auto"/>
          <w:lang w:eastAsia="zh-CN"/>
        </w:rPr>
        <w:t>新疆博湖通用机场首选址临时气象观测站建设及气象条件分析项目</w:t>
      </w:r>
      <w:r>
        <w:rPr>
          <w:rFonts w:hint="eastAsia"/>
          <w:color w:val="auto"/>
        </w:rPr>
        <w:t xml:space="preserve"> </w:t>
      </w:r>
    </w:p>
    <w:p>
      <w:pPr>
        <w:spacing w:line="360" w:lineRule="auto"/>
        <w:rPr>
          <w:rFonts w:hint="eastAsia" w:ascii="宋体" w:hAnsi="宋体" w:eastAsia="宋体"/>
          <w:lang w:eastAsia="zh-CN"/>
        </w:rPr>
      </w:pPr>
      <w:r>
        <w:rPr>
          <w:rFonts w:hint="eastAsia"/>
          <w:b/>
          <w:bCs/>
        </w:rPr>
        <w:t>二、磋商文件编号：</w:t>
      </w:r>
      <w:r>
        <w:rPr>
          <w:rFonts w:hint="eastAsia" w:ascii="宋体" w:hAnsi="宋体"/>
          <w:lang w:eastAsia="zh-CN"/>
        </w:rPr>
        <w:t>HLFNZFCG2022-CS002</w:t>
      </w:r>
    </w:p>
    <w:p>
      <w:pPr>
        <w:spacing w:line="360" w:lineRule="auto"/>
        <w:rPr>
          <w:rFonts w:hint="eastAsia" w:ascii="宋体" w:eastAsia="宋体"/>
          <w:lang w:eastAsia="zh-CN"/>
        </w:rPr>
      </w:pPr>
      <w:r>
        <w:rPr>
          <w:rFonts w:hint="eastAsia"/>
          <w:b/>
          <w:bCs/>
        </w:rPr>
        <w:t>三、项目建设地点：</w:t>
      </w:r>
      <w:r>
        <w:rPr>
          <w:rFonts w:hint="eastAsia" w:ascii="宋体" w:hAnsi="宋体" w:eastAsia="宋体"/>
          <w:lang w:eastAsia="zh-CN"/>
        </w:rPr>
        <w:t>博湖县</w:t>
      </w:r>
    </w:p>
    <w:p>
      <w:pPr>
        <w:spacing w:line="360" w:lineRule="auto"/>
        <w:rPr>
          <w:rFonts w:hint="eastAsia" w:ascii="宋体" w:hAnsi="宋体" w:eastAsia="宋体" w:cs="宋体"/>
          <w:color w:val="auto"/>
          <w:szCs w:val="21"/>
          <w:lang w:val="en-US" w:eastAsia="zh-CN"/>
        </w:rPr>
      </w:pPr>
      <w:r>
        <w:rPr>
          <w:rFonts w:hint="eastAsia"/>
          <w:b/>
          <w:bCs/>
        </w:rPr>
        <w:t>四、</w:t>
      </w:r>
      <w:r>
        <w:rPr>
          <w:rFonts w:hint="eastAsia" w:ascii="宋体" w:hAnsi="宋体"/>
          <w:b/>
          <w:bCs/>
          <w:lang w:eastAsia="zh-CN"/>
        </w:rPr>
        <w:t>建设</w:t>
      </w:r>
      <w:r>
        <w:rPr>
          <w:rFonts w:hint="eastAsia" w:ascii="宋体" w:hAnsi="宋体"/>
          <w:b/>
          <w:bCs/>
        </w:rPr>
        <w:t>内容：</w:t>
      </w:r>
      <w:r>
        <w:rPr>
          <w:rFonts w:hint="eastAsia"/>
          <w:color w:val="auto"/>
          <w:lang w:eastAsia="zh-CN"/>
        </w:rPr>
        <w:t>（1）建设六要素自动气象站（含风向、风速、温度、湿度、雨量、气压）1套，云高仪1套，前向散射仪（含天气现象）1套；（</w:t>
      </w:r>
      <w:r>
        <w:rPr>
          <w:rFonts w:hint="eastAsia"/>
          <w:color w:val="auto"/>
          <w:lang w:val="en-US" w:eastAsia="zh-CN"/>
        </w:rPr>
        <w:t>2</w:t>
      </w:r>
      <w:r>
        <w:rPr>
          <w:rFonts w:hint="eastAsia"/>
          <w:color w:val="auto"/>
          <w:lang w:eastAsia="zh-CN"/>
        </w:rPr>
        <w:t>）建设16×16平方米气象观测场1个，</w:t>
      </w:r>
      <w:r>
        <w:rPr>
          <w:rFonts w:hint="eastAsia"/>
          <w:color w:val="auto"/>
          <w:lang w:val="en-US" w:eastAsia="zh-CN"/>
        </w:rPr>
        <w:t>建站后完成气象观测站的运行维护，</w:t>
      </w:r>
      <w:r>
        <w:rPr>
          <w:rFonts w:hint="eastAsia"/>
          <w:color w:val="auto"/>
          <w:lang w:eastAsia="zh-CN"/>
        </w:rPr>
        <w:t>并观测、采集1年以上气象数据</w:t>
      </w:r>
      <w:r>
        <w:rPr>
          <w:rFonts w:hint="eastAsia"/>
          <w:color w:val="auto"/>
          <w:lang w:val="en-US" w:eastAsia="zh-CN"/>
        </w:rPr>
        <w:t xml:space="preserve"> </w:t>
      </w:r>
      <w:r>
        <w:rPr>
          <w:rFonts w:hint="eastAsia"/>
          <w:color w:val="auto"/>
          <w:lang w:eastAsia="zh-CN"/>
        </w:rPr>
        <w:t>；（</w:t>
      </w:r>
      <w:r>
        <w:rPr>
          <w:rFonts w:hint="eastAsia"/>
          <w:color w:val="auto"/>
          <w:lang w:val="en-US" w:eastAsia="zh-CN"/>
        </w:rPr>
        <w:t>3</w:t>
      </w:r>
      <w:r>
        <w:rPr>
          <w:rFonts w:hint="eastAsia"/>
          <w:color w:val="auto"/>
          <w:lang w:eastAsia="zh-CN"/>
        </w:rPr>
        <w:t>）临时气象观测站观测时间连续满1个完整年度后，应形成满足民航要求的气象条件分析报告。</w:t>
      </w:r>
    </w:p>
    <w:p>
      <w:pPr>
        <w:widowControl/>
        <w:spacing w:line="360" w:lineRule="auto"/>
        <w:jc w:val="left"/>
        <w:rPr>
          <w:rFonts w:eastAsia="Times New Roman"/>
          <w:color w:val="FF0000"/>
        </w:rPr>
      </w:pPr>
      <w:r>
        <w:rPr>
          <w:rFonts w:hint="eastAsia"/>
          <w:b/>
          <w:bCs/>
        </w:rPr>
        <w:t>五、采购范围：</w:t>
      </w:r>
      <w:r>
        <w:rPr>
          <w:rFonts w:hint="eastAsia"/>
          <w:color w:val="auto"/>
          <w:lang w:val="en-US" w:eastAsia="zh-CN"/>
        </w:rPr>
        <w:t>新疆博湖通用机场首选址临时气象观测站建设及气象条件分析项目的临时气象观测站建设、运行维护、气象分析及论证报告的编制，具体内容详见磋商文件。</w:t>
      </w:r>
    </w:p>
    <w:p>
      <w:pPr>
        <w:widowControl/>
        <w:spacing w:line="360" w:lineRule="auto"/>
        <w:jc w:val="left"/>
        <w:rPr>
          <w:rFonts w:hint="eastAsia" w:ascii="宋体" w:hAnsi="宋体" w:eastAsia="宋体" w:cs="Times New Roman"/>
          <w:bCs/>
          <w:color w:val="FF0000"/>
          <w:szCs w:val="21"/>
          <w:lang w:val="en-US" w:eastAsia="zh-CN"/>
        </w:rPr>
      </w:pPr>
      <w:r>
        <w:rPr>
          <w:rFonts w:hint="eastAsia" w:ascii="宋体" w:hAnsi="宋体" w:eastAsia="宋体" w:cs="Times New Roman"/>
          <w:b/>
          <w:bCs w:val="0"/>
          <w:color w:val="000000"/>
          <w:szCs w:val="21"/>
        </w:rPr>
        <w:t>六</w:t>
      </w:r>
      <w:r>
        <w:rPr>
          <w:rFonts w:hint="eastAsia" w:ascii="宋体" w:hAnsi="宋体" w:eastAsia="宋体" w:cs="Times New Roman"/>
          <w:b/>
          <w:bCs w:val="0"/>
          <w:color w:val="000000"/>
          <w:szCs w:val="21"/>
          <w:lang w:val="en-US" w:eastAsia="zh-CN"/>
        </w:rPr>
        <w:t>、工期：</w:t>
      </w:r>
      <w:r>
        <w:rPr>
          <w:rFonts w:hint="eastAsia" w:ascii="宋体" w:hAnsi="宋体" w:eastAsia="宋体" w:cs="Times New Roman"/>
          <w:bCs/>
          <w:color w:val="auto"/>
          <w:szCs w:val="21"/>
          <w:lang w:val="en-US" w:eastAsia="zh-CN"/>
        </w:rPr>
        <w:t>临时气象观测站建设</w:t>
      </w:r>
      <w:r>
        <w:rPr>
          <w:rFonts w:hint="eastAsia" w:ascii="宋体" w:hAnsi="宋体" w:eastAsia="宋体" w:cs="Times New Roman"/>
          <w:bCs/>
          <w:color w:val="0000FF"/>
          <w:szCs w:val="21"/>
          <w:lang w:val="en-US" w:eastAsia="zh-CN"/>
        </w:rPr>
        <w:t>（合同签订后60天内完成，计划2022年7月</w:t>
      </w:r>
      <w:r>
        <w:rPr>
          <w:rFonts w:hint="eastAsia" w:ascii="宋体" w:hAnsi="宋体" w:cs="Times New Roman"/>
          <w:bCs/>
          <w:color w:val="0000FF"/>
          <w:szCs w:val="21"/>
          <w:lang w:val="en-US" w:eastAsia="zh-CN"/>
        </w:rPr>
        <w:t>2</w:t>
      </w:r>
      <w:r>
        <w:rPr>
          <w:rFonts w:hint="default" w:ascii="宋体" w:hAnsi="宋体" w:cs="Times New Roman"/>
          <w:bCs/>
          <w:color w:val="0000FF"/>
          <w:szCs w:val="21"/>
          <w:lang w:val="en-US" w:eastAsia="zh-CN"/>
        </w:rPr>
        <w:t>3</w:t>
      </w:r>
      <w:r>
        <w:rPr>
          <w:rFonts w:hint="eastAsia" w:ascii="宋体" w:hAnsi="宋体" w:eastAsia="宋体" w:cs="Times New Roman"/>
          <w:bCs/>
          <w:color w:val="0000FF"/>
          <w:szCs w:val="21"/>
          <w:lang w:val="en-US" w:eastAsia="zh-CN"/>
        </w:rPr>
        <w:t>日开工，2022年9月</w:t>
      </w:r>
      <w:r>
        <w:rPr>
          <w:rFonts w:hint="default" w:ascii="宋体" w:hAnsi="宋体" w:cs="Times New Roman"/>
          <w:bCs/>
          <w:color w:val="0000FF"/>
          <w:szCs w:val="21"/>
          <w:lang w:val="en-US" w:eastAsia="zh-CN"/>
        </w:rPr>
        <w:t>20</w:t>
      </w:r>
      <w:r>
        <w:rPr>
          <w:rFonts w:hint="eastAsia" w:ascii="宋体" w:hAnsi="宋体" w:eastAsia="宋体" w:cs="Times New Roman"/>
          <w:bCs/>
          <w:color w:val="0000FF"/>
          <w:szCs w:val="21"/>
          <w:lang w:val="en-US" w:eastAsia="zh-CN"/>
        </w:rPr>
        <w:t>日竣工）</w:t>
      </w:r>
      <w:r>
        <w:rPr>
          <w:rFonts w:hint="eastAsia" w:ascii="宋体" w:hAnsi="宋体" w:cs="Times New Roman"/>
          <w:bCs/>
          <w:color w:val="0000FF"/>
          <w:szCs w:val="21"/>
          <w:lang w:val="en-US" w:eastAsia="zh-CN"/>
        </w:rPr>
        <w:t>；</w:t>
      </w:r>
      <w:r>
        <w:rPr>
          <w:rFonts w:hint="eastAsia"/>
          <w:color w:val="auto"/>
        </w:rPr>
        <w:t>气象分析及论证报告（1年）</w:t>
      </w:r>
      <w:r>
        <w:rPr>
          <w:rFonts w:hint="eastAsia"/>
          <w:color w:val="auto"/>
          <w:lang w:eastAsia="zh-CN"/>
        </w:rPr>
        <w:t>。</w:t>
      </w:r>
    </w:p>
    <w:p>
      <w:pPr>
        <w:pStyle w:val="13"/>
        <w:spacing w:line="360" w:lineRule="auto"/>
        <w:rPr>
          <w:rFonts w:hint="eastAsia" w:eastAsia="宋体"/>
          <w:b/>
          <w:bCs/>
          <w:color w:val="000000"/>
          <w:lang w:eastAsia="zh-CN"/>
        </w:rPr>
      </w:pPr>
      <w:r>
        <w:rPr>
          <w:rFonts w:hint="eastAsia"/>
          <w:b/>
          <w:bCs/>
          <w:color w:val="000000"/>
        </w:rPr>
        <w:t>七、预算金额</w:t>
      </w:r>
      <w:r>
        <w:rPr>
          <w:rFonts w:hint="eastAsia"/>
          <w:b/>
          <w:bCs/>
          <w:color w:val="000000"/>
          <w:lang w:eastAsia="zh-CN"/>
        </w:rPr>
        <w:t>：</w:t>
      </w:r>
      <w:r>
        <w:rPr>
          <w:rFonts w:hint="eastAsia" w:ascii="宋体" w:hAnsi="宋体" w:eastAsia="宋体" w:cs="宋体"/>
          <w:color w:val="000000" w:themeColor="text1"/>
          <w:sz w:val="24"/>
          <w:szCs w:val="21"/>
          <w:lang w:val="en-US" w:eastAsia="zh-CN" w:bidi="ar-SA"/>
        </w:rPr>
        <w:t>160万元</w:t>
      </w:r>
    </w:p>
    <w:p>
      <w:pPr>
        <w:pStyle w:val="13"/>
        <w:spacing w:line="360" w:lineRule="auto"/>
        <w:rPr>
          <w:rFonts w:hint="eastAsia" w:ascii="宋体" w:hAnsi="宋体" w:eastAsia="宋体" w:cs="宋体"/>
          <w:color w:val="000000" w:themeColor="text1"/>
          <w:sz w:val="24"/>
          <w:szCs w:val="21"/>
          <w:lang w:val="en-US" w:eastAsia="zh-CN" w:bidi="ar-SA"/>
        </w:rPr>
      </w:pPr>
      <w:r>
        <w:rPr>
          <w:rFonts w:hint="eastAsia"/>
          <w:b/>
          <w:bCs/>
          <w:color w:val="000000"/>
          <w:lang w:val="en-US" w:eastAsia="zh-CN"/>
        </w:rPr>
        <w:t>八、最高限价</w:t>
      </w:r>
      <w:r>
        <w:rPr>
          <w:rFonts w:hint="eastAsia"/>
          <w:b/>
          <w:bCs/>
          <w:color w:val="000000" w:themeColor="text1"/>
        </w:rPr>
        <w:t>：</w:t>
      </w:r>
      <w:r>
        <w:rPr>
          <w:rFonts w:hint="eastAsia" w:ascii="宋体" w:hAnsi="宋体" w:eastAsia="宋体" w:cs="宋体"/>
          <w:color w:val="000000" w:themeColor="text1"/>
          <w:sz w:val="24"/>
          <w:szCs w:val="21"/>
          <w:lang w:val="en-US" w:eastAsia="zh-CN" w:bidi="ar-SA"/>
        </w:rPr>
        <w:t>160万元。磋商报价不得高于</w:t>
      </w:r>
      <w:r>
        <w:rPr>
          <w:rFonts w:hint="eastAsia" w:cs="宋体"/>
          <w:color w:val="000000" w:themeColor="text1"/>
          <w:sz w:val="24"/>
          <w:szCs w:val="21"/>
          <w:lang w:val="en-US" w:eastAsia="zh-CN" w:bidi="ar-SA"/>
        </w:rPr>
        <w:t>最高限价</w:t>
      </w:r>
      <w:r>
        <w:rPr>
          <w:rFonts w:hint="eastAsia" w:ascii="宋体" w:hAnsi="宋体" w:eastAsia="宋体" w:cs="宋体"/>
          <w:color w:val="000000" w:themeColor="text1"/>
          <w:sz w:val="24"/>
          <w:szCs w:val="21"/>
          <w:lang w:val="en-US" w:eastAsia="zh-CN" w:bidi="ar-SA"/>
        </w:rPr>
        <w:t>，否则响应文件将被拒绝。</w:t>
      </w:r>
    </w:p>
    <w:p>
      <w:pPr>
        <w:tabs>
          <w:tab w:val="left" w:pos="7133"/>
        </w:tabs>
        <w:spacing w:line="360" w:lineRule="auto"/>
        <w:rPr>
          <w:rFonts w:hint="eastAsia" w:ascii="宋体" w:hAnsi="宋体" w:eastAsia="宋体" w:cs="Times New Roman"/>
        </w:rPr>
      </w:pPr>
      <w:r>
        <w:rPr>
          <w:rFonts w:hint="eastAsia" w:ascii="宋体" w:hAnsi="宋体" w:cs="Times New Roman"/>
          <w:b/>
          <w:bCs/>
          <w:lang w:val="en-US" w:eastAsia="zh-CN"/>
        </w:rPr>
        <w:t>九</w:t>
      </w:r>
      <w:r>
        <w:rPr>
          <w:rFonts w:hint="eastAsia" w:ascii="宋体" w:hAnsi="宋体" w:eastAsia="宋体" w:cs="Times New Roman"/>
          <w:b/>
          <w:bCs/>
        </w:rPr>
        <w:t>、项目简要技术要求：</w:t>
      </w:r>
      <w:r>
        <w:rPr>
          <w:rFonts w:hint="eastAsia" w:ascii="宋体" w:hAnsi="宋体" w:eastAsia="宋体" w:cs="Times New Roman"/>
        </w:rPr>
        <w:t>详见磋商文件。</w:t>
      </w:r>
      <w:r>
        <w:rPr>
          <w:rFonts w:hint="eastAsia" w:ascii="宋体" w:hAnsi="宋体" w:eastAsia="宋体" w:cs="Times New Roman"/>
        </w:rPr>
        <w:tab/>
      </w:r>
    </w:p>
    <w:p>
      <w:pPr>
        <w:tabs>
          <w:tab w:val="left" w:pos="7133"/>
        </w:tabs>
        <w:spacing w:line="360" w:lineRule="auto"/>
        <w:rPr>
          <w:rFonts w:hint="eastAsia" w:ascii="宋体" w:hAnsi="宋体" w:eastAsia="宋体" w:cs="Times New Roman"/>
          <w:b/>
          <w:bCs/>
        </w:rPr>
      </w:pPr>
      <w:r>
        <w:rPr>
          <w:rFonts w:hint="eastAsia" w:ascii="宋体" w:hAnsi="宋体" w:cs="Times New Roman"/>
          <w:b/>
          <w:bCs/>
          <w:lang w:val="en-US" w:eastAsia="zh-CN"/>
        </w:rPr>
        <w:t>十</w:t>
      </w:r>
      <w:r>
        <w:rPr>
          <w:rFonts w:hint="eastAsia" w:ascii="宋体" w:hAnsi="宋体" w:eastAsia="宋体" w:cs="Times New Roman"/>
          <w:b/>
          <w:bCs/>
        </w:rPr>
        <w:t>、供应商资格要求：</w:t>
      </w:r>
    </w:p>
    <w:p>
      <w:pPr>
        <w:tabs>
          <w:tab w:val="left" w:pos="7133"/>
        </w:tabs>
        <w:spacing w:line="360" w:lineRule="auto"/>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1.满足《中华人民共和国政府采购法》第二十二条的相关规定；</w:t>
      </w:r>
    </w:p>
    <w:p>
      <w:pPr>
        <w:tabs>
          <w:tab w:val="left" w:pos="7133"/>
        </w:tabs>
        <w:spacing w:line="360" w:lineRule="auto"/>
        <w:rPr>
          <w:rFonts w:hint="eastAsia" w:ascii="宋体" w:hAnsi="宋体" w:eastAsia="宋体" w:cs="Times New Roman"/>
          <w:color w:val="000000"/>
          <w:highlight w:val="none"/>
          <w:lang w:val="en-US" w:eastAsia="zh-CN"/>
        </w:rPr>
      </w:pPr>
      <w:r>
        <w:rPr>
          <w:rFonts w:hint="eastAsia" w:ascii="宋体" w:hAnsi="宋体" w:eastAsia="宋体" w:cs="Times New Roman"/>
          <w:color w:val="000000"/>
          <w:lang w:val="en-US" w:eastAsia="zh-CN"/>
        </w:rPr>
        <w:t>2.需要落实的政府采购政策：</w:t>
      </w:r>
      <w:r>
        <w:rPr>
          <w:rFonts w:hint="eastAsia" w:ascii="宋体" w:hAnsi="宋体" w:eastAsia="宋体" w:cs="Times New Roman"/>
          <w:color w:val="000000"/>
          <w:highlight w:val="none"/>
          <w:lang w:val="en-US" w:eastAsia="zh-CN"/>
        </w:rPr>
        <w:t>供应商为中小企业/小微企业；</w:t>
      </w:r>
    </w:p>
    <w:p>
      <w:pPr>
        <w:tabs>
          <w:tab w:val="left" w:pos="7133"/>
        </w:tabs>
        <w:spacing w:line="360" w:lineRule="auto"/>
        <w:rPr>
          <w:rFonts w:hint="eastAsia" w:ascii="宋体" w:hAnsi="宋体" w:eastAsia="宋体" w:cs="Times New Roman"/>
          <w:color w:val="000000"/>
          <w:u w:val="none"/>
          <w:lang w:val="en-US" w:eastAsia="zh-CN"/>
        </w:rPr>
      </w:pPr>
      <w:r>
        <w:rPr>
          <w:rFonts w:hint="eastAsia" w:ascii="宋体" w:hAnsi="宋体" w:cs="Times New Roman"/>
          <w:color w:val="000000"/>
          <w:lang w:val="en-US" w:eastAsia="zh-CN"/>
        </w:rPr>
        <w:t>3.</w:t>
      </w:r>
      <w:r>
        <w:rPr>
          <w:rFonts w:hint="eastAsia" w:ascii="宋体" w:hAnsi="宋体" w:eastAsia="宋体" w:cs="Times New Roman"/>
          <w:color w:val="000000"/>
          <w:lang w:val="en-US" w:eastAsia="zh-CN"/>
        </w:rPr>
        <w:t>供应商须具有良好的信誉，未被“信用中国”(</w:t>
      </w:r>
      <w:r>
        <w:rPr>
          <w:rFonts w:hint="eastAsia" w:ascii="宋体" w:hAnsi="宋体" w:eastAsia="宋体" w:cs="Times New Roman"/>
          <w:color w:val="000000"/>
          <w:lang w:val="en-US" w:eastAsia="zh-CN"/>
        </w:rPr>
        <w:fldChar w:fldCharType="begin"/>
      </w:r>
      <w:r>
        <w:rPr>
          <w:rFonts w:hint="eastAsia" w:ascii="宋体" w:hAnsi="宋体" w:eastAsia="宋体" w:cs="Times New Roman"/>
          <w:color w:val="000000"/>
          <w:lang w:val="en-US" w:eastAsia="zh-CN"/>
        </w:rPr>
        <w:instrText xml:space="preserve"> HYPERLINK "http://www.creditchina.gov.cn" </w:instrText>
      </w:r>
      <w:r>
        <w:rPr>
          <w:rFonts w:hint="eastAsia" w:ascii="宋体" w:hAnsi="宋体" w:eastAsia="宋体" w:cs="Times New Roman"/>
          <w:color w:val="000000"/>
          <w:lang w:val="en-US" w:eastAsia="zh-CN"/>
        </w:rPr>
        <w:fldChar w:fldCharType="separate"/>
      </w:r>
      <w:r>
        <w:rPr>
          <w:rFonts w:hint="eastAsia" w:ascii="宋体" w:hAnsi="宋体" w:eastAsia="宋体" w:cs="Times New Roman"/>
          <w:color w:val="000000"/>
          <w:lang w:val="en-US" w:eastAsia="zh-CN"/>
        </w:rPr>
        <w:t>www.creditchina.gov.cn</w:t>
      </w:r>
      <w:r>
        <w:rPr>
          <w:rFonts w:hint="eastAsia" w:ascii="宋体" w:hAnsi="宋体" w:eastAsia="宋体" w:cs="Times New Roman"/>
          <w:color w:val="000000"/>
          <w:lang w:val="en-US" w:eastAsia="zh-CN"/>
        </w:rPr>
        <w:fldChar w:fldCharType="end"/>
      </w:r>
      <w:r>
        <w:rPr>
          <w:rFonts w:hint="eastAsia" w:ascii="宋体" w:hAnsi="宋体" w:eastAsia="宋体" w:cs="Times New Roman"/>
          <w:color w:val="000000"/>
          <w:lang w:val="en-US" w:eastAsia="zh-CN"/>
        </w:rPr>
        <w:t xml:space="preserve">)、“中国政府采购网”（ </w:t>
      </w:r>
      <w:r>
        <w:rPr>
          <w:rFonts w:hint="eastAsia" w:ascii="宋体" w:hAnsi="宋体" w:eastAsia="宋体" w:cs="Times New Roman"/>
          <w:color w:val="000000"/>
          <w:u w:val="none"/>
          <w:lang w:val="en-US" w:eastAsia="zh-CN"/>
        </w:rPr>
        <w:fldChar w:fldCharType="begin"/>
      </w:r>
      <w:r>
        <w:rPr>
          <w:rFonts w:hint="eastAsia" w:ascii="宋体" w:hAnsi="宋体" w:eastAsia="宋体" w:cs="Times New Roman"/>
          <w:color w:val="000000"/>
          <w:u w:val="none"/>
          <w:lang w:val="en-US" w:eastAsia="zh-CN"/>
        </w:rPr>
        <w:instrText xml:space="preserve"> HYPERLINK "http://www.ccgp.gov.cn）列入失信被执行人、重大税收违法案件当事人名单、政府采购严重违法失信行为记录名单；" </w:instrText>
      </w:r>
      <w:r>
        <w:rPr>
          <w:rFonts w:hint="eastAsia" w:ascii="宋体" w:hAnsi="宋体" w:eastAsia="宋体" w:cs="Times New Roman"/>
          <w:color w:val="000000"/>
          <w:u w:val="none"/>
          <w:lang w:val="en-US" w:eastAsia="zh-CN"/>
        </w:rPr>
        <w:fldChar w:fldCharType="separate"/>
      </w:r>
      <w:r>
        <w:rPr>
          <w:rStyle w:val="51"/>
          <w:rFonts w:hint="eastAsia" w:ascii="宋体" w:hAnsi="宋体" w:eastAsia="宋体" w:cs="Times New Roman"/>
          <w:color w:val="000000"/>
          <w:u w:val="none"/>
          <w:lang w:val="en-US" w:eastAsia="zh-CN"/>
        </w:rPr>
        <w:t>www.ccgp.gov.cn）列入失信被执行人、重大税收违法案件当事人名单、政府采购严重违法失信行为记录名单；</w:t>
      </w:r>
      <w:r>
        <w:rPr>
          <w:rFonts w:hint="eastAsia" w:ascii="宋体" w:hAnsi="宋体" w:eastAsia="宋体" w:cs="Times New Roman"/>
          <w:color w:val="000000"/>
          <w:u w:val="none"/>
          <w:lang w:val="en-US" w:eastAsia="zh-CN"/>
        </w:rPr>
        <w:fldChar w:fldCharType="end"/>
      </w:r>
    </w:p>
    <w:p>
      <w:pPr>
        <w:tabs>
          <w:tab w:val="left" w:pos="7133"/>
        </w:tabs>
        <w:spacing w:line="360" w:lineRule="auto"/>
        <w:rPr>
          <w:rFonts w:hint="eastAsia" w:ascii="宋体" w:hAnsi="宋体" w:eastAsia="宋体" w:cs="Times New Roman"/>
          <w:color w:val="auto"/>
          <w:lang w:val="en-US" w:eastAsia="zh-CN"/>
        </w:rPr>
      </w:pPr>
      <w:r>
        <w:rPr>
          <w:rFonts w:hint="eastAsia" w:ascii="宋体" w:hAnsi="宋体" w:cs="Times New Roman"/>
          <w:color w:val="auto"/>
          <w:lang w:val="en-US" w:eastAsia="zh-CN"/>
        </w:rPr>
        <w:t>4.</w:t>
      </w:r>
      <w:r>
        <w:rPr>
          <w:rFonts w:hint="eastAsia" w:ascii="宋体" w:hAnsi="宋体" w:eastAsia="宋体"/>
          <w:b/>
          <w:bCs/>
          <w:color w:val="auto"/>
          <w:szCs w:val="21"/>
          <w:lang w:eastAsia="zh-CN"/>
        </w:rPr>
        <w:t>本项目的特定资格要求：</w:t>
      </w:r>
    </w:p>
    <w:p>
      <w:pPr>
        <w:tabs>
          <w:tab w:val="left" w:pos="7133"/>
        </w:tabs>
        <w:spacing w:line="360" w:lineRule="auto"/>
        <w:rPr>
          <w:rFonts w:hint="eastAsia" w:ascii="宋体" w:hAnsi="宋体" w:eastAsia="宋体" w:cs="Times New Roman"/>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eastAsia="宋体" w:cs="宋体"/>
          <w:color w:val="auto"/>
        </w:rPr>
        <w:t>供应商须是中华人民共和国境内合法注册，能独立承担民事责任的独立法人，经营范围包括与本项目相关的内容；</w:t>
      </w:r>
    </w:p>
    <w:p>
      <w:pPr>
        <w:tabs>
          <w:tab w:val="left" w:pos="7133"/>
        </w:tabs>
        <w:spacing w:line="360" w:lineRule="auto"/>
        <w:rPr>
          <w:rFonts w:hint="eastAsia" w:ascii="宋体" w:hAnsi="宋体" w:cs="Times New Roman"/>
          <w:color w:val="auto"/>
          <w:lang w:val="en-US" w:eastAsia="zh-CN"/>
        </w:rPr>
      </w:pPr>
      <w:r>
        <w:rPr>
          <w:rFonts w:hint="eastAsia" w:ascii="宋体" w:hAnsi="宋体" w:eastAsia="宋体" w:cs="Times New Roman"/>
          <w:color w:val="auto"/>
          <w:lang w:val="en-US" w:eastAsia="zh-CN"/>
        </w:rPr>
        <w:t>（</w:t>
      </w:r>
      <w:r>
        <w:rPr>
          <w:rFonts w:hint="eastAsia" w:ascii="宋体" w:hAnsi="宋体" w:cs="Times New Roman"/>
          <w:color w:val="auto"/>
          <w:lang w:val="en-US" w:eastAsia="zh-CN"/>
        </w:rPr>
        <w:t>2</w:t>
      </w:r>
      <w:r>
        <w:rPr>
          <w:rFonts w:hint="eastAsia" w:ascii="宋体" w:hAnsi="宋体" w:eastAsia="宋体" w:cs="Times New Roman"/>
          <w:color w:val="auto"/>
          <w:lang w:val="en-US" w:eastAsia="zh-CN"/>
        </w:rPr>
        <w:t>）供应商须具有民航空管工程及机场弱电系统工程专业承包二级及以上资质，并具有建设行政主管部门颁发的有效的安全生产许可证</w:t>
      </w:r>
      <w:r>
        <w:rPr>
          <w:rFonts w:hint="eastAsia" w:ascii="宋体" w:hAnsi="宋体" w:cs="Times New Roman"/>
          <w:color w:val="auto"/>
          <w:lang w:val="en-US" w:eastAsia="zh-CN"/>
        </w:rPr>
        <w:t>；</w:t>
      </w:r>
    </w:p>
    <w:p>
      <w:pPr>
        <w:tabs>
          <w:tab w:val="left" w:pos="7133"/>
        </w:tabs>
        <w:spacing w:line="360" w:lineRule="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w:t>
      </w:r>
      <w:r>
        <w:rPr>
          <w:rFonts w:hint="eastAsia" w:ascii="宋体" w:hAnsi="宋体" w:cs="Times New Roman"/>
          <w:color w:val="auto"/>
          <w:lang w:val="en-US" w:eastAsia="zh-CN"/>
        </w:rPr>
        <w:t>3</w:t>
      </w:r>
      <w:r>
        <w:rPr>
          <w:rFonts w:hint="eastAsia" w:ascii="宋体" w:hAnsi="宋体" w:eastAsia="宋体" w:cs="Times New Roman"/>
          <w:color w:val="auto"/>
          <w:lang w:val="en-US" w:eastAsia="zh-CN"/>
        </w:rPr>
        <w:t>）拟派项目</w:t>
      </w:r>
      <w:r>
        <w:rPr>
          <w:rFonts w:hint="eastAsia" w:ascii="宋体" w:hAnsi="宋体" w:cs="Times New Roman"/>
          <w:color w:val="auto"/>
          <w:lang w:val="en-US" w:eastAsia="zh-CN"/>
        </w:rPr>
        <w:t>负责人</w:t>
      </w:r>
      <w:r>
        <w:rPr>
          <w:rFonts w:hint="eastAsia" w:ascii="宋体" w:hAnsi="宋体" w:eastAsia="宋体" w:cs="Times New Roman"/>
          <w:color w:val="auto"/>
          <w:lang w:val="en-US" w:eastAsia="zh-CN"/>
        </w:rPr>
        <w:t>须为民航机场工程专业贰级</w:t>
      </w:r>
      <w:r>
        <w:rPr>
          <w:rFonts w:hint="eastAsia" w:ascii="宋体" w:hAnsi="宋体" w:cs="Times New Roman"/>
          <w:color w:val="auto"/>
          <w:lang w:val="en-US" w:eastAsia="zh-CN"/>
        </w:rPr>
        <w:t>及以上</w:t>
      </w:r>
      <w:r>
        <w:rPr>
          <w:rFonts w:hint="eastAsia" w:ascii="宋体" w:hAnsi="宋体" w:eastAsia="宋体" w:cs="Times New Roman"/>
          <w:color w:val="auto"/>
          <w:lang w:val="en-US" w:eastAsia="zh-CN"/>
        </w:rPr>
        <w:t>注册建造师</w:t>
      </w:r>
      <w:r>
        <w:rPr>
          <w:rFonts w:hint="eastAsia" w:ascii="宋体" w:hAnsi="宋体" w:cs="Times New Roman"/>
          <w:color w:val="auto"/>
          <w:lang w:val="en-US" w:eastAsia="zh-CN"/>
        </w:rPr>
        <w:t>，</w:t>
      </w:r>
      <w:r>
        <w:rPr>
          <w:rFonts w:hint="eastAsia" w:ascii="宋体" w:hAnsi="宋体" w:eastAsia="宋体" w:cs="Times New Roman"/>
          <w:color w:val="auto"/>
          <w:lang w:val="en-US" w:eastAsia="zh-CN"/>
        </w:rPr>
        <w:t>并具备有效的安全生产考核合格证书；</w:t>
      </w:r>
    </w:p>
    <w:p>
      <w:pPr>
        <w:tabs>
          <w:tab w:val="left" w:pos="7133"/>
        </w:tabs>
        <w:spacing w:line="360" w:lineRule="auto"/>
        <w:rPr>
          <w:rFonts w:hint="eastAsia" w:ascii="宋体" w:hAnsi="宋体" w:eastAsia="宋体" w:cs="Times New Roman"/>
          <w:color w:val="auto"/>
          <w:lang w:val="en-US" w:eastAsia="zh-CN"/>
        </w:rPr>
      </w:pPr>
      <w:r>
        <w:rPr>
          <w:rFonts w:hint="eastAsia" w:ascii="宋体" w:hAnsi="宋体" w:eastAsia="宋体" w:cs="Times New Roman"/>
          <w:color w:val="000000" w:themeColor="text1"/>
          <w:lang w:val="en-US" w:eastAsia="zh-CN"/>
        </w:rPr>
        <w:t>（</w:t>
      </w:r>
      <w:r>
        <w:rPr>
          <w:rFonts w:hint="eastAsia" w:ascii="宋体" w:hAnsi="宋体" w:cs="Times New Roman"/>
          <w:color w:val="000000" w:themeColor="text1"/>
          <w:lang w:val="en-US" w:eastAsia="zh-CN"/>
        </w:rPr>
        <w:t>4</w:t>
      </w:r>
      <w:r>
        <w:rPr>
          <w:rFonts w:hint="eastAsia" w:ascii="宋体" w:hAnsi="宋体" w:eastAsia="宋体" w:cs="Times New Roman"/>
          <w:color w:val="000000" w:themeColor="text1"/>
          <w:lang w:val="en-US" w:eastAsia="zh-CN"/>
        </w:rPr>
        <w:t>）具有履行合同所必需的的设备和专业技术能力，并在人员、设备、资金等方面具有</w:t>
      </w:r>
      <w:r>
        <w:rPr>
          <w:rFonts w:hint="eastAsia" w:ascii="宋体" w:hAnsi="宋体" w:eastAsia="宋体" w:cs="Times New Roman"/>
          <w:color w:val="auto"/>
          <w:lang w:val="en-US" w:eastAsia="zh-CN"/>
        </w:rPr>
        <w:t>相应施工及供货能力；</w:t>
      </w:r>
    </w:p>
    <w:p>
      <w:pPr>
        <w:numPr>
          <w:ilvl w:val="0"/>
          <w:numId w:val="0"/>
        </w:numPr>
        <w:tabs>
          <w:tab w:val="left" w:pos="7133"/>
        </w:tabs>
        <w:spacing w:line="360" w:lineRule="auto"/>
        <w:rPr>
          <w:rFonts w:hint="eastAsia" w:ascii="宋体" w:hAnsi="宋体" w:eastAsia="宋体" w:cs="Times New Roman"/>
          <w:color w:val="auto"/>
          <w:lang w:val="en-US" w:eastAsia="zh-CN"/>
        </w:rPr>
      </w:pPr>
      <w:r>
        <w:rPr>
          <w:rFonts w:hint="eastAsia" w:ascii="宋体" w:hAnsi="宋体" w:cs="Times New Roman"/>
          <w:color w:val="auto"/>
          <w:lang w:val="en-US" w:eastAsia="zh-CN"/>
        </w:rPr>
        <w:t>（5）</w:t>
      </w:r>
      <w:r>
        <w:rPr>
          <w:rFonts w:hint="eastAsia" w:ascii="宋体" w:hAnsi="宋体" w:eastAsia="宋体" w:cs="Times New Roman"/>
          <w:color w:val="auto"/>
          <w:lang w:val="en-US" w:eastAsia="zh-CN"/>
        </w:rPr>
        <w:t>供应商提供的设备</w:t>
      </w:r>
      <w:r>
        <w:rPr>
          <w:rFonts w:hint="eastAsia" w:ascii="宋体" w:hAnsi="宋体" w:cs="Times New Roman"/>
          <w:color w:val="auto"/>
          <w:lang w:val="en-US" w:eastAsia="zh-CN"/>
        </w:rPr>
        <w:t>具有</w:t>
      </w:r>
      <w:r>
        <w:rPr>
          <w:rFonts w:hint="eastAsia" w:ascii="宋体" w:hAnsi="宋体" w:eastAsia="宋体" w:cs="Times New Roman"/>
          <w:color w:val="auto"/>
          <w:lang w:val="en-US" w:eastAsia="zh-CN"/>
        </w:rPr>
        <w:t>中国民航局《民用航空自动气象观测设备试验验证评估结论》</w:t>
      </w:r>
      <w:r>
        <w:rPr>
          <w:rFonts w:hint="eastAsia" w:ascii="宋体" w:hAnsi="宋体" w:cs="Times New Roman"/>
          <w:color w:val="auto"/>
          <w:lang w:val="en-US" w:eastAsia="zh-CN"/>
        </w:rPr>
        <w:t>气象观测站设备</w:t>
      </w:r>
      <w:r>
        <w:rPr>
          <w:rFonts w:hint="eastAsia" w:ascii="宋体" w:hAnsi="宋体" w:eastAsia="宋体" w:cs="Times New Roman"/>
          <w:color w:val="auto"/>
          <w:lang w:val="en-US" w:eastAsia="zh-CN"/>
        </w:rPr>
        <w:t>；</w:t>
      </w:r>
    </w:p>
    <w:p>
      <w:pPr>
        <w:numPr>
          <w:ilvl w:val="0"/>
          <w:numId w:val="0"/>
        </w:numPr>
        <w:tabs>
          <w:tab w:val="left" w:pos="7133"/>
        </w:tabs>
        <w:spacing w:line="360" w:lineRule="auto"/>
        <w:rPr>
          <w:rFonts w:hint="eastAsia" w:ascii="宋体" w:hAnsi="宋体" w:eastAsia="宋体" w:cs="Times New Roman"/>
          <w:color w:val="000000"/>
          <w:lang w:val="en-US" w:eastAsia="zh-CN"/>
        </w:rPr>
      </w:pPr>
      <w:r>
        <w:rPr>
          <w:rFonts w:hint="eastAsia" w:ascii="宋体" w:hAnsi="宋体" w:cs="Times New Roman"/>
          <w:color w:val="000000"/>
          <w:lang w:val="en-US" w:eastAsia="zh-CN"/>
        </w:rPr>
        <w:t>（6）</w:t>
      </w:r>
      <w:r>
        <w:rPr>
          <w:rFonts w:hint="eastAsia" w:ascii="宋体" w:hAnsi="宋体" w:eastAsia="宋体" w:cs="Times New Roman"/>
          <w:color w:val="000000"/>
          <w:lang w:val="en-US" w:eastAsia="zh-CN"/>
        </w:rPr>
        <w:t>法定代表人或者负责人为同一人或者存在直接控股、管理关系的不同供应商，不得参加同一合同项下的政府采购活动；</w:t>
      </w:r>
    </w:p>
    <w:p>
      <w:pPr>
        <w:tabs>
          <w:tab w:val="left" w:pos="7133"/>
        </w:tabs>
        <w:spacing w:line="360" w:lineRule="auto"/>
        <w:rPr>
          <w:rFonts w:hint="eastAsia" w:ascii="宋体" w:hAnsi="宋体" w:eastAsia="宋体" w:cs="Times New Roman"/>
          <w:color w:val="000000"/>
          <w:lang w:val="en-US" w:eastAsia="zh-CN"/>
        </w:rPr>
      </w:pPr>
      <w:r>
        <w:rPr>
          <w:rFonts w:hint="eastAsia" w:ascii="宋体" w:hAnsi="宋体" w:cs="Times New Roman"/>
          <w:color w:val="000000"/>
          <w:lang w:val="en-US" w:eastAsia="zh-CN"/>
        </w:rPr>
        <w:t>（7）</w:t>
      </w:r>
      <w:r>
        <w:rPr>
          <w:rFonts w:hint="eastAsia" w:ascii="宋体" w:hAnsi="宋体" w:eastAsia="宋体" w:cs="Times New Roman"/>
          <w:color w:val="000000"/>
          <w:lang w:val="en-US" w:eastAsia="zh-CN"/>
        </w:rPr>
        <w:t>本项目不接受联合体投标。</w:t>
      </w:r>
    </w:p>
    <w:p>
      <w:pPr>
        <w:tabs>
          <w:tab w:val="left" w:pos="7133"/>
        </w:tabs>
        <w:spacing w:line="360" w:lineRule="auto"/>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w:t>
      </w:r>
      <w:r>
        <w:rPr>
          <w:rFonts w:hint="eastAsia" w:ascii="宋体" w:hAnsi="宋体" w:cs="Times New Roman"/>
          <w:color w:val="000000"/>
          <w:lang w:val="en-US" w:eastAsia="zh-CN"/>
        </w:rPr>
        <w:t>8）</w:t>
      </w:r>
      <w:r>
        <w:rPr>
          <w:rFonts w:hint="eastAsia" w:ascii="宋体" w:hAnsi="宋体" w:eastAsia="宋体" w:cs="Times New Roman"/>
          <w:color w:val="000000"/>
          <w:lang w:val="en-US" w:eastAsia="zh-CN"/>
        </w:rPr>
        <w:t>本项目为电子招投标，需要使用CA加密设备，供应商可通过新疆数字证书认证中心官网（https://www.xjca.com.cn/）或下载“新疆政务通”APP自行进行申领。</w:t>
      </w:r>
    </w:p>
    <w:p>
      <w:pPr>
        <w:tabs>
          <w:tab w:val="left" w:pos="7133"/>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十</w:t>
      </w:r>
      <w:r>
        <w:rPr>
          <w:rFonts w:hint="eastAsia" w:ascii="宋体" w:hAnsi="宋体" w:cs="Times New Roman"/>
          <w:b/>
          <w:bCs/>
          <w:lang w:val="en-US" w:eastAsia="zh-CN"/>
        </w:rPr>
        <w:t>一</w:t>
      </w:r>
      <w:r>
        <w:rPr>
          <w:rFonts w:hint="eastAsia" w:ascii="宋体" w:hAnsi="宋体" w:eastAsia="宋体" w:cs="Times New Roman"/>
          <w:b/>
          <w:bCs/>
        </w:rPr>
        <w:t>、竞争性磋商文件的获取:</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（1）竞争性磋商文件获取时间：</w:t>
      </w:r>
      <w:r>
        <w:rPr>
          <w:rFonts w:hint="eastAsia" w:ascii="宋体" w:hAnsi="宋体" w:eastAsia="宋体" w:cs="Times New Roman"/>
          <w:b/>
          <w:bCs w:val="0"/>
          <w:color w:val="0000FF"/>
          <w:szCs w:val="21"/>
          <w:lang w:val="en-US" w:eastAsia="zh-CN"/>
        </w:rPr>
        <w:t>2022年</w:t>
      </w:r>
      <w:r>
        <w:rPr>
          <w:rFonts w:hint="eastAsia" w:ascii="宋体" w:hAnsi="宋体" w:cs="Times New Roman"/>
          <w:b/>
          <w:bCs w:val="0"/>
          <w:color w:val="0000FF"/>
          <w:szCs w:val="21"/>
          <w:lang w:val="en-US" w:eastAsia="zh-CN"/>
        </w:rPr>
        <w:t>7</w:t>
      </w:r>
      <w:r>
        <w:rPr>
          <w:rFonts w:hint="eastAsia" w:ascii="宋体" w:hAnsi="宋体" w:eastAsia="宋体" w:cs="Times New Roman"/>
          <w:b/>
          <w:bCs w:val="0"/>
          <w:color w:val="0000FF"/>
          <w:szCs w:val="21"/>
          <w:lang w:val="en-US" w:eastAsia="zh-CN"/>
        </w:rPr>
        <w:t>月</w:t>
      </w:r>
      <w:r>
        <w:rPr>
          <w:rFonts w:hint="default" w:ascii="宋体" w:hAnsi="宋体" w:cs="Times New Roman"/>
          <w:b/>
          <w:bCs w:val="0"/>
          <w:color w:val="0000FF"/>
          <w:szCs w:val="21"/>
          <w:lang w:val="en-US" w:eastAsia="zh-CN"/>
        </w:rPr>
        <w:t>7</w:t>
      </w:r>
      <w:r>
        <w:rPr>
          <w:rFonts w:hint="eastAsia" w:ascii="宋体" w:hAnsi="宋体" w:eastAsia="宋体" w:cs="Times New Roman"/>
          <w:b/>
          <w:bCs w:val="0"/>
          <w:color w:val="0000FF"/>
          <w:szCs w:val="21"/>
          <w:lang w:val="en-US" w:eastAsia="zh-CN"/>
        </w:rPr>
        <w:t>日起至2022年7月</w:t>
      </w:r>
      <w:r>
        <w:rPr>
          <w:rFonts w:hint="default" w:ascii="宋体" w:hAnsi="宋体" w:cs="Times New Roman"/>
          <w:b/>
          <w:bCs w:val="0"/>
          <w:color w:val="0000FF"/>
          <w:szCs w:val="21"/>
          <w:lang w:val="en-US" w:eastAsia="zh-CN"/>
        </w:rPr>
        <w:t>19</w:t>
      </w:r>
      <w:r>
        <w:rPr>
          <w:rFonts w:hint="eastAsia" w:ascii="宋体" w:hAnsi="宋体" w:eastAsia="宋体" w:cs="Times New Roman"/>
          <w:b/>
          <w:bCs w:val="0"/>
          <w:color w:val="0000FF"/>
          <w:szCs w:val="21"/>
          <w:lang w:val="en-US" w:eastAsia="zh-CN"/>
        </w:rPr>
        <w:t>日止</w:t>
      </w:r>
      <w:r>
        <w:rPr>
          <w:rFonts w:hint="eastAsia" w:ascii="宋体" w:hAnsi="宋体" w:eastAsia="宋体" w:cs="Times New Roman"/>
        </w:rPr>
        <w:t>。（工作日</w:t>
      </w:r>
      <w:r>
        <w:rPr>
          <w:rFonts w:hint="eastAsia" w:ascii="宋体" w:hAnsi="宋体" w:cs="Times New Roman"/>
          <w:lang w:val="en-US" w:eastAsia="zh-CN"/>
        </w:rPr>
        <w:t>9</w:t>
      </w:r>
      <w:r>
        <w:rPr>
          <w:rFonts w:hint="eastAsia" w:ascii="宋体" w:hAnsi="宋体" w:eastAsia="宋体" w:cs="Times New Roman"/>
        </w:rPr>
        <w:t>：</w:t>
      </w:r>
      <w:r>
        <w:rPr>
          <w:rFonts w:hint="eastAsia" w:ascii="宋体" w:hAnsi="宋体" w:cs="Times New Roman"/>
          <w:lang w:val="en-US" w:eastAsia="zh-CN"/>
        </w:rPr>
        <w:t>3</w:t>
      </w:r>
      <w:r>
        <w:rPr>
          <w:rFonts w:hint="eastAsia" w:ascii="宋体" w:hAnsi="宋体" w:eastAsia="宋体" w:cs="Times New Roman"/>
        </w:rPr>
        <w:t>0-1</w:t>
      </w:r>
      <w:r>
        <w:rPr>
          <w:rFonts w:hint="eastAsia" w:ascii="宋体" w:hAnsi="宋体" w:cs="Times New Roman"/>
          <w:lang w:val="en-US" w:eastAsia="zh-CN"/>
        </w:rPr>
        <w:t>3</w:t>
      </w:r>
      <w:r>
        <w:rPr>
          <w:rFonts w:hint="eastAsia" w:ascii="宋体" w:hAnsi="宋体" w:eastAsia="宋体" w:cs="Times New Roman"/>
        </w:rPr>
        <w:t>：</w:t>
      </w:r>
      <w:r>
        <w:rPr>
          <w:rFonts w:hint="eastAsia" w:ascii="宋体" w:hAnsi="宋体" w:cs="Times New Roman"/>
          <w:lang w:val="en-US" w:eastAsia="zh-CN"/>
        </w:rPr>
        <w:t>3</w:t>
      </w:r>
      <w:r>
        <w:rPr>
          <w:rFonts w:hint="eastAsia" w:ascii="宋体" w:hAnsi="宋体" w:eastAsia="宋体" w:cs="Times New Roman"/>
        </w:rPr>
        <w:t>0，</w:t>
      </w:r>
      <w:r>
        <w:rPr>
          <w:rFonts w:hint="eastAsia" w:ascii="宋体" w:hAnsi="宋体" w:eastAsia="宋体" w:cs="Times New Roman"/>
          <w:lang w:val="en-US" w:eastAsia="zh-CN"/>
        </w:rPr>
        <w:t>16：00</w:t>
      </w:r>
      <w:r>
        <w:rPr>
          <w:rFonts w:hint="eastAsia" w:ascii="宋体" w:hAnsi="宋体" w:eastAsia="宋体" w:cs="Times New Roman"/>
        </w:rPr>
        <w:t>-</w:t>
      </w:r>
      <w:r>
        <w:rPr>
          <w:rFonts w:hint="eastAsia" w:ascii="宋体" w:hAnsi="宋体" w:eastAsia="宋体" w:cs="Times New Roman"/>
          <w:lang w:val="en-US" w:eastAsia="zh-CN"/>
        </w:rPr>
        <w:t>20</w:t>
      </w:r>
      <w:r>
        <w:rPr>
          <w:rFonts w:hint="eastAsia" w:ascii="宋体" w:hAnsi="宋体" w:eastAsia="宋体" w:cs="Times New Roman"/>
        </w:rPr>
        <w:t>：00）。</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2）获取方式：供应商登陆政采云平台http://www.zcygov.cn/在线申请获取采购文件（进入“项目采购”应用，在获取采购文件菜单中选择项目，申请获取采购文件），审核通过后可下载竞争性磋商文件，本次招标不提供纸质版竞争性磋商文件。如有操作性问题，可与政采云热线客服进行咨询，咨询电话400-881-7190。</w:t>
      </w:r>
    </w:p>
    <w:p>
      <w:pPr>
        <w:tabs>
          <w:tab w:val="left" w:pos="7133"/>
        </w:tabs>
        <w:spacing w:line="360" w:lineRule="auto"/>
        <w:rPr>
          <w:rFonts w:hint="eastAsia" w:ascii="宋体" w:hAnsi="宋体" w:eastAsia="宋体" w:cs="Times New Roman"/>
          <w:b/>
          <w:bCs/>
          <w:u w:val="single"/>
        </w:rPr>
      </w:pPr>
      <w:r>
        <w:rPr>
          <w:rFonts w:hint="eastAsia" w:ascii="宋体" w:hAnsi="宋体" w:eastAsia="宋体" w:cs="Times New Roman"/>
          <w:lang w:eastAsia="zh-CN"/>
        </w:rPr>
        <w:t>（</w:t>
      </w:r>
      <w:r>
        <w:rPr>
          <w:rFonts w:hint="eastAsia" w:ascii="宋体" w:hAnsi="宋体" w:eastAsia="宋体" w:cs="Times New Roman"/>
          <w:lang w:val="en-US" w:eastAsia="zh-CN"/>
        </w:rPr>
        <w:t>3</w:t>
      </w:r>
      <w:r>
        <w:rPr>
          <w:rFonts w:hint="eastAsia" w:ascii="宋体" w:hAnsi="宋体" w:eastAsia="宋体" w:cs="Times New Roman"/>
          <w:lang w:eastAsia="zh-CN"/>
        </w:rPr>
        <w:t>）</w:t>
      </w:r>
      <w:r>
        <w:rPr>
          <w:rFonts w:hint="eastAsia" w:ascii="宋体" w:hAnsi="宋体" w:eastAsia="宋体" w:cs="Times New Roman"/>
        </w:rPr>
        <w:t>获取磋商文件应上传：</w:t>
      </w:r>
      <w:r>
        <w:rPr>
          <w:rFonts w:hint="eastAsia" w:ascii="宋体" w:hAnsi="宋体" w:eastAsia="宋体" w:cs="Times New Roman"/>
          <w:b/>
          <w:bCs/>
          <w:u w:val="single"/>
        </w:rPr>
        <w:t>（1）营业执照副本原件扫描件；（2）法定代表人身份证明原件扫描件或法人授权委托书原件扫描件及被授权人《居民身份证》原件扫描件；</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tabs>
          <w:tab w:val="left" w:pos="7133"/>
        </w:tabs>
        <w:spacing w:line="360" w:lineRule="auto"/>
        <w:rPr>
          <w:rFonts w:hint="eastAsia" w:ascii="宋体" w:hAnsi="宋体" w:eastAsia="宋体" w:cs="Times New Roman"/>
        </w:rPr>
      </w:pPr>
      <w:r>
        <w:rPr>
          <w:rFonts w:hint="eastAsia" w:ascii="宋体" w:hAnsi="宋体" w:eastAsia="宋体" w:cs="Times New Roman"/>
          <w:b/>
          <w:bCs/>
          <w:lang w:val="en-US" w:eastAsia="zh-CN"/>
        </w:rPr>
        <w:t>十</w:t>
      </w:r>
      <w:r>
        <w:rPr>
          <w:rFonts w:hint="eastAsia" w:ascii="宋体" w:hAnsi="宋体" w:cs="Times New Roman"/>
          <w:b/>
          <w:bCs/>
          <w:lang w:val="en-US" w:eastAsia="zh-CN"/>
        </w:rPr>
        <w:t>二</w:t>
      </w:r>
      <w:r>
        <w:rPr>
          <w:rFonts w:hint="eastAsia" w:ascii="宋体" w:hAnsi="宋体" w:eastAsia="宋体" w:cs="Times New Roman"/>
          <w:b/>
          <w:bCs/>
        </w:rPr>
        <w:t>、磋商保证金缴纳及确认时间：</w:t>
      </w:r>
      <w:r>
        <w:rPr>
          <w:rFonts w:hint="eastAsia" w:ascii="宋体" w:hAnsi="宋体" w:eastAsia="宋体" w:cs="Times New Roman"/>
        </w:rPr>
        <w:t>凡拟参加本次采购项目的供应商，必须在</w:t>
      </w:r>
      <w:r>
        <w:rPr>
          <w:rFonts w:hint="eastAsia" w:ascii="宋体" w:hAnsi="宋体" w:eastAsia="宋体" w:cs="Times New Roman"/>
          <w:b/>
          <w:bCs w:val="0"/>
          <w:color w:val="0000FF"/>
          <w:szCs w:val="21"/>
          <w:lang w:val="en-US" w:eastAsia="zh-CN"/>
        </w:rPr>
        <w:t>2022年7月</w:t>
      </w:r>
      <w:r>
        <w:rPr>
          <w:rFonts w:hint="default" w:ascii="宋体" w:hAnsi="宋体" w:cs="Times New Roman"/>
          <w:b/>
          <w:bCs w:val="0"/>
          <w:color w:val="0000FF"/>
          <w:szCs w:val="21"/>
          <w:lang w:val="en-US" w:eastAsia="zh-CN"/>
        </w:rPr>
        <w:t>21</w:t>
      </w:r>
      <w:r>
        <w:rPr>
          <w:rFonts w:hint="eastAsia" w:ascii="宋体" w:hAnsi="宋体" w:eastAsia="宋体" w:cs="Times New Roman"/>
          <w:b/>
          <w:bCs w:val="0"/>
          <w:color w:val="0000FF"/>
          <w:szCs w:val="21"/>
          <w:lang w:val="en-US" w:eastAsia="zh-CN"/>
        </w:rPr>
        <w:t>日10：30时（北京时间）</w:t>
      </w:r>
      <w:r>
        <w:rPr>
          <w:rFonts w:hint="eastAsia" w:ascii="宋体" w:hAnsi="宋体" w:eastAsia="宋体" w:cs="Times New Roman"/>
        </w:rPr>
        <w:t>前将磋商保证金汇入指定账户。本项目缴纳磋商保证金</w:t>
      </w:r>
      <w:r>
        <w:rPr>
          <w:rFonts w:hint="eastAsia" w:ascii="宋体" w:hAnsi="宋体" w:eastAsia="宋体" w:cs="Times New Roman"/>
          <w:b/>
          <w:bCs/>
          <w:color w:val="000000"/>
        </w:rPr>
        <w:t>（</w:t>
      </w:r>
      <w:r>
        <w:rPr>
          <w:rFonts w:hint="eastAsia" w:ascii="宋体" w:hAnsi="宋体" w:eastAsia="宋体" w:cs="Times New Roman"/>
          <w:b/>
          <w:bCs/>
          <w:color w:val="000000"/>
          <w:lang w:val="en-US" w:eastAsia="zh-CN"/>
        </w:rPr>
        <w:t>叁</w:t>
      </w:r>
      <w:r>
        <w:rPr>
          <w:rFonts w:hint="eastAsia" w:ascii="宋体" w:hAnsi="宋体" w:eastAsia="宋体" w:cs="Times New Roman"/>
          <w:b/>
          <w:bCs/>
          <w:color w:val="000000"/>
        </w:rPr>
        <w:t>万元整）</w:t>
      </w:r>
      <w:r>
        <w:rPr>
          <w:rFonts w:hint="eastAsia" w:ascii="宋体" w:hAnsi="宋体" w:eastAsia="宋体" w:cs="Times New Roman"/>
        </w:rPr>
        <w:t>。磋商保证金汇款凭证上用途栏应注明采购项目编号或项目名称。否则， 因款项用途不明导致磋商保证金无效等后果由投标供应商自行承担。</w:t>
      </w:r>
    </w:p>
    <w:p>
      <w:pPr>
        <w:tabs>
          <w:tab w:val="left" w:pos="7133"/>
        </w:tabs>
        <w:spacing w:line="360" w:lineRule="auto"/>
        <w:rPr>
          <w:rFonts w:hint="eastAsia" w:ascii="宋体" w:hAnsi="宋体" w:eastAsia="宋体" w:cs="Times New Roman"/>
        </w:rPr>
      </w:pPr>
      <w:r>
        <w:rPr>
          <w:rFonts w:hint="eastAsia" w:ascii="宋体" w:hAnsi="宋体" w:eastAsia="宋体" w:cs="Times New Roman"/>
          <w:b/>
          <w:bCs/>
        </w:rPr>
        <w:t>十</w:t>
      </w:r>
      <w:r>
        <w:rPr>
          <w:rFonts w:hint="eastAsia" w:ascii="宋体" w:hAnsi="宋体" w:cs="Times New Roman"/>
          <w:b/>
          <w:bCs/>
          <w:lang w:val="en-US" w:eastAsia="zh-CN"/>
        </w:rPr>
        <w:t>三</w:t>
      </w:r>
      <w:r>
        <w:rPr>
          <w:rFonts w:hint="eastAsia" w:ascii="宋体" w:hAnsi="宋体" w:eastAsia="宋体" w:cs="Times New Roman"/>
          <w:b/>
          <w:bCs/>
        </w:rPr>
        <w:t>、磋商文件售价：</w:t>
      </w:r>
      <w:r>
        <w:rPr>
          <w:rFonts w:hint="eastAsia" w:ascii="宋体" w:hAnsi="宋体" w:eastAsia="宋体" w:cs="Times New Roman"/>
        </w:rPr>
        <w:t>免费。</w:t>
      </w:r>
    </w:p>
    <w:p>
      <w:pPr>
        <w:tabs>
          <w:tab w:val="left" w:pos="7133"/>
        </w:tabs>
        <w:spacing w:line="360" w:lineRule="auto"/>
        <w:rPr>
          <w:rFonts w:hint="eastAsia" w:ascii="宋体" w:hAnsi="宋体" w:eastAsia="宋体" w:cs="Times New Roman"/>
          <w:b/>
          <w:bCs/>
        </w:rPr>
      </w:pPr>
      <w:r>
        <w:rPr>
          <w:rFonts w:hint="eastAsia" w:ascii="宋体" w:hAnsi="宋体" w:eastAsia="宋体" w:cs="Times New Roman"/>
          <w:b/>
          <w:bCs/>
        </w:rPr>
        <w:t>十</w:t>
      </w:r>
      <w:r>
        <w:rPr>
          <w:rFonts w:hint="eastAsia" w:ascii="宋体" w:hAnsi="宋体" w:cs="Times New Roman"/>
          <w:b/>
          <w:bCs/>
          <w:lang w:val="en-US" w:eastAsia="zh-CN"/>
        </w:rPr>
        <w:t>四</w:t>
      </w:r>
      <w:r>
        <w:rPr>
          <w:rFonts w:hint="eastAsia" w:ascii="宋体" w:hAnsi="宋体" w:eastAsia="宋体" w:cs="Times New Roman"/>
          <w:b/>
          <w:bCs/>
        </w:rPr>
        <w:t>、响应文件提交：</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截止时间：</w:t>
      </w:r>
      <w:r>
        <w:rPr>
          <w:rFonts w:hint="eastAsia" w:ascii="宋体" w:hAnsi="宋体" w:eastAsia="宋体" w:cs="Times New Roman"/>
          <w:b/>
          <w:bCs w:val="0"/>
          <w:color w:val="0000FF"/>
          <w:szCs w:val="21"/>
          <w:lang w:val="en-US" w:eastAsia="zh-CN"/>
        </w:rPr>
        <w:t>2022年7月</w:t>
      </w:r>
      <w:r>
        <w:rPr>
          <w:rFonts w:hint="default" w:ascii="宋体" w:hAnsi="宋体" w:cs="Times New Roman"/>
          <w:b/>
          <w:bCs w:val="0"/>
          <w:color w:val="0000FF"/>
          <w:szCs w:val="21"/>
          <w:lang w:val="en-US" w:eastAsia="zh-CN"/>
        </w:rPr>
        <w:t>21</w:t>
      </w:r>
      <w:r>
        <w:rPr>
          <w:rFonts w:hint="eastAsia" w:ascii="宋体" w:hAnsi="宋体" w:eastAsia="宋体" w:cs="Times New Roman"/>
          <w:b/>
          <w:bCs w:val="0"/>
          <w:color w:val="0000FF"/>
          <w:szCs w:val="21"/>
          <w:lang w:val="en-US" w:eastAsia="zh-CN"/>
        </w:rPr>
        <w:t>日 上午10:30（北京时间)</w:t>
      </w:r>
      <w:r>
        <w:rPr>
          <w:rFonts w:hint="eastAsia" w:ascii="宋体" w:hAnsi="宋体" w:eastAsia="宋体" w:cs="Times New Roman"/>
        </w:rPr>
        <w:t xml:space="preserve">，逾期恕不接受。 </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地  点：各供应商应在响应文件提交截止时间前，通过“政采云”平台（https://www.zcygov.cn）</w:t>
      </w:r>
      <w:r>
        <w:rPr>
          <w:rFonts w:hint="eastAsia" w:ascii="宋体" w:hAnsi="宋体" w:cs="Times New Roman"/>
          <w:lang w:val="en-US" w:eastAsia="zh-CN"/>
        </w:rPr>
        <w:t>投标客户端</w:t>
      </w:r>
      <w:r>
        <w:rPr>
          <w:rFonts w:hint="eastAsia" w:ascii="宋体" w:hAnsi="宋体" w:eastAsia="宋体" w:cs="Times New Roman"/>
        </w:rPr>
        <w:t>上传加密的电子响应文件。</w:t>
      </w:r>
    </w:p>
    <w:p>
      <w:pPr>
        <w:tabs>
          <w:tab w:val="left" w:pos="7133"/>
        </w:tabs>
        <w:spacing w:line="360" w:lineRule="auto"/>
        <w:rPr>
          <w:rFonts w:hint="eastAsia" w:ascii="宋体" w:hAnsi="宋体" w:eastAsia="宋体" w:cs="Times New Roman"/>
          <w:b/>
          <w:bCs/>
        </w:rPr>
      </w:pPr>
      <w:r>
        <w:rPr>
          <w:rFonts w:hint="eastAsia" w:ascii="宋体" w:hAnsi="宋体" w:eastAsia="宋体" w:cs="Times New Roman"/>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w:t>
      </w:r>
      <w:r>
        <w:rPr>
          <w:rFonts w:hint="eastAsia" w:ascii="宋体" w:hAnsi="宋体" w:eastAsia="宋体" w:cs="Times New Roman"/>
          <w:b w:val="0"/>
          <w:bCs w:val="0"/>
        </w:rPr>
        <w:t>881-7190。</w:t>
      </w:r>
    </w:p>
    <w:p>
      <w:pPr>
        <w:tabs>
          <w:tab w:val="left" w:pos="7133"/>
        </w:tabs>
        <w:spacing w:line="360" w:lineRule="auto"/>
        <w:rPr>
          <w:rFonts w:hint="eastAsia" w:ascii="宋体" w:hAnsi="宋体" w:eastAsia="宋体" w:cs="Times New Roman"/>
        </w:rPr>
      </w:pPr>
      <w:r>
        <w:rPr>
          <w:rFonts w:hint="eastAsia" w:ascii="宋体" w:hAnsi="宋体" w:eastAsia="宋体" w:cs="Times New Roman"/>
          <w:b/>
          <w:bCs/>
        </w:rPr>
        <w:t>十</w:t>
      </w:r>
      <w:r>
        <w:rPr>
          <w:rFonts w:hint="eastAsia" w:ascii="宋体" w:hAnsi="宋体" w:cs="Times New Roman"/>
          <w:b/>
          <w:bCs/>
          <w:lang w:val="en-US" w:eastAsia="zh-CN"/>
        </w:rPr>
        <w:t>五</w:t>
      </w:r>
      <w:r>
        <w:rPr>
          <w:rFonts w:hint="eastAsia" w:ascii="宋体" w:hAnsi="宋体" w:eastAsia="宋体" w:cs="Times New Roman"/>
          <w:b/>
          <w:bCs/>
        </w:rPr>
        <w:t>、磋商时间（开标时间）及地点：</w:t>
      </w:r>
      <w:r>
        <w:rPr>
          <w:rFonts w:hint="eastAsia" w:ascii="宋体" w:hAnsi="宋体" w:eastAsia="宋体" w:cs="Times New Roman"/>
        </w:rPr>
        <w:t xml:space="preserve"> </w:t>
      </w:r>
    </w:p>
    <w:p>
      <w:pPr>
        <w:tabs>
          <w:tab w:val="left" w:pos="7133"/>
        </w:tabs>
        <w:spacing w:line="360" w:lineRule="auto"/>
        <w:rPr>
          <w:rFonts w:hint="eastAsia" w:ascii="宋体" w:hAnsi="宋体" w:eastAsia="宋体" w:cs="Times New Roman"/>
          <w:b/>
          <w:bCs w:val="0"/>
          <w:color w:val="0000FF"/>
          <w:szCs w:val="21"/>
          <w:lang w:val="en-US" w:eastAsia="zh-CN"/>
        </w:rPr>
      </w:pPr>
      <w:r>
        <w:rPr>
          <w:rFonts w:hint="eastAsia" w:ascii="宋体" w:hAnsi="宋体" w:eastAsia="宋体" w:cs="Times New Roman"/>
        </w:rPr>
        <w:t>1、时间：</w:t>
      </w:r>
      <w:r>
        <w:rPr>
          <w:rFonts w:hint="eastAsia" w:ascii="宋体" w:hAnsi="宋体" w:eastAsia="宋体" w:cs="Times New Roman"/>
          <w:b/>
          <w:bCs w:val="0"/>
          <w:color w:val="0000FF"/>
          <w:szCs w:val="21"/>
          <w:lang w:val="en-US" w:eastAsia="zh-CN"/>
        </w:rPr>
        <w:t>2022年7月</w:t>
      </w:r>
      <w:r>
        <w:rPr>
          <w:rFonts w:hint="default" w:ascii="宋体" w:hAnsi="宋体" w:cs="Times New Roman"/>
          <w:b/>
          <w:bCs w:val="0"/>
          <w:color w:val="0000FF"/>
          <w:szCs w:val="21"/>
          <w:lang w:val="en-US" w:eastAsia="zh-CN"/>
        </w:rPr>
        <w:t>21</w:t>
      </w:r>
      <w:r>
        <w:rPr>
          <w:rFonts w:hint="eastAsia" w:ascii="宋体" w:hAnsi="宋体" w:eastAsia="宋体" w:cs="Times New Roman"/>
          <w:b/>
          <w:bCs w:val="0"/>
          <w:color w:val="0000FF"/>
          <w:szCs w:val="21"/>
          <w:lang w:val="en-US" w:eastAsia="zh-CN"/>
        </w:rPr>
        <w:t xml:space="preserve">日上午10:30（北京时间)。 </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2、地点：“政采云”平台（https://www.zcygov.cn）线上开标。</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注意事项：1.本项目采用全流程不见面电子开评标，投标供应商需要使用CA加密设备，供应商可通过新疆数字证书认证中心官网（https://www.xjca.com.cn/）或下载“新疆政务通”APP自行进行申领。</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 xml:space="preserve">2.本项目实行网上投标，采用加密电子投标响应文件(供应商须使用CA加密设备通过政采云电子投标客户端制作投标响应文件)。若供应商参与投标，自行承担投标一切费用。 </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3.各供应商在开标前应确保成为新疆维吾尔自治区政府采购网正式注册入库供应商，并完成CA数字证书申领。因未注册入库、未办理CA数字证书等原因造成无法投标或投标失败等后果由供应商自行承担。</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 xml:space="preserve">5.供应商在开标时须使用制作加密电子投标响应文件所使用的CA锁及电脑，电脑须提前配置好浏览器（建议使用360浏览器或谷歌浏览器），以便开标时解锁。 </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7.为了保证开评标顺利进行，政采云线上开标功能完全实现，供应商开标所使用的电脑设备须具有视频及语音功能。</w:t>
      </w:r>
    </w:p>
    <w:p>
      <w:pPr>
        <w:pStyle w:val="2"/>
        <w:rPr>
          <w:rFonts w:hint="eastAsia"/>
        </w:rPr>
      </w:pPr>
    </w:p>
    <w:p>
      <w:pPr>
        <w:tabs>
          <w:tab w:val="left" w:pos="7133"/>
        </w:tabs>
        <w:spacing w:line="360" w:lineRule="auto"/>
        <w:rPr>
          <w:rFonts w:hint="eastAsia" w:ascii="宋体" w:hAnsi="宋体" w:eastAsia="宋体" w:cs="Times New Roman"/>
        </w:rPr>
      </w:pPr>
      <w:r>
        <w:rPr>
          <w:rFonts w:hint="eastAsia" w:ascii="宋体" w:hAnsi="宋体" w:eastAsia="宋体" w:cs="Times New Roman"/>
          <w:b/>
          <w:bCs/>
        </w:rPr>
        <w:t>十</w:t>
      </w:r>
      <w:r>
        <w:rPr>
          <w:rFonts w:hint="eastAsia" w:ascii="宋体" w:hAnsi="宋体" w:cs="Times New Roman"/>
          <w:b/>
          <w:bCs/>
          <w:lang w:val="en-US" w:eastAsia="zh-CN"/>
        </w:rPr>
        <w:t>六</w:t>
      </w:r>
      <w:r>
        <w:rPr>
          <w:rFonts w:hint="eastAsia" w:ascii="宋体" w:hAnsi="宋体" w:eastAsia="宋体" w:cs="Times New Roman"/>
          <w:b/>
          <w:bCs/>
        </w:rPr>
        <w:t xml:space="preserve">、联系方式  </w:t>
      </w:r>
      <w:r>
        <w:rPr>
          <w:rFonts w:hint="eastAsia" w:ascii="宋体" w:hAnsi="宋体" w:eastAsia="宋体" w:cs="Times New Roman"/>
        </w:rPr>
        <w:t xml:space="preserve">                                  </w:t>
      </w:r>
    </w:p>
    <w:p>
      <w:pPr>
        <w:tabs>
          <w:tab w:val="left" w:pos="7133"/>
        </w:tabs>
        <w:spacing w:line="360" w:lineRule="auto"/>
        <w:rPr>
          <w:rFonts w:hint="eastAsia" w:ascii="宋体" w:hAnsi="宋体" w:eastAsia="宋体" w:cs="Times New Roman"/>
          <w:lang w:eastAsia="zh-CN"/>
        </w:rPr>
      </w:pPr>
      <w:r>
        <w:rPr>
          <w:rFonts w:hint="eastAsia" w:ascii="宋体" w:hAnsi="宋体" w:eastAsia="宋体" w:cs="Times New Roman"/>
          <w:lang w:eastAsia="zh-CN"/>
        </w:rPr>
        <w:t>采 购 人：博湖县发展和改革委员会</w:t>
      </w:r>
    </w:p>
    <w:p>
      <w:pPr>
        <w:tabs>
          <w:tab w:val="left" w:pos="7133"/>
        </w:tabs>
        <w:spacing w:line="360" w:lineRule="auto"/>
        <w:rPr>
          <w:rFonts w:hint="eastAsia" w:ascii="宋体" w:hAnsi="宋体" w:eastAsia="宋体" w:cs="Times New Roman"/>
          <w:lang w:val="en-US" w:eastAsia="zh-CN"/>
        </w:rPr>
      </w:pPr>
      <w:r>
        <w:rPr>
          <w:rFonts w:hint="eastAsia" w:ascii="宋体" w:hAnsi="宋体" w:eastAsia="宋体" w:cs="Times New Roman"/>
          <w:lang w:eastAsia="zh-CN"/>
        </w:rPr>
        <w:t>联 系 人：</w:t>
      </w:r>
      <w:r>
        <w:rPr>
          <w:rFonts w:hint="eastAsia" w:ascii="宋体" w:hAnsi="宋体" w:eastAsia="宋体" w:cs="Times New Roman"/>
          <w:lang w:val="en-US" w:eastAsia="zh-CN"/>
        </w:rPr>
        <w:t>高祥胜</w:t>
      </w:r>
    </w:p>
    <w:p>
      <w:pPr>
        <w:tabs>
          <w:tab w:val="left" w:pos="7133"/>
        </w:tabs>
        <w:spacing w:line="360" w:lineRule="auto"/>
        <w:rPr>
          <w:rFonts w:hint="eastAsia" w:ascii="宋体" w:hAnsi="宋体" w:eastAsia="宋体" w:cs="Times New Roman"/>
          <w:lang w:eastAsia="zh-CN"/>
        </w:rPr>
      </w:pPr>
      <w:r>
        <w:rPr>
          <w:rFonts w:hint="eastAsia" w:ascii="宋体" w:hAnsi="宋体" w:eastAsia="宋体" w:cs="Times New Roman"/>
          <w:lang w:eastAsia="zh-CN"/>
        </w:rPr>
        <w:t>联系电话：</w:t>
      </w:r>
      <w:r>
        <w:rPr>
          <w:rFonts w:hint="eastAsia" w:ascii="宋体" w:hAnsi="宋体" w:eastAsia="宋体" w:cs="Times New Roman"/>
          <w:lang w:val="en-US" w:eastAsia="zh-CN"/>
        </w:rPr>
        <w:t>13779699382</w:t>
      </w:r>
    </w:p>
    <w:p>
      <w:pPr>
        <w:tabs>
          <w:tab w:val="left" w:pos="7133"/>
        </w:tabs>
        <w:spacing w:line="360" w:lineRule="auto"/>
        <w:rPr>
          <w:rFonts w:hint="eastAsia" w:ascii="宋体" w:hAnsi="宋体" w:eastAsia="宋体" w:cs="Times New Roman"/>
        </w:rPr>
      </w:pPr>
      <w:r>
        <w:rPr>
          <w:rFonts w:hint="eastAsia" w:ascii="宋体" w:hAnsi="宋体" w:eastAsia="宋体" w:cs="Times New Roman"/>
        </w:rPr>
        <w:t>采购代理机构：</w:t>
      </w:r>
      <w:r>
        <w:rPr>
          <w:rFonts w:hint="eastAsia" w:ascii="宋体" w:hAnsi="宋体" w:eastAsia="宋体" w:cs="Times New Roman"/>
          <w:lang w:eastAsia="zh-CN"/>
        </w:rPr>
        <w:t>新疆汇力赋能项目管理有限责任公司</w:t>
      </w:r>
      <w:r>
        <w:rPr>
          <w:rFonts w:hint="eastAsia" w:ascii="宋体" w:hAnsi="宋体" w:eastAsia="宋体" w:cs="Times New Roman"/>
        </w:rPr>
        <w:t xml:space="preserve"> </w:t>
      </w:r>
    </w:p>
    <w:p>
      <w:pPr>
        <w:tabs>
          <w:tab w:val="left" w:pos="7133"/>
        </w:tabs>
        <w:spacing w:line="360" w:lineRule="auto"/>
        <w:rPr>
          <w:rFonts w:hint="eastAsia" w:ascii="宋体" w:hAnsi="宋体" w:eastAsia="宋体" w:cs="Times New Roman"/>
          <w:lang w:val="en-US" w:eastAsia="zh-CN"/>
        </w:rPr>
      </w:pPr>
      <w:r>
        <w:rPr>
          <w:rFonts w:hint="eastAsia" w:ascii="宋体" w:hAnsi="宋体" w:eastAsia="宋体" w:cs="Times New Roman"/>
        </w:rPr>
        <w:t>采购代理机构联系人：</w:t>
      </w:r>
      <w:r>
        <w:rPr>
          <w:rFonts w:hint="eastAsia" w:ascii="宋体" w:hAnsi="宋体" w:eastAsia="宋体" w:cs="Times New Roman"/>
          <w:lang w:val="en-US" w:eastAsia="zh-CN"/>
        </w:rPr>
        <w:t xml:space="preserve">方桦柯珺  </w:t>
      </w:r>
    </w:p>
    <w:p>
      <w:pPr>
        <w:tabs>
          <w:tab w:val="left" w:pos="7133"/>
        </w:tabs>
        <w:spacing w:line="360" w:lineRule="auto"/>
        <w:rPr>
          <w:rFonts w:hint="eastAsia" w:ascii="宋体" w:hAnsi="宋体" w:eastAsia="宋体" w:cs="Times New Roman"/>
          <w:lang w:val="en-US" w:eastAsia="zh-CN"/>
        </w:rPr>
      </w:pPr>
      <w:r>
        <w:rPr>
          <w:rFonts w:hint="eastAsia" w:ascii="宋体" w:hAnsi="宋体" w:eastAsia="宋体" w:cs="Times New Roman"/>
        </w:rPr>
        <w:t>联系电话：0996-</w:t>
      </w:r>
      <w:r>
        <w:rPr>
          <w:rFonts w:hint="eastAsia" w:ascii="宋体" w:hAnsi="宋体" w:eastAsia="宋体" w:cs="Times New Roman"/>
          <w:lang w:val="en-US" w:eastAsia="zh-CN"/>
        </w:rPr>
        <w:t>2118336</w:t>
      </w:r>
    </w:p>
    <w:p>
      <w:pPr>
        <w:tabs>
          <w:tab w:val="left" w:pos="7133"/>
        </w:tabs>
        <w:spacing w:line="360" w:lineRule="auto"/>
        <w:rPr>
          <w:rFonts w:hint="eastAsia" w:ascii="宋体" w:hAnsi="宋体" w:eastAsia="宋体" w:cs="Times New Roman"/>
        </w:rPr>
      </w:pPr>
    </w:p>
    <w:p>
      <w:pPr>
        <w:tabs>
          <w:tab w:val="left" w:pos="7133"/>
        </w:tabs>
        <w:spacing w:line="360" w:lineRule="auto"/>
        <w:rPr>
          <w:rFonts w:hint="eastAsia" w:ascii="宋体" w:hAnsi="宋体" w:eastAsia="宋体" w:cs="Times New Roman"/>
        </w:rPr>
      </w:pPr>
    </w:p>
    <w:p>
      <w:pPr>
        <w:tabs>
          <w:tab w:val="left" w:pos="7133"/>
        </w:tabs>
        <w:spacing w:line="360" w:lineRule="auto"/>
        <w:rPr>
          <w:rFonts w:hint="eastAsia" w:ascii="宋体" w:hAnsi="宋体" w:eastAsia="宋体" w:cs="Times New Roman"/>
        </w:rPr>
      </w:pPr>
    </w:p>
    <w:p>
      <w:pPr>
        <w:tabs>
          <w:tab w:val="left" w:pos="7133"/>
        </w:tabs>
        <w:spacing w:line="360" w:lineRule="auto"/>
        <w:jc w:val="right"/>
        <w:rPr>
          <w:rFonts w:hint="eastAsia" w:ascii="宋体" w:hAnsi="宋体" w:eastAsia="宋体" w:cs="Times New Roman"/>
          <w:lang w:eastAsia="zh-CN"/>
        </w:rPr>
      </w:pPr>
      <w:r>
        <w:rPr>
          <w:rFonts w:hint="eastAsia" w:ascii="宋体" w:hAnsi="宋体" w:eastAsia="宋体" w:cs="Times New Roman"/>
          <w:lang w:eastAsia="zh-CN"/>
        </w:rPr>
        <w:t>博湖县发展和改革委员会</w:t>
      </w:r>
    </w:p>
    <w:p>
      <w:pPr>
        <w:tabs>
          <w:tab w:val="left" w:pos="7133"/>
        </w:tabs>
        <w:spacing w:line="360" w:lineRule="auto"/>
        <w:jc w:val="right"/>
        <w:rPr>
          <w:rFonts w:hint="eastAsia" w:ascii="宋体" w:hAnsi="宋体" w:eastAsia="宋体" w:cs="Times New Roman"/>
        </w:rPr>
      </w:pPr>
      <w:r>
        <w:rPr>
          <w:rFonts w:hint="eastAsia" w:ascii="宋体" w:hAnsi="宋体" w:eastAsia="宋体" w:cs="Times New Roman"/>
          <w:lang w:eastAsia="zh-CN"/>
        </w:rPr>
        <w:t>新疆汇力赋能项目管理有限责任公司</w:t>
      </w:r>
      <w:r>
        <w:rPr>
          <w:rFonts w:hint="eastAsia" w:ascii="宋体" w:hAnsi="宋体" w:eastAsia="宋体" w:cs="Times New Roman"/>
        </w:rPr>
        <w:t xml:space="preserve"> </w:t>
      </w:r>
    </w:p>
    <w:p>
      <w:pPr>
        <w:tabs>
          <w:tab w:val="left" w:pos="7133"/>
        </w:tabs>
        <w:spacing w:line="360" w:lineRule="auto"/>
        <w:jc w:val="right"/>
        <w:rPr>
          <w:rFonts w:hint="eastAsia" w:ascii="宋体" w:hAnsi="宋体" w:eastAsia="宋体" w:cs="Times New Roman"/>
        </w:rPr>
      </w:pPr>
      <w:r>
        <w:rPr>
          <w:rFonts w:hint="eastAsia" w:ascii="宋体" w:hAnsi="宋体" w:eastAsia="宋体" w:cs="Times New Roman"/>
          <w:lang w:val="en-US" w:eastAsia="zh-CN"/>
        </w:rPr>
        <w:t xml:space="preserve">                            </w:t>
      </w:r>
      <w:r>
        <w:rPr>
          <w:rFonts w:hint="eastAsia" w:ascii="宋体" w:hAnsi="宋体" w:eastAsia="宋体" w:cs="Times New Roman"/>
          <w:b/>
          <w:bCs w:val="0"/>
          <w:color w:val="0000FF"/>
          <w:szCs w:val="21"/>
          <w:lang w:val="en-US" w:eastAsia="zh-CN"/>
        </w:rPr>
        <w:t xml:space="preserve">  </w:t>
      </w:r>
      <w:r>
        <w:rPr>
          <w:rFonts w:hint="eastAsia" w:ascii="宋体" w:hAnsi="宋体" w:eastAsia="宋体" w:cs="Times New Roman"/>
          <w:b/>
          <w:bCs w:val="0"/>
          <w:color w:val="000000" w:themeColor="text1"/>
          <w:szCs w:val="21"/>
          <w:lang w:val="en-US" w:eastAsia="zh-CN"/>
        </w:rPr>
        <w:t xml:space="preserve">    2022年</w:t>
      </w:r>
      <w:r>
        <w:rPr>
          <w:rFonts w:hint="eastAsia" w:ascii="宋体" w:hAnsi="宋体" w:cs="Times New Roman"/>
          <w:b/>
          <w:bCs w:val="0"/>
          <w:color w:val="000000" w:themeColor="text1"/>
          <w:szCs w:val="21"/>
          <w:lang w:val="en-US" w:eastAsia="zh-CN"/>
        </w:rPr>
        <w:t>7</w:t>
      </w:r>
      <w:r>
        <w:rPr>
          <w:rFonts w:hint="eastAsia" w:ascii="宋体" w:hAnsi="宋体" w:eastAsia="宋体" w:cs="Times New Roman"/>
          <w:b/>
          <w:bCs w:val="0"/>
          <w:color w:val="000000" w:themeColor="text1"/>
          <w:szCs w:val="21"/>
          <w:lang w:val="en-US" w:eastAsia="zh-CN"/>
        </w:rPr>
        <w:t>月</w:t>
      </w:r>
      <w:r>
        <w:rPr>
          <w:rFonts w:hint="default" w:ascii="宋体" w:hAnsi="宋体" w:cs="Times New Roman"/>
          <w:b/>
          <w:bCs w:val="0"/>
          <w:color w:val="000000" w:themeColor="text1"/>
          <w:szCs w:val="21"/>
          <w:lang w:val="en-US" w:eastAsia="zh-CN"/>
        </w:rPr>
        <w:t>7</w:t>
      </w:r>
      <w:r>
        <w:rPr>
          <w:rFonts w:hint="eastAsia" w:ascii="宋体" w:hAnsi="宋体" w:eastAsia="宋体" w:cs="Times New Roman"/>
          <w:b/>
          <w:bCs w:val="0"/>
          <w:color w:val="000000" w:themeColor="text1"/>
          <w:szCs w:val="21"/>
          <w:lang w:val="en-US" w:eastAsia="zh-CN"/>
        </w:rPr>
        <w:t>日</w:t>
      </w:r>
    </w:p>
    <w:p>
      <w:pPr>
        <w:widowControl/>
        <w:spacing w:line="440" w:lineRule="exact"/>
        <w:ind w:right="480" w:firstLine="7684" w:firstLineChars="2400"/>
        <w:rPr>
          <w:rFonts w:eastAsia="Times New Roman"/>
          <w:sz w:val="29"/>
        </w:rPr>
      </w:pPr>
      <w:r>
        <w:rPr>
          <w:rFonts w:eastAsia="Times New Roman"/>
          <w:b/>
          <w:sz w:val="32"/>
        </w:rPr>
        <w:br w:type="page"/>
      </w:r>
    </w:p>
    <w:p>
      <w:pPr>
        <w:pStyle w:val="3"/>
        <w:tabs>
          <w:tab w:val="left" w:pos="3238"/>
        </w:tabs>
        <w:kinsoku w:val="0"/>
        <w:overflowPunct w:val="0"/>
        <w:ind w:left="1954"/>
        <w:rPr>
          <w:rFonts w:eastAsia="Times New Roman"/>
          <w:sz w:val="20"/>
        </w:rPr>
      </w:pPr>
      <w:r>
        <w:rPr>
          <w:rFonts w:hint="eastAsia"/>
          <w:w w:val="95"/>
        </w:rPr>
        <w:t>第一章</w:t>
      </w:r>
      <w:r>
        <w:rPr>
          <w:rFonts w:eastAsia="Times New Roman"/>
          <w:w w:val="95"/>
        </w:rPr>
        <w:tab/>
      </w:r>
      <w:r>
        <w:rPr>
          <w:rFonts w:hint="eastAsia"/>
          <w:spacing w:val="1"/>
        </w:rPr>
        <w:t>磋商须知前附表及磋商须知</w:t>
      </w:r>
    </w:p>
    <w:p>
      <w:pPr>
        <w:pStyle w:val="18"/>
        <w:kinsoku w:val="0"/>
        <w:overflowPunct w:val="0"/>
        <w:spacing w:before="13"/>
        <w:ind w:left="0"/>
        <w:rPr>
          <w:rFonts w:eastAsia="Times New Roman"/>
          <w:sz w:val="13"/>
        </w:rPr>
      </w:pPr>
    </w:p>
    <w:p>
      <w:pPr>
        <w:pStyle w:val="4"/>
        <w:numPr>
          <w:ilvl w:val="0"/>
          <w:numId w:val="1"/>
        </w:numPr>
        <w:kinsoku w:val="0"/>
        <w:overflowPunct w:val="0"/>
        <w:ind w:left="398"/>
        <w:jc w:val="center"/>
        <w:rPr>
          <w:rFonts w:eastAsia="Times New Roman"/>
        </w:rPr>
      </w:pPr>
      <w:r>
        <w:rPr>
          <w:rFonts w:hint="eastAsia"/>
        </w:rPr>
        <w:t>磋商须知前附表</w:t>
      </w:r>
    </w:p>
    <w:tbl>
      <w:tblPr>
        <w:tblStyle w:val="45"/>
        <w:tblpPr w:leftFromText="180" w:rightFromText="180" w:vertAnchor="text" w:horzAnchor="page" w:tblpX="1095" w:tblpY="498"/>
        <w:tblOverlap w:val="never"/>
        <w:tblW w:w="10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94"/>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dxa"/>
            <w:vAlign w:val="center"/>
          </w:tcPr>
          <w:p>
            <w:pPr>
              <w:spacing w:line="400" w:lineRule="exact"/>
              <w:jc w:val="center"/>
              <w:rPr>
                <w:rFonts w:eastAsia="Times New Roman"/>
                <w:b/>
              </w:rPr>
            </w:pPr>
            <w:r>
              <w:rPr>
                <w:rFonts w:hint="eastAsia" w:ascii="宋体" w:hAnsi="宋体"/>
                <w:b/>
              </w:rPr>
              <w:t>条款号</w:t>
            </w:r>
          </w:p>
        </w:tc>
        <w:tc>
          <w:tcPr>
            <w:tcW w:w="1694" w:type="dxa"/>
            <w:vAlign w:val="center"/>
          </w:tcPr>
          <w:p>
            <w:pPr>
              <w:spacing w:line="400" w:lineRule="exact"/>
              <w:jc w:val="center"/>
              <w:rPr>
                <w:rFonts w:eastAsia="Times New Roman"/>
                <w:b/>
              </w:rPr>
            </w:pPr>
            <w:r>
              <w:rPr>
                <w:rFonts w:hint="eastAsia" w:ascii="宋体" w:hAnsi="宋体"/>
                <w:b/>
              </w:rPr>
              <w:t>条款名称</w:t>
            </w:r>
          </w:p>
        </w:tc>
        <w:tc>
          <w:tcPr>
            <w:tcW w:w="7906" w:type="dxa"/>
            <w:vAlign w:val="center"/>
          </w:tcPr>
          <w:p>
            <w:pPr>
              <w:spacing w:line="400" w:lineRule="exact"/>
              <w:jc w:val="center"/>
              <w:rPr>
                <w:rFonts w:eastAsia="Times New Roman"/>
                <w:b/>
              </w:rPr>
            </w:pPr>
            <w:r>
              <w:rPr>
                <w:rFonts w:hint="eastAsia" w:ascii="宋体" w:hAnsi="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ascii="宋体" w:hAnsi="宋体"/>
              </w:rPr>
            </w:pPr>
            <w:r>
              <w:rPr>
                <w:rFonts w:ascii="宋体" w:hAnsi="宋体"/>
              </w:rPr>
              <w:t>1</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采购人</w:t>
            </w:r>
          </w:p>
        </w:tc>
        <w:tc>
          <w:tcPr>
            <w:tcW w:w="7906" w:type="dxa"/>
            <w:vAlign w:val="center"/>
          </w:tcPr>
          <w:p>
            <w:pPr>
              <w:wordWrap/>
              <w:autoSpaceDE w:val="0"/>
              <w:autoSpaceDN w:val="0"/>
              <w:adjustRightInd w:val="0"/>
              <w:spacing w:line="440" w:lineRule="exact"/>
              <w:rPr>
                <w:rFonts w:hint="eastAsia" w:eastAsia="宋体"/>
                <w:lang w:eastAsia="zh-CN"/>
              </w:rPr>
            </w:pPr>
            <w:r>
              <w:rPr>
                <w:rFonts w:hint="eastAsia" w:eastAsia="宋体"/>
                <w:lang w:eastAsia="zh-CN"/>
              </w:rPr>
              <w:t>名称：博湖县发展和改革委员会</w:t>
            </w:r>
          </w:p>
          <w:p>
            <w:pPr>
              <w:wordWrap/>
              <w:autoSpaceDE w:val="0"/>
              <w:autoSpaceDN w:val="0"/>
              <w:adjustRightInd w:val="0"/>
              <w:spacing w:line="440" w:lineRule="exact"/>
              <w:rPr>
                <w:rFonts w:hint="eastAsia" w:eastAsia="宋体"/>
                <w:lang w:val="en-US" w:eastAsia="zh-CN"/>
              </w:rPr>
            </w:pPr>
            <w:r>
              <w:rPr>
                <w:rFonts w:hint="eastAsia" w:eastAsia="宋体"/>
                <w:lang w:eastAsia="zh-CN"/>
              </w:rPr>
              <w:t>地址：</w:t>
            </w:r>
            <w:r>
              <w:rPr>
                <w:rFonts w:hint="eastAsia" w:eastAsia="宋体"/>
                <w:lang w:val="en-US" w:eastAsia="zh-CN"/>
              </w:rPr>
              <w:t>博湖县</w:t>
            </w:r>
          </w:p>
          <w:p>
            <w:pPr>
              <w:wordWrap/>
              <w:autoSpaceDE w:val="0"/>
              <w:autoSpaceDN w:val="0"/>
              <w:adjustRightInd w:val="0"/>
              <w:spacing w:line="440" w:lineRule="exact"/>
              <w:rPr>
                <w:rFonts w:hint="eastAsia" w:eastAsia="宋体"/>
                <w:lang w:eastAsia="zh-CN"/>
              </w:rPr>
            </w:pPr>
            <w:r>
              <w:rPr>
                <w:rFonts w:hint="eastAsia" w:eastAsia="宋体"/>
                <w:lang w:eastAsia="zh-CN"/>
              </w:rPr>
              <w:t>联 系 人：</w:t>
            </w:r>
            <w:r>
              <w:rPr>
                <w:rFonts w:hint="eastAsia" w:eastAsia="宋体"/>
                <w:lang w:val="en-US" w:eastAsia="zh-CN"/>
              </w:rPr>
              <w:t>高祥胜</w:t>
            </w:r>
          </w:p>
          <w:p>
            <w:pPr>
              <w:wordWrap/>
              <w:autoSpaceDE w:val="0"/>
              <w:autoSpaceDN w:val="0"/>
              <w:adjustRightInd w:val="0"/>
              <w:spacing w:line="440" w:lineRule="exact"/>
              <w:rPr>
                <w:rFonts w:ascii="宋体" w:eastAsia="Times New Roman"/>
              </w:rPr>
            </w:pPr>
            <w:r>
              <w:rPr>
                <w:rFonts w:hint="eastAsia" w:eastAsia="宋体"/>
                <w:lang w:eastAsia="zh-CN"/>
              </w:rPr>
              <w:t>联系电话：</w:t>
            </w:r>
            <w:r>
              <w:rPr>
                <w:rFonts w:hint="eastAsia" w:eastAsia="宋体"/>
                <w:lang w:val="en-US" w:eastAsia="zh-CN"/>
              </w:rPr>
              <w:t>13779699382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ascii="宋体" w:hAnsi="宋体"/>
              </w:rPr>
            </w:pPr>
            <w:r>
              <w:rPr>
                <w:rFonts w:ascii="宋体" w:hAnsi="宋体"/>
              </w:rPr>
              <w:t>2</w:t>
            </w:r>
          </w:p>
        </w:tc>
        <w:tc>
          <w:tcPr>
            <w:tcW w:w="1694" w:type="dxa"/>
            <w:vAlign w:val="center"/>
          </w:tcPr>
          <w:p>
            <w:pPr>
              <w:wordWrap/>
              <w:autoSpaceDE w:val="0"/>
              <w:autoSpaceDN w:val="0"/>
              <w:adjustRightInd w:val="0"/>
              <w:spacing w:line="440" w:lineRule="exact"/>
              <w:jc w:val="center"/>
            </w:pPr>
            <w:r>
              <w:rPr>
                <w:rFonts w:hint="eastAsia" w:ascii="宋体" w:hAnsi="宋体"/>
              </w:rPr>
              <w:t>采购代理机构</w:t>
            </w:r>
          </w:p>
        </w:tc>
        <w:tc>
          <w:tcPr>
            <w:tcW w:w="7906" w:type="dxa"/>
            <w:vAlign w:val="center"/>
          </w:tcPr>
          <w:p>
            <w:pPr>
              <w:wordWrap/>
              <w:autoSpaceDE w:val="0"/>
              <w:autoSpaceDN w:val="0"/>
              <w:adjustRightInd w:val="0"/>
              <w:spacing w:line="440" w:lineRule="exact"/>
              <w:rPr>
                <w:rFonts w:hint="eastAsia" w:eastAsia="宋体"/>
                <w:lang w:eastAsia="zh-CN"/>
              </w:rPr>
            </w:pPr>
            <w:r>
              <w:rPr>
                <w:rFonts w:hint="eastAsia" w:ascii="宋体" w:hAnsi="宋体"/>
              </w:rPr>
              <w:t>名称：</w:t>
            </w:r>
            <w:r>
              <w:rPr>
                <w:rFonts w:hint="eastAsia"/>
                <w:lang w:eastAsia="zh-CN"/>
              </w:rPr>
              <w:t>新疆汇力赋能项目管理有限责任公司</w:t>
            </w:r>
          </w:p>
          <w:p>
            <w:pPr>
              <w:wordWrap/>
              <w:autoSpaceDE w:val="0"/>
              <w:autoSpaceDN w:val="0"/>
              <w:adjustRightInd w:val="0"/>
              <w:spacing w:line="440" w:lineRule="exact"/>
              <w:rPr>
                <w:rFonts w:hint="eastAsia" w:eastAsia="宋体"/>
                <w:lang w:eastAsia="zh-CN"/>
              </w:rPr>
            </w:pPr>
            <w:r>
              <w:rPr>
                <w:rFonts w:hint="eastAsia" w:ascii="宋体" w:hAnsi="宋体"/>
              </w:rPr>
              <w:t>地址：</w:t>
            </w:r>
            <w:r>
              <w:rPr>
                <w:rFonts w:hint="eastAsia" w:hAnsi="宋体"/>
                <w:lang w:eastAsia="zh-CN"/>
              </w:rPr>
              <w:t>新疆巴州库尔勒市团结辖区兰干路18号吉恒大厦1栋1层01商铺</w:t>
            </w:r>
          </w:p>
          <w:p>
            <w:pPr>
              <w:wordWrap/>
              <w:autoSpaceDE w:val="0"/>
              <w:autoSpaceDN w:val="0"/>
              <w:adjustRightInd w:val="0"/>
              <w:spacing w:line="440" w:lineRule="exact"/>
              <w:rPr>
                <w:rFonts w:ascii="宋体" w:hAnsi="宋体" w:cs="宋体"/>
                <w:kern w:val="0"/>
                <w:szCs w:val="21"/>
              </w:rPr>
            </w:pPr>
            <w:r>
              <w:rPr>
                <w:rFonts w:hint="eastAsia" w:ascii="宋体" w:hAnsi="宋体" w:cs="宋体"/>
                <w:kern w:val="0"/>
                <w:szCs w:val="21"/>
              </w:rPr>
              <w:t xml:space="preserve">项目联系人：方桦柯珺 </w:t>
            </w:r>
          </w:p>
          <w:p>
            <w:pPr>
              <w:wordWrap/>
              <w:autoSpaceDE w:val="0"/>
              <w:autoSpaceDN w:val="0"/>
              <w:adjustRightInd w:val="0"/>
              <w:spacing w:line="440" w:lineRule="exact"/>
              <w:rPr>
                <w:rFonts w:ascii="宋体" w:eastAsia="Times New Roman"/>
              </w:rPr>
            </w:pPr>
            <w:r>
              <w:rPr>
                <w:rFonts w:hint="eastAsia" w:hAnsi="宋体" w:cs="宋体"/>
                <w:kern w:val="0"/>
              </w:rPr>
              <w:t>联系电话：0996-</w:t>
            </w:r>
            <w:r>
              <w:rPr>
                <w:rFonts w:hint="eastAsia" w:hAnsi="宋体" w:cs="宋体"/>
                <w:kern w:val="0"/>
                <w:lang w:val="en-US" w:eastAsia="zh-CN"/>
              </w:rPr>
              <w:t>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9" w:type="dxa"/>
            <w:vAlign w:val="center"/>
          </w:tcPr>
          <w:p>
            <w:pPr>
              <w:wordWrap/>
              <w:autoSpaceDE w:val="0"/>
              <w:autoSpaceDN w:val="0"/>
              <w:adjustRightInd w:val="0"/>
              <w:spacing w:line="440" w:lineRule="exact"/>
              <w:jc w:val="center"/>
              <w:rPr>
                <w:rFonts w:ascii="宋体" w:hAnsi="宋体"/>
              </w:rPr>
            </w:pPr>
            <w:r>
              <w:rPr>
                <w:rFonts w:ascii="宋体" w:hAnsi="宋体"/>
              </w:rPr>
              <w:t>3</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项目名称</w:t>
            </w:r>
          </w:p>
        </w:tc>
        <w:tc>
          <w:tcPr>
            <w:tcW w:w="7906" w:type="dxa"/>
            <w:vAlign w:val="center"/>
          </w:tcPr>
          <w:p>
            <w:pPr>
              <w:wordWrap/>
              <w:autoSpaceDE w:val="0"/>
              <w:autoSpaceDN w:val="0"/>
              <w:adjustRightInd w:val="0"/>
              <w:spacing w:line="440" w:lineRule="exact"/>
              <w:rPr>
                <w:rFonts w:hint="eastAsia" w:ascii="宋体" w:eastAsia="宋体"/>
                <w:color w:val="auto"/>
                <w:lang w:eastAsia="zh-CN"/>
              </w:rPr>
            </w:pPr>
            <w:r>
              <w:rPr>
                <w:rFonts w:hint="eastAsia"/>
                <w:color w:val="auto"/>
                <w:lang w:eastAsia="zh-CN"/>
              </w:rPr>
              <w:t>新疆博湖通用机场首选址临时气象观测站建设及气象条件分析项目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eastAsia" w:ascii="宋体" w:hAnsi="宋体" w:eastAsia="宋体"/>
                <w:lang w:val="en-US" w:eastAsia="zh-CN"/>
              </w:rPr>
            </w:pPr>
            <w:r>
              <w:rPr>
                <w:rFonts w:hint="eastAsia" w:ascii="宋体" w:hAnsi="宋体"/>
                <w:lang w:val="en-US" w:eastAsia="zh-CN"/>
              </w:rPr>
              <w:t>4</w:t>
            </w:r>
          </w:p>
        </w:tc>
        <w:tc>
          <w:tcPr>
            <w:tcW w:w="1694" w:type="dxa"/>
            <w:vAlign w:val="center"/>
          </w:tcPr>
          <w:p>
            <w:pPr>
              <w:wordWrap/>
              <w:autoSpaceDE w:val="0"/>
              <w:autoSpaceDN w:val="0"/>
              <w:adjustRightInd w:val="0"/>
              <w:spacing w:line="440" w:lineRule="exact"/>
              <w:jc w:val="center"/>
              <w:rPr>
                <w:rFonts w:hint="eastAsia" w:ascii="宋体" w:hAnsi="宋体" w:eastAsia="宋体"/>
                <w:lang w:eastAsia="zh-CN"/>
              </w:rPr>
            </w:pPr>
            <w:r>
              <w:rPr>
                <w:rFonts w:hint="eastAsia" w:ascii="宋体" w:hAnsi="宋体"/>
                <w:lang w:eastAsia="zh-CN"/>
              </w:rPr>
              <w:t>建设内容</w:t>
            </w:r>
          </w:p>
        </w:tc>
        <w:tc>
          <w:tcPr>
            <w:tcW w:w="7906" w:type="dxa"/>
            <w:vAlign w:val="center"/>
          </w:tcPr>
          <w:p>
            <w:pPr>
              <w:wordWrap/>
              <w:autoSpaceDE w:val="0"/>
              <w:autoSpaceDN w:val="0"/>
              <w:adjustRightInd w:val="0"/>
              <w:spacing w:line="440" w:lineRule="exact"/>
              <w:rPr>
                <w:rFonts w:hint="eastAsia"/>
                <w:color w:val="auto"/>
                <w:lang w:eastAsia="zh-CN"/>
              </w:rPr>
            </w:pPr>
            <w:r>
              <w:rPr>
                <w:rFonts w:hint="eastAsia"/>
                <w:color w:val="auto"/>
                <w:lang w:eastAsia="zh-CN"/>
              </w:rPr>
              <w:t>（1）建设六要素自动气象站（含风向、风速、温度、湿度、雨量、气压）1套，云高仪1套，前向散射仪（含天气现象）1套；（</w:t>
            </w:r>
            <w:r>
              <w:rPr>
                <w:rFonts w:hint="eastAsia"/>
                <w:color w:val="auto"/>
                <w:lang w:val="en-US" w:eastAsia="zh-CN"/>
              </w:rPr>
              <w:t>2</w:t>
            </w:r>
            <w:r>
              <w:rPr>
                <w:rFonts w:hint="eastAsia"/>
                <w:color w:val="auto"/>
                <w:lang w:eastAsia="zh-CN"/>
              </w:rPr>
              <w:t>）建设16×16平方米气象观测场1个，</w:t>
            </w:r>
            <w:r>
              <w:rPr>
                <w:rFonts w:hint="eastAsia"/>
                <w:color w:val="auto"/>
                <w:lang w:val="en-US" w:eastAsia="zh-CN"/>
              </w:rPr>
              <w:t>建站后完成气象观测站的运行维护，</w:t>
            </w:r>
            <w:r>
              <w:rPr>
                <w:rFonts w:hint="eastAsia"/>
                <w:color w:val="auto"/>
                <w:lang w:eastAsia="zh-CN"/>
              </w:rPr>
              <w:t>并观测、采集1年以上气象数据</w:t>
            </w:r>
            <w:r>
              <w:rPr>
                <w:rFonts w:hint="eastAsia"/>
                <w:color w:val="auto"/>
                <w:lang w:val="en-US" w:eastAsia="zh-CN"/>
              </w:rPr>
              <w:t xml:space="preserve"> </w:t>
            </w:r>
            <w:r>
              <w:rPr>
                <w:rFonts w:hint="eastAsia"/>
                <w:color w:val="auto"/>
                <w:lang w:eastAsia="zh-CN"/>
              </w:rPr>
              <w:t>；（</w:t>
            </w:r>
            <w:r>
              <w:rPr>
                <w:rFonts w:hint="eastAsia"/>
                <w:color w:val="auto"/>
                <w:lang w:val="en-US" w:eastAsia="zh-CN"/>
              </w:rPr>
              <w:t>3</w:t>
            </w:r>
            <w:r>
              <w:rPr>
                <w:rFonts w:hint="eastAsia"/>
                <w:color w:val="auto"/>
                <w:lang w:eastAsia="zh-CN"/>
              </w:rPr>
              <w:t>）临时气象观测站观测时间连续满1个完整年度后，应形成满足民航要求的气象条件分析报告。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9" w:type="dxa"/>
            <w:vAlign w:val="center"/>
          </w:tcPr>
          <w:p>
            <w:pPr>
              <w:wordWrap/>
              <w:autoSpaceDE w:val="0"/>
              <w:autoSpaceDN w:val="0"/>
              <w:adjustRightInd w:val="0"/>
              <w:spacing w:line="440" w:lineRule="exact"/>
              <w:jc w:val="center"/>
              <w:rPr>
                <w:rFonts w:hint="eastAsia" w:ascii="宋体" w:hAnsi="宋体" w:eastAsia="宋体"/>
                <w:lang w:eastAsia="zh-CN"/>
              </w:rPr>
            </w:pPr>
            <w:r>
              <w:rPr>
                <w:rFonts w:hint="eastAsia" w:ascii="宋体" w:hAnsi="宋体"/>
                <w:lang w:val="en-US" w:eastAsia="zh-CN"/>
              </w:rPr>
              <w:t>5</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建设地点</w:t>
            </w:r>
          </w:p>
        </w:tc>
        <w:tc>
          <w:tcPr>
            <w:tcW w:w="7906" w:type="dxa"/>
            <w:vAlign w:val="center"/>
          </w:tcPr>
          <w:p>
            <w:pPr>
              <w:wordWrap/>
              <w:autoSpaceDE w:val="0"/>
              <w:autoSpaceDN w:val="0"/>
              <w:adjustRightInd w:val="0"/>
              <w:spacing w:line="440" w:lineRule="exact"/>
              <w:rPr>
                <w:rFonts w:hint="eastAsia" w:eastAsia="宋体"/>
                <w:lang w:eastAsia="zh-CN"/>
              </w:rPr>
            </w:pPr>
            <w:r>
              <w:rPr>
                <w:rFonts w:hint="eastAsia" w:ascii="宋体" w:hAnsi="宋体" w:eastAsia="宋体"/>
                <w:lang w:eastAsia="zh-CN"/>
              </w:rPr>
              <w:t>博湖县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eastAsia" w:ascii="宋体" w:hAnsi="宋体" w:eastAsia="宋体"/>
                <w:lang w:eastAsia="zh-CN"/>
              </w:rPr>
            </w:pPr>
            <w:r>
              <w:rPr>
                <w:rFonts w:hint="eastAsia" w:ascii="宋体" w:hAnsi="宋体"/>
                <w:lang w:val="en-US" w:eastAsia="zh-CN"/>
              </w:rPr>
              <w:t>6</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资金来源</w:t>
            </w:r>
          </w:p>
        </w:tc>
        <w:tc>
          <w:tcPr>
            <w:tcW w:w="7906" w:type="dxa"/>
            <w:vAlign w:val="center"/>
          </w:tcPr>
          <w:p>
            <w:pPr>
              <w:wordWrap/>
              <w:autoSpaceDE w:val="0"/>
              <w:autoSpaceDN w:val="0"/>
              <w:adjustRightInd w:val="0"/>
              <w:spacing w:line="440" w:lineRule="exact"/>
              <w:rPr>
                <w:rFonts w:ascii="宋体" w:hAnsi="宋体"/>
                <w:color w:val="000000"/>
              </w:rPr>
            </w:pPr>
            <w:r>
              <w:rPr>
                <w:rFonts w:hint="eastAsia" w:ascii="宋体" w:hAnsi="宋体"/>
                <w:color w:val="000000"/>
              </w:rPr>
              <w:t>预算金额：</w:t>
            </w:r>
            <w:r>
              <w:rPr>
                <w:rFonts w:hint="eastAsia" w:ascii="宋体" w:hAnsi="宋体" w:eastAsia="宋体" w:cs="宋体"/>
                <w:color w:val="000000"/>
                <w:kern w:val="0"/>
                <w:lang w:val="en-US" w:eastAsia="zh-CN"/>
              </w:rPr>
              <w:t>160</w:t>
            </w:r>
            <w:r>
              <w:rPr>
                <w:rFonts w:hint="eastAsia" w:ascii="宋体" w:hAnsi="宋体" w:eastAsia="宋体" w:cs="宋体"/>
                <w:color w:val="000000"/>
                <w:kern w:val="0"/>
              </w:rPr>
              <w:t>万元</w:t>
            </w:r>
          </w:p>
          <w:p>
            <w:pPr>
              <w:wordWrap/>
              <w:autoSpaceDE w:val="0"/>
              <w:autoSpaceDN w:val="0"/>
              <w:adjustRightInd w:val="0"/>
              <w:spacing w:line="440" w:lineRule="exact"/>
              <w:rPr>
                <w:rFonts w:hint="default" w:eastAsia="宋体"/>
                <w:lang w:val="en-US" w:eastAsia="zh-CN"/>
              </w:rPr>
            </w:pPr>
            <w:r>
              <w:rPr>
                <w:rFonts w:hint="eastAsia" w:ascii="宋体" w:hAnsi="宋体"/>
              </w:rPr>
              <w:t>资金来源：</w:t>
            </w:r>
            <w:r>
              <w:rPr>
                <w:rFonts w:hint="eastAsia" w:ascii="宋体" w:hAnsi="宋体"/>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9" w:type="dxa"/>
            <w:vAlign w:val="center"/>
          </w:tcPr>
          <w:p>
            <w:pPr>
              <w:wordWrap/>
              <w:autoSpaceDE w:val="0"/>
              <w:autoSpaceDN w:val="0"/>
              <w:adjustRightInd w:val="0"/>
              <w:spacing w:line="440" w:lineRule="exact"/>
              <w:jc w:val="center"/>
              <w:rPr>
                <w:rFonts w:hint="eastAsia" w:ascii="宋体" w:hAnsi="宋体" w:eastAsia="宋体"/>
                <w:lang w:eastAsia="zh-CN"/>
              </w:rPr>
            </w:pPr>
            <w:r>
              <w:rPr>
                <w:rFonts w:hint="eastAsia" w:ascii="宋体" w:hAnsi="宋体"/>
                <w:lang w:val="en-US" w:eastAsia="zh-CN"/>
              </w:rPr>
              <w:t>7</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出资比例</w:t>
            </w:r>
          </w:p>
        </w:tc>
        <w:tc>
          <w:tcPr>
            <w:tcW w:w="7906" w:type="dxa"/>
            <w:vAlign w:val="center"/>
          </w:tcPr>
          <w:p>
            <w:pPr>
              <w:wordWrap/>
              <w:autoSpaceDE w:val="0"/>
              <w:autoSpaceDN w:val="0"/>
              <w:adjustRightInd w:val="0"/>
              <w:spacing w:line="440" w:lineRule="exact"/>
              <w:rPr>
                <w:rFonts w:ascii="宋体" w:hAnsi="宋体"/>
              </w:rPr>
            </w:pPr>
            <w:r>
              <w:rPr>
                <w:rFonts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09" w:type="dxa"/>
            <w:vAlign w:val="center"/>
          </w:tcPr>
          <w:p>
            <w:pPr>
              <w:wordWrap/>
              <w:autoSpaceDE w:val="0"/>
              <w:autoSpaceDN w:val="0"/>
              <w:adjustRightInd w:val="0"/>
              <w:spacing w:line="440" w:lineRule="exact"/>
              <w:jc w:val="center"/>
              <w:rPr>
                <w:rFonts w:hint="eastAsia" w:ascii="宋体" w:hAnsi="宋体" w:eastAsia="宋体"/>
                <w:lang w:eastAsia="zh-CN"/>
              </w:rPr>
            </w:pPr>
            <w:r>
              <w:rPr>
                <w:rFonts w:hint="eastAsia" w:ascii="宋体" w:hAnsi="宋体"/>
                <w:lang w:val="en-US" w:eastAsia="zh-CN"/>
              </w:rPr>
              <w:t>8</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资金落实情况</w:t>
            </w:r>
          </w:p>
        </w:tc>
        <w:tc>
          <w:tcPr>
            <w:tcW w:w="7906" w:type="dxa"/>
            <w:vAlign w:val="center"/>
          </w:tcPr>
          <w:p>
            <w:pPr>
              <w:wordWrap/>
              <w:autoSpaceDE w:val="0"/>
              <w:autoSpaceDN w:val="0"/>
              <w:adjustRightInd w:val="0"/>
              <w:spacing w:line="440" w:lineRule="exact"/>
              <w:rPr>
                <w:rFonts w:eastAsia="Times New Roman"/>
              </w:rPr>
            </w:pPr>
            <w:r>
              <w:rPr>
                <w:rFonts w:hint="eastAsia" w:ascii="宋体" w:hAnsi="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eastAsia" w:ascii="宋体" w:hAnsi="宋体" w:eastAsia="宋体"/>
                <w:lang w:eastAsia="zh-CN"/>
              </w:rPr>
            </w:pPr>
            <w:r>
              <w:rPr>
                <w:rFonts w:hint="eastAsia" w:ascii="宋体" w:hAnsi="宋体"/>
                <w:lang w:val="en-US" w:eastAsia="zh-CN"/>
              </w:rPr>
              <w:t>9</w:t>
            </w:r>
          </w:p>
        </w:tc>
        <w:tc>
          <w:tcPr>
            <w:tcW w:w="1694" w:type="dxa"/>
            <w:vAlign w:val="center"/>
          </w:tcPr>
          <w:p>
            <w:pPr>
              <w:pStyle w:val="24"/>
              <w:wordWrap/>
              <w:autoSpaceDE w:val="0"/>
              <w:autoSpaceDN w:val="0"/>
              <w:adjustRightInd w:val="0"/>
              <w:spacing w:line="440" w:lineRule="exact"/>
              <w:ind w:firstLine="240" w:firstLineChars="100"/>
              <w:rPr>
                <w:rFonts w:hAnsi="宋体" w:eastAsia="Times New Roman"/>
              </w:rPr>
            </w:pPr>
            <w:r>
              <w:rPr>
                <w:rFonts w:hint="eastAsia" w:hAnsi="宋体"/>
              </w:rPr>
              <w:t>采购范围</w:t>
            </w:r>
          </w:p>
        </w:tc>
        <w:tc>
          <w:tcPr>
            <w:tcW w:w="7906" w:type="dxa"/>
            <w:vAlign w:val="center"/>
          </w:tcPr>
          <w:p>
            <w:pPr>
              <w:wordWrap/>
              <w:autoSpaceDE w:val="0"/>
              <w:autoSpaceDN w:val="0"/>
              <w:adjustRightInd w:val="0"/>
              <w:spacing w:line="440" w:lineRule="exact"/>
            </w:pPr>
            <w:r>
              <w:rPr>
                <w:rFonts w:hint="eastAsia"/>
                <w:color w:val="auto"/>
                <w:lang w:val="en-US" w:eastAsia="zh-CN"/>
              </w:rPr>
              <w:t>新疆博湖通用机场首选址临时气象观测站建设及气象条件分析项目的临时气象观测站建设、运行维护、气象分析及论证报告的编制。具体内容包括</w:t>
            </w:r>
            <w:r>
              <w:rPr>
                <w:rFonts w:hint="eastAsia" w:ascii="Times New Roman" w:hAnsi="宋体" w:eastAsia="宋体" w:cs="宋体"/>
                <w:color w:val="auto"/>
                <w:kern w:val="0"/>
                <w:lang w:val="en-US" w:eastAsia="zh-CN"/>
              </w:rPr>
              <w:t>建站施工、</w:t>
            </w:r>
            <w:r>
              <w:rPr>
                <w:rFonts w:hint="eastAsia" w:hAnsi="宋体" w:cs="宋体"/>
                <w:color w:val="auto"/>
                <w:kern w:val="0"/>
                <w:lang w:val="en-US" w:eastAsia="zh-CN"/>
              </w:rPr>
              <w:t>设备</w:t>
            </w:r>
            <w:r>
              <w:rPr>
                <w:rFonts w:hint="eastAsia" w:ascii="Times New Roman" w:hAnsi="宋体" w:eastAsia="宋体" w:cs="宋体"/>
                <w:color w:val="auto"/>
                <w:kern w:val="0"/>
                <w:lang w:val="en-US" w:eastAsia="zh-CN"/>
              </w:rPr>
              <w:t>采购</w:t>
            </w:r>
            <w:r>
              <w:rPr>
                <w:rFonts w:hint="eastAsia" w:ascii="Times New Roman" w:hAnsi="宋体" w:eastAsia="宋体" w:cs="宋体"/>
                <w:color w:val="auto"/>
                <w:kern w:val="0"/>
                <w:lang w:eastAsia="zh-CN"/>
              </w:rPr>
              <w:t>、</w:t>
            </w:r>
            <w:r>
              <w:rPr>
                <w:rFonts w:hint="eastAsia" w:ascii="Times New Roman" w:hAnsi="宋体" w:eastAsia="宋体" w:cs="宋体"/>
                <w:color w:val="auto"/>
                <w:kern w:val="0"/>
                <w:lang w:val="en-US" w:eastAsia="zh-CN"/>
              </w:rPr>
              <w:t>安装、</w:t>
            </w:r>
            <w:r>
              <w:rPr>
                <w:rFonts w:hint="eastAsia" w:ascii="Times New Roman" w:hAnsi="宋体" w:eastAsia="宋体" w:cs="宋体"/>
                <w:color w:val="auto"/>
                <w:kern w:val="0"/>
                <w:lang w:eastAsia="zh-CN"/>
              </w:rPr>
              <w:t>检测验收、技术培训、售后服务、</w:t>
            </w:r>
            <w:r>
              <w:rPr>
                <w:rFonts w:hint="eastAsia" w:ascii="Times New Roman" w:hAnsi="宋体" w:eastAsia="宋体" w:cs="宋体"/>
                <w:color w:val="auto"/>
                <w:kern w:val="0"/>
                <w:lang w:val="en-US" w:eastAsia="zh-CN"/>
              </w:rPr>
              <w:t>运行维护、</w:t>
            </w:r>
            <w:r>
              <w:rPr>
                <w:rFonts w:hint="eastAsia" w:hAnsi="宋体" w:cs="宋体"/>
                <w:color w:val="auto"/>
                <w:kern w:val="0"/>
                <w:lang w:val="en-US" w:eastAsia="zh-CN"/>
              </w:rPr>
              <w:t>编制</w:t>
            </w:r>
            <w:r>
              <w:rPr>
                <w:rFonts w:hint="eastAsia" w:ascii="Times New Roman" w:hAnsi="宋体" w:eastAsia="宋体" w:cs="宋体"/>
                <w:color w:val="auto"/>
                <w:kern w:val="0"/>
                <w:lang w:val="en-US" w:eastAsia="zh-CN"/>
              </w:rPr>
              <w:t>气象条件分析报告</w:t>
            </w:r>
            <w:r>
              <w:rPr>
                <w:rFonts w:hint="eastAsia" w:ascii="Times New Roman" w:hAnsi="宋体" w:eastAsia="宋体" w:cs="宋体"/>
                <w:color w:val="auto"/>
                <w:kern w:val="0"/>
                <w:lang w:eastAsia="zh-CN"/>
              </w:rPr>
              <w:t>及其他一切伴随服务。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09" w:type="dxa"/>
            <w:vAlign w:val="center"/>
          </w:tcPr>
          <w:p>
            <w:pPr>
              <w:wordWrap/>
              <w:autoSpaceDE w:val="0"/>
              <w:autoSpaceDN w:val="0"/>
              <w:adjustRightInd w:val="0"/>
              <w:spacing w:line="440" w:lineRule="exact"/>
              <w:jc w:val="center"/>
              <w:rPr>
                <w:rFonts w:hint="default" w:ascii="宋体" w:eastAsia="宋体"/>
                <w:color w:val="000000"/>
                <w:lang w:val="en-US" w:eastAsia="zh-CN"/>
              </w:rPr>
            </w:pPr>
            <w:r>
              <w:rPr>
                <w:rFonts w:hint="eastAsia" w:ascii="宋体" w:hAnsi="宋体"/>
                <w:color w:val="000000"/>
                <w:lang w:val="en-US" w:eastAsia="zh-CN"/>
              </w:rPr>
              <w:t>10</w:t>
            </w:r>
          </w:p>
        </w:tc>
        <w:tc>
          <w:tcPr>
            <w:tcW w:w="1694" w:type="dxa"/>
            <w:vAlign w:val="center"/>
          </w:tcPr>
          <w:p>
            <w:pPr>
              <w:pStyle w:val="24"/>
              <w:wordWrap/>
              <w:autoSpaceDE w:val="0"/>
              <w:autoSpaceDN w:val="0"/>
              <w:adjustRightInd w:val="0"/>
              <w:spacing w:line="440" w:lineRule="exact"/>
              <w:jc w:val="center"/>
              <w:rPr>
                <w:rFonts w:hAnsi="宋体"/>
                <w:color w:val="FF0000"/>
              </w:rPr>
            </w:pPr>
            <w:r>
              <w:rPr>
                <w:rFonts w:hint="eastAsia" w:hAnsi="宋体"/>
              </w:rPr>
              <w:t>最高限价</w:t>
            </w:r>
          </w:p>
        </w:tc>
        <w:tc>
          <w:tcPr>
            <w:tcW w:w="7906" w:type="dxa"/>
            <w:vAlign w:val="center"/>
          </w:tcPr>
          <w:p>
            <w:pPr>
              <w:wordWrap/>
              <w:autoSpaceDE w:val="0"/>
              <w:autoSpaceDN w:val="0"/>
              <w:adjustRightInd w:val="0"/>
              <w:spacing w:line="440" w:lineRule="exact"/>
            </w:pPr>
            <w:r>
              <w:rPr>
                <w:rFonts w:hint="eastAsia" w:ascii="Times New Roman" w:hAnsi="宋体" w:eastAsia="宋体" w:cs="宋体"/>
                <w:color w:val="FF0000"/>
                <w:kern w:val="0"/>
                <w:lang w:val="en-US" w:eastAsia="zh-CN"/>
              </w:rPr>
              <w:t xml:space="preserve"> </w:t>
            </w:r>
            <w:r>
              <w:rPr>
                <w:rFonts w:hint="eastAsia" w:ascii="Times New Roman" w:hAnsi="宋体" w:eastAsia="宋体" w:cs="宋体"/>
                <w:color w:val="auto"/>
                <w:kern w:val="0"/>
                <w:lang w:val="en-US" w:eastAsia="zh-CN"/>
              </w:rPr>
              <w:t>160万元。（投标报价超过最高限价为无效报价）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9" w:type="dxa"/>
            <w:vAlign w:val="center"/>
          </w:tcPr>
          <w:p>
            <w:pPr>
              <w:wordWrap/>
              <w:autoSpaceDE w:val="0"/>
              <w:autoSpaceDN w:val="0"/>
              <w:adjustRightInd w:val="0"/>
              <w:spacing w:line="440" w:lineRule="exact"/>
              <w:jc w:val="center"/>
              <w:rPr>
                <w:rFonts w:hint="default" w:ascii="宋体" w:eastAsia="宋体"/>
                <w:lang w:val="en-US" w:eastAsia="zh-CN"/>
              </w:rPr>
            </w:pPr>
            <w:r>
              <w:rPr>
                <w:rFonts w:hint="eastAsia" w:ascii="宋体" w:hAnsi="宋体"/>
                <w:lang w:val="en-US" w:eastAsia="zh-CN"/>
              </w:rPr>
              <w:t>11</w:t>
            </w:r>
          </w:p>
        </w:tc>
        <w:tc>
          <w:tcPr>
            <w:tcW w:w="1694" w:type="dxa"/>
            <w:vAlign w:val="center"/>
          </w:tcPr>
          <w:p>
            <w:pPr>
              <w:wordWrap/>
              <w:autoSpaceDE w:val="0"/>
              <w:autoSpaceDN w:val="0"/>
              <w:adjustRightInd w:val="0"/>
              <w:spacing w:line="440" w:lineRule="exact"/>
              <w:jc w:val="center"/>
              <w:rPr>
                <w:rFonts w:ascii="宋体" w:hAnsi="宋体"/>
              </w:rPr>
            </w:pPr>
            <w:r>
              <w:rPr>
                <w:rFonts w:hint="eastAsia" w:ascii="宋体" w:hAnsi="宋体"/>
              </w:rPr>
              <w:t>工期</w:t>
            </w:r>
          </w:p>
        </w:tc>
        <w:tc>
          <w:tcPr>
            <w:tcW w:w="7906" w:type="dxa"/>
            <w:vAlign w:val="center"/>
          </w:tcPr>
          <w:p>
            <w:pPr>
              <w:widowControl/>
              <w:spacing w:line="360" w:lineRule="auto"/>
              <w:jc w:val="both"/>
            </w:pPr>
            <w:r>
              <w:rPr>
                <w:rFonts w:hint="eastAsia" w:ascii="宋体" w:hAnsi="宋体" w:eastAsia="宋体" w:cs="Times New Roman"/>
                <w:bCs/>
                <w:color w:val="auto"/>
                <w:szCs w:val="21"/>
                <w:lang w:val="en-US" w:eastAsia="zh-CN"/>
              </w:rPr>
              <w:t>临时气象观测站建设</w:t>
            </w:r>
            <w:r>
              <w:rPr>
                <w:rFonts w:hint="eastAsia" w:ascii="宋体" w:hAnsi="宋体" w:eastAsia="宋体" w:cs="Times New Roman"/>
                <w:bCs/>
                <w:color w:val="0000FF"/>
                <w:szCs w:val="21"/>
                <w:lang w:val="en-US" w:eastAsia="zh-CN"/>
              </w:rPr>
              <w:t>（合同签订后60天内完成，计划2022年7月</w:t>
            </w:r>
            <w:r>
              <w:rPr>
                <w:rFonts w:hint="eastAsia" w:ascii="宋体" w:hAnsi="宋体" w:cs="Times New Roman"/>
                <w:bCs/>
                <w:color w:val="0000FF"/>
                <w:szCs w:val="21"/>
                <w:lang w:val="en-US" w:eastAsia="zh-CN"/>
              </w:rPr>
              <w:t>2</w:t>
            </w:r>
            <w:r>
              <w:rPr>
                <w:rFonts w:hint="default" w:ascii="宋体" w:hAnsi="宋体" w:cs="Times New Roman"/>
                <w:bCs/>
                <w:color w:val="0000FF"/>
                <w:szCs w:val="21"/>
                <w:lang w:val="en-US" w:eastAsia="zh-CN"/>
              </w:rPr>
              <w:t>3</w:t>
            </w:r>
            <w:r>
              <w:rPr>
                <w:rFonts w:hint="eastAsia" w:ascii="宋体" w:hAnsi="宋体" w:eastAsia="宋体" w:cs="Times New Roman"/>
                <w:bCs/>
                <w:color w:val="0000FF"/>
                <w:szCs w:val="21"/>
                <w:lang w:val="en-US" w:eastAsia="zh-CN"/>
              </w:rPr>
              <w:t>日开工，2022年9月</w:t>
            </w:r>
            <w:r>
              <w:rPr>
                <w:rFonts w:hint="default" w:ascii="宋体" w:hAnsi="宋体" w:cs="Times New Roman"/>
                <w:bCs/>
                <w:color w:val="0000FF"/>
                <w:szCs w:val="21"/>
                <w:lang w:val="en-US" w:eastAsia="zh-CN"/>
              </w:rPr>
              <w:t>20</w:t>
            </w:r>
            <w:r>
              <w:rPr>
                <w:rFonts w:hint="eastAsia" w:ascii="宋体" w:hAnsi="宋体" w:eastAsia="宋体" w:cs="Times New Roman"/>
                <w:bCs/>
                <w:color w:val="0000FF"/>
                <w:szCs w:val="21"/>
                <w:lang w:val="en-US" w:eastAsia="zh-CN"/>
              </w:rPr>
              <w:t>日竣工）</w:t>
            </w:r>
            <w:r>
              <w:rPr>
                <w:rFonts w:hint="eastAsia" w:ascii="宋体" w:hAnsi="宋体" w:cs="Times New Roman"/>
                <w:b/>
                <w:bCs w:val="0"/>
                <w:color w:val="auto"/>
                <w:szCs w:val="21"/>
                <w:lang w:val="en-US" w:eastAsia="zh-CN"/>
              </w:rPr>
              <w:t>；</w:t>
            </w:r>
            <w:r>
              <w:rPr>
                <w:rFonts w:hint="eastAsia"/>
                <w:color w:val="auto"/>
              </w:rPr>
              <w:t>气象分析及论证报告（1年）</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9" w:type="dxa"/>
            <w:vAlign w:val="center"/>
          </w:tcPr>
          <w:p>
            <w:pPr>
              <w:wordWrap/>
              <w:autoSpaceDE w:val="0"/>
              <w:autoSpaceDN w:val="0"/>
              <w:adjustRightInd w:val="0"/>
              <w:spacing w:line="440" w:lineRule="exact"/>
              <w:jc w:val="center"/>
              <w:rPr>
                <w:rFonts w:hint="default" w:ascii="宋体" w:eastAsia="宋体"/>
                <w:lang w:val="en-US" w:eastAsia="zh-CN"/>
              </w:rPr>
            </w:pPr>
            <w:r>
              <w:rPr>
                <w:rFonts w:hint="eastAsia" w:ascii="宋体" w:hAnsi="宋体"/>
                <w:lang w:val="en-US" w:eastAsia="zh-CN"/>
              </w:rPr>
              <w:t>12</w:t>
            </w:r>
          </w:p>
        </w:tc>
        <w:tc>
          <w:tcPr>
            <w:tcW w:w="1694" w:type="dxa"/>
            <w:vAlign w:val="center"/>
          </w:tcPr>
          <w:p>
            <w:pPr>
              <w:wordWrap/>
              <w:autoSpaceDE w:val="0"/>
              <w:autoSpaceDN w:val="0"/>
              <w:adjustRightInd w:val="0"/>
              <w:spacing w:line="440" w:lineRule="exact"/>
              <w:jc w:val="center"/>
              <w:rPr>
                <w:rFonts w:ascii="宋体"/>
              </w:rPr>
            </w:pPr>
            <w:r>
              <w:rPr>
                <w:rFonts w:hint="eastAsia" w:ascii="宋体" w:hAnsi="宋体"/>
              </w:rPr>
              <w:t>质量要求</w:t>
            </w:r>
          </w:p>
        </w:tc>
        <w:tc>
          <w:tcPr>
            <w:tcW w:w="7906" w:type="dxa"/>
            <w:vAlign w:val="bottom"/>
          </w:tcPr>
          <w:p>
            <w:pPr>
              <w:spacing w:line="488" w:lineRule="exact"/>
              <w:rPr>
                <w:rFonts w:hint="default"/>
                <w:color w:val="auto"/>
                <w:lang w:val="en-US"/>
              </w:rPr>
            </w:pPr>
            <w:r>
              <w:rPr>
                <w:rFonts w:hint="eastAsia" w:ascii="宋体" w:hAnsi="宋体"/>
                <w:color w:val="auto"/>
                <w:u w:val="none"/>
                <w:lang w:val="zh-CN" w:eastAsia="zh-CN"/>
              </w:rPr>
              <w:t>符合国家质量验收合格标准。</w:t>
            </w:r>
            <w:r>
              <w:rPr>
                <w:rFonts w:hint="eastAsia"/>
                <w:color w:val="auto"/>
                <w:u w:val="none"/>
              </w:rPr>
              <w:t xml:space="preserve"> </w:t>
            </w:r>
            <w:r>
              <w:rPr>
                <w:rFonts w:hint="eastAsia"/>
                <w:b w:val="0"/>
                <w:bCs w:val="0"/>
                <w:color w:val="auto"/>
                <w:u w:val="none"/>
              </w:rPr>
              <w:t>本合同所采购的气象自动观测站及前</w:t>
            </w:r>
            <w:r>
              <w:rPr>
                <w:rFonts w:hint="eastAsia"/>
                <w:b w:val="0"/>
                <w:bCs w:val="0"/>
                <w:color w:val="auto"/>
                <w:highlight w:val="none"/>
                <w:u w:val="none"/>
                <w:lang w:val="en-US" w:eastAsia="zh-CN"/>
              </w:rPr>
              <w:t>向</w:t>
            </w:r>
            <w:r>
              <w:rPr>
                <w:rFonts w:hint="eastAsia"/>
                <w:b w:val="0"/>
                <w:bCs w:val="0"/>
                <w:color w:val="auto"/>
                <w:u w:val="none"/>
              </w:rPr>
              <w:t>散射仪、云高仪必须符合民航管理局的要求，且承包人所编制的气象报告、提供的气象数据符合行业主管部门标准。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9" w:type="dxa"/>
            <w:vAlign w:val="center"/>
          </w:tcPr>
          <w:p>
            <w:pPr>
              <w:wordWrap/>
              <w:autoSpaceDE w:val="0"/>
              <w:autoSpaceDN w:val="0"/>
              <w:adjustRightInd w:val="0"/>
              <w:spacing w:line="440" w:lineRule="exact"/>
              <w:jc w:val="center"/>
              <w:rPr>
                <w:rFonts w:hint="default" w:ascii="宋体" w:eastAsia="宋体"/>
                <w:lang w:val="en-US" w:eastAsia="zh-CN"/>
              </w:rPr>
            </w:pPr>
            <w:r>
              <w:rPr>
                <w:rFonts w:hint="eastAsia" w:ascii="宋体" w:hAnsi="宋体"/>
                <w:lang w:val="en-US" w:eastAsia="zh-CN"/>
              </w:rPr>
              <w:t>13</w:t>
            </w:r>
          </w:p>
        </w:tc>
        <w:tc>
          <w:tcPr>
            <w:tcW w:w="1694" w:type="dxa"/>
            <w:vAlign w:val="center"/>
          </w:tcPr>
          <w:p>
            <w:pPr>
              <w:wordWrap/>
              <w:autoSpaceDE w:val="0"/>
              <w:autoSpaceDN w:val="0"/>
              <w:adjustRightInd w:val="0"/>
              <w:spacing w:line="440" w:lineRule="exact"/>
              <w:jc w:val="center"/>
              <w:rPr>
                <w:rFonts w:ascii="宋体"/>
              </w:rPr>
            </w:pPr>
            <w:r>
              <w:rPr>
                <w:rFonts w:hint="eastAsia" w:ascii="宋体" w:hAnsi="宋体"/>
              </w:rPr>
              <w:t>付款方式</w:t>
            </w:r>
          </w:p>
        </w:tc>
        <w:tc>
          <w:tcPr>
            <w:tcW w:w="7906" w:type="dxa"/>
            <w:vAlign w:val="bottom"/>
          </w:tcPr>
          <w:p>
            <w:pPr>
              <w:wordWrap/>
              <w:autoSpaceDE w:val="0"/>
              <w:autoSpaceDN w:val="0"/>
              <w:adjustRightInd w:val="0"/>
              <w:spacing w:line="4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合同签订后支付合同总价</w:t>
            </w:r>
            <w:r>
              <w:rPr>
                <w:rFonts w:hint="cs" w:ascii="宋体" w:hAnsi="宋体" w:eastAsia="宋体" w:cs="Times New Roman"/>
                <w:color w:val="auto"/>
                <w:cs/>
                <w:lang w:val="en-US" w:eastAsia="zh-CN"/>
              </w:rPr>
              <w:t>30%</w:t>
            </w:r>
            <w:r>
              <w:rPr>
                <w:rFonts w:hint="eastAsia" w:ascii="宋体" w:hAnsi="宋体" w:eastAsia="宋体" w:cs="Times New Roman"/>
                <w:color w:val="auto"/>
                <w:lang w:val="en-US" w:eastAsia="zh-CN"/>
              </w:rPr>
              <w:t>的工程预付款，货到交货地点通过初验、安装、调试、培训、验收合格后，支付至合同价款的80</w:t>
            </w:r>
            <w:r>
              <w:rPr>
                <w:rFonts w:hint="cs" w:ascii="宋体" w:hAnsi="宋体" w:eastAsia="宋体" w:cs="Times New Roman"/>
                <w:color w:val="auto"/>
                <w:cs/>
                <w:lang w:val="en-US" w:eastAsia="zh-CN"/>
              </w:rPr>
              <w:t>%</w:t>
            </w:r>
            <w:r>
              <w:rPr>
                <w:rFonts w:hint="eastAsia" w:ascii="宋体" w:hAnsi="宋体" w:eastAsia="宋体" w:cs="Times New Roman"/>
                <w:color w:val="auto"/>
                <w:lang w:val="en-US" w:eastAsia="zh-CN"/>
              </w:rPr>
              <w:t>，完成气候分析及论证报告支付至合同价款的100%。最终付款方式按中标后合同约定。</w:t>
            </w:r>
          </w:p>
          <w:p>
            <w:pPr>
              <w:wordWrap/>
              <w:autoSpaceDE w:val="0"/>
              <w:autoSpaceDN w:val="0"/>
              <w:adjustRightInd w:val="0"/>
              <w:spacing w:line="4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验收付款时供应商应必须提交：</w:t>
            </w:r>
          </w:p>
          <w:p>
            <w:pPr>
              <w:wordWrap/>
              <w:autoSpaceDE w:val="0"/>
              <w:autoSpaceDN w:val="0"/>
              <w:adjustRightInd w:val="0"/>
              <w:spacing w:line="440" w:lineRule="exac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（1）符合招标人要求的发票；</w:t>
            </w:r>
          </w:p>
          <w:p>
            <w:pPr>
              <w:wordWrap/>
              <w:autoSpaceDE w:val="0"/>
              <w:autoSpaceDN w:val="0"/>
              <w:adjustRightInd w:val="0"/>
              <w:spacing w:line="440" w:lineRule="exact"/>
              <w:rPr>
                <w:rFonts w:ascii="宋体" w:hAnsi="宋体" w:eastAsia="宋体" w:cs="宋体"/>
                <w:color w:val="auto"/>
              </w:rPr>
            </w:pPr>
            <w:r>
              <w:rPr>
                <w:rFonts w:hint="eastAsia" w:ascii="宋体" w:hAnsi="宋体" w:eastAsia="宋体" w:cs="Times New Roman"/>
                <w:color w:val="auto"/>
                <w:lang w:val="en-US" w:eastAsia="zh-CN"/>
              </w:rPr>
              <w:t>（2）采购人认可的签字盖章的验收回执一份。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9" w:type="dxa"/>
            <w:vAlign w:val="center"/>
          </w:tcPr>
          <w:p>
            <w:pPr>
              <w:wordWrap/>
              <w:autoSpaceDE w:val="0"/>
              <w:autoSpaceDN w:val="0"/>
              <w:adjustRightInd w:val="0"/>
              <w:spacing w:line="440" w:lineRule="exact"/>
              <w:jc w:val="center"/>
              <w:rPr>
                <w:rFonts w:hint="default" w:ascii="宋体" w:hAnsi="宋体" w:eastAsia="宋体"/>
                <w:lang w:val="en-US" w:eastAsia="zh-CN"/>
              </w:rPr>
            </w:pPr>
            <w:r>
              <w:rPr>
                <w:rFonts w:hint="eastAsia" w:ascii="宋体" w:hAnsi="宋体"/>
                <w:lang w:val="en-US" w:eastAsia="zh-CN"/>
              </w:rPr>
              <w:t>14</w:t>
            </w:r>
          </w:p>
        </w:tc>
        <w:tc>
          <w:tcPr>
            <w:tcW w:w="1694" w:type="dxa"/>
            <w:vAlign w:val="center"/>
          </w:tcPr>
          <w:p>
            <w:pPr>
              <w:wordWrap/>
              <w:autoSpaceDE w:val="0"/>
              <w:autoSpaceDN w:val="0"/>
              <w:adjustRightInd w:val="0"/>
              <w:spacing w:line="440" w:lineRule="exact"/>
              <w:jc w:val="center"/>
              <w:rPr>
                <w:rFonts w:ascii="宋体" w:hAnsi="宋体"/>
              </w:rPr>
            </w:pPr>
            <w:r>
              <w:rPr>
                <w:rFonts w:hint="eastAsia" w:ascii="宋体" w:hAnsi="宋体"/>
              </w:rPr>
              <w:t>质保期</w:t>
            </w:r>
          </w:p>
        </w:tc>
        <w:tc>
          <w:tcPr>
            <w:tcW w:w="7906" w:type="dxa"/>
            <w:vAlign w:val="center"/>
          </w:tcPr>
          <w:p>
            <w:pPr>
              <w:wordWrap/>
              <w:autoSpaceDE w:val="0"/>
              <w:autoSpaceDN w:val="0"/>
              <w:adjustRightInd w:val="0"/>
              <w:spacing w:line="440" w:lineRule="exact"/>
              <w:jc w:val="both"/>
              <w:rPr>
                <w:rFonts w:hint="eastAsia" w:ascii="宋体" w:hAnsi="宋体" w:eastAsia="宋体" w:cs="宋体"/>
                <w:lang w:eastAsia="zh-CN"/>
              </w:rPr>
            </w:pPr>
            <w:r>
              <w:rPr>
                <w:rFonts w:hint="eastAsia" w:ascii="宋体" w:hAnsi="宋体" w:eastAsia="宋体" w:cs="宋体"/>
                <w:color w:val="auto"/>
              </w:rPr>
              <w:t>质保期：2年</w:t>
            </w:r>
            <w:r>
              <w:rPr>
                <w:rFonts w:hint="eastAsia" w:ascii="宋体" w:hAnsi="宋体" w:eastAsia="宋体" w:cs="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9" w:type="dxa"/>
            <w:vAlign w:val="center"/>
          </w:tcPr>
          <w:p>
            <w:pPr>
              <w:wordWrap/>
              <w:autoSpaceDE w:val="0"/>
              <w:autoSpaceDN w:val="0"/>
              <w:adjustRightInd w:val="0"/>
              <w:spacing w:line="440" w:lineRule="exact"/>
              <w:jc w:val="center"/>
              <w:rPr>
                <w:rFonts w:hint="default" w:ascii="宋体" w:eastAsia="宋体"/>
                <w:lang w:val="en-US" w:eastAsia="zh-CN"/>
              </w:rPr>
            </w:pPr>
            <w:r>
              <w:rPr>
                <w:rFonts w:hint="eastAsia" w:ascii="宋体" w:hAnsi="宋体"/>
                <w:lang w:val="en-US" w:eastAsia="zh-CN"/>
              </w:rPr>
              <w:t>15</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 xml:space="preserve">供应商资格要求 </w:t>
            </w:r>
          </w:p>
        </w:tc>
        <w:tc>
          <w:tcPr>
            <w:tcW w:w="7906" w:type="dxa"/>
            <w:vAlign w:val="center"/>
          </w:tcPr>
          <w:p>
            <w:pPr>
              <w:tabs>
                <w:tab w:val="left" w:pos="7133"/>
              </w:tabs>
              <w:spacing w:line="360" w:lineRule="auto"/>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1.满足《中华人民共和国政府采购法》第二十二条的相关规定；</w:t>
            </w:r>
          </w:p>
          <w:p>
            <w:pPr>
              <w:tabs>
                <w:tab w:val="left" w:pos="7133"/>
              </w:tabs>
              <w:spacing w:line="360" w:lineRule="auto"/>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2.需要落实的政府采购政策：</w:t>
            </w:r>
            <w:r>
              <w:rPr>
                <w:rFonts w:hint="eastAsia" w:ascii="宋体" w:hAnsi="宋体" w:eastAsia="宋体" w:cs="Times New Roman"/>
                <w:color w:val="000000"/>
                <w:highlight w:val="none"/>
                <w:lang w:val="en-US" w:eastAsia="zh-CN"/>
              </w:rPr>
              <w:t>供应商为中小企业/小微企业；</w:t>
            </w:r>
          </w:p>
          <w:p>
            <w:pPr>
              <w:tabs>
                <w:tab w:val="left" w:pos="7133"/>
              </w:tabs>
              <w:spacing w:line="360" w:lineRule="auto"/>
              <w:rPr>
                <w:rFonts w:hint="eastAsia" w:ascii="宋体" w:hAnsi="宋体" w:eastAsia="宋体" w:cs="Times New Roman"/>
                <w:color w:val="000000"/>
                <w:u w:val="none"/>
                <w:lang w:val="en-US" w:eastAsia="zh-CN"/>
              </w:rPr>
            </w:pPr>
            <w:r>
              <w:rPr>
                <w:rFonts w:hint="eastAsia" w:ascii="宋体" w:hAnsi="宋体" w:cs="Times New Roman"/>
                <w:color w:val="000000"/>
                <w:lang w:val="en-US" w:eastAsia="zh-CN"/>
              </w:rPr>
              <w:t>3.</w:t>
            </w:r>
            <w:r>
              <w:rPr>
                <w:rFonts w:hint="eastAsia" w:ascii="宋体" w:hAnsi="宋体" w:eastAsia="宋体" w:cs="Times New Roman"/>
                <w:color w:val="000000"/>
                <w:lang w:val="en-US" w:eastAsia="zh-CN"/>
              </w:rPr>
              <w:t>供应商须具有良好的信誉，未被“信用中国”(</w:t>
            </w:r>
            <w:r>
              <w:rPr>
                <w:rFonts w:hint="eastAsia" w:ascii="宋体" w:hAnsi="宋体" w:eastAsia="宋体" w:cs="Times New Roman"/>
                <w:color w:val="000000"/>
                <w:lang w:val="en-US" w:eastAsia="zh-CN"/>
              </w:rPr>
              <w:fldChar w:fldCharType="begin"/>
            </w:r>
            <w:r>
              <w:rPr>
                <w:rFonts w:hint="eastAsia" w:ascii="宋体" w:hAnsi="宋体" w:eastAsia="宋体" w:cs="Times New Roman"/>
                <w:color w:val="000000"/>
                <w:lang w:val="en-US" w:eastAsia="zh-CN"/>
              </w:rPr>
              <w:instrText xml:space="preserve"> HYPERLINK "http://www.creditchina.gov.cn" </w:instrText>
            </w:r>
            <w:r>
              <w:rPr>
                <w:rFonts w:hint="eastAsia" w:ascii="宋体" w:hAnsi="宋体" w:eastAsia="宋体" w:cs="Times New Roman"/>
                <w:color w:val="000000"/>
                <w:lang w:val="en-US" w:eastAsia="zh-CN"/>
              </w:rPr>
              <w:fldChar w:fldCharType="separate"/>
            </w:r>
            <w:r>
              <w:rPr>
                <w:rFonts w:hint="eastAsia" w:ascii="宋体" w:hAnsi="宋体" w:eastAsia="宋体" w:cs="Times New Roman"/>
                <w:color w:val="000000"/>
                <w:lang w:val="en-US" w:eastAsia="zh-CN"/>
              </w:rPr>
              <w:t>www.creditchina.gov.cn</w:t>
            </w:r>
            <w:r>
              <w:rPr>
                <w:rFonts w:hint="eastAsia" w:ascii="宋体" w:hAnsi="宋体" w:eastAsia="宋体" w:cs="Times New Roman"/>
                <w:color w:val="000000"/>
                <w:lang w:val="en-US" w:eastAsia="zh-CN"/>
              </w:rPr>
              <w:fldChar w:fldCharType="end"/>
            </w:r>
            <w:r>
              <w:rPr>
                <w:rFonts w:hint="eastAsia" w:ascii="宋体" w:hAnsi="宋体" w:eastAsia="宋体" w:cs="Times New Roman"/>
                <w:color w:val="000000"/>
                <w:lang w:val="en-US" w:eastAsia="zh-CN"/>
              </w:rPr>
              <w:t xml:space="preserve">)、“中国政府采购网”（ </w:t>
            </w:r>
            <w:r>
              <w:rPr>
                <w:rFonts w:hint="eastAsia" w:ascii="宋体" w:hAnsi="宋体" w:eastAsia="宋体" w:cs="Times New Roman"/>
                <w:color w:val="000000"/>
                <w:u w:val="none"/>
                <w:lang w:val="en-US" w:eastAsia="zh-CN"/>
              </w:rPr>
              <w:fldChar w:fldCharType="begin"/>
            </w:r>
            <w:r>
              <w:rPr>
                <w:rFonts w:hint="eastAsia" w:ascii="宋体" w:hAnsi="宋体" w:eastAsia="宋体" w:cs="Times New Roman"/>
                <w:color w:val="000000"/>
                <w:u w:val="none"/>
                <w:lang w:val="en-US" w:eastAsia="zh-CN"/>
              </w:rPr>
              <w:instrText xml:space="preserve"> HYPERLINK "http://www.ccgp.gov.cn）列入失信被执行人、重大税收违法案件当事人名单、政府采购严重违法失信行为记录名单；" </w:instrText>
            </w:r>
            <w:r>
              <w:rPr>
                <w:rFonts w:hint="eastAsia" w:ascii="宋体" w:hAnsi="宋体" w:eastAsia="宋体" w:cs="Times New Roman"/>
                <w:color w:val="000000"/>
                <w:u w:val="none"/>
                <w:lang w:val="en-US" w:eastAsia="zh-CN"/>
              </w:rPr>
              <w:fldChar w:fldCharType="separate"/>
            </w:r>
            <w:r>
              <w:rPr>
                <w:rStyle w:val="51"/>
                <w:rFonts w:hint="eastAsia" w:ascii="宋体" w:hAnsi="宋体" w:eastAsia="宋体" w:cs="Times New Roman"/>
                <w:color w:val="000000"/>
                <w:u w:val="none"/>
                <w:lang w:val="en-US" w:eastAsia="zh-CN"/>
              </w:rPr>
              <w:t>www.ccgp.gov.cn）列入失信被执行人、重大税收违法案件当事人名单、政府采购严重违法失信行为记录名单；</w:t>
            </w:r>
            <w:r>
              <w:rPr>
                <w:rFonts w:hint="eastAsia" w:ascii="宋体" w:hAnsi="宋体" w:eastAsia="宋体" w:cs="Times New Roman"/>
                <w:color w:val="000000"/>
                <w:u w:val="none"/>
                <w:lang w:val="en-US" w:eastAsia="zh-CN"/>
              </w:rPr>
              <w:fldChar w:fldCharType="end"/>
            </w:r>
          </w:p>
          <w:p>
            <w:pPr>
              <w:tabs>
                <w:tab w:val="left" w:pos="7133"/>
              </w:tabs>
              <w:spacing w:line="360" w:lineRule="auto"/>
              <w:rPr>
                <w:rFonts w:hint="eastAsia" w:ascii="宋体" w:hAnsi="宋体" w:eastAsia="宋体" w:cs="Times New Roman"/>
                <w:color w:val="auto"/>
                <w:lang w:val="en-US" w:eastAsia="zh-CN"/>
              </w:rPr>
            </w:pPr>
            <w:r>
              <w:rPr>
                <w:rFonts w:hint="eastAsia" w:ascii="宋体" w:hAnsi="宋体" w:cs="Times New Roman"/>
                <w:color w:val="auto"/>
                <w:lang w:val="en-US" w:eastAsia="zh-CN"/>
              </w:rPr>
              <w:t>4.</w:t>
            </w:r>
            <w:r>
              <w:rPr>
                <w:rFonts w:hint="eastAsia" w:ascii="宋体" w:hAnsi="宋体" w:eastAsia="宋体"/>
                <w:color w:val="auto"/>
                <w:szCs w:val="21"/>
                <w:lang w:eastAsia="zh-CN"/>
              </w:rPr>
              <w:t>本项目的特定资格要求：</w:t>
            </w:r>
          </w:p>
          <w:p>
            <w:pPr>
              <w:tabs>
                <w:tab w:val="left" w:pos="7133"/>
              </w:tabs>
              <w:spacing w:line="360" w:lineRule="auto"/>
              <w:rPr>
                <w:rFonts w:hint="eastAsia" w:ascii="宋体" w:hAnsi="宋体" w:eastAsia="宋体" w:cs="Times New Roman"/>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eastAsia="宋体" w:cs="宋体"/>
                <w:color w:val="auto"/>
              </w:rPr>
              <w:t>供应商须是中华人民共和国境内合法注册，能独立承担民事责任的独立法人，经营范围包括与本项目相关的内容；</w:t>
            </w:r>
          </w:p>
          <w:p>
            <w:pPr>
              <w:tabs>
                <w:tab w:val="left" w:pos="7133"/>
              </w:tabs>
              <w:spacing w:line="360" w:lineRule="auto"/>
              <w:rPr>
                <w:rFonts w:hint="eastAsia" w:ascii="宋体" w:hAnsi="宋体" w:cs="Times New Roman"/>
                <w:color w:val="auto"/>
                <w:lang w:val="en-US" w:eastAsia="zh-CN"/>
              </w:rPr>
            </w:pPr>
            <w:r>
              <w:rPr>
                <w:rFonts w:hint="eastAsia" w:ascii="宋体" w:hAnsi="宋体" w:eastAsia="宋体" w:cs="Times New Roman"/>
                <w:color w:val="auto"/>
                <w:lang w:val="en-US" w:eastAsia="zh-CN"/>
              </w:rPr>
              <w:t>（</w:t>
            </w:r>
            <w:r>
              <w:rPr>
                <w:rFonts w:hint="eastAsia" w:ascii="宋体" w:hAnsi="宋体" w:cs="Times New Roman"/>
                <w:color w:val="auto"/>
                <w:lang w:val="en-US" w:eastAsia="zh-CN"/>
              </w:rPr>
              <w:t>2</w:t>
            </w:r>
            <w:r>
              <w:rPr>
                <w:rFonts w:hint="eastAsia" w:ascii="宋体" w:hAnsi="宋体" w:eastAsia="宋体" w:cs="Times New Roman"/>
                <w:color w:val="auto"/>
                <w:lang w:val="en-US" w:eastAsia="zh-CN"/>
              </w:rPr>
              <w:t>）供应商须具有民航空管工程及机场弱电系统工程专业承包二级及以上资质，并具有建设行政主管部门颁发的有效的安全生产许可证</w:t>
            </w:r>
            <w:r>
              <w:rPr>
                <w:rFonts w:hint="eastAsia" w:ascii="宋体" w:hAnsi="宋体" w:cs="Times New Roman"/>
                <w:color w:val="auto"/>
                <w:lang w:val="en-US" w:eastAsia="zh-CN"/>
              </w:rPr>
              <w:t>；</w:t>
            </w:r>
          </w:p>
          <w:p>
            <w:pPr>
              <w:tabs>
                <w:tab w:val="left" w:pos="7133"/>
              </w:tabs>
              <w:spacing w:line="360" w:lineRule="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w:t>
            </w:r>
            <w:r>
              <w:rPr>
                <w:rFonts w:hint="eastAsia" w:ascii="宋体" w:hAnsi="宋体" w:cs="Times New Roman"/>
                <w:color w:val="auto"/>
                <w:lang w:val="en-US" w:eastAsia="zh-CN"/>
              </w:rPr>
              <w:t>3</w:t>
            </w:r>
            <w:r>
              <w:rPr>
                <w:rFonts w:hint="eastAsia" w:ascii="宋体" w:hAnsi="宋体" w:eastAsia="宋体" w:cs="Times New Roman"/>
                <w:color w:val="auto"/>
                <w:lang w:val="en-US" w:eastAsia="zh-CN"/>
              </w:rPr>
              <w:t>）拟派项目</w:t>
            </w:r>
            <w:r>
              <w:rPr>
                <w:rFonts w:hint="eastAsia" w:ascii="宋体" w:hAnsi="宋体" w:cs="Times New Roman"/>
                <w:color w:val="auto"/>
                <w:lang w:val="en-US" w:eastAsia="zh-CN"/>
              </w:rPr>
              <w:t>负责人</w:t>
            </w:r>
            <w:r>
              <w:rPr>
                <w:rFonts w:hint="eastAsia" w:ascii="宋体" w:hAnsi="宋体" w:eastAsia="宋体" w:cs="Times New Roman"/>
                <w:color w:val="auto"/>
                <w:lang w:val="en-US" w:eastAsia="zh-CN"/>
              </w:rPr>
              <w:t>须为民航机场工程专业贰级</w:t>
            </w:r>
            <w:r>
              <w:rPr>
                <w:rFonts w:hint="eastAsia" w:ascii="宋体" w:hAnsi="宋体" w:cs="Times New Roman"/>
                <w:color w:val="auto"/>
                <w:lang w:val="en-US" w:eastAsia="zh-CN"/>
              </w:rPr>
              <w:t>及以上</w:t>
            </w:r>
            <w:r>
              <w:rPr>
                <w:rFonts w:hint="eastAsia" w:ascii="宋体" w:hAnsi="宋体" w:eastAsia="宋体" w:cs="Times New Roman"/>
                <w:color w:val="auto"/>
                <w:lang w:val="en-US" w:eastAsia="zh-CN"/>
              </w:rPr>
              <w:t>注册建造师</w:t>
            </w:r>
            <w:r>
              <w:rPr>
                <w:rFonts w:hint="eastAsia" w:ascii="宋体" w:hAnsi="宋体" w:cs="Times New Roman"/>
                <w:color w:val="auto"/>
                <w:lang w:val="en-US" w:eastAsia="zh-CN"/>
              </w:rPr>
              <w:t>，</w:t>
            </w:r>
            <w:r>
              <w:rPr>
                <w:rFonts w:hint="eastAsia" w:ascii="宋体" w:hAnsi="宋体" w:eastAsia="宋体" w:cs="Times New Roman"/>
                <w:color w:val="auto"/>
                <w:lang w:val="en-US" w:eastAsia="zh-CN"/>
              </w:rPr>
              <w:t>并具备有效的安全生产考核合格证书；</w:t>
            </w:r>
          </w:p>
          <w:p>
            <w:pPr>
              <w:tabs>
                <w:tab w:val="left" w:pos="7133"/>
              </w:tabs>
              <w:spacing w:line="360" w:lineRule="auto"/>
              <w:rPr>
                <w:rFonts w:hint="eastAsia" w:ascii="宋体" w:hAnsi="宋体" w:eastAsia="宋体" w:cs="Times New Roman"/>
                <w:color w:val="auto"/>
                <w:lang w:val="en-US" w:eastAsia="zh-CN"/>
              </w:rPr>
            </w:pPr>
            <w:r>
              <w:rPr>
                <w:rFonts w:hint="eastAsia" w:ascii="宋体" w:hAnsi="宋体" w:eastAsia="宋体" w:cs="Times New Roman"/>
                <w:color w:val="000000" w:themeColor="text1"/>
                <w:lang w:val="en-US" w:eastAsia="zh-CN"/>
              </w:rPr>
              <w:t>（</w:t>
            </w:r>
            <w:r>
              <w:rPr>
                <w:rFonts w:hint="eastAsia" w:ascii="宋体" w:hAnsi="宋体" w:cs="Times New Roman"/>
                <w:color w:val="000000" w:themeColor="text1"/>
                <w:lang w:val="en-US" w:eastAsia="zh-CN"/>
              </w:rPr>
              <w:t>4</w:t>
            </w:r>
            <w:r>
              <w:rPr>
                <w:rFonts w:hint="eastAsia" w:ascii="宋体" w:hAnsi="宋体" w:eastAsia="宋体" w:cs="Times New Roman"/>
                <w:color w:val="000000" w:themeColor="text1"/>
                <w:lang w:val="en-US" w:eastAsia="zh-CN"/>
              </w:rPr>
              <w:t>）具有履行合同所必需的的设备和专业技术能力，并在人员、设备、资金等方面具有</w:t>
            </w:r>
            <w:r>
              <w:rPr>
                <w:rFonts w:hint="eastAsia" w:ascii="宋体" w:hAnsi="宋体" w:eastAsia="宋体" w:cs="Times New Roman"/>
                <w:color w:val="auto"/>
                <w:lang w:val="en-US" w:eastAsia="zh-CN"/>
              </w:rPr>
              <w:t>相应施工及供货能力；</w:t>
            </w:r>
          </w:p>
          <w:p>
            <w:pPr>
              <w:numPr>
                <w:ilvl w:val="0"/>
                <w:numId w:val="0"/>
              </w:numPr>
              <w:tabs>
                <w:tab w:val="left" w:pos="7133"/>
              </w:tabs>
              <w:spacing w:line="360" w:lineRule="auto"/>
              <w:rPr>
                <w:rFonts w:hint="eastAsia" w:ascii="宋体" w:hAnsi="宋体" w:eastAsia="宋体" w:cs="Times New Roman"/>
                <w:color w:val="auto"/>
                <w:lang w:val="en-US" w:eastAsia="zh-CN"/>
              </w:rPr>
            </w:pPr>
            <w:r>
              <w:rPr>
                <w:rFonts w:hint="eastAsia" w:ascii="宋体" w:hAnsi="宋体" w:cs="Times New Roman"/>
                <w:color w:val="auto"/>
                <w:lang w:val="en-US" w:eastAsia="zh-CN"/>
              </w:rPr>
              <w:t>（5）</w:t>
            </w:r>
            <w:r>
              <w:rPr>
                <w:rFonts w:hint="eastAsia" w:ascii="宋体" w:hAnsi="宋体" w:eastAsia="宋体" w:cs="Times New Roman"/>
                <w:color w:val="auto"/>
                <w:lang w:val="en-US" w:eastAsia="zh-CN"/>
              </w:rPr>
              <w:t>供应商提供的设备</w:t>
            </w:r>
            <w:r>
              <w:rPr>
                <w:rFonts w:hint="eastAsia" w:ascii="宋体" w:hAnsi="宋体" w:cs="Times New Roman"/>
                <w:color w:val="auto"/>
                <w:lang w:val="en-US" w:eastAsia="zh-CN"/>
              </w:rPr>
              <w:t>具有</w:t>
            </w:r>
            <w:r>
              <w:rPr>
                <w:rFonts w:hint="eastAsia" w:ascii="宋体" w:hAnsi="宋体" w:eastAsia="宋体" w:cs="Times New Roman"/>
                <w:color w:val="auto"/>
                <w:lang w:val="en-US" w:eastAsia="zh-CN"/>
              </w:rPr>
              <w:t>中国民航局《民用航空自动气象观测设备试验验证评估结论》</w:t>
            </w:r>
            <w:r>
              <w:rPr>
                <w:rFonts w:hint="eastAsia" w:ascii="宋体" w:hAnsi="宋体" w:cs="Times New Roman"/>
                <w:color w:val="auto"/>
                <w:lang w:val="en-US" w:eastAsia="zh-CN"/>
              </w:rPr>
              <w:t>气象观测站设备</w:t>
            </w:r>
            <w:r>
              <w:rPr>
                <w:rFonts w:hint="eastAsia" w:ascii="宋体" w:hAnsi="宋体" w:eastAsia="宋体" w:cs="Times New Roman"/>
                <w:color w:val="auto"/>
                <w:lang w:val="en-US" w:eastAsia="zh-CN"/>
              </w:rPr>
              <w:t>；</w:t>
            </w:r>
          </w:p>
          <w:p>
            <w:pPr>
              <w:numPr>
                <w:ilvl w:val="0"/>
                <w:numId w:val="0"/>
              </w:numPr>
              <w:tabs>
                <w:tab w:val="left" w:pos="7133"/>
              </w:tabs>
              <w:spacing w:line="360" w:lineRule="auto"/>
              <w:rPr>
                <w:rFonts w:hint="eastAsia" w:ascii="宋体" w:hAnsi="宋体" w:eastAsia="宋体" w:cs="Times New Roman"/>
                <w:color w:val="000000"/>
                <w:lang w:val="en-US" w:eastAsia="zh-CN"/>
              </w:rPr>
            </w:pPr>
            <w:r>
              <w:rPr>
                <w:rFonts w:hint="eastAsia" w:ascii="宋体" w:hAnsi="宋体" w:cs="Times New Roman"/>
                <w:color w:val="000000"/>
                <w:lang w:val="en-US" w:eastAsia="zh-CN"/>
              </w:rPr>
              <w:t>（6）</w:t>
            </w:r>
            <w:r>
              <w:rPr>
                <w:rFonts w:hint="eastAsia" w:ascii="宋体" w:hAnsi="宋体" w:eastAsia="宋体" w:cs="Times New Roman"/>
                <w:color w:val="000000"/>
                <w:lang w:val="en-US" w:eastAsia="zh-CN"/>
              </w:rPr>
              <w:t>法定代表人或者负责人为同一人或者存在直接控股、管理关系的不同供应商，不得参加同一合同项下的政府采购活动；</w:t>
            </w:r>
          </w:p>
          <w:p>
            <w:pPr>
              <w:tabs>
                <w:tab w:val="left" w:pos="7133"/>
              </w:tabs>
              <w:spacing w:line="360" w:lineRule="auto"/>
              <w:rPr>
                <w:rFonts w:hint="eastAsia" w:ascii="宋体" w:hAnsi="宋体" w:eastAsia="宋体" w:cs="Times New Roman"/>
                <w:color w:val="000000"/>
                <w:lang w:val="en-US" w:eastAsia="zh-CN"/>
              </w:rPr>
            </w:pPr>
            <w:r>
              <w:rPr>
                <w:rFonts w:hint="eastAsia" w:ascii="宋体" w:hAnsi="宋体" w:cs="Times New Roman"/>
                <w:color w:val="000000"/>
                <w:lang w:val="en-US" w:eastAsia="zh-CN"/>
              </w:rPr>
              <w:t>（7）</w:t>
            </w:r>
            <w:r>
              <w:rPr>
                <w:rFonts w:hint="eastAsia" w:ascii="宋体" w:hAnsi="宋体" w:eastAsia="宋体" w:cs="Times New Roman"/>
                <w:color w:val="000000"/>
                <w:lang w:val="en-US" w:eastAsia="zh-CN"/>
              </w:rPr>
              <w:t>本项目不接受联合体投标。</w:t>
            </w:r>
          </w:p>
          <w:p>
            <w:pPr>
              <w:tabs>
                <w:tab w:val="left" w:pos="7133"/>
              </w:tabs>
              <w:spacing w:line="360" w:lineRule="auto"/>
              <w:rPr>
                <w:rFonts w:ascii="宋体" w:hAnsi="宋体" w:eastAsia="宋体"/>
              </w:rPr>
            </w:pPr>
            <w:r>
              <w:rPr>
                <w:rFonts w:hint="eastAsia" w:ascii="宋体" w:hAnsi="宋体" w:eastAsia="宋体" w:cs="Times New Roman"/>
                <w:color w:val="000000"/>
                <w:lang w:val="en-US" w:eastAsia="zh-CN"/>
              </w:rPr>
              <w:t>（</w:t>
            </w:r>
            <w:r>
              <w:rPr>
                <w:rFonts w:hint="eastAsia" w:ascii="宋体" w:hAnsi="宋体" w:cs="Times New Roman"/>
                <w:color w:val="000000"/>
                <w:lang w:val="en-US" w:eastAsia="zh-CN"/>
              </w:rPr>
              <w:t>8）</w:t>
            </w:r>
            <w:r>
              <w:rPr>
                <w:rFonts w:hint="eastAsia" w:ascii="宋体" w:hAnsi="宋体" w:eastAsia="宋体" w:cs="Times New Roman"/>
                <w:color w:val="000000"/>
                <w:lang w:val="en-US" w:eastAsia="zh-CN"/>
              </w:rPr>
              <w:t>本项目为电子招投标，需要使用CA加密设备，供应商可通过新疆数字证书认证中心官网（https://www.xjca.com.cn/）或下载“新疆政务通”APP自行进行申领。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16</w:t>
            </w:r>
          </w:p>
        </w:tc>
        <w:tc>
          <w:tcPr>
            <w:tcW w:w="1694" w:type="dxa"/>
            <w:vAlign w:val="center"/>
          </w:tcPr>
          <w:p>
            <w:pPr>
              <w:wordWrap/>
              <w:autoSpaceDE w:val="0"/>
              <w:autoSpaceDN w:val="0"/>
              <w:adjustRightInd w:val="0"/>
              <w:spacing w:line="440" w:lineRule="exact"/>
              <w:jc w:val="center"/>
            </w:pPr>
            <w:r>
              <w:rPr>
                <w:rFonts w:hint="eastAsia" w:ascii="宋体" w:hAnsi="宋体"/>
              </w:rPr>
              <w:t>现场踏勘</w:t>
            </w:r>
          </w:p>
        </w:tc>
        <w:tc>
          <w:tcPr>
            <w:tcW w:w="7906" w:type="dxa"/>
            <w:vAlign w:val="center"/>
          </w:tcPr>
          <w:p>
            <w:pPr>
              <w:wordWrap/>
              <w:autoSpaceDE w:val="0"/>
              <w:autoSpaceDN w:val="0"/>
              <w:adjustRightInd w:val="0"/>
              <w:spacing w:line="440" w:lineRule="exact"/>
              <w:rPr>
                <w:rFonts w:ascii="宋体" w:hAnsi="宋体"/>
              </w:rPr>
            </w:pPr>
            <w:r>
              <w:rPr>
                <w:rFonts w:hint="eastAsia" w:ascii="宋体" w:hAnsi="宋体"/>
              </w:rPr>
              <w:t>不统一组织踏勘，各投标供应商应认真踏勘施工现场，了解工程地点地形位置，材料运输储存条件，掌握有关可能影响投标报价的因素和情况，投标供应商一旦中标后不得以不完全了解现场情况为借口而增加造价和延长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17</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投标预备会</w:t>
            </w:r>
          </w:p>
        </w:tc>
        <w:tc>
          <w:tcPr>
            <w:tcW w:w="7906" w:type="dxa"/>
            <w:vAlign w:val="center"/>
          </w:tcPr>
          <w:p>
            <w:pPr>
              <w:wordWrap/>
              <w:autoSpaceDE w:val="0"/>
              <w:autoSpaceDN w:val="0"/>
              <w:adjustRightInd w:val="0"/>
              <w:spacing w:line="440" w:lineRule="exact"/>
              <w:rPr>
                <w:rFonts w:eastAsia="Times New Roman"/>
              </w:rPr>
            </w:pPr>
            <w:r>
              <w:rPr>
                <w:rFonts w:hint="eastAsia" w:ascii="宋体" w:hAnsi="宋体"/>
              </w:rPr>
              <w:t>不召开，采购代理机构将对投标供应商所提出的问题予以解答，并出具书面答疑纪要。答疑纪要为磋商文件的组成部分，与磋商文件具有同等法律效力。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18</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构成磋商文件的其他材料</w:t>
            </w:r>
          </w:p>
        </w:tc>
        <w:tc>
          <w:tcPr>
            <w:tcW w:w="7906" w:type="dxa"/>
            <w:vAlign w:val="center"/>
          </w:tcPr>
          <w:p>
            <w:pPr>
              <w:wordWrap/>
              <w:autoSpaceDE w:val="0"/>
              <w:autoSpaceDN w:val="0"/>
              <w:adjustRightInd w:val="0"/>
              <w:spacing w:line="440" w:lineRule="exact"/>
              <w:rPr>
                <w:rFonts w:eastAsia="Times New Roman"/>
              </w:rPr>
            </w:pPr>
            <w:r>
              <w:rPr>
                <w:rFonts w:hint="eastAsia" w:ascii="宋体" w:hAnsi="宋体"/>
              </w:rPr>
              <w:t>根据磋商文件相应条款对磋商文件所作的答疑、修改，构成磋商文件的组成部分。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19</w:t>
            </w:r>
          </w:p>
        </w:tc>
        <w:tc>
          <w:tcPr>
            <w:tcW w:w="1694" w:type="dxa"/>
            <w:vAlign w:val="center"/>
          </w:tcPr>
          <w:p>
            <w:pPr>
              <w:pStyle w:val="24"/>
              <w:wordWrap/>
              <w:autoSpaceDE w:val="0"/>
              <w:autoSpaceDN w:val="0"/>
              <w:adjustRightInd w:val="0"/>
              <w:spacing w:line="440" w:lineRule="exact"/>
              <w:rPr>
                <w:rFonts w:hAnsi="宋体" w:eastAsia="Times New Roman"/>
              </w:rPr>
            </w:pPr>
            <w:r>
              <w:rPr>
                <w:rFonts w:hint="eastAsia" w:hAnsi="宋体"/>
              </w:rPr>
              <w:t>澄清或者修改时间</w:t>
            </w:r>
          </w:p>
        </w:tc>
        <w:tc>
          <w:tcPr>
            <w:tcW w:w="7906" w:type="dxa"/>
            <w:vAlign w:val="center"/>
          </w:tcPr>
          <w:p>
            <w:pPr>
              <w:pStyle w:val="24"/>
              <w:wordWrap/>
              <w:autoSpaceDE w:val="0"/>
              <w:autoSpaceDN w:val="0"/>
              <w:adjustRightInd w:val="0"/>
              <w:spacing w:line="440" w:lineRule="exact"/>
              <w:rPr>
                <w:rFonts w:hAnsi="宋体" w:eastAsia="Times New Roman"/>
              </w:rPr>
            </w:pPr>
            <w:r>
              <w:rPr>
                <w:rFonts w:hint="eastAsia" w:hAnsi="宋体"/>
              </w:rPr>
              <w:t>磋商截止时间</w:t>
            </w:r>
            <w:r>
              <w:rPr>
                <w:rFonts w:hAnsi="宋体"/>
              </w:rPr>
              <w:t>5</w:t>
            </w:r>
            <w:r>
              <w:rPr>
                <w:rFonts w:hint="eastAsia" w:hAnsi="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20</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构成响应文件的其他材料</w:t>
            </w:r>
          </w:p>
        </w:tc>
        <w:tc>
          <w:tcPr>
            <w:tcW w:w="7906" w:type="dxa"/>
            <w:vAlign w:val="center"/>
          </w:tcPr>
          <w:p>
            <w:pPr>
              <w:wordWrap/>
              <w:autoSpaceDE w:val="0"/>
              <w:autoSpaceDN w:val="0"/>
              <w:adjustRightInd w:val="0"/>
              <w:spacing w:line="440" w:lineRule="exact"/>
              <w:rPr>
                <w:rFonts w:eastAsia="Times New Roman"/>
              </w:rPr>
            </w:pPr>
            <w:r>
              <w:rPr>
                <w:rFonts w:hint="eastAsia" w:ascii="宋体" w:hAnsi="宋体"/>
              </w:rPr>
              <w:t>供应商认为应增加的资料或说明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21</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投标有效期</w:t>
            </w:r>
          </w:p>
        </w:tc>
        <w:tc>
          <w:tcPr>
            <w:tcW w:w="7906" w:type="dxa"/>
            <w:vAlign w:val="center"/>
          </w:tcPr>
          <w:p>
            <w:pPr>
              <w:wordWrap/>
              <w:autoSpaceDE w:val="0"/>
              <w:autoSpaceDN w:val="0"/>
              <w:adjustRightInd w:val="0"/>
              <w:spacing w:line="440" w:lineRule="exact"/>
              <w:rPr>
                <w:rFonts w:eastAsia="Times New Roman"/>
              </w:rPr>
            </w:pPr>
            <w:r>
              <w:rPr>
                <w:rFonts w:ascii="宋体" w:hAnsi="宋体"/>
                <w:u w:val="single"/>
              </w:rPr>
              <w:t>90</w:t>
            </w:r>
            <w:r>
              <w:rPr>
                <w:rFonts w:hint="eastAsia" w:ascii="宋体" w:hAnsi="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22</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磋商保证金</w:t>
            </w:r>
          </w:p>
        </w:tc>
        <w:tc>
          <w:tcPr>
            <w:tcW w:w="7906" w:type="dxa"/>
            <w:vAlign w:val="center"/>
          </w:tcPr>
          <w:p>
            <w:pPr>
              <w:wordWrap/>
              <w:autoSpaceDE w:val="0"/>
              <w:autoSpaceDN w:val="0"/>
              <w:adjustRightInd w:val="0"/>
              <w:spacing w:line="440" w:lineRule="exact"/>
              <w:rPr>
                <w:rFonts w:hint="eastAsia" w:ascii="宋体" w:hAnsi="宋体" w:eastAsia="宋体" w:cs="Times New Roman"/>
              </w:rPr>
            </w:pPr>
            <w:r>
              <w:rPr>
                <w:rFonts w:hint="eastAsia" w:ascii="宋体" w:hAnsi="宋体" w:eastAsia="宋体" w:cs="Times New Roman"/>
              </w:rPr>
              <w:t>本项目的磋商保证金为人民币</w:t>
            </w:r>
            <w:r>
              <w:rPr>
                <w:rFonts w:hint="eastAsia" w:ascii="宋体" w:hAnsi="宋体" w:eastAsia="宋体" w:cs="Times New Roman"/>
                <w:color w:val="auto"/>
              </w:rPr>
              <w:t>：</w:t>
            </w:r>
            <w:r>
              <w:rPr>
                <w:rFonts w:hint="eastAsia" w:ascii="宋体" w:hAnsi="宋体" w:eastAsia="宋体" w:cs="Times New Roman"/>
                <w:b/>
                <w:bCs/>
                <w:color w:val="auto"/>
                <w:lang w:val="en-US" w:eastAsia="zh-CN"/>
              </w:rPr>
              <w:t>30000</w:t>
            </w:r>
            <w:r>
              <w:rPr>
                <w:rFonts w:hint="eastAsia" w:ascii="宋体" w:hAnsi="宋体" w:eastAsia="宋体" w:cs="Times New Roman"/>
                <w:b/>
                <w:bCs/>
                <w:color w:val="auto"/>
              </w:rPr>
              <w:t>元（</w:t>
            </w:r>
            <w:r>
              <w:rPr>
                <w:rFonts w:hint="eastAsia" w:ascii="宋体" w:hAnsi="宋体" w:eastAsia="宋体" w:cs="Times New Roman"/>
                <w:b/>
                <w:bCs/>
                <w:color w:val="auto"/>
                <w:lang w:val="en-US" w:eastAsia="zh-CN"/>
              </w:rPr>
              <w:t>叁</w:t>
            </w:r>
            <w:r>
              <w:rPr>
                <w:rFonts w:hint="eastAsia" w:ascii="宋体" w:hAnsi="宋体" w:eastAsia="宋体" w:cs="Times New Roman"/>
                <w:b/>
                <w:bCs/>
                <w:color w:val="auto"/>
              </w:rPr>
              <w:t>万元整）</w:t>
            </w:r>
            <w:r>
              <w:rPr>
                <w:rFonts w:hint="eastAsia" w:ascii="宋体" w:hAnsi="宋体" w:eastAsia="宋体" w:cs="Times New Roman"/>
              </w:rPr>
              <w:t>，磋商保证金到账截止时间：同磋商截止时间。</w:t>
            </w:r>
          </w:p>
          <w:p>
            <w:pPr>
              <w:wordWrap/>
              <w:autoSpaceDE w:val="0"/>
              <w:autoSpaceDN w:val="0"/>
              <w:adjustRightInd w:val="0"/>
              <w:spacing w:line="440" w:lineRule="exact"/>
              <w:rPr>
                <w:rFonts w:hint="eastAsia" w:ascii="宋体" w:hAnsi="宋体" w:eastAsia="宋体" w:cs="Times New Roman"/>
              </w:rPr>
            </w:pPr>
            <w:r>
              <w:rPr>
                <w:rFonts w:hint="eastAsia" w:ascii="宋体" w:hAnsi="宋体" w:eastAsia="宋体" w:cs="Times New Roman"/>
              </w:rPr>
              <w:t>提交方式为从供应商基本账户以电汇、网银等非现金形式提交。</w:t>
            </w:r>
            <w:r>
              <w:rPr>
                <w:rFonts w:hint="eastAsia" w:ascii="宋体" w:hAnsi="宋体" w:eastAsia="宋体" w:cs="Times New Roman"/>
                <w:b/>
                <w:bCs/>
              </w:rPr>
              <w:t>汇款需注明投标项目编号或项目名称</w:t>
            </w:r>
            <w:r>
              <w:rPr>
                <w:rFonts w:hint="eastAsia" w:ascii="宋体" w:hAnsi="宋体" w:eastAsia="宋体" w:cs="Times New Roman"/>
              </w:rPr>
              <w:t>。否则，因款项用途不明导致磋商保证金无效等后果由投标供应商自行承担。</w:t>
            </w:r>
          </w:p>
          <w:p>
            <w:pPr>
              <w:wordWrap/>
              <w:autoSpaceDE w:val="0"/>
              <w:autoSpaceDN w:val="0"/>
              <w:adjustRightInd w:val="0"/>
              <w:spacing w:line="440" w:lineRule="exact"/>
              <w:rPr>
                <w:rFonts w:hint="eastAsia" w:ascii="宋体" w:hAnsi="宋体" w:eastAsia="宋体" w:cs="Times New Roman"/>
              </w:rPr>
            </w:pPr>
            <w:r>
              <w:rPr>
                <w:rFonts w:hint="eastAsia" w:ascii="宋体" w:hAnsi="宋体" w:eastAsia="宋体" w:cs="Times New Roman"/>
              </w:rPr>
              <w:t>账户信息：</w:t>
            </w:r>
          </w:p>
          <w:p>
            <w:pPr>
              <w:wordWrap/>
              <w:autoSpaceDE w:val="0"/>
              <w:autoSpaceDN w:val="0"/>
              <w:adjustRightInd w:val="0"/>
              <w:spacing w:line="440" w:lineRule="exact"/>
              <w:rPr>
                <w:rFonts w:hint="eastAsia" w:ascii="宋体" w:hAnsi="宋体" w:eastAsia="宋体" w:cs="Times New Roman"/>
                <w:lang w:eastAsia="zh-CN"/>
              </w:rPr>
            </w:pPr>
            <w:r>
              <w:rPr>
                <w:rFonts w:hint="eastAsia" w:ascii="宋体" w:hAnsi="宋体" w:eastAsia="宋体" w:cs="Times New Roman"/>
              </w:rPr>
              <w:t>单位名称：</w:t>
            </w:r>
            <w:r>
              <w:rPr>
                <w:rFonts w:hint="eastAsia" w:ascii="宋体" w:hAnsi="宋体" w:eastAsia="宋体" w:cs="Times New Roman"/>
                <w:lang w:eastAsia="zh-CN"/>
              </w:rPr>
              <w:t>新疆汇力赋能项目管理有限责任公司</w:t>
            </w:r>
          </w:p>
          <w:p>
            <w:pPr>
              <w:wordWrap/>
              <w:autoSpaceDE w:val="0"/>
              <w:autoSpaceDN w:val="0"/>
              <w:adjustRightInd w:val="0"/>
              <w:spacing w:line="440" w:lineRule="exact"/>
              <w:rPr>
                <w:rFonts w:hint="eastAsia" w:ascii="宋体" w:hAnsi="宋体" w:eastAsia="宋体" w:cs="Times New Roman"/>
              </w:rPr>
            </w:pPr>
            <w:r>
              <w:rPr>
                <w:rFonts w:hint="eastAsia" w:ascii="宋体" w:hAnsi="宋体" w:eastAsia="宋体" w:cs="Times New Roman"/>
              </w:rPr>
              <w:t>开户银行：中国工商银行股份有限公司巴音郭楞蒙古自治州分行</w:t>
            </w:r>
          </w:p>
          <w:p>
            <w:pPr>
              <w:wordWrap/>
              <w:autoSpaceDE w:val="0"/>
              <w:autoSpaceDN w:val="0"/>
              <w:adjustRightInd w:val="0"/>
              <w:spacing w:line="440" w:lineRule="exact"/>
              <w:rPr>
                <w:rFonts w:hint="eastAsia" w:ascii="宋体" w:hAnsi="宋体" w:eastAsia="宋体" w:cs="Times New Roman"/>
              </w:rPr>
            </w:pPr>
            <w:r>
              <w:rPr>
                <w:rFonts w:hint="eastAsia" w:ascii="宋体" w:hAnsi="宋体" w:eastAsia="宋体" w:cs="Times New Roman"/>
              </w:rPr>
              <w:t>帐  号：3010024709200410350</w:t>
            </w:r>
          </w:p>
          <w:p>
            <w:pPr>
              <w:wordWrap/>
              <w:autoSpaceDE w:val="0"/>
              <w:autoSpaceDN w:val="0"/>
              <w:adjustRightInd w:val="0"/>
              <w:spacing w:line="440" w:lineRule="exact"/>
              <w:rPr>
                <w:rFonts w:hint="default" w:ascii="宋体" w:hAnsi="宋体" w:eastAsia="宋体" w:cs="Times New Roman"/>
                <w:lang w:val="en-US" w:eastAsia="zh-CN"/>
              </w:rPr>
            </w:pPr>
            <w:r>
              <w:rPr>
                <w:rFonts w:hint="eastAsia" w:ascii="宋体" w:hAnsi="宋体" w:eastAsia="宋体" w:cs="Times New Roman"/>
              </w:rPr>
              <w:t>行  号：</w:t>
            </w:r>
            <w:r>
              <w:rPr>
                <w:rFonts w:hint="eastAsia" w:ascii="宋体" w:hAnsi="宋体" w:eastAsia="宋体" w:cs="Times New Roman"/>
                <w:lang w:val="en-US" w:eastAsia="zh-CN"/>
              </w:rPr>
              <w:t>102888000013</w:t>
            </w:r>
          </w:p>
          <w:p>
            <w:pPr>
              <w:wordWrap/>
              <w:autoSpaceDE w:val="0"/>
              <w:autoSpaceDN w:val="0"/>
              <w:adjustRightInd w:val="0"/>
              <w:spacing w:line="440" w:lineRule="exact"/>
              <w:rPr>
                <w:rFonts w:hint="eastAsia" w:eastAsia="宋体"/>
                <w:lang w:eastAsia="zh-CN"/>
              </w:rPr>
            </w:pPr>
            <w:r>
              <w:rPr>
                <w:rFonts w:hint="eastAsia" w:ascii="宋体" w:hAnsi="宋体" w:eastAsia="宋体" w:cs="Times New Roman"/>
              </w:rPr>
              <w:t>磋商保证金以到账信息为准，供应商应充分考虑在途时间，供应商未按照磋商文件要求提交磋商保证金的，磋商无效</w:t>
            </w:r>
            <w:r>
              <w:rPr>
                <w:rFonts w:hint="eastAsia" w:ascii="宋体" w:hAnsi="宋体"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23</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cs="宋体"/>
                <w:color w:val="000000"/>
                <w:szCs w:val="21"/>
              </w:rPr>
              <w:t>投标前准备</w:t>
            </w:r>
          </w:p>
        </w:tc>
        <w:tc>
          <w:tcPr>
            <w:tcW w:w="7906" w:type="dxa"/>
            <w:vAlign w:val="center"/>
          </w:tcPr>
          <w:p>
            <w:pPr>
              <w:wordWrap/>
              <w:autoSpaceDE w:val="0"/>
              <w:autoSpaceDN w:val="0"/>
              <w:adjustRightInd w:val="0"/>
              <w:spacing w:line="440" w:lineRule="exac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、本项目实行网上投标，采用加密电子投标响应文件。若供应商参与投标，自行承担投标一切费用。</w:t>
            </w:r>
          </w:p>
          <w:p>
            <w:pPr>
              <w:wordWrap/>
              <w:autoSpaceDE w:val="0"/>
              <w:autoSpaceDN w:val="0"/>
              <w:adjustRightInd w:val="0"/>
              <w:spacing w:line="440" w:lineRule="exac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、各供应商在开标前应确保成为新疆维吾尔自治区政府采购网正式注册入库供应商，并完成</w:t>
            </w:r>
            <w:r>
              <w:rPr>
                <w:rFonts w:ascii="宋体" w:hAnsi="宋体" w:cs="宋体"/>
                <w:color w:val="000000"/>
                <w:szCs w:val="21"/>
              </w:rPr>
              <w:t>CA</w:t>
            </w:r>
            <w:r>
              <w:rPr>
                <w:rFonts w:hint="eastAsia" w:ascii="宋体" w:hAnsi="宋体" w:cs="宋体"/>
                <w:color w:val="000000"/>
                <w:szCs w:val="21"/>
              </w:rPr>
              <w:t>数字证书申领。因未注册入库、未办理</w:t>
            </w:r>
            <w:r>
              <w:rPr>
                <w:rFonts w:ascii="宋体" w:hAnsi="宋体" w:cs="宋体"/>
                <w:color w:val="000000"/>
                <w:szCs w:val="21"/>
              </w:rPr>
              <w:t>CA</w:t>
            </w:r>
            <w:r>
              <w:rPr>
                <w:rFonts w:hint="eastAsia" w:ascii="宋体" w:hAnsi="宋体" w:cs="宋体"/>
                <w:color w:val="000000"/>
                <w:szCs w:val="21"/>
              </w:rPr>
              <w:t>数字证书等原因造成无法投标或投标失败等后果由供应商自行承担。</w:t>
            </w:r>
          </w:p>
          <w:p>
            <w:pPr>
              <w:wordWrap/>
              <w:autoSpaceDE w:val="0"/>
              <w:autoSpaceDN w:val="0"/>
              <w:adjustRightInd w:val="0"/>
              <w:spacing w:line="440" w:lineRule="exact"/>
              <w:rPr>
                <w:rFonts w:eastAsia="Times New Roman"/>
              </w:rPr>
            </w:pPr>
            <w:r>
              <w:rPr>
                <w:rFonts w:ascii="宋体" w:hAnsi="宋体" w:cs="宋体"/>
                <w:color w:val="000000"/>
                <w:szCs w:val="21"/>
              </w:rPr>
              <w:t>3</w:t>
            </w:r>
            <w:r>
              <w:rPr>
                <w:rFonts w:hint="eastAsia" w:ascii="宋体" w:hAnsi="宋体" w:cs="宋体"/>
                <w:color w:val="000000"/>
                <w:szCs w:val="21"/>
              </w:rPr>
              <w:t>、供应商将政采云电子交易客户端下载、安装完成后，可通过账号密码或</w:t>
            </w:r>
            <w:r>
              <w:rPr>
                <w:rFonts w:ascii="宋体" w:hAnsi="宋体" w:cs="宋体"/>
                <w:color w:val="000000"/>
                <w:szCs w:val="21"/>
              </w:rPr>
              <w:t>CA</w:t>
            </w:r>
            <w:r>
              <w:rPr>
                <w:rFonts w:hint="eastAsia" w:ascii="宋体" w:hAnsi="宋体" w:cs="宋体"/>
                <w:color w:val="000000"/>
                <w:szCs w:val="21"/>
              </w:rPr>
              <w:t>登录客户端进行响应文件制作。在使用政采云投标客户端时，建议使用</w:t>
            </w:r>
            <w:r>
              <w:rPr>
                <w:rFonts w:ascii="宋体" w:hAnsi="宋体" w:cs="宋体"/>
                <w:color w:val="000000"/>
                <w:szCs w:val="21"/>
              </w:rPr>
              <w:t>WIN7</w:t>
            </w:r>
            <w:r>
              <w:rPr>
                <w:rFonts w:hint="eastAsia" w:ascii="宋体" w:hAnsi="宋体" w:cs="宋体"/>
                <w:color w:val="000000"/>
                <w:szCs w:val="21"/>
              </w:rPr>
              <w:t>及以上操作系统。客户端请至新疆政府采购网（</w:t>
            </w:r>
            <w:r>
              <w:fldChar w:fldCharType="begin"/>
            </w:r>
            <w:r>
              <w:instrText xml:space="preserve"> HYPERLINK "http://www.ccgp-xinjiang.gov.cn/" </w:instrText>
            </w:r>
            <w:r>
              <w:fldChar w:fldCharType="separate"/>
            </w:r>
            <w:r>
              <w:rPr>
                <w:rFonts w:ascii="宋体" w:hAnsi="宋体" w:cs="宋体"/>
                <w:color w:val="000000"/>
                <w:szCs w:val="21"/>
              </w:rPr>
              <w:t>http://www.ccgp-xinjiang.gov.cn/</w:t>
            </w:r>
            <w:r>
              <w:rPr>
                <w:rFonts w:ascii="宋体" w:hAnsi="宋体" w:cs="宋体"/>
                <w:color w:val="000000"/>
                <w:szCs w:val="21"/>
              </w:rPr>
              <w:fldChar w:fldCharType="end"/>
            </w:r>
            <w:r>
              <w:rPr>
                <w:rFonts w:hint="eastAsia" w:ascii="宋体" w:hAnsi="宋体" w:cs="宋体"/>
                <w:color w:val="000000"/>
                <w:szCs w:val="21"/>
              </w:rPr>
              <w:t>）下载专区查看，如有问题可拨打政采云客户服务热线</w:t>
            </w:r>
            <w:r>
              <w:rPr>
                <w:rFonts w:ascii="宋体" w:hAnsi="宋体" w:cs="宋体"/>
                <w:color w:val="000000"/>
                <w:szCs w:val="21"/>
              </w:rPr>
              <w:t>400-881-7190</w:t>
            </w:r>
            <w:r>
              <w:rPr>
                <w:rFonts w:hint="eastAsia" w:ascii="宋体" w:hAnsi="宋体" w:cs="宋体"/>
                <w:color w:val="000000"/>
                <w:szCs w:val="21"/>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509" w:type="dxa"/>
            <w:vAlign w:val="center"/>
          </w:tcPr>
          <w:p>
            <w:pPr>
              <w:wordWrap/>
              <w:autoSpaceDE w:val="0"/>
              <w:autoSpaceDN w:val="0"/>
              <w:adjustRightInd w:val="0"/>
              <w:spacing w:line="440" w:lineRule="exact"/>
              <w:jc w:val="center"/>
              <w:rPr>
                <w:rFonts w:hint="default" w:eastAsia="宋体"/>
                <w:color w:val="000000"/>
                <w:lang w:val="en-US" w:eastAsia="zh-CN"/>
              </w:rPr>
            </w:pPr>
            <w:r>
              <w:rPr>
                <w:rFonts w:hint="eastAsia" w:ascii="宋体" w:hAnsi="宋体"/>
                <w:color w:val="000000"/>
                <w:lang w:val="en-US" w:eastAsia="zh-CN"/>
              </w:rPr>
              <w:t>24</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磋商响应文件签字、盖章要求</w:t>
            </w:r>
          </w:p>
        </w:tc>
        <w:tc>
          <w:tcPr>
            <w:tcW w:w="7906" w:type="dxa"/>
            <w:vAlign w:val="center"/>
          </w:tcPr>
          <w:p>
            <w:pPr>
              <w:wordWrap/>
              <w:autoSpaceDE w:val="0"/>
              <w:autoSpaceDN w:val="0"/>
              <w:adjustRightInd w:val="0"/>
              <w:spacing w:line="440" w:lineRule="exact"/>
              <w:rPr>
                <w:rFonts w:ascii="宋体"/>
              </w:rPr>
            </w:pPr>
            <w:r>
              <w:rPr>
                <w:rFonts w:hint="eastAsia" w:ascii="宋体" w:hAnsi="宋体"/>
              </w:rPr>
              <w:t>上传的电子磋商响应文件的盖章可采用</w:t>
            </w:r>
            <w:r>
              <w:rPr>
                <w:rFonts w:ascii="宋体" w:hAnsi="宋体"/>
              </w:rPr>
              <w:t>CA</w:t>
            </w:r>
            <w:r>
              <w:rPr>
                <w:rFonts w:hint="eastAsia" w:ascii="宋体" w:hAnsi="宋体"/>
              </w:rPr>
              <w:t>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9" w:type="dxa"/>
            <w:vAlign w:val="center"/>
          </w:tcPr>
          <w:p>
            <w:pPr>
              <w:wordWrap/>
              <w:autoSpaceDE w:val="0"/>
              <w:autoSpaceDN w:val="0"/>
              <w:adjustRightInd w:val="0"/>
              <w:spacing w:line="440" w:lineRule="exact"/>
              <w:jc w:val="center"/>
              <w:rPr>
                <w:rFonts w:hint="default" w:eastAsia="宋体"/>
                <w:color w:val="000000"/>
                <w:lang w:val="en-US" w:eastAsia="zh-CN"/>
              </w:rPr>
            </w:pPr>
            <w:r>
              <w:rPr>
                <w:rFonts w:hint="eastAsia" w:ascii="宋体" w:hAnsi="宋体"/>
                <w:color w:val="000000"/>
                <w:lang w:val="en-US" w:eastAsia="zh-CN"/>
              </w:rPr>
              <w:t>25</w:t>
            </w:r>
          </w:p>
        </w:tc>
        <w:tc>
          <w:tcPr>
            <w:tcW w:w="1694" w:type="dxa"/>
            <w:vAlign w:val="center"/>
          </w:tcPr>
          <w:p>
            <w:pPr>
              <w:pStyle w:val="24"/>
              <w:wordWrap/>
              <w:autoSpaceDE w:val="0"/>
              <w:autoSpaceDN w:val="0"/>
              <w:adjustRightInd w:val="0"/>
              <w:spacing w:line="440" w:lineRule="exact"/>
              <w:rPr>
                <w:rFonts w:hAnsi="宋体" w:eastAsia="Times New Roman"/>
              </w:rPr>
            </w:pPr>
            <w:r>
              <w:rPr>
                <w:rFonts w:hint="eastAsia" w:hAnsi="宋体"/>
              </w:rPr>
              <w:t>磋商响应文件数量及制作</w:t>
            </w:r>
          </w:p>
        </w:tc>
        <w:tc>
          <w:tcPr>
            <w:tcW w:w="7906" w:type="dxa"/>
            <w:vAlign w:val="center"/>
          </w:tcPr>
          <w:p>
            <w:pPr>
              <w:pStyle w:val="24"/>
              <w:wordWrap/>
              <w:autoSpaceDE w:val="0"/>
              <w:autoSpaceDN w:val="0"/>
              <w:adjustRightInd w:val="0"/>
              <w:spacing w:line="440" w:lineRule="exact"/>
              <w:rPr>
                <w:color w:val="000000"/>
              </w:rPr>
            </w:pPr>
            <w:r>
              <w:rPr>
                <w:color w:val="000000"/>
              </w:rPr>
              <w:t>1</w:t>
            </w:r>
            <w:r>
              <w:rPr>
                <w:rFonts w:hint="eastAsia"/>
                <w:color w:val="000000"/>
              </w:rPr>
              <w:t>、供应商投标时须提供：加密的电子响应文件壹份；备份文件壹份，按政采云平台供应商项目采购</w:t>
            </w:r>
            <w:r>
              <w:rPr>
                <w:color w:val="000000"/>
              </w:rPr>
              <w:t>-</w:t>
            </w:r>
            <w:r>
              <w:rPr>
                <w:rFonts w:hint="eastAsia"/>
                <w:color w:val="000000"/>
              </w:rPr>
              <w:t>电子招投标操作指南</w:t>
            </w:r>
            <w:r>
              <w:rPr>
                <w:color w:val="000000"/>
              </w:rPr>
              <w:t>(www.zcygov.cn)</w:t>
            </w:r>
            <w:r>
              <w:rPr>
                <w:rFonts w:hint="eastAsia"/>
                <w:color w:val="000000"/>
              </w:rPr>
              <w:t>及本磋商文件要求编制、提交。</w:t>
            </w:r>
          </w:p>
          <w:p>
            <w:pPr>
              <w:pStyle w:val="78"/>
              <w:wordWrap/>
              <w:autoSpaceDE w:val="0"/>
              <w:autoSpaceDN w:val="0"/>
              <w:adjustRightInd w:val="0"/>
              <w:spacing w:line="440" w:lineRule="exact"/>
              <w:jc w:val="both"/>
              <w:rPr>
                <w:rFonts w:hAnsi="Courier New" w:cs="Times New Roman"/>
                <w:color w:val="000000"/>
              </w:rPr>
            </w:pPr>
            <w:r>
              <w:rPr>
                <w:rFonts w:hAnsi="Courier New" w:cs="Times New Roman"/>
                <w:color w:val="000000"/>
              </w:rPr>
              <w:t>2</w:t>
            </w:r>
            <w:r>
              <w:rPr>
                <w:rFonts w:hint="eastAsia" w:hAnsi="Courier New" w:cs="Times New Roman"/>
                <w:color w:val="000000"/>
              </w:rPr>
              <w:t>、开标后各投标供应商需在公示期满后，另行提交纸质版响应文件（正本一份、副本三份）。须与电子版响应文件内容一致，纸质响应文件需留存备案将一律不予退还。</w:t>
            </w:r>
          </w:p>
          <w:p>
            <w:pPr>
              <w:pStyle w:val="78"/>
              <w:wordWrap/>
              <w:autoSpaceDE w:val="0"/>
              <w:autoSpaceDN w:val="0"/>
              <w:adjustRightInd w:val="0"/>
              <w:spacing w:line="440" w:lineRule="exact"/>
              <w:jc w:val="both"/>
              <w:rPr>
                <w:rFonts w:hAnsi="Courier New" w:cs="Times New Roman"/>
                <w:color w:val="000000"/>
              </w:rPr>
            </w:pPr>
            <w:r>
              <w:rPr>
                <w:rFonts w:hAnsi="Courier New" w:cs="Times New Roman"/>
                <w:color w:val="000000"/>
              </w:rPr>
              <w:t>3</w:t>
            </w:r>
            <w:r>
              <w:rPr>
                <w:rFonts w:hint="eastAsia" w:hAnsi="Courier New" w:cs="Times New Roman"/>
                <w:color w:val="000000"/>
              </w:rPr>
              <w:t>、纸质版标书邮寄地址及收件人：新疆</w:t>
            </w:r>
            <w:r>
              <w:rPr>
                <w:rFonts w:hint="eastAsia" w:hAnsi="Courier New" w:cs="Times New Roman"/>
                <w:color w:val="000000"/>
                <w:lang w:eastAsia="zh-CN"/>
              </w:rPr>
              <w:t>新疆巴州库尔勒市团结辖区兰干路18号吉恒大厦1栋1层01商铺</w:t>
            </w:r>
            <w:r>
              <w:rPr>
                <w:rFonts w:hint="eastAsia" w:hAnsi="Courier New" w:cs="Times New Roman"/>
                <w:color w:val="000000"/>
              </w:rPr>
              <w:t>（</w:t>
            </w:r>
            <w:r>
              <w:rPr>
                <w:rFonts w:hint="eastAsia" w:hAnsi="Courier New" w:cs="Times New Roman"/>
                <w:color w:val="000000"/>
                <w:lang w:eastAsia="zh-CN"/>
              </w:rPr>
              <w:t>新疆汇力赋能项目管理有限责任公司</w:t>
            </w:r>
            <w:r>
              <w:rPr>
                <w:rFonts w:hint="eastAsia" w:hAnsi="Courier New" w:cs="Times New Roman"/>
                <w:color w:val="000000"/>
              </w:rPr>
              <w:t>）</w:t>
            </w:r>
          </w:p>
          <w:p>
            <w:pPr>
              <w:wordWrap/>
              <w:autoSpaceDE w:val="0"/>
              <w:autoSpaceDN w:val="0"/>
              <w:adjustRightInd w:val="0"/>
              <w:spacing w:line="440" w:lineRule="exact"/>
              <w:rPr>
                <w:rFonts w:ascii="宋体" w:hAnsi="Courier New"/>
                <w:color w:val="000000"/>
              </w:rPr>
            </w:pPr>
            <w:r>
              <w:rPr>
                <w:rFonts w:hint="eastAsia" w:ascii="宋体" w:hAnsi="Courier New"/>
                <w:color w:val="000000"/>
              </w:rPr>
              <w:t>收件人：</w:t>
            </w:r>
            <w:r>
              <w:rPr>
                <w:rFonts w:hint="eastAsia" w:ascii="宋体" w:hAnsi="宋体" w:cs="宋体"/>
                <w:kern w:val="0"/>
                <w:szCs w:val="21"/>
              </w:rPr>
              <w:t xml:space="preserve">方桦柯珺 </w:t>
            </w:r>
            <w:r>
              <w:rPr>
                <w:rFonts w:hint="eastAsia" w:ascii="宋体" w:hAnsi="宋体" w:cs="宋体"/>
                <w:kern w:val="0"/>
                <w:szCs w:val="21"/>
                <w:lang w:val="en-US" w:eastAsia="zh-CN"/>
              </w:rPr>
              <w:t xml:space="preserve">   </w:t>
            </w:r>
            <w:r>
              <w:rPr>
                <w:rFonts w:hint="eastAsia" w:hAnsi="宋体" w:cs="宋体"/>
                <w:kern w:val="0"/>
              </w:rPr>
              <w:t>联系电话：0996-</w:t>
            </w:r>
            <w:r>
              <w:rPr>
                <w:rFonts w:hint="eastAsia" w:hAnsi="宋体" w:cs="宋体"/>
                <w:kern w:val="0"/>
                <w:lang w:val="en-US" w:eastAsia="zh-CN"/>
              </w:rPr>
              <w:t>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09" w:type="dxa"/>
            <w:vAlign w:val="center"/>
          </w:tcPr>
          <w:p>
            <w:pPr>
              <w:wordWrap/>
              <w:autoSpaceDE w:val="0"/>
              <w:autoSpaceDN w:val="0"/>
              <w:adjustRightInd w:val="0"/>
              <w:spacing w:line="440" w:lineRule="exact"/>
              <w:jc w:val="center"/>
              <w:rPr>
                <w:rFonts w:hint="default" w:eastAsia="宋体"/>
                <w:color w:val="000000"/>
                <w:lang w:val="en-US" w:eastAsia="zh-CN"/>
              </w:rPr>
            </w:pPr>
            <w:r>
              <w:rPr>
                <w:rFonts w:hint="eastAsia" w:ascii="宋体" w:hAnsi="宋体"/>
                <w:color w:val="000000"/>
                <w:lang w:val="en-US" w:eastAsia="zh-CN"/>
              </w:rPr>
              <w:t>26</w:t>
            </w:r>
          </w:p>
        </w:tc>
        <w:tc>
          <w:tcPr>
            <w:tcW w:w="1694" w:type="dxa"/>
            <w:vAlign w:val="center"/>
          </w:tcPr>
          <w:p>
            <w:pPr>
              <w:wordWrap/>
              <w:autoSpaceDE w:val="0"/>
              <w:autoSpaceDN w:val="0"/>
              <w:adjustRightInd w:val="0"/>
              <w:spacing w:line="440" w:lineRule="exact"/>
              <w:jc w:val="center"/>
              <w:rPr>
                <w:rFonts w:eastAsia="Times New Roman"/>
                <w:color w:val="FF0000"/>
              </w:rPr>
            </w:pPr>
            <w:r>
              <w:rPr>
                <w:rFonts w:hint="eastAsia" w:ascii="BRGEKD+??¨¬?" w:hAnsi="BRGEKD+??¨¬?" w:cs="BRGEKD+??¨¬?"/>
                <w:spacing w:val="-1"/>
              </w:rPr>
              <w:t>响应文件的解密</w:t>
            </w:r>
          </w:p>
        </w:tc>
        <w:tc>
          <w:tcPr>
            <w:tcW w:w="7906" w:type="dxa"/>
            <w:vAlign w:val="center"/>
          </w:tcPr>
          <w:p>
            <w:pPr>
              <w:wordWrap/>
              <w:autoSpaceDE w:val="0"/>
              <w:autoSpaceDN w:val="0"/>
              <w:adjustRightInd w:val="0"/>
              <w:spacing w:line="440" w:lineRule="exact"/>
              <w:rPr>
                <w:rFonts w:eastAsia="Times New Roman"/>
                <w:color w:val="FF0000"/>
              </w:rPr>
            </w:pPr>
            <w:r>
              <w:rPr>
                <w:rFonts w:hint="eastAsia" w:ascii="宋体" w:hAnsi="宋体" w:eastAsia="宋体" w:cs="宋体"/>
                <w:color w:val="000000"/>
                <w:szCs w:val="21"/>
              </w:rPr>
              <w:t>本项目采用全流程不见面电子开评标，供应商无需到开标现场解密，通过政采云平台在线响应，并保持电话畅通。开标时发出解密指令后</w:t>
            </w:r>
            <w:r>
              <w:rPr>
                <w:rFonts w:ascii="宋体" w:hAnsi="宋体" w:eastAsia="宋体" w:cs="宋体"/>
                <w:color w:val="000000"/>
                <w:szCs w:val="21"/>
              </w:rPr>
              <w:t>30</w:t>
            </w:r>
            <w:r>
              <w:rPr>
                <w:rFonts w:hint="eastAsia" w:ascii="宋体" w:hAnsi="宋体" w:eastAsia="宋体" w:cs="宋体"/>
                <w:color w:val="000000"/>
                <w:szCs w:val="21"/>
              </w:rPr>
              <w:t>分钟内，供应商可以登录“政采云”平台，用“项目采购</w:t>
            </w:r>
            <w:r>
              <w:rPr>
                <w:rFonts w:ascii="宋体" w:hAnsi="宋体" w:eastAsia="宋体" w:cs="宋体"/>
                <w:color w:val="000000"/>
                <w:szCs w:val="21"/>
              </w:rPr>
              <w:t>-</w:t>
            </w:r>
            <w:r>
              <w:rPr>
                <w:rFonts w:hint="eastAsia" w:ascii="宋体" w:hAnsi="宋体" w:eastAsia="宋体" w:cs="宋体"/>
                <w:color w:val="000000"/>
                <w:szCs w:val="21"/>
              </w:rPr>
              <w:t>开标评标”功能进行解密响应文件。若供应商在规定时间内未按时解密的，或解密失败又未提交备份文件的，视为响应文件撤回。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default" w:ascii="宋体" w:hAnsi="宋体" w:eastAsia="宋体"/>
                <w:color w:val="000000"/>
                <w:lang w:val="en-US" w:eastAsia="zh-CN"/>
              </w:rPr>
            </w:pPr>
            <w:r>
              <w:rPr>
                <w:rFonts w:hint="eastAsia" w:ascii="宋体" w:hAnsi="宋体"/>
                <w:color w:val="000000"/>
                <w:lang w:val="en-US" w:eastAsia="zh-CN"/>
              </w:rPr>
              <w:t>27</w:t>
            </w:r>
          </w:p>
        </w:tc>
        <w:tc>
          <w:tcPr>
            <w:tcW w:w="1694" w:type="dxa"/>
            <w:vAlign w:val="center"/>
          </w:tcPr>
          <w:p>
            <w:pPr>
              <w:pStyle w:val="24"/>
              <w:wordWrap/>
              <w:autoSpaceDE w:val="0"/>
              <w:autoSpaceDN w:val="0"/>
              <w:adjustRightInd w:val="0"/>
              <w:spacing w:line="440" w:lineRule="exact"/>
              <w:jc w:val="center"/>
              <w:rPr>
                <w:rFonts w:ascii="BRGEKD+ËÎÌå" w:hAnsi="BRGEKD+ËÎÌå" w:cs="BRGEKD+ËÎÌå"/>
                <w:spacing w:val="-1"/>
              </w:rPr>
            </w:pPr>
            <w:r>
              <w:rPr>
                <w:rFonts w:hint="eastAsia" w:ascii="BRGEKD+ËÎÌå" w:hAnsi="BRGEKD+ËÎÌå" w:cs="BRGEKD+ËÎÌå"/>
                <w:spacing w:val="-1"/>
              </w:rPr>
              <w:t>投标报价确认时间要求</w:t>
            </w:r>
          </w:p>
        </w:tc>
        <w:tc>
          <w:tcPr>
            <w:tcW w:w="7906" w:type="dxa"/>
            <w:vAlign w:val="center"/>
          </w:tcPr>
          <w:p>
            <w:pPr>
              <w:pStyle w:val="24"/>
              <w:wordWrap/>
              <w:autoSpaceDE w:val="0"/>
              <w:autoSpaceDN w:val="0"/>
              <w:adjustRightInd w:val="0"/>
              <w:spacing w:line="440" w:lineRule="exact"/>
            </w:pPr>
            <w:r>
              <w:rPr>
                <w:rFonts w:hint="eastAsia" w:hAnsi="宋体" w:cs="宋体"/>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Align w:val="center"/>
          </w:tcPr>
          <w:p>
            <w:pPr>
              <w:wordWrap/>
              <w:autoSpaceDE w:val="0"/>
              <w:autoSpaceDN w:val="0"/>
              <w:adjustRightInd w:val="0"/>
              <w:spacing w:line="440" w:lineRule="exact"/>
              <w:jc w:val="center"/>
              <w:rPr>
                <w:rFonts w:hint="default" w:ascii="宋体" w:hAnsi="宋体" w:eastAsia="宋体"/>
                <w:color w:val="000000"/>
                <w:lang w:val="en-US" w:eastAsia="zh-CN"/>
              </w:rPr>
            </w:pPr>
            <w:r>
              <w:rPr>
                <w:rFonts w:hint="eastAsia" w:ascii="宋体" w:hAnsi="宋体"/>
                <w:color w:val="000000"/>
                <w:lang w:val="en-US" w:eastAsia="zh-CN"/>
              </w:rPr>
              <w:t>28</w:t>
            </w:r>
          </w:p>
        </w:tc>
        <w:tc>
          <w:tcPr>
            <w:tcW w:w="1694" w:type="dxa"/>
            <w:vAlign w:val="center"/>
          </w:tcPr>
          <w:p>
            <w:pPr>
              <w:pStyle w:val="24"/>
              <w:wordWrap/>
              <w:autoSpaceDE w:val="0"/>
              <w:autoSpaceDN w:val="0"/>
              <w:adjustRightInd w:val="0"/>
              <w:spacing w:line="440" w:lineRule="exact"/>
              <w:jc w:val="center"/>
              <w:rPr>
                <w:rFonts w:ascii="BRGEKD+??¨¬?" w:hAnsi="BRGEKD+??¨¬?" w:cs="BRGEKD+??¨¬?"/>
                <w:spacing w:val="-1"/>
              </w:rPr>
            </w:pPr>
            <w:r>
              <w:rPr>
                <w:rFonts w:hint="eastAsia" w:ascii="BRGEKD+ËÎÌå" w:hAnsi="BRGEKD+ËÎÌå" w:cs="BRGEKD+ËÎÌå"/>
                <w:spacing w:val="-1"/>
              </w:rPr>
              <w:t>政采云在线最终报价要求</w:t>
            </w:r>
          </w:p>
        </w:tc>
        <w:tc>
          <w:tcPr>
            <w:tcW w:w="7906" w:type="dxa"/>
            <w:vAlign w:val="center"/>
          </w:tcPr>
          <w:p>
            <w:pPr>
              <w:pStyle w:val="24"/>
              <w:wordWrap/>
              <w:autoSpaceDE w:val="0"/>
              <w:autoSpaceDN w:val="0"/>
              <w:adjustRightInd w:val="0"/>
              <w:spacing w:line="440" w:lineRule="exact"/>
              <w:rPr>
                <w:rFonts w:hint="eastAsia" w:ascii="宋体" w:hAnsi="宋体" w:eastAsia="宋体" w:cs="宋体"/>
                <w:kern w:val="0"/>
              </w:rPr>
            </w:pPr>
            <w:r>
              <w:rPr>
                <w:rFonts w:hint="eastAsia"/>
                <w:b/>
                <w:bCs/>
              </w:rPr>
              <w:t>本项目磋商报价为二轮报价，首次报价在响应文件中体现；二次报价即最终报价由各磋商供应商在开启最终报价指令发出后</w:t>
            </w:r>
            <w:r>
              <w:rPr>
                <w:rFonts w:hint="eastAsia"/>
                <w:b/>
                <w:bCs/>
                <w:lang w:val="en-US" w:eastAsia="zh-CN"/>
              </w:rPr>
              <w:t>20</w:t>
            </w:r>
            <w:r>
              <w:rPr>
                <w:rFonts w:hint="eastAsia"/>
                <w:b/>
                <w:bCs/>
              </w:rPr>
              <w:t>分钟内在政采云平台在线完成报价，</w:t>
            </w:r>
            <w:r>
              <w:rPr>
                <w:rFonts w:hint="eastAsia" w:ascii="宋体" w:hAnsi="宋体" w:eastAsia="宋体" w:cs="宋体"/>
                <w:b/>
                <w:bCs/>
                <w:kern w:val="0"/>
              </w:rPr>
              <w:t>最终报价不得高于首次报价。若逾期未按磋商文件的要求在线提交最终报价，则视同退出磋商。</w:t>
            </w:r>
          </w:p>
          <w:p>
            <w:pPr>
              <w:pStyle w:val="24"/>
              <w:wordWrap/>
              <w:autoSpaceDE w:val="0"/>
              <w:autoSpaceDN w:val="0"/>
              <w:adjustRightInd w:val="0"/>
              <w:spacing w:line="440" w:lineRule="exact"/>
              <w:rPr>
                <w:rFonts w:ascii="宋体" w:hAnsi="宋体" w:eastAsia="宋体" w:cs="宋体"/>
                <w:color w:val="000000"/>
              </w:rPr>
            </w:pPr>
            <w:r>
              <w:rPr>
                <w:rFonts w:hint="eastAsia" w:ascii="宋体" w:hAnsi="宋体" w:eastAsia="宋体" w:cs="宋体"/>
                <w:b/>
                <w:bCs/>
                <w:kern w:val="0"/>
              </w:rPr>
              <w:t>★投标供应商在线上传最终报价时，须同时上传附件最终报价单（按本磋商文件提供的格式）原件的扫描件。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09" w:type="dxa"/>
            <w:vAlign w:val="center"/>
          </w:tcPr>
          <w:p>
            <w:pPr>
              <w:wordWrap/>
              <w:autoSpaceDE w:val="0"/>
              <w:autoSpaceDN w:val="0"/>
              <w:adjustRightInd w:val="0"/>
              <w:spacing w:line="440" w:lineRule="exact"/>
              <w:jc w:val="center"/>
              <w:rPr>
                <w:rFonts w:hint="default" w:eastAsia="宋体"/>
                <w:color w:val="000000"/>
                <w:lang w:val="en-US" w:eastAsia="zh-CN"/>
              </w:rPr>
            </w:pPr>
            <w:r>
              <w:rPr>
                <w:rFonts w:hint="eastAsia" w:ascii="宋体" w:hAnsi="宋体"/>
                <w:color w:val="000000"/>
                <w:lang w:val="en-US" w:eastAsia="zh-CN"/>
              </w:rPr>
              <w:t>29</w:t>
            </w:r>
          </w:p>
        </w:tc>
        <w:tc>
          <w:tcPr>
            <w:tcW w:w="1694" w:type="dxa"/>
            <w:vAlign w:val="center"/>
          </w:tcPr>
          <w:p>
            <w:pPr>
              <w:pStyle w:val="24"/>
              <w:wordWrap/>
              <w:autoSpaceDE w:val="0"/>
              <w:autoSpaceDN w:val="0"/>
              <w:adjustRightInd w:val="0"/>
              <w:spacing w:line="440" w:lineRule="exact"/>
              <w:jc w:val="center"/>
              <w:rPr>
                <w:rFonts w:ascii="BRGEKD+??¨¬?" w:hAnsi="BRGEKD+??¨¬?" w:cs="BRGEKD+??¨¬?"/>
                <w:spacing w:val="-1"/>
              </w:rPr>
            </w:pPr>
            <w:r>
              <w:rPr>
                <w:rFonts w:hint="eastAsia" w:ascii="BRGEKD+??¨¬?" w:hAnsi="BRGEKD+??¨¬?" w:cs="BRGEKD+??¨¬?"/>
                <w:spacing w:val="-1"/>
              </w:rPr>
              <w:t>评标办法</w:t>
            </w:r>
          </w:p>
        </w:tc>
        <w:tc>
          <w:tcPr>
            <w:tcW w:w="7906" w:type="dxa"/>
            <w:vAlign w:val="center"/>
          </w:tcPr>
          <w:p>
            <w:pPr>
              <w:pStyle w:val="24"/>
              <w:wordWrap/>
              <w:autoSpaceDE w:val="0"/>
              <w:autoSpaceDN w:val="0"/>
              <w:adjustRightInd w:val="0"/>
              <w:spacing w:line="440" w:lineRule="exact"/>
              <w:rPr>
                <w:rFonts w:hAnsi="宋体" w:cs="宋体"/>
              </w:rPr>
            </w:pPr>
            <w:r>
              <w:rPr>
                <w:rFonts w:hint="eastAsia" w:ascii="宋体" w:hAnsi="宋体" w:eastAsia="宋体" w:cs="宋体"/>
                <w:color w:val="000000"/>
              </w:rPr>
              <w:t>本次竞争性磋商采用综合评分法，综合得分最高的确定成交供应商。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9" w:type="dxa"/>
            <w:vAlign w:val="center"/>
          </w:tcPr>
          <w:p>
            <w:pPr>
              <w:wordWrap/>
              <w:autoSpaceDE w:val="0"/>
              <w:autoSpaceDN w:val="0"/>
              <w:adjustRightInd w:val="0"/>
              <w:spacing w:line="440" w:lineRule="exact"/>
              <w:jc w:val="center"/>
              <w:rPr>
                <w:rFonts w:hint="default" w:eastAsia="宋体"/>
                <w:color w:val="000000"/>
                <w:lang w:val="en-US" w:eastAsia="zh-CN"/>
              </w:rPr>
            </w:pPr>
            <w:r>
              <w:rPr>
                <w:rFonts w:hint="eastAsia" w:ascii="宋体" w:hAnsi="宋体"/>
                <w:color w:val="000000"/>
                <w:lang w:val="en-US" w:eastAsia="zh-CN"/>
              </w:rPr>
              <w:t>30</w:t>
            </w:r>
          </w:p>
        </w:tc>
        <w:tc>
          <w:tcPr>
            <w:tcW w:w="1694" w:type="dxa"/>
            <w:vAlign w:val="center"/>
          </w:tcPr>
          <w:p>
            <w:pPr>
              <w:pStyle w:val="24"/>
              <w:wordWrap/>
              <w:autoSpaceDE w:val="0"/>
              <w:autoSpaceDN w:val="0"/>
              <w:adjustRightInd w:val="0"/>
              <w:spacing w:line="440" w:lineRule="exact"/>
              <w:rPr>
                <w:rFonts w:hAnsi="宋体" w:eastAsia="Times New Roman"/>
                <w:color w:val="FF0000"/>
              </w:rPr>
            </w:pPr>
            <w:r>
              <w:rPr>
                <w:rFonts w:hint="eastAsia" w:hAnsi="宋体" w:cs="宋体"/>
                <w:spacing w:val="-1"/>
              </w:rPr>
              <w:t>首次递交竞争性磋商响应文件截止时间及磋商时间</w:t>
            </w:r>
          </w:p>
        </w:tc>
        <w:tc>
          <w:tcPr>
            <w:tcW w:w="7906" w:type="dxa"/>
            <w:vAlign w:val="center"/>
          </w:tcPr>
          <w:p>
            <w:pPr>
              <w:pStyle w:val="24"/>
              <w:wordWrap/>
              <w:autoSpaceDE w:val="0"/>
              <w:autoSpaceDN w:val="0"/>
              <w:adjustRightInd w:val="0"/>
              <w:spacing w:line="440" w:lineRule="exact"/>
              <w:rPr>
                <w:rFonts w:hAnsi="宋体" w:eastAsia="Times New Roman"/>
              </w:rPr>
            </w:pPr>
            <w:r>
              <w:rPr>
                <w:rFonts w:hint="eastAsia" w:ascii="宋体" w:hAnsi="宋体" w:eastAsia="宋体" w:cs="Times New Roman"/>
                <w:b/>
                <w:bCs w:val="0"/>
                <w:color w:val="0000FF"/>
                <w:sz w:val="24"/>
                <w:szCs w:val="21"/>
                <w:lang w:val="en-US" w:eastAsia="zh-CN" w:bidi="ar-SA"/>
              </w:rPr>
              <w:t>2022年7月</w:t>
            </w:r>
            <w:r>
              <w:rPr>
                <w:rFonts w:hint="default" w:hAnsi="宋体" w:cs="Times New Roman"/>
                <w:b/>
                <w:bCs w:val="0"/>
                <w:color w:val="0000FF"/>
                <w:sz w:val="24"/>
                <w:szCs w:val="21"/>
                <w:lang w:val="en-US" w:eastAsia="zh-CN" w:bidi="ar-SA"/>
              </w:rPr>
              <w:t>21</w:t>
            </w:r>
            <w:r>
              <w:rPr>
                <w:rFonts w:hint="eastAsia" w:ascii="宋体" w:hAnsi="宋体" w:eastAsia="宋体" w:cs="Times New Roman"/>
                <w:b/>
                <w:bCs w:val="0"/>
                <w:color w:val="0000FF"/>
                <w:sz w:val="24"/>
                <w:szCs w:val="21"/>
                <w:lang w:val="en-US" w:eastAsia="zh-CN" w:bidi="ar-SA"/>
              </w:rPr>
              <w:t>日上午10:30（北京时间)，</w:t>
            </w:r>
            <w:r>
              <w:rPr>
                <w:rFonts w:hint="eastAsia" w:ascii="宋体" w:hAnsi="宋体" w:eastAsia="宋体" w:cs="宋体"/>
                <w:szCs w:val="21"/>
              </w:rPr>
              <w:t>逾期恕不接受。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09" w:type="dxa"/>
            <w:vAlign w:val="center"/>
          </w:tcPr>
          <w:p>
            <w:pPr>
              <w:wordWrap/>
              <w:autoSpaceDE w:val="0"/>
              <w:autoSpaceDN w:val="0"/>
              <w:adjustRightInd w:val="0"/>
              <w:spacing w:line="440" w:lineRule="exact"/>
              <w:jc w:val="center"/>
              <w:rPr>
                <w:rFonts w:hint="default" w:eastAsia="宋体"/>
                <w:color w:val="000000"/>
                <w:lang w:val="en-US" w:eastAsia="zh-CN"/>
              </w:rPr>
            </w:pPr>
            <w:r>
              <w:rPr>
                <w:rFonts w:hint="eastAsia" w:ascii="宋体" w:hAnsi="宋体"/>
                <w:color w:val="000000"/>
                <w:lang w:val="en-US" w:eastAsia="zh-CN"/>
              </w:rPr>
              <w:t>31</w:t>
            </w:r>
          </w:p>
        </w:tc>
        <w:tc>
          <w:tcPr>
            <w:tcW w:w="1694" w:type="dxa"/>
            <w:vAlign w:val="center"/>
          </w:tcPr>
          <w:p>
            <w:pPr>
              <w:pStyle w:val="24"/>
              <w:wordWrap/>
              <w:autoSpaceDE w:val="0"/>
              <w:autoSpaceDN w:val="0"/>
              <w:adjustRightInd w:val="0"/>
              <w:spacing w:line="440" w:lineRule="exact"/>
              <w:rPr>
                <w:rFonts w:hAnsi="宋体" w:eastAsia="Times New Roman"/>
                <w:color w:val="FF0000"/>
              </w:rPr>
            </w:pPr>
            <w:r>
              <w:rPr>
                <w:rFonts w:hint="eastAsia" w:ascii="BRGEKD+??¨¬?" w:hAnsi="BRGEKD+??¨¬?" w:cs="BRGEKD+??¨¬?"/>
                <w:spacing w:val="-1"/>
              </w:rPr>
              <w:t>首次递交竞争性磋商响应文件地点及磋商地点</w:t>
            </w:r>
          </w:p>
        </w:tc>
        <w:tc>
          <w:tcPr>
            <w:tcW w:w="7906" w:type="dxa"/>
            <w:vAlign w:val="center"/>
          </w:tcPr>
          <w:p>
            <w:pPr>
              <w:wordWrap/>
              <w:autoSpaceDE w:val="0"/>
              <w:autoSpaceDN w:val="0"/>
              <w:adjustRightInd w:val="0"/>
              <w:spacing w:line="440" w:lineRule="exact"/>
              <w:rPr>
                <w:rFonts w:hint="eastAsia" w:ascii="Times New Roman" w:hAnsi="Times New Roman" w:eastAsia="宋体" w:cs="Times New Roman"/>
              </w:rPr>
            </w:pPr>
            <w:r>
              <w:rPr>
                <w:rFonts w:hint="eastAsia" w:ascii="Times New Roman" w:hAnsi="Times New Roman" w:eastAsia="宋体" w:cs="Times New Roman"/>
              </w:rPr>
              <w:t>地点：各供应商应在响应文件提交截止时间前，通过“政采云”平台（https://www.zcygov.cn）上传加密的电子响应文件。</w:t>
            </w:r>
          </w:p>
          <w:p>
            <w:pPr>
              <w:wordWrap/>
              <w:autoSpaceDE w:val="0"/>
              <w:autoSpaceDN w:val="0"/>
              <w:adjustRightInd w:val="0"/>
              <w:spacing w:line="440" w:lineRule="exact"/>
              <w:rPr>
                <w:rFonts w:hint="eastAsia" w:ascii="Times New Roman" w:hAnsi="Times New Roman" w:eastAsia="宋体" w:cs="Times New Roman"/>
              </w:rPr>
            </w:pPr>
            <w:r>
              <w:rPr>
                <w:rFonts w:hint="eastAsia" w:ascii="Times New Roman" w:hAnsi="Times New Roman" w:eastAsia="宋体" w:cs="Times New Roman"/>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wordWrap/>
              <w:autoSpaceDE w:val="0"/>
              <w:autoSpaceDN w:val="0"/>
              <w:adjustRightInd w:val="0"/>
              <w:spacing w:line="440" w:lineRule="exact"/>
            </w:pPr>
            <w:r>
              <w:rPr>
                <w:rFonts w:hint="eastAsia" w:ascii="Times New Roman" w:hAnsi="Times New Roman" w:eastAsia="宋体" w:cs="Times New Roman"/>
                <w:lang w:val="en-US" w:eastAsia="zh-CN"/>
              </w:rPr>
              <w:t>备注：供应商在网上递交投标响应文件的同时将响应文件的备份文件（BFBS格式）加密后递交至邮箱号：2259928698@qq.com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32</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磋商小组的组建</w:t>
            </w:r>
          </w:p>
        </w:tc>
        <w:tc>
          <w:tcPr>
            <w:tcW w:w="7906" w:type="dxa"/>
            <w:vAlign w:val="center"/>
          </w:tcPr>
          <w:p>
            <w:pPr>
              <w:wordWrap/>
              <w:autoSpaceDE w:val="0"/>
              <w:autoSpaceDN w:val="0"/>
              <w:adjustRightInd w:val="0"/>
              <w:spacing w:line="440" w:lineRule="exact"/>
              <w:rPr>
                <w:rFonts w:eastAsia="Times New Roman"/>
              </w:rPr>
            </w:pPr>
            <w:r>
              <w:rPr>
                <w:rFonts w:hint="eastAsia" w:ascii="宋体" w:hAnsi="宋体"/>
              </w:rPr>
              <w:t>磋商小组的构成：采购人代表</w:t>
            </w:r>
            <w:r>
              <w:rPr>
                <w:rFonts w:ascii="宋体" w:hAnsi="宋体"/>
              </w:rPr>
              <w:t xml:space="preserve"> 1 </w:t>
            </w:r>
            <w:r>
              <w:rPr>
                <w:rFonts w:hint="eastAsia" w:ascii="宋体" w:hAnsi="宋体"/>
              </w:rPr>
              <w:t>人，专家库中随机抽取</w:t>
            </w:r>
            <w:r>
              <w:rPr>
                <w:rFonts w:ascii="宋体" w:hAnsi="宋体"/>
              </w:rPr>
              <w:t>2</w:t>
            </w:r>
            <w:r>
              <w:rPr>
                <w:rFonts w:hint="eastAsia" w:ascii="宋体" w:hAnsi="宋体"/>
              </w:rPr>
              <w:t>人及以上单数组成。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09" w:type="dxa"/>
            <w:vAlign w:val="center"/>
          </w:tcPr>
          <w:p>
            <w:pPr>
              <w:wordWrap/>
              <w:autoSpaceDE w:val="0"/>
              <w:autoSpaceDN w:val="0"/>
              <w:adjustRightInd w:val="0"/>
              <w:spacing w:line="440" w:lineRule="exact"/>
              <w:jc w:val="center"/>
              <w:rPr>
                <w:rFonts w:hint="default" w:eastAsia="宋体"/>
                <w:lang w:val="en-US" w:eastAsia="zh-CN"/>
              </w:rPr>
            </w:pPr>
            <w:r>
              <w:rPr>
                <w:rFonts w:hint="eastAsia" w:ascii="宋体" w:hAnsi="宋体"/>
                <w:lang w:val="en-US" w:eastAsia="zh-CN"/>
              </w:rPr>
              <w:t>33</w:t>
            </w:r>
          </w:p>
        </w:tc>
        <w:tc>
          <w:tcPr>
            <w:tcW w:w="1694" w:type="dxa"/>
            <w:vAlign w:val="center"/>
          </w:tcPr>
          <w:p>
            <w:pPr>
              <w:wordWrap/>
              <w:autoSpaceDE w:val="0"/>
              <w:autoSpaceDN w:val="0"/>
              <w:adjustRightInd w:val="0"/>
              <w:spacing w:line="440" w:lineRule="exact"/>
              <w:jc w:val="center"/>
              <w:rPr>
                <w:rFonts w:eastAsia="Times New Roman"/>
              </w:rPr>
            </w:pPr>
            <w:r>
              <w:rPr>
                <w:rFonts w:hint="eastAsia" w:ascii="宋体" w:hAnsi="宋体"/>
              </w:rPr>
              <w:t>是否授权磋商小组确定中标人</w:t>
            </w:r>
          </w:p>
        </w:tc>
        <w:tc>
          <w:tcPr>
            <w:tcW w:w="7906" w:type="dxa"/>
            <w:vAlign w:val="center"/>
          </w:tcPr>
          <w:p>
            <w:pPr>
              <w:wordWrap/>
              <w:autoSpaceDE w:val="0"/>
              <w:autoSpaceDN w:val="0"/>
              <w:adjustRightInd w:val="0"/>
              <w:spacing w:line="440" w:lineRule="exact"/>
              <w:rPr>
                <w:rFonts w:hint="eastAsia" w:eastAsia="宋体"/>
                <w:lang w:eastAsia="zh-CN"/>
              </w:rPr>
            </w:pPr>
            <w:r>
              <w:rPr>
                <w:rFonts w:hint="eastAsia" w:ascii="宋体" w:hAnsi="宋体"/>
                <w:color w:val="000000"/>
              </w:rPr>
              <w:t>否，推荐的中标候选人数</w:t>
            </w:r>
            <w:r>
              <w:rPr>
                <w:rFonts w:hint="eastAsia" w:ascii="宋体" w:hAnsi="宋体"/>
                <w:color w:val="000000"/>
                <w:u w:val="single"/>
                <w:lang w:val="en-US" w:eastAsia="zh-CN"/>
              </w:rPr>
              <w:t xml:space="preserve"> </w:t>
            </w:r>
            <w:r>
              <w:rPr>
                <w:rFonts w:ascii="宋体" w:hAnsi="宋体"/>
                <w:color w:val="000000"/>
                <w:u w:val="single"/>
              </w:rPr>
              <w:t>3</w:t>
            </w:r>
            <w:r>
              <w:rPr>
                <w:rFonts w:hint="eastAsia" w:ascii="宋体" w:hAnsi="宋体"/>
                <w:color w:val="000000"/>
                <w:u w:val="single"/>
                <w:lang w:val="en-US" w:eastAsia="zh-CN"/>
              </w:rPr>
              <w:t xml:space="preserve"> </w:t>
            </w:r>
            <w:r>
              <w:rPr>
                <w:rFonts w:hint="eastAsia" w:ascii="宋体" w:hAnsi="宋体"/>
                <w:color w:val="000000"/>
              </w:rPr>
              <w:t>人</w:t>
            </w:r>
            <w:r>
              <w:rPr>
                <w:rFonts w:hint="eastAsia" w:ascii="宋体" w:hAnsi="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09" w:type="dxa"/>
            <w:vAlign w:val="center"/>
          </w:tcPr>
          <w:p>
            <w:pPr>
              <w:wordWrap/>
              <w:autoSpaceDE w:val="0"/>
              <w:autoSpaceDN w:val="0"/>
              <w:adjustRightInd w:val="0"/>
              <w:spacing w:line="440" w:lineRule="exact"/>
              <w:jc w:val="center"/>
              <w:textAlignment w:val="baseline"/>
              <w:rPr>
                <w:rFonts w:hint="default" w:eastAsia="宋体"/>
                <w:lang w:val="en-US" w:eastAsia="zh-CN"/>
              </w:rPr>
            </w:pPr>
            <w:r>
              <w:rPr>
                <w:rFonts w:hint="eastAsia" w:ascii="宋体" w:hAnsi="宋体"/>
                <w:lang w:val="en-US" w:eastAsia="zh-CN"/>
              </w:rPr>
              <w:t>34</w:t>
            </w:r>
          </w:p>
        </w:tc>
        <w:tc>
          <w:tcPr>
            <w:tcW w:w="1694" w:type="dxa"/>
            <w:vAlign w:val="center"/>
          </w:tcPr>
          <w:p>
            <w:pPr>
              <w:wordWrap/>
              <w:autoSpaceDE w:val="0"/>
              <w:autoSpaceDN w:val="0"/>
              <w:adjustRightInd w:val="0"/>
              <w:spacing w:line="440" w:lineRule="exact"/>
              <w:jc w:val="center"/>
              <w:textAlignment w:val="baseline"/>
              <w:rPr>
                <w:rFonts w:eastAsia="Times New Roman"/>
              </w:rPr>
            </w:pPr>
            <w:r>
              <w:rPr>
                <w:rFonts w:hint="eastAsia" w:ascii="宋体" w:hAnsi="宋体"/>
              </w:rPr>
              <w:t>知识产权</w:t>
            </w:r>
          </w:p>
        </w:tc>
        <w:tc>
          <w:tcPr>
            <w:tcW w:w="7906" w:type="dxa"/>
            <w:vAlign w:val="center"/>
          </w:tcPr>
          <w:p>
            <w:pPr>
              <w:wordWrap/>
              <w:autoSpaceDE w:val="0"/>
              <w:autoSpaceDN w:val="0"/>
              <w:adjustRightInd w:val="0"/>
              <w:spacing w:line="440" w:lineRule="exact"/>
              <w:textAlignment w:val="baseline"/>
            </w:pPr>
            <w:r>
              <w:rPr>
                <w:rFonts w:hint="eastAsia"/>
              </w:rPr>
              <w:t>1.构成本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p>
            <w:pPr>
              <w:wordWrap/>
              <w:autoSpaceDE w:val="0"/>
              <w:autoSpaceDN w:val="0"/>
              <w:adjustRightInd w:val="0"/>
              <w:spacing w:line="440" w:lineRule="exact"/>
              <w:rPr>
                <w:rFonts w:hint="eastAsia"/>
              </w:rPr>
            </w:pPr>
            <w:r>
              <w:rPr>
                <w:rFonts w:hint="eastAsia"/>
              </w:rPr>
              <w:t>2. 采购人在中华人民共和国境内使用供应商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2"/>
              <w:wordWrap/>
              <w:autoSpaceDE w:val="0"/>
              <w:autoSpaceDN w:val="0"/>
              <w:adjustRightInd w:val="0"/>
              <w:spacing w:line="440" w:lineRule="exact"/>
              <w:ind w:left="0" w:leftChars="0" w:firstLine="0" w:firstLineChars="0"/>
              <w:rPr>
                <w:rFonts w:hint="default" w:eastAsia="宋体"/>
                <w:lang w:val="en-US" w:eastAsia="zh-CN"/>
              </w:rPr>
            </w:pPr>
            <w:r>
              <w:rPr>
                <w:rFonts w:hint="eastAsia" w:ascii="宋体" w:hAnsi="宋体"/>
                <w:lang w:val="en-US" w:eastAsia="zh-CN"/>
              </w:rPr>
              <w:t>3.</w:t>
            </w:r>
            <w:r>
              <w:rPr>
                <w:rFonts w:hint="eastAsia" w:hAnsi="宋体" w:cs="宋体"/>
                <w:color w:val="000000"/>
                <w:kern w:val="0"/>
              </w:rPr>
              <w:t>供应商如欲在项目实施过程中采用自有知识成果，须在响应文件中声明，并提供相关知识产权证明文件。使用该知识成果后，供应商须提供开发接口和开发手册等技术文档。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9" w:type="dxa"/>
            <w:vAlign w:val="center"/>
          </w:tcPr>
          <w:p>
            <w:pPr>
              <w:wordWrap/>
              <w:autoSpaceDE w:val="0"/>
              <w:autoSpaceDN w:val="0"/>
              <w:adjustRightInd w:val="0"/>
              <w:spacing w:line="440" w:lineRule="exact"/>
              <w:jc w:val="center"/>
              <w:textAlignment w:val="baseline"/>
              <w:rPr>
                <w:rFonts w:hint="default" w:eastAsia="宋体"/>
                <w:lang w:val="en-US" w:eastAsia="zh-CN"/>
              </w:rPr>
            </w:pPr>
            <w:r>
              <w:rPr>
                <w:rFonts w:hint="eastAsia" w:ascii="宋体" w:hAnsi="宋体"/>
                <w:lang w:val="en-US" w:eastAsia="zh-CN"/>
              </w:rPr>
              <w:t>35</w:t>
            </w:r>
          </w:p>
        </w:tc>
        <w:tc>
          <w:tcPr>
            <w:tcW w:w="1694" w:type="dxa"/>
            <w:vAlign w:val="center"/>
          </w:tcPr>
          <w:p>
            <w:pPr>
              <w:wordWrap/>
              <w:autoSpaceDE w:val="0"/>
              <w:autoSpaceDN w:val="0"/>
              <w:adjustRightInd w:val="0"/>
              <w:spacing w:line="440" w:lineRule="exact"/>
              <w:jc w:val="center"/>
              <w:textAlignment w:val="baseline"/>
              <w:rPr>
                <w:rFonts w:hint="eastAsia" w:ascii="宋体" w:hAnsi="宋体"/>
              </w:rPr>
            </w:pPr>
            <w:r>
              <w:rPr>
                <w:rFonts w:hint="eastAsia" w:ascii="宋体" w:hAnsi="宋体"/>
              </w:rPr>
              <w:t>招标代理</w:t>
            </w:r>
          </w:p>
          <w:p>
            <w:pPr>
              <w:wordWrap/>
              <w:autoSpaceDE w:val="0"/>
              <w:autoSpaceDN w:val="0"/>
              <w:adjustRightInd w:val="0"/>
              <w:spacing w:line="440" w:lineRule="exact"/>
              <w:jc w:val="center"/>
              <w:textAlignment w:val="baseline"/>
              <w:rPr>
                <w:rFonts w:eastAsia="Times New Roman"/>
              </w:rPr>
            </w:pPr>
            <w:r>
              <w:rPr>
                <w:rFonts w:hint="eastAsia" w:ascii="宋体" w:hAnsi="宋体"/>
              </w:rPr>
              <w:t>服务费</w:t>
            </w:r>
          </w:p>
        </w:tc>
        <w:tc>
          <w:tcPr>
            <w:tcW w:w="7906" w:type="dxa"/>
            <w:vAlign w:val="center"/>
          </w:tcPr>
          <w:p>
            <w:pPr>
              <w:pStyle w:val="2"/>
              <w:wordWrap/>
              <w:autoSpaceDE w:val="0"/>
              <w:autoSpaceDN w:val="0"/>
              <w:adjustRightInd w:val="0"/>
              <w:spacing w:line="440" w:lineRule="exact"/>
              <w:ind w:left="0" w:leftChars="0" w:firstLine="0" w:firstLineChars="0"/>
              <w:rPr>
                <w:rFonts w:hint="eastAsia" w:ascii="Times New Roman" w:hAnsi="宋体" w:cs="宋体"/>
                <w:b/>
                <w:bCs/>
                <w:color w:val="000000"/>
                <w:kern w:val="0"/>
                <w:lang w:eastAsia="zh-CN"/>
              </w:rPr>
            </w:pPr>
            <w:r>
              <w:rPr>
                <w:rFonts w:hint="eastAsia" w:ascii="Times New Roman" w:hAnsi="宋体" w:cs="宋体"/>
                <w:b/>
                <w:bCs/>
                <w:color w:val="000000"/>
                <w:kern w:val="0"/>
                <w:lang w:val="en-US" w:eastAsia="zh-CN"/>
              </w:rPr>
              <w:t>参照</w:t>
            </w:r>
            <w:r>
              <w:rPr>
                <w:rFonts w:hint="eastAsia" w:ascii="Times New Roman" w:hAnsi="宋体" w:cs="宋体"/>
                <w:b/>
                <w:bCs/>
                <w:color w:val="000000"/>
                <w:kern w:val="0"/>
              </w:rPr>
              <w:t>国家发展计划委员会文件发改价格〔2015〕299号文件、计价格【2002】1980号文规定的收费标准</w:t>
            </w:r>
            <w:r>
              <w:rPr>
                <w:rFonts w:hint="eastAsia" w:ascii="Times New Roman" w:hAnsi="宋体" w:cs="宋体"/>
                <w:b/>
                <w:bCs/>
                <w:color w:val="000000"/>
                <w:kern w:val="0"/>
                <w:lang w:eastAsia="zh-CN"/>
              </w:rPr>
              <w:t>。中标企业按中标价向招标代理机构支付，具体如下：</w:t>
            </w:r>
          </w:p>
          <w:p>
            <w:pPr>
              <w:pStyle w:val="2"/>
              <w:wordWrap/>
              <w:autoSpaceDE w:val="0"/>
              <w:autoSpaceDN w:val="0"/>
              <w:adjustRightInd w:val="0"/>
              <w:spacing w:line="440" w:lineRule="exact"/>
              <w:ind w:left="0" w:leftChars="0" w:firstLine="0" w:firstLineChars="0"/>
              <w:rPr>
                <w:rFonts w:hint="eastAsia" w:ascii="Times New Roman" w:hAnsi="宋体" w:cs="宋体"/>
                <w:b/>
                <w:bCs/>
                <w:color w:val="000000"/>
                <w:kern w:val="0"/>
              </w:rPr>
            </w:pPr>
            <w:r>
              <w:rPr>
                <w:rFonts w:hint="eastAsia" w:ascii="Times New Roman" w:hAnsi="宋体" w:cs="宋体"/>
                <w:b/>
                <w:bCs/>
                <w:color w:val="000000"/>
                <w:kern w:val="0"/>
              </w:rPr>
              <w:t>成交金额100万元以下的部分,</w:t>
            </w:r>
            <w:r>
              <w:rPr>
                <w:rFonts w:hint="eastAsia" w:ascii="Times New Roman" w:hAnsi="宋体" w:cs="宋体"/>
                <w:b/>
                <w:bCs/>
                <w:color w:val="000000"/>
                <w:kern w:val="0"/>
                <w:lang w:val="en-US" w:eastAsia="zh-CN"/>
              </w:rPr>
              <w:t>工程</w:t>
            </w:r>
            <w:r>
              <w:rPr>
                <w:rFonts w:hint="eastAsia" w:ascii="Times New Roman" w:hAnsi="宋体" w:cs="宋体"/>
                <w:b/>
                <w:bCs/>
                <w:color w:val="000000"/>
                <w:kern w:val="0"/>
              </w:rPr>
              <w:t>类采购费率</w:t>
            </w:r>
            <w:r>
              <w:rPr>
                <w:rFonts w:hint="eastAsia" w:ascii="Times New Roman" w:hAnsi="宋体" w:cs="宋体"/>
                <w:b/>
                <w:bCs/>
                <w:color w:val="000000"/>
                <w:kern w:val="0"/>
                <w:lang w:val="en-US" w:eastAsia="zh-CN"/>
              </w:rPr>
              <w:t>1</w:t>
            </w:r>
            <w:r>
              <w:rPr>
                <w:rFonts w:hint="eastAsia" w:ascii="Times New Roman" w:hAnsi="宋体" w:cs="宋体"/>
                <w:b/>
                <w:bCs/>
                <w:color w:val="000000"/>
                <w:kern w:val="0"/>
              </w:rPr>
              <w:t>%      </w:t>
            </w:r>
          </w:p>
          <w:p>
            <w:pPr>
              <w:pStyle w:val="2"/>
              <w:wordWrap/>
              <w:autoSpaceDE w:val="0"/>
              <w:autoSpaceDN w:val="0"/>
              <w:adjustRightInd w:val="0"/>
              <w:spacing w:line="440" w:lineRule="exact"/>
              <w:ind w:left="0" w:leftChars="0" w:firstLine="0" w:firstLineChars="0"/>
              <w:rPr>
                <w:rFonts w:hint="eastAsia" w:ascii="宋体" w:hAnsi="宋体" w:eastAsia="仿宋"/>
                <w:lang w:val="en-US" w:eastAsia="zh-CN"/>
              </w:rPr>
            </w:pPr>
            <w:r>
              <w:rPr>
                <w:rFonts w:hint="eastAsia" w:ascii="Times New Roman" w:hAnsi="宋体" w:cs="宋体"/>
                <w:b/>
                <w:bCs/>
                <w:color w:val="000000"/>
                <w:kern w:val="0"/>
              </w:rPr>
              <w:t>成交金额100万元至500万元的部分,</w:t>
            </w:r>
            <w:r>
              <w:rPr>
                <w:rFonts w:hint="eastAsia" w:ascii="Times New Roman" w:hAnsi="宋体" w:cs="宋体"/>
                <w:b/>
                <w:bCs/>
                <w:color w:val="000000"/>
                <w:kern w:val="0"/>
                <w:lang w:val="en-US" w:eastAsia="zh-CN"/>
              </w:rPr>
              <w:t>工程</w:t>
            </w:r>
            <w:r>
              <w:rPr>
                <w:rFonts w:hint="eastAsia" w:ascii="Times New Roman" w:hAnsi="宋体" w:cs="宋体"/>
                <w:b/>
                <w:bCs/>
                <w:color w:val="000000"/>
                <w:kern w:val="0"/>
              </w:rPr>
              <w:t>类采购费率</w:t>
            </w:r>
            <w:r>
              <w:rPr>
                <w:rFonts w:hint="eastAsia" w:ascii="Times New Roman" w:hAnsi="宋体" w:cs="宋体"/>
                <w:b/>
                <w:bCs/>
                <w:color w:val="000000"/>
                <w:kern w:val="0"/>
                <w:lang w:val="en-US" w:eastAsia="zh-CN"/>
              </w:rPr>
              <w:t>0.7</w:t>
            </w:r>
            <w:r>
              <w:rPr>
                <w:rFonts w:hint="eastAsia" w:ascii="Times New Roman" w:hAnsi="宋体" w:cs="宋体"/>
                <w:b/>
                <w:bCs/>
                <w:color w:val="000000"/>
                <w:kern w:val="0"/>
              </w:rPr>
              <w:t>%</w:t>
            </w:r>
            <w:r>
              <w:rPr>
                <w:rFonts w:hint="eastAsia" w:ascii="Times New Roman" w:hAnsi="宋体" w:cs="宋体"/>
                <w:b/>
                <w:bCs/>
                <w:color w:val="000000"/>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9" w:type="dxa"/>
            <w:vAlign w:val="center"/>
          </w:tcPr>
          <w:p>
            <w:pPr>
              <w:wordWrap/>
              <w:autoSpaceDE w:val="0"/>
              <w:autoSpaceDN w:val="0"/>
              <w:adjustRightInd w:val="0"/>
              <w:spacing w:line="440" w:lineRule="exact"/>
              <w:jc w:val="center"/>
              <w:textAlignment w:val="baseline"/>
              <w:rPr>
                <w:rFonts w:hint="default" w:eastAsia="宋体"/>
                <w:lang w:val="en-US" w:eastAsia="zh-CN"/>
              </w:rPr>
            </w:pPr>
            <w:r>
              <w:rPr>
                <w:rFonts w:hint="eastAsia" w:ascii="宋体" w:hAnsi="宋体"/>
                <w:lang w:val="en-US" w:eastAsia="zh-CN"/>
              </w:rPr>
              <w:t>36</w:t>
            </w:r>
          </w:p>
        </w:tc>
        <w:tc>
          <w:tcPr>
            <w:tcW w:w="1694" w:type="dxa"/>
            <w:vAlign w:val="center"/>
          </w:tcPr>
          <w:p>
            <w:pPr>
              <w:wordWrap/>
              <w:autoSpaceDE w:val="0"/>
              <w:autoSpaceDN w:val="0"/>
              <w:adjustRightInd w:val="0"/>
              <w:spacing w:line="440" w:lineRule="exact"/>
              <w:jc w:val="center"/>
              <w:textAlignment w:val="baseline"/>
              <w:rPr>
                <w:rFonts w:eastAsia="Times New Roman"/>
              </w:rPr>
            </w:pPr>
            <w:r>
              <w:rPr>
                <w:rFonts w:hint="eastAsia" w:ascii="宋体" w:hAnsi="宋体"/>
              </w:rPr>
              <w:t>解释权</w:t>
            </w:r>
          </w:p>
        </w:tc>
        <w:tc>
          <w:tcPr>
            <w:tcW w:w="7906" w:type="dxa"/>
            <w:vAlign w:val="center"/>
          </w:tcPr>
          <w:p>
            <w:pPr>
              <w:wordWrap/>
              <w:autoSpaceDE w:val="0"/>
              <w:autoSpaceDN w:val="0"/>
              <w:adjustRightInd w:val="0"/>
              <w:spacing w:line="440" w:lineRule="exact"/>
              <w:textAlignment w:val="baseline"/>
              <w:rPr>
                <w:rFonts w:eastAsia="Times New Roman"/>
              </w:rPr>
            </w:pPr>
            <w:r>
              <w:rPr>
                <w:rFonts w:hint="eastAsia" w:ascii="宋体" w:hAnsi="宋体"/>
              </w:rPr>
              <w:t>由采购人和采购代理机构负责解释。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9" w:type="dxa"/>
            <w:vAlign w:val="center"/>
          </w:tcPr>
          <w:p>
            <w:pPr>
              <w:wordWrap/>
              <w:autoSpaceDE w:val="0"/>
              <w:autoSpaceDN w:val="0"/>
              <w:adjustRightInd w:val="0"/>
              <w:spacing w:line="440" w:lineRule="exact"/>
              <w:jc w:val="center"/>
              <w:textAlignment w:val="baseline"/>
              <w:rPr>
                <w:rFonts w:hint="default" w:ascii="宋体" w:hAnsi="宋体" w:eastAsia="宋体"/>
                <w:lang w:val="en-US" w:eastAsia="zh-CN"/>
              </w:rPr>
            </w:pPr>
            <w:r>
              <w:rPr>
                <w:rFonts w:hint="eastAsia" w:ascii="宋体" w:hAnsi="宋体"/>
                <w:lang w:val="en-US" w:eastAsia="zh-CN"/>
              </w:rPr>
              <w:t>37</w:t>
            </w:r>
          </w:p>
        </w:tc>
        <w:tc>
          <w:tcPr>
            <w:tcW w:w="1694" w:type="dxa"/>
            <w:vAlign w:val="center"/>
          </w:tcPr>
          <w:p>
            <w:pPr>
              <w:wordWrap/>
              <w:autoSpaceDE w:val="0"/>
              <w:autoSpaceDN w:val="0"/>
              <w:adjustRightInd w:val="0"/>
              <w:spacing w:line="440" w:lineRule="exact"/>
              <w:jc w:val="center"/>
              <w:textAlignment w:val="baseline"/>
              <w:rPr>
                <w:rFonts w:ascii="宋体" w:hAnsi="宋体"/>
              </w:rPr>
            </w:pPr>
            <w:r>
              <w:rPr>
                <w:rFonts w:hint="eastAsia" w:ascii="宋体" w:hAnsi="宋体"/>
              </w:rPr>
              <w:t>提出质疑的时间</w:t>
            </w:r>
          </w:p>
        </w:tc>
        <w:tc>
          <w:tcPr>
            <w:tcW w:w="7906" w:type="dxa"/>
            <w:vAlign w:val="center"/>
          </w:tcPr>
          <w:p>
            <w:pPr>
              <w:wordWrap/>
              <w:autoSpaceDE w:val="0"/>
              <w:autoSpaceDN w:val="0"/>
              <w:adjustRightInd w:val="0"/>
              <w:spacing w:line="440" w:lineRule="exact"/>
              <w:textAlignment w:val="baseline"/>
              <w:rPr>
                <w:rFonts w:ascii="宋体" w:hAnsi="宋体"/>
              </w:rPr>
            </w:pPr>
            <w:r>
              <w:rPr>
                <w:rFonts w:hint="eastAsia" w:ascii="宋体" w:hAnsi="宋体"/>
              </w:rPr>
              <w:t>1、对竞争性磋商文件提出质疑的，应当在获取竞争性磋商文件或者竞争性磋商公告期限届满之日起7个工作日内提出。</w:t>
            </w:r>
          </w:p>
          <w:p>
            <w:pPr>
              <w:wordWrap/>
              <w:autoSpaceDE w:val="0"/>
              <w:autoSpaceDN w:val="0"/>
              <w:adjustRightInd w:val="0"/>
              <w:spacing w:line="440" w:lineRule="exact"/>
              <w:textAlignment w:val="baseline"/>
              <w:rPr>
                <w:rFonts w:ascii="宋体" w:hAnsi="宋体"/>
              </w:rPr>
            </w:pPr>
            <w:r>
              <w:rPr>
                <w:rFonts w:hint="eastAsia" w:ascii="宋体" w:hAnsi="宋体"/>
              </w:rPr>
              <w:t>2、供应商认为竞争性磋商文件、采购过程、中标或者成交结果使自己的权益受到损害的，可以在知道或者应知其权益受到损害之日起7个工作日内，以书面形式向采购人、采购代理机构提出质疑。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9" w:type="dxa"/>
            <w:vAlign w:val="center"/>
          </w:tcPr>
          <w:p>
            <w:pPr>
              <w:pStyle w:val="24"/>
              <w:wordWrap/>
              <w:autoSpaceDE w:val="0"/>
              <w:autoSpaceDN w:val="0"/>
              <w:adjustRightInd w:val="0"/>
              <w:spacing w:line="440" w:lineRule="exact"/>
              <w:jc w:val="center"/>
              <w:rPr>
                <w:rFonts w:hint="default" w:hAnsi="宋体" w:eastAsia="宋体"/>
                <w:lang w:val="en-US" w:eastAsia="zh-CN"/>
              </w:rPr>
            </w:pPr>
            <w:r>
              <w:rPr>
                <w:rFonts w:hint="eastAsia" w:hAnsi="宋体"/>
                <w:lang w:val="en-US" w:eastAsia="zh-CN"/>
              </w:rPr>
              <w:t>38</w:t>
            </w:r>
          </w:p>
        </w:tc>
        <w:tc>
          <w:tcPr>
            <w:tcW w:w="1694" w:type="dxa"/>
            <w:vAlign w:val="center"/>
          </w:tcPr>
          <w:p>
            <w:pPr>
              <w:wordWrap/>
              <w:autoSpaceDE w:val="0"/>
              <w:autoSpaceDN w:val="0"/>
              <w:adjustRightInd w:val="0"/>
              <w:spacing w:line="440" w:lineRule="exact"/>
              <w:rPr>
                <w:rFonts w:ascii="宋体" w:cs="宋体"/>
                <w:color w:val="000000"/>
                <w:szCs w:val="21"/>
              </w:rPr>
            </w:pPr>
            <w:r>
              <w:rPr>
                <w:rFonts w:hint="eastAsia" w:ascii="宋体" w:hAnsi="宋体" w:cs="宋体"/>
                <w:color w:val="000000"/>
                <w:szCs w:val="21"/>
              </w:rPr>
              <w:t>政府采购政策支持</w:t>
            </w:r>
          </w:p>
        </w:tc>
        <w:tc>
          <w:tcPr>
            <w:tcW w:w="7906" w:type="dxa"/>
            <w:vAlign w:val="top"/>
          </w:tcPr>
          <w:p>
            <w:pPr>
              <w:adjustRightInd w:val="0"/>
              <w:snapToGrid w:val="0"/>
              <w:spacing w:line="440" w:lineRule="exact"/>
              <w:rPr>
                <w:rFonts w:hint="eastAsia" w:ascii="宋体" w:hAnsi="宋体" w:eastAsia="宋体" w:cs="仿宋"/>
                <w:bCs/>
                <w:szCs w:val="21"/>
                <w:highlight w:val="none"/>
              </w:rPr>
            </w:pPr>
            <w:r>
              <w:rPr>
                <w:rFonts w:hint="eastAsia" w:hAnsi="宋体"/>
                <w:b/>
                <w:highlight w:val="none"/>
                <w:lang w:val="en-US" w:eastAsia="zh-CN"/>
              </w:rPr>
              <w:t>本项目为中小企业/小微企业预留</w:t>
            </w:r>
          </w:p>
          <w:p>
            <w:pPr>
              <w:wordWrap/>
              <w:autoSpaceDE w:val="0"/>
              <w:autoSpaceDN w:val="0"/>
              <w:adjustRightInd w:val="0"/>
              <w:snapToGrid w:val="0"/>
              <w:spacing w:line="440" w:lineRule="exact"/>
              <w:rPr>
                <w:rFonts w:hint="eastAsia" w:ascii="宋体" w:hAnsi="宋体" w:eastAsia="宋体" w:cs="仿宋"/>
                <w:bCs/>
                <w:szCs w:val="21"/>
              </w:rPr>
            </w:pPr>
            <w:r>
              <w:rPr>
                <w:rFonts w:hint="eastAsia" w:ascii="宋体" w:hAnsi="宋体" w:eastAsia="宋体" w:cs="仿宋"/>
                <w:bCs/>
                <w:szCs w:val="21"/>
              </w:rPr>
              <w:t>（1）促进中小企业发展政策：根据《政府采购促进中小企业发展</w:t>
            </w:r>
            <w:r>
              <w:rPr>
                <w:rFonts w:hint="eastAsia" w:ascii="宋体" w:hAnsi="宋体" w:eastAsia="宋体" w:cs="仿宋"/>
                <w:bCs/>
                <w:szCs w:val="21"/>
                <w:lang w:val="en-US" w:eastAsia="zh-CN"/>
              </w:rPr>
              <w:t>管理</w:t>
            </w:r>
            <w:r>
              <w:rPr>
                <w:rFonts w:hint="eastAsia" w:ascii="宋体" w:hAnsi="宋体" w:eastAsia="宋体" w:cs="仿宋"/>
                <w:bCs/>
                <w:szCs w:val="21"/>
              </w:rPr>
              <w:t>办法》规定，本项目投标供应商为小型或微型企业且报价产品为小型或微型企业生产的，将对该报价产品的评标报价给予6%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提交《中小企业声明函》的投标供应商是否给予优惠，最终由专家按照工业和信息部、国家统计局、国家发展和改革委员会及财政部的关于中小企业的划分标准评审认定。</w:t>
            </w:r>
          </w:p>
          <w:p>
            <w:pPr>
              <w:wordWrap/>
              <w:autoSpaceDE w:val="0"/>
              <w:autoSpaceDN w:val="0"/>
              <w:adjustRightInd w:val="0"/>
              <w:snapToGrid w:val="0"/>
              <w:spacing w:line="440" w:lineRule="exact"/>
              <w:rPr>
                <w:rFonts w:ascii="宋体" w:hAnsi="宋体" w:eastAsia="宋体" w:cs="仿宋"/>
                <w:bCs/>
                <w:szCs w:val="21"/>
              </w:rPr>
            </w:pPr>
            <w:r>
              <w:rPr>
                <w:rFonts w:hint="eastAsia" w:ascii="宋体" w:hAnsi="宋体" w:eastAsia="宋体" w:cs="仿宋"/>
                <w:bCs/>
                <w:szCs w:val="21"/>
              </w:rPr>
              <w:t>2、监狱企业扶持政策：供应商如为监狱企业将视同小型或微型企业，且报价产品为小型或微型企业生产的，将对该产品的评标报价给予</w:t>
            </w:r>
            <w:r>
              <w:rPr>
                <w:rFonts w:hint="eastAsia" w:ascii="宋体" w:hAnsi="宋体" w:cs="仿宋"/>
                <w:bCs/>
                <w:szCs w:val="21"/>
                <w:lang w:val="en-US" w:eastAsia="zh-CN"/>
              </w:rPr>
              <w:t>6</w:t>
            </w:r>
            <w:r>
              <w:rPr>
                <w:rFonts w:ascii="宋体" w:hAnsi="宋体" w:eastAsia="宋体" w:cs="仿宋"/>
                <w:bCs/>
                <w:szCs w:val="21"/>
              </w:rPr>
              <w:t>%</w:t>
            </w:r>
            <w:r>
              <w:rPr>
                <w:rFonts w:hint="eastAsia" w:ascii="宋体" w:hAnsi="宋体" w:eastAsia="宋体" w:cs="仿宋"/>
                <w:bCs/>
                <w:szCs w:val="21"/>
              </w:rPr>
              <w:t>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wordWrap/>
              <w:autoSpaceDE w:val="0"/>
              <w:autoSpaceDN w:val="0"/>
              <w:adjustRightInd w:val="0"/>
              <w:snapToGrid w:val="0"/>
              <w:spacing w:line="440" w:lineRule="exact"/>
              <w:rPr>
                <w:rFonts w:ascii="宋体" w:hAnsi="宋体" w:eastAsia="宋体" w:cs="仿宋"/>
                <w:bCs/>
                <w:szCs w:val="21"/>
              </w:rPr>
            </w:pPr>
            <w:r>
              <w:rPr>
                <w:rFonts w:hint="eastAsia" w:ascii="宋体" w:hAnsi="宋体" w:eastAsia="宋体" w:cs="仿宋"/>
                <w:bCs/>
                <w:szCs w:val="21"/>
              </w:rPr>
              <w:t>3、残疾人福利性单位视同小型、微型企业。不重复享受政策。符合条件的残疾人福利性单位在参加政府采购活动时，应当提供《残疾人福利性单位声明函》，并对声明的真实性负责。</w:t>
            </w:r>
          </w:p>
          <w:p>
            <w:pPr>
              <w:wordWrap/>
              <w:autoSpaceDE w:val="0"/>
              <w:autoSpaceDN w:val="0"/>
              <w:adjustRightInd w:val="0"/>
              <w:spacing w:line="440" w:lineRule="exact"/>
              <w:rPr>
                <w:rFonts w:ascii="宋体" w:cs="宋体"/>
                <w:color w:val="000000"/>
                <w:szCs w:val="21"/>
              </w:rPr>
            </w:pPr>
            <w:r>
              <w:rPr>
                <w:rFonts w:hint="eastAsia" w:ascii="宋体" w:hAnsi="宋体" w:eastAsia="宋体" w:cs="仿宋"/>
                <w:bCs/>
                <w:szCs w:val="21"/>
              </w:rPr>
              <w:t>4、列入财政部会同国务院有关部门发布的节能产品、环境标志产品品目清单，供应商应当提供国家确定的认证机构出具的、处于有效期之内的节能产品、环境标志产品认证证书。</w:t>
            </w:r>
          </w:p>
        </w:tc>
      </w:tr>
    </w:tbl>
    <w:p>
      <w:pPr>
        <w:pStyle w:val="4"/>
        <w:kinsoku w:val="0"/>
        <w:wordWrap/>
        <w:overflowPunct w:val="0"/>
        <w:autoSpaceDE w:val="0"/>
        <w:autoSpaceDN w:val="0"/>
        <w:adjustRightInd w:val="0"/>
        <w:spacing w:line="440" w:lineRule="exact"/>
        <w:ind w:left="3596" w:right="3620"/>
        <w:jc w:val="center"/>
        <w:rPr>
          <w:rFonts w:hint="eastAsia"/>
        </w:rPr>
      </w:pPr>
    </w:p>
    <w:p>
      <w:pPr>
        <w:pStyle w:val="4"/>
        <w:kinsoku w:val="0"/>
        <w:wordWrap/>
        <w:overflowPunct w:val="0"/>
        <w:autoSpaceDE w:val="0"/>
        <w:autoSpaceDN w:val="0"/>
        <w:adjustRightInd w:val="0"/>
        <w:spacing w:line="440" w:lineRule="exact"/>
        <w:ind w:left="3596" w:right="3620"/>
        <w:jc w:val="center"/>
        <w:rPr>
          <w:rFonts w:hint="eastAsia"/>
        </w:rPr>
      </w:pPr>
    </w:p>
    <w:p>
      <w:pPr>
        <w:pStyle w:val="4"/>
        <w:kinsoku w:val="0"/>
        <w:overflowPunct w:val="0"/>
        <w:ind w:right="3620"/>
        <w:jc w:val="both"/>
        <w:rPr>
          <w:rFonts w:hint="eastAsia"/>
        </w:rPr>
      </w:pPr>
    </w:p>
    <w:p>
      <w:pPr>
        <w:pStyle w:val="4"/>
        <w:kinsoku w:val="0"/>
        <w:overflowPunct w:val="0"/>
        <w:ind w:left="3596" w:right="3620"/>
        <w:jc w:val="center"/>
        <w:rPr>
          <w:rFonts w:eastAsia="Times New Roman"/>
          <w:b w:val="0"/>
        </w:rPr>
      </w:pPr>
      <w:r>
        <w:rPr>
          <w:rFonts w:hint="eastAsia"/>
        </w:rPr>
        <w:t>二、磋商须知</w:t>
      </w:r>
    </w:p>
    <w:p>
      <w:pPr>
        <w:pStyle w:val="7"/>
        <w:kinsoku w:val="0"/>
        <w:overflowPunct w:val="0"/>
        <w:spacing w:before="236"/>
        <w:ind w:left="3596" w:right="3615"/>
        <w:jc w:val="center"/>
        <w:rPr>
          <w:rFonts w:eastAsia="Times New Roman"/>
          <w:b w:val="0"/>
        </w:rPr>
      </w:pPr>
      <w:r>
        <w:rPr>
          <w:rFonts w:hint="eastAsia"/>
        </w:rPr>
        <w:t>（一）总则</w:t>
      </w:r>
    </w:p>
    <w:p>
      <w:pPr>
        <w:pStyle w:val="18"/>
        <w:kinsoku w:val="0"/>
        <w:overflowPunct w:val="0"/>
        <w:spacing w:before="10"/>
        <w:ind w:left="0"/>
        <w:rPr>
          <w:rFonts w:eastAsia="Times New Roman"/>
          <w:b/>
          <w:sz w:val="16"/>
        </w:rPr>
      </w:pPr>
    </w:p>
    <w:p>
      <w:pPr>
        <w:pStyle w:val="67"/>
        <w:spacing w:line="440" w:lineRule="exact"/>
        <w:ind w:firstLine="482" w:firstLineChars="200"/>
        <w:rPr>
          <w:rFonts w:eastAsia="宋体"/>
          <w:b/>
        </w:rPr>
      </w:pPr>
      <w:bookmarkStart w:id="0" w:name="_Toc144974498"/>
      <w:bookmarkStart w:id="1" w:name="_Toc324362191"/>
      <w:bookmarkStart w:id="2" w:name="_Toc152042306"/>
      <w:bookmarkStart w:id="3" w:name="_Toc179632547"/>
      <w:bookmarkStart w:id="4" w:name="_Toc152045530"/>
      <w:bookmarkStart w:id="5" w:name="_Toc325103231"/>
      <w:bookmarkStart w:id="6" w:name="_Toc324362060"/>
      <w:r>
        <w:rPr>
          <w:rFonts w:eastAsia="宋体"/>
          <w:b/>
        </w:rPr>
        <w:t>1.</w:t>
      </w:r>
      <w:r>
        <w:rPr>
          <w:rFonts w:hint="eastAsia" w:eastAsia="宋体"/>
          <w:b/>
        </w:rPr>
        <w:t>项目概况</w:t>
      </w:r>
      <w:bookmarkEnd w:id="0"/>
      <w:bookmarkEnd w:id="1"/>
      <w:bookmarkEnd w:id="2"/>
      <w:bookmarkEnd w:id="3"/>
      <w:bookmarkEnd w:id="4"/>
      <w:bookmarkEnd w:id="5"/>
      <w:bookmarkEnd w:id="6"/>
    </w:p>
    <w:p>
      <w:pPr>
        <w:spacing w:line="440" w:lineRule="exact"/>
        <w:ind w:firstLine="480" w:firstLineChars="200"/>
        <w:rPr>
          <w:rFonts w:eastAsia="Times New Roman"/>
        </w:rPr>
      </w:pPr>
      <w:r>
        <w:rPr>
          <w:rFonts w:ascii="宋体" w:hAnsi="宋体"/>
        </w:rPr>
        <w:t xml:space="preserve">1.1 </w:t>
      </w:r>
      <w:r>
        <w:rPr>
          <w:rFonts w:hint="eastAsia"/>
        </w:rPr>
        <w:t>本项目按照有关法律、法规和规章，通过竞争性磋商方式，择优选定施工企业。</w:t>
      </w:r>
    </w:p>
    <w:p>
      <w:pPr>
        <w:spacing w:line="440" w:lineRule="exact"/>
        <w:ind w:firstLine="480" w:firstLineChars="200"/>
        <w:rPr>
          <w:rFonts w:eastAsia="Times New Roman"/>
        </w:rPr>
      </w:pPr>
      <w:r>
        <w:rPr>
          <w:rFonts w:ascii="宋体" w:hAnsi="宋体"/>
        </w:rPr>
        <w:t xml:space="preserve">1.2 </w:t>
      </w:r>
      <w:r>
        <w:rPr>
          <w:rFonts w:hint="eastAsia" w:ascii="宋体" w:hAnsi="宋体"/>
        </w:rPr>
        <w:t>本项目采购人：见磋商须知前附表。</w:t>
      </w:r>
    </w:p>
    <w:p>
      <w:pPr>
        <w:spacing w:line="440" w:lineRule="exact"/>
        <w:ind w:firstLine="480" w:firstLineChars="200"/>
        <w:rPr>
          <w:rFonts w:eastAsia="Times New Roman"/>
        </w:rPr>
      </w:pPr>
      <w:r>
        <w:rPr>
          <w:rFonts w:ascii="宋体" w:hAnsi="宋体"/>
        </w:rPr>
        <w:t xml:space="preserve">1.3 </w:t>
      </w:r>
      <w:r>
        <w:rPr>
          <w:rFonts w:hint="eastAsia" w:ascii="宋体" w:hAnsi="宋体"/>
        </w:rPr>
        <w:t>本项目采购代理机构：见磋商须知前附表。</w:t>
      </w:r>
    </w:p>
    <w:p>
      <w:pPr>
        <w:spacing w:line="440" w:lineRule="exact"/>
        <w:ind w:firstLine="480" w:firstLineChars="200"/>
        <w:rPr>
          <w:rFonts w:eastAsia="Times New Roman"/>
        </w:rPr>
      </w:pPr>
      <w:r>
        <w:rPr>
          <w:rFonts w:ascii="宋体" w:hAnsi="宋体"/>
        </w:rPr>
        <w:t xml:space="preserve">1.4 </w:t>
      </w:r>
      <w:r>
        <w:rPr>
          <w:rFonts w:hint="eastAsia" w:ascii="宋体" w:hAnsi="宋体"/>
        </w:rPr>
        <w:t>本项目名称：见磋商须知前附表。</w:t>
      </w:r>
    </w:p>
    <w:p>
      <w:pPr>
        <w:spacing w:line="440" w:lineRule="exact"/>
        <w:ind w:firstLine="480" w:firstLineChars="200"/>
        <w:rPr>
          <w:rFonts w:eastAsia="Times New Roman"/>
        </w:rPr>
      </w:pPr>
      <w:r>
        <w:rPr>
          <w:rFonts w:ascii="宋体" w:hAnsi="宋体"/>
        </w:rPr>
        <w:t xml:space="preserve">1.5 </w:t>
      </w:r>
      <w:r>
        <w:rPr>
          <w:rFonts w:hint="eastAsia" w:ascii="宋体" w:hAnsi="宋体"/>
        </w:rPr>
        <w:t>本项目建设地点：见磋商须知前附表。</w:t>
      </w:r>
    </w:p>
    <w:p>
      <w:pPr>
        <w:pStyle w:val="67"/>
        <w:spacing w:line="440" w:lineRule="exact"/>
        <w:ind w:firstLine="482" w:firstLineChars="200"/>
        <w:rPr>
          <w:rFonts w:eastAsia="宋体"/>
          <w:b/>
        </w:rPr>
      </w:pPr>
      <w:bookmarkStart w:id="7" w:name="_Toc324362192"/>
      <w:bookmarkStart w:id="8" w:name="_Toc144974499"/>
      <w:bookmarkStart w:id="9" w:name="_Toc152045531"/>
      <w:bookmarkStart w:id="10" w:name="_Toc179632548"/>
      <w:bookmarkStart w:id="11" w:name="_Toc152042307"/>
      <w:bookmarkStart w:id="12" w:name="_Toc324362061"/>
      <w:bookmarkStart w:id="13" w:name="_Toc325103232"/>
      <w:r>
        <w:rPr>
          <w:rFonts w:eastAsia="宋体"/>
          <w:b/>
        </w:rPr>
        <w:t xml:space="preserve">2. </w:t>
      </w:r>
      <w:r>
        <w:rPr>
          <w:rFonts w:hint="eastAsia" w:eastAsia="宋体"/>
          <w:b/>
        </w:rPr>
        <w:t>资金来源和落实情况</w:t>
      </w:r>
      <w:bookmarkEnd w:id="7"/>
      <w:bookmarkEnd w:id="8"/>
      <w:bookmarkEnd w:id="9"/>
      <w:bookmarkEnd w:id="10"/>
      <w:bookmarkEnd w:id="11"/>
      <w:bookmarkEnd w:id="12"/>
      <w:bookmarkEnd w:id="13"/>
    </w:p>
    <w:p>
      <w:pPr>
        <w:spacing w:line="440" w:lineRule="exact"/>
        <w:ind w:firstLine="480" w:firstLineChars="200"/>
        <w:rPr>
          <w:rFonts w:eastAsia="Times New Roman"/>
        </w:rPr>
      </w:pPr>
      <w:r>
        <w:rPr>
          <w:rFonts w:ascii="宋体" w:hAnsi="宋体"/>
        </w:rPr>
        <w:t xml:space="preserve">2.1 </w:t>
      </w:r>
      <w:r>
        <w:rPr>
          <w:rFonts w:hint="eastAsia" w:ascii="宋体" w:hAnsi="宋体"/>
        </w:rPr>
        <w:t>本项目的资金来源：见磋商须知前附表。</w:t>
      </w:r>
    </w:p>
    <w:p>
      <w:pPr>
        <w:spacing w:line="440" w:lineRule="exact"/>
        <w:ind w:firstLine="480" w:firstLineChars="200"/>
        <w:rPr>
          <w:rFonts w:eastAsia="Times New Roman"/>
        </w:rPr>
      </w:pPr>
      <w:r>
        <w:rPr>
          <w:rFonts w:ascii="宋体" w:hAnsi="宋体"/>
        </w:rPr>
        <w:t xml:space="preserve">2.2 </w:t>
      </w:r>
      <w:r>
        <w:rPr>
          <w:rFonts w:hint="eastAsia" w:ascii="宋体" w:hAnsi="宋体"/>
        </w:rPr>
        <w:t>本项目的出资比例：见磋商须知前附表。</w:t>
      </w:r>
    </w:p>
    <w:p>
      <w:pPr>
        <w:spacing w:line="440" w:lineRule="exact"/>
        <w:ind w:firstLine="480" w:firstLineChars="200"/>
        <w:rPr>
          <w:rFonts w:eastAsia="Times New Roman"/>
        </w:rPr>
      </w:pPr>
      <w:r>
        <w:rPr>
          <w:rFonts w:ascii="宋体" w:hAnsi="宋体"/>
        </w:rPr>
        <w:t xml:space="preserve">2.3 </w:t>
      </w:r>
      <w:r>
        <w:rPr>
          <w:rFonts w:hint="eastAsia" w:ascii="宋体" w:hAnsi="宋体"/>
        </w:rPr>
        <w:t>本项目的资金落实情况：见磋商须知前附表。</w:t>
      </w:r>
    </w:p>
    <w:p>
      <w:pPr>
        <w:pStyle w:val="67"/>
        <w:spacing w:line="440" w:lineRule="exact"/>
        <w:ind w:firstLine="482" w:firstLineChars="200"/>
        <w:rPr>
          <w:rFonts w:eastAsia="宋体"/>
          <w:b/>
        </w:rPr>
      </w:pPr>
      <w:bookmarkStart w:id="14" w:name="_Toc152042308"/>
      <w:bookmarkStart w:id="15" w:name="_Toc325103233"/>
      <w:bookmarkStart w:id="16" w:name="_Toc324362193"/>
      <w:bookmarkStart w:id="17" w:name="_Toc152045532"/>
      <w:bookmarkStart w:id="18" w:name="_Toc324362062"/>
      <w:bookmarkStart w:id="19" w:name="_Toc144974500"/>
      <w:bookmarkStart w:id="20" w:name="_Toc179632549"/>
      <w:r>
        <w:rPr>
          <w:rFonts w:eastAsia="宋体"/>
          <w:b/>
        </w:rPr>
        <w:t xml:space="preserve">3. </w:t>
      </w:r>
      <w:r>
        <w:rPr>
          <w:rFonts w:hint="eastAsia" w:eastAsia="宋体"/>
          <w:b/>
        </w:rPr>
        <w:t>招标范围</w:t>
      </w:r>
      <w:bookmarkEnd w:id="14"/>
      <w:bookmarkEnd w:id="15"/>
      <w:bookmarkEnd w:id="16"/>
      <w:bookmarkEnd w:id="17"/>
      <w:bookmarkEnd w:id="18"/>
      <w:bookmarkEnd w:id="19"/>
      <w:bookmarkEnd w:id="20"/>
    </w:p>
    <w:p>
      <w:pPr>
        <w:spacing w:line="440" w:lineRule="exact"/>
        <w:ind w:firstLine="480" w:firstLineChars="200"/>
        <w:rPr>
          <w:rFonts w:eastAsia="Times New Roman"/>
        </w:rPr>
      </w:pPr>
      <w:r>
        <w:rPr>
          <w:rFonts w:ascii="宋体" w:hAnsi="宋体"/>
        </w:rPr>
        <w:t xml:space="preserve">3.1 </w:t>
      </w:r>
      <w:r>
        <w:rPr>
          <w:rFonts w:hint="eastAsia" w:ascii="宋体" w:hAnsi="宋体"/>
        </w:rPr>
        <w:t>本次招标范围：见磋商须知前附表。</w:t>
      </w:r>
    </w:p>
    <w:p>
      <w:pPr>
        <w:pStyle w:val="67"/>
        <w:spacing w:line="440" w:lineRule="exact"/>
        <w:ind w:firstLine="482" w:firstLineChars="200"/>
        <w:rPr>
          <w:rFonts w:eastAsia="宋体"/>
          <w:b/>
        </w:rPr>
      </w:pPr>
      <w:bookmarkStart w:id="21" w:name="_Toc144974502"/>
      <w:bookmarkStart w:id="22" w:name="_Toc152042310"/>
      <w:bookmarkStart w:id="23" w:name="_Toc325103234"/>
      <w:bookmarkStart w:id="24" w:name="_Toc152045534"/>
      <w:bookmarkStart w:id="25" w:name="_Toc324362194"/>
      <w:bookmarkStart w:id="26" w:name="_Toc179632551"/>
      <w:bookmarkStart w:id="27" w:name="_Toc324362063"/>
      <w:r>
        <w:rPr>
          <w:rFonts w:eastAsia="宋体"/>
          <w:b/>
        </w:rPr>
        <w:t xml:space="preserve">4. </w:t>
      </w:r>
      <w:r>
        <w:rPr>
          <w:rFonts w:hint="eastAsia" w:eastAsia="宋体"/>
          <w:b/>
        </w:rPr>
        <w:t>供应商资格要求</w:t>
      </w:r>
      <w:bookmarkEnd w:id="21"/>
      <w:bookmarkEnd w:id="22"/>
      <w:bookmarkEnd w:id="23"/>
      <w:bookmarkEnd w:id="24"/>
      <w:bookmarkEnd w:id="25"/>
      <w:bookmarkEnd w:id="26"/>
      <w:bookmarkEnd w:id="27"/>
    </w:p>
    <w:p>
      <w:pPr>
        <w:spacing w:line="440" w:lineRule="exact"/>
        <w:ind w:firstLine="480" w:firstLineChars="200"/>
        <w:rPr>
          <w:rFonts w:eastAsia="Times New Roman"/>
        </w:rPr>
      </w:pPr>
      <w:r>
        <w:rPr>
          <w:rFonts w:ascii="宋体" w:hAnsi="宋体"/>
        </w:rPr>
        <w:t xml:space="preserve">4.1 </w:t>
      </w:r>
      <w:r>
        <w:rPr>
          <w:rFonts w:hint="eastAsia" w:ascii="宋体" w:hAnsi="宋体"/>
        </w:rPr>
        <w:t>供应商应具备的资质条件、能力和信誉：见磋商须知前附表。</w:t>
      </w:r>
    </w:p>
    <w:p>
      <w:pPr>
        <w:pStyle w:val="67"/>
        <w:spacing w:line="440" w:lineRule="exact"/>
        <w:ind w:firstLine="482" w:firstLineChars="200"/>
        <w:rPr>
          <w:rFonts w:eastAsia="宋体"/>
          <w:b/>
        </w:rPr>
      </w:pPr>
      <w:bookmarkStart w:id="28" w:name="_Toc179632552"/>
      <w:bookmarkStart w:id="29" w:name="_Toc324362064"/>
      <w:bookmarkStart w:id="30" w:name="_Toc325103235"/>
      <w:bookmarkStart w:id="31" w:name="_Toc152042311"/>
      <w:bookmarkStart w:id="32" w:name="_Toc324362195"/>
      <w:bookmarkStart w:id="33" w:name="_Toc144974503"/>
      <w:bookmarkStart w:id="34" w:name="_Toc152045535"/>
      <w:r>
        <w:rPr>
          <w:rFonts w:eastAsia="宋体"/>
          <w:b/>
        </w:rPr>
        <w:t xml:space="preserve">5. </w:t>
      </w:r>
      <w:r>
        <w:rPr>
          <w:rFonts w:hint="eastAsia" w:eastAsia="宋体"/>
          <w:b/>
        </w:rPr>
        <w:t>费用承担</w:t>
      </w:r>
      <w:bookmarkEnd w:id="28"/>
      <w:bookmarkEnd w:id="29"/>
      <w:bookmarkEnd w:id="30"/>
      <w:bookmarkEnd w:id="31"/>
      <w:bookmarkEnd w:id="32"/>
      <w:bookmarkEnd w:id="33"/>
      <w:bookmarkEnd w:id="34"/>
    </w:p>
    <w:p>
      <w:pPr>
        <w:spacing w:line="440" w:lineRule="exact"/>
        <w:ind w:firstLine="480" w:firstLineChars="200"/>
        <w:rPr>
          <w:rFonts w:eastAsia="Times New Roman"/>
        </w:rPr>
      </w:pPr>
      <w:r>
        <w:rPr>
          <w:rFonts w:hint="eastAsia" w:ascii="宋体" w:hAnsi="宋体"/>
        </w:rPr>
        <w:t>供应商准备和参加投标活动发生的费用自理。</w:t>
      </w:r>
    </w:p>
    <w:p>
      <w:pPr>
        <w:pStyle w:val="67"/>
        <w:spacing w:line="440" w:lineRule="exact"/>
        <w:ind w:firstLine="482" w:firstLineChars="200"/>
        <w:rPr>
          <w:rFonts w:eastAsia="宋体"/>
          <w:b/>
        </w:rPr>
      </w:pPr>
      <w:bookmarkStart w:id="35" w:name="_Toc324362196"/>
      <w:bookmarkStart w:id="36" w:name="_Toc325103236"/>
      <w:bookmarkStart w:id="37" w:name="_Toc144974504"/>
      <w:bookmarkStart w:id="38" w:name="_Toc324362065"/>
      <w:bookmarkStart w:id="39" w:name="_Toc152045536"/>
      <w:bookmarkStart w:id="40" w:name="_Toc152042312"/>
      <w:bookmarkStart w:id="41" w:name="_Toc179632553"/>
      <w:r>
        <w:rPr>
          <w:rFonts w:eastAsia="宋体"/>
          <w:b/>
        </w:rPr>
        <w:t xml:space="preserve">6. </w:t>
      </w:r>
      <w:r>
        <w:rPr>
          <w:rFonts w:hint="eastAsia" w:eastAsia="宋体"/>
          <w:b/>
        </w:rPr>
        <w:t>保密</w:t>
      </w:r>
      <w:bookmarkEnd w:id="35"/>
      <w:bookmarkEnd w:id="36"/>
      <w:bookmarkEnd w:id="37"/>
      <w:bookmarkEnd w:id="38"/>
      <w:bookmarkEnd w:id="39"/>
      <w:bookmarkEnd w:id="40"/>
      <w:bookmarkEnd w:id="41"/>
    </w:p>
    <w:p>
      <w:pPr>
        <w:spacing w:line="440" w:lineRule="exact"/>
        <w:ind w:firstLine="480" w:firstLineChars="200"/>
        <w:rPr>
          <w:rFonts w:ascii="宋体" w:hAnsi="宋体"/>
        </w:rPr>
      </w:pPr>
      <w:r>
        <w:rPr>
          <w:rFonts w:hint="eastAsia" w:ascii="宋体" w:hAnsi="宋体"/>
        </w:rPr>
        <w:t>参与招标投标活动的各方应对磋商文件和响应文件中的商业和技术等秘密保密，违者应对由此造成的后果承担法律责任。</w:t>
      </w:r>
    </w:p>
    <w:p>
      <w:pPr>
        <w:pStyle w:val="67"/>
        <w:spacing w:line="440" w:lineRule="exact"/>
        <w:ind w:firstLine="482" w:firstLineChars="200"/>
        <w:rPr>
          <w:rFonts w:eastAsia="宋体"/>
          <w:b/>
        </w:rPr>
      </w:pPr>
      <w:bookmarkStart w:id="42" w:name="_Toc144974505"/>
      <w:bookmarkStart w:id="43" w:name="_Toc179632554"/>
      <w:bookmarkStart w:id="44" w:name="_Toc325103237"/>
      <w:bookmarkStart w:id="45" w:name="_Toc324362197"/>
      <w:bookmarkStart w:id="46" w:name="_Toc152045537"/>
      <w:bookmarkStart w:id="47" w:name="_Toc324362066"/>
      <w:bookmarkStart w:id="48" w:name="_Toc152042313"/>
      <w:r>
        <w:rPr>
          <w:rFonts w:eastAsia="宋体"/>
          <w:b/>
        </w:rPr>
        <w:t xml:space="preserve">7. </w:t>
      </w:r>
      <w:r>
        <w:rPr>
          <w:rFonts w:hint="eastAsia" w:eastAsia="宋体"/>
          <w:b/>
        </w:rPr>
        <w:t>语言</w:t>
      </w:r>
      <w:bookmarkEnd w:id="42"/>
      <w:r>
        <w:rPr>
          <w:rFonts w:hint="eastAsia" w:eastAsia="宋体"/>
          <w:b/>
        </w:rPr>
        <w:t>文字</w:t>
      </w:r>
      <w:bookmarkEnd w:id="43"/>
      <w:bookmarkEnd w:id="44"/>
      <w:bookmarkEnd w:id="45"/>
      <w:bookmarkEnd w:id="46"/>
      <w:bookmarkEnd w:id="47"/>
      <w:bookmarkEnd w:id="48"/>
    </w:p>
    <w:p>
      <w:pPr>
        <w:spacing w:line="440" w:lineRule="exact"/>
        <w:ind w:firstLine="480" w:firstLineChars="200"/>
        <w:rPr>
          <w:rFonts w:eastAsia="Times New Roman"/>
        </w:rPr>
      </w:pPr>
      <w:r>
        <w:rPr>
          <w:rFonts w:hint="eastAsia" w:ascii="宋体" w:hAnsi="宋体"/>
        </w:rPr>
        <w:t>除专用术语外，与招标投标有关的语言均使用中文。必要时专用术语应附有中文注释。</w:t>
      </w:r>
    </w:p>
    <w:p>
      <w:pPr>
        <w:pStyle w:val="67"/>
        <w:spacing w:line="440" w:lineRule="exact"/>
        <w:ind w:firstLine="482" w:firstLineChars="200"/>
        <w:rPr>
          <w:rFonts w:eastAsia="宋体"/>
          <w:b/>
        </w:rPr>
      </w:pPr>
      <w:bookmarkStart w:id="49" w:name="_Toc325103238"/>
      <w:bookmarkStart w:id="50" w:name="_Toc324362198"/>
      <w:bookmarkStart w:id="51" w:name="_Toc179632555"/>
      <w:bookmarkStart w:id="52" w:name="_Toc152042314"/>
      <w:bookmarkStart w:id="53" w:name="_Toc324362067"/>
      <w:bookmarkStart w:id="54" w:name="_Toc152045538"/>
      <w:bookmarkStart w:id="55" w:name="_Toc144974506"/>
      <w:r>
        <w:rPr>
          <w:rFonts w:eastAsia="宋体"/>
          <w:b/>
        </w:rPr>
        <w:t>8.</w:t>
      </w:r>
      <w:r>
        <w:rPr>
          <w:rFonts w:hint="eastAsia" w:eastAsia="宋体"/>
          <w:b/>
        </w:rPr>
        <w:t>计量单位</w:t>
      </w:r>
      <w:bookmarkEnd w:id="49"/>
      <w:bookmarkEnd w:id="50"/>
      <w:bookmarkEnd w:id="51"/>
      <w:bookmarkEnd w:id="52"/>
      <w:bookmarkEnd w:id="53"/>
      <w:bookmarkEnd w:id="54"/>
      <w:bookmarkEnd w:id="55"/>
    </w:p>
    <w:p>
      <w:pPr>
        <w:spacing w:line="440" w:lineRule="exact"/>
        <w:ind w:firstLine="480" w:firstLineChars="200"/>
        <w:rPr>
          <w:rFonts w:eastAsia="Times New Roman"/>
        </w:rPr>
      </w:pPr>
      <w:r>
        <w:rPr>
          <w:rFonts w:hint="eastAsia" w:ascii="宋体" w:hAnsi="宋体"/>
        </w:rPr>
        <w:t>所有计量均采用中华人民共和国法定计量单位。</w:t>
      </w:r>
    </w:p>
    <w:p>
      <w:pPr>
        <w:pStyle w:val="67"/>
        <w:spacing w:line="440" w:lineRule="exact"/>
        <w:ind w:firstLine="482" w:firstLineChars="200"/>
        <w:rPr>
          <w:rFonts w:eastAsia="宋体"/>
          <w:b/>
        </w:rPr>
      </w:pPr>
      <w:bookmarkStart w:id="56" w:name="_Toc325103240"/>
      <w:bookmarkStart w:id="57" w:name="_Toc324362069"/>
      <w:bookmarkStart w:id="58" w:name="_Toc152045540"/>
      <w:bookmarkStart w:id="59" w:name="_Toc324362200"/>
      <w:bookmarkStart w:id="60" w:name="_Toc179632557"/>
      <w:bookmarkStart w:id="61" w:name="_Toc144974508"/>
      <w:bookmarkStart w:id="62" w:name="_Toc152042316"/>
      <w:r>
        <w:rPr>
          <w:rFonts w:eastAsia="宋体"/>
          <w:b/>
        </w:rPr>
        <w:t xml:space="preserve">9. </w:t>
      </w:r>
      <w:bookmarkEnd w:id="56"/>
      <w:bookmarkEnd w:id="57"/>
      <w:bookmarkEnd w:id="58"/>
      <w:bookmarkEnd w:id="59"/>
      <w:bookmarkEnd w:id="60"/>
      <w:bookmarkEnd w:id="61"/>
      <w:bookmarkEnd w:id="62"/>
      <w:r>
        <w:rPr>
          <w:rFonts w:hint="eastAsia" w:eastAsia="宋体"/>
          <w:b/>
        </w:rPr>
        <w:t>投标答疑</w:t>
      </w:r>
    </w:p>
    <w:p>
      <w:pPr>
        <w:spacing w:line="440" w:lineRule="exact"/>
        <w:ind w:firstLine="480" w:firstLineChars="200"/>
        <w:rPr>
          <w:rFonts w:eastAsia="Times New Roman"/>
        </w:rPr>
      </w:pPr>
      <w:bookmarkStart w:id="63" w:name="_Toc152045541"/>
      <w:bookmarkStart w:id="64" w:name="_Toc325103241"/>
      <w:bookmarkStart w:id="65" w:name="_Toc324362070"/>
      <w:bookmarkStart w:id="66" w:name="_Toc152042317"/>
      <w:bookmarkStart w:id="67" w:name="_Toc324362201"/>
      <w:bookmarkStart w:id="68" w:name="_Toc179632558"/>
      <w:bookmarkStart w:id="69" w:name="_Toc144974509"/>
      <w:r>
        <w:rPr>
          <w:rFonts w:hint="eastAsia" w:ascii="宋体" w:hAnsi="宋体"/>
        </w:rPr>
        <w:t>供应商应在磋商须知前附表规定的时间前，以书面形式将提出的问题送达采购人，采购人在磋商须知前附表规定的时间内，将对供应商所提问题的澄清，以书面方式通知所有购买磋商文件的供应商。</w:t>
      </w:r>
    </w:p>
    <w:bookmarkEnd w:id="63"/>
    <w:bookmarkEnd w:id="64"/>
    <w:bookmarkEnd w:id="65"/>
    <w:bookmarkEnd w:id="66"/>
    <w:bookmarkEnd w:id="67"/>
    <w:bookmarkEnd w:id="68"/>
    <w:bookmarkEnd w:id="69"/>
    <w:p>
      <w:pPr>
        <w:pStyle w:val="18"/>
        <w:kinsoku w:val="0"/>
        <w:overflowPunct w:val="0"/>
        <w:spacing w:before="57" w:line="440" w:lineRule="exact"/>
        <w:rPr>
          <w:rFonts w:eastAsia="Times New Roman"/>
          <w:b/>
        </w:rPr>
      </w:pPr>
      <w:r>
        <w:rPr>
          <w:b/>
        </w:rPr>
        <w:t>10</w:t>
      </w:r>
      <w:r>
        <w:rPr>
          <w:rFonts w:hint="eastAsia"/>
          <w:b/>
        </w:rPr>
        <w:t>、踏勘现场</w:t>
      </w:r>
    </w:p>
    <w:p>
      <w:pPr>
        <w:pStyle w:val="18"/>
        <w:kinsoku w:val="0"/>
        <w:overflowPunct w:val="0"/>
        <w:spacing w:line="440" w:lineRule="exact"/>
        <w:ind w:left="111" w:right="110" w:firstLine="480"/>
        <w:rPr>
          <w:rFonts w:eastAsia="Times New Roman"/>
          <w:spacing w:val="-4"/>
        </w:rPr>
      </w:pPr>
      <w:r>
        <w:t>10.1</w:t>
      </w:r>
      <w:r>
        <w:rPr>
          <w:rFonts w:hint="eastAsia"/>
        </w:rPr>
        <w:t xml:space="preserve"> 各投标供应商应认真踏勘施工现场，了解工程建设地点的地形位置，材料运输储存条件，掌握有关可能影响投标报价的因素和情况，投标人一旦中标后不得以不完全了解现场情况为借口而增加造价和延长工期。</w:t>
      </w:r>
    </w:p>
    <w:p>
      <w:pPr>
        <w:pStyle w:val="18"/>
        <w:kinsoku w:val="0"/>
        <w:overflowPunct w:val="0"/>
        <w:spacing w:before="60" w:line="440" w:lineRule="exact"/>
        <w:ind w:left="111" w:right="110" w:firstLine="480"/>
        <w:rPr>
          <w:rFonts w:eastAsia="Times New Roman"/>
        </w:rPr>
      </w:pPr>
      <w:r>
        <w:t>10.2</w:t>
      </w:r>
      <w:r>
        <w:rPr>
          <w:rFonts w:hint="eastAsia"/>
        </w:rPr>
        <w:t xml:space="preserve"> 采购人向供应商提供的有关现场的数据和资料，是采购人现有的能被供应商利用的资料，采购人对供应商做出的任何推论、理解和结论均不负责任。</w:t>
      </w:r>
    </w:p>
    <w:p>
      <w:pPr>
        <w:pStyle w:val="18"/>
        <w:kinsoku w:val="0"/>
        <w:overflowPunct w:val="0"/>
        <w:spacing w:before="57" w:line="440" w:lineRule="exact"/>
        <w:ind w:left="111" w:right="110" w:firstLine="480"/>
        <w:rPr>
          <w:rFonts w:eastAsia="Times New Roman"/>
          <w:b/>
        </w:rPr>
      </w:pPr>
      <w:r>
        <w:t>10.3</w:t>
      </w:r>
      <w:r>
        <w:rPr>
          <w:rFonts w:hint="eastAsia"/>
        </w:rPr>
        <w:t xml:space="preserve"> 经采购人允许，供应商可为踏勘目的进入采购人的项目现场，但供应商不得因此使采购人承担有关的责任和蒙受损失。供应商应承担踏勘现场的责任和风险。</w:t>
      </w:r>
    </w:p>
    <w:p>
      <w:pPr>
        <w:pStyle w:val="18"/>
        <w:kinsoku w:val="0"/>
        <w:overflowPunct w:val="0"/>
        <w:spacing w:before="178"/>
        <w:ind w:left="0" w:right="59"/>
        <w:jc w:val="center"/>
        <w:rPr>
          <w:rFonts w:eastAsia="Times New Roman"/>
          <w:b/>
        </w:rPr>
      </w:pPr>
    </w:p>
    <w:p>
      <w:pPr>
        <w:pStyle w:val="18"/>
        <w:kinsoku w:val="0"/>
        <w:overflowPunct w:val="0"/>
        <w:spacing w:before="178"/>
        <w:ind w:left="0" w:right="59"/>
        <w:jc w:val="center"/>
        <w:rPr>
          <w:rFonts w:eastAsia="Times New Roman"/>
        </w:rPr>
      </w:pPr>
      <w:r>
        <w:rPr>
          <w:rFonts w:hint="eastAsia"/>
          <w:b/>
        </w:rPr>
        <w:t>（二）磋商文件</w:t>
      </w:r>
    </w:p>
    <w:p>
      <w:pPr>
        <w:pStyle w:val="18"/>
        <w:kinsoku w:val="0"/>
        <w:overflowPunct w:val="0"/>
        <w:spacing w:before="10"/>
        <w:ind w:left="0"/>
        <w:rPr>
          <w:rFonts w:eastAsia="Times New Roman"/>
          <w:b/>
          <w:sz w:val="18"/>
        </w:rPr>
      </w:pPr>
    </w:p>
    <w:p>
      <w:pPr>
        <w:pStyle w:val="18"/>
        <w:kinsoku w:val="0"/>
        <w:overflowPunct w:val="0"/>
        <w:spacing w:line="440" w:lineRule="exact"/>
        <w:rPr>
          <w:rFonts w:eastAsia="Times New Roman"/>
          <w:b/>
        </w:rPr>
      </w:pPr>
      <w:r>
        <w:rPr>
          <w:b/>
        </w:rPr>
        <w:t>11</w:t>
      </w:r>
      <w:r>
        <w:rPr>
          <w:rFonts w:hint="eastAsia"/>
          <w:b/>
        </w:rPr>
        <w:t>、磋商文件的组成</w:t>
      </w:r>
    </w:p>
    <w:p>
      <w:pPr>
        <w:pStyle w:val="18"/>
        <w:kinsoku w:val="0"/>
        <w:overflowPunct w:val="0"/>
        <w:spacing w:line="440" w:lineRule="exact"/>
        <w:ind w:left="590"/>
      </w:pPr>
      <w:r>
        <w:t>11.1</w:t>
      </w:r>
      <w:r>
        <w:rPr>
          <w:rFonts w:hint="eastAsia"/>
        </w:rPr>
        <w:t>竞争性磋商文件用以阐明所需货物、工程或者服务采购程序和商务合同主要条款，包括下列内容：</w:t>
      </w:r>
    </w:p>
    <w:p>
      <w:pPr>
        <w:pStyle w:val="18"/>
        <w:kinsoku w:val="0"/>
        <w:overflowPunct w:val="0"/>
        <w:spacing w:before="60" w:line="440" w:lineRule="exact"/>
        <w:ind w:left="111" w:right="110" w:firstLine="480"/>
        <w:rPr>
          <w:rFonts w:eastAsia="Times New Roman"/>
          <w:color w:val="auto"/>
        </w:rPr>
      </w:pPr>
      <w:r>
        <w:rPr>
          <w:rFonts w:hint="eastAsia"/>
          <w:color w:val="auto"/>
        </w:rPr>
        <w:t>竞争性磋商公告</w:t>
      </w:r>
    </w:p>
    <w:p>
      <w:pPr>
        <w:pStyle w:val="18"/>
        <w:numPr>
          <w:ilvl w:val="0"/>
          <w:numId w:val="2"/>
        </w:numPr>
        <w:kinsoku w:val="0"/>
        <w:overflowPunct w:val="0"/>
        <w:spacing w:before="60" w:line="440" w:lineRule="exact"/>
        <w:ind w:left="111" w:right="110" w:firstLine="480"/>
        <w:rPr>
          <w:color w:val="auto"/>
        </w:rPr>
      </w:pPr>
      <w:r>
        <w:rPr>
          <w:rFonts w:hint="eastAsia"/>
          <w:color w:val="auto"/>
        </w:rPr>
        <w:t>磋商须知前附表及磋商须知</w:t>
      </w:r>
    </w:p>
    <w:p>
      <w:pPr>
        <w:pStyle w:val="18"/>
        <w:numPr>
          <w:ilvl w:val="0"/>
          <w:numId w:val="2"/>
        </w:numPr>
        <w:kinsoku w:val="0"/>
        <w:overflowPunct w:val="0"/>
        <w:spacing w:before="60" w:line="440" w:lineRule="exact"/>
        <w:ind w:left="111" w:right="110" w:firstLine="480"/>
        <w:rPr>
          <w:rFonts w:eastAsia="Times New Roman"/>
          <w:color w:val="auto"/>
        </w:rPr>
      </w:pPr>
      <w:r>
        <w:rPr>
          <w:rFonts w:hint="eastAsia"/>
          <w:color w:val="auto"/>
        </w:rPr>
        <w:t>合同文本格式</w:t>
      </w:r>
    </w:p>
    <w:p>
      <w:pPr>
        <w:pStyle w:val="18"/>
        <w:kinsoku w:val="0"/>
        <w:overflowPunct w:val="0"/>
        <w:spacing w:before="60" w:line="440" w:lineRule="exact"/>
        <w:ind w:right="110"/>
        <w:rPr>
          <w:rFonts w:eastAsia="Times New Roman"/>
          <w:color w:val="auto"/>
        </w:rPr>
      </w:pPr>
      <w:r>
        <w:rPr>
          <w:rFonts w:hint="eastAsia"/>
          <w:color w:val="auto"/>
        </w:rPr>
        <w:t>第</w:t>
      </w:r>
      <w:r>
        <w:rPr>
          <w:rFonts w:hint="eastAsia"/>
          <w:color w:val="auto"/>
          <w:lang w:eastAsia="zh-CN"/>
        </w:rPr>
        <w:t>三</w:t>
      </w:r>
      <w:r>
        <w:rPr>
          <w:rFonts w:hint="eastAsia"/>
          <w:color w:val="auto"/>
        </w:rPr>
        <w:t>章</w:t>
      </w:r>
      <w:r>
        <w:rPr>
          <w:rFonts w:eastAsia="Times New Roman"/>
          <w:color w:val="auto"/>
        </w:rPr>
        <w:tab/>
      </w:r>
      <w:r>
        <w:rPr>
          <w:rFonts w:hint="eastAsia"/>
          <w:color w:val="auto"/>
          <w:lang w:val="en-US" w:eastAsia="zh-CN"/>
        </w:rPr>
        <w:t>技术标准及要求</w:t>
      </w:r>
    </w:p>
    <w:p>
      <w:pPr>
        <w:pStyle w:val="18"/>
        <w:kinsoku w:val="0"/>
        <w:overflowPunct w:val="0"/>
        <w:spacing w:before="60" w:line="440" w:lineRule="exact"/>
        <w:ind w:left="111" w:right="110" w:firstLine="480"/>
        <w:rPr>
          <w:color w:val="auto"/>
        </w:rPr>
      </w:pPr>
      <w:r>
        <w:rPr>
          <w:rFonts w:hint="eastAsia"/>
          <w:color w:val="auto"/>
        </w:rPr>
        <w:t>第</w:t>
      </w:r>
      <w:r>
        <w:rPr>
          <w:rFonts w:hint="eastAsia"/>
          <w:color w:val="auto"/>
          <w:lang w:val="en-US" w:eastAsia="zh-CN"/>
        </w:rPr>
        <w:t>四</w:t>
      </w:r>
      <w:r>
        <w:rPr>
          <w:rFonts w:hint="eastAsia"/>
          <w:color w:val="auto"/>
        </w:rPr>
        <w:t>章 响应文件格式</w:t>
      </w:r>
    </w:p>
    <w:p>
      <w:pPr>
        <w:pStyle w:val="18"/>
        <w:kinsoku w:val="0"/>
        <w:overflowPunct w:val="0"/>
        <w:spacing w:before="60" w:line="440" w:lineRule="exact"/>
        <w:ind w:left="111" w:right="110" w:firstLine="480"/>
        <w:rPr>
          <w:rFonts w:eastAsia="Times New Roman"/>
          <w:color w:val="auto"/>
        </w:rPr>
      </w:pPr>
      <w:r>
        <w:rPr>
          <w:rFonts w:hint="eastAsia"/>
          <w:color w:val="auto"/>
        </w:rPr>
        <w:t>第</w:t>
      </w:r>
      <w:r>
        <w:rPr>
          <w:rFonts w:hint="eastAsia"/>
          <w:color w:val="auto"/>
          <w:lang w:val="en-US" w:eastAsia="zh-CN"/>
        </w:rPr>
        <w:t>五</w:t>
      </w:r>
      <w:r>
        <w:rPr>
          <w:rFonts w:hint="eastAsia"/>
          <w:color w:val="auto"/>
        </w:rPr>
        <w:t>章 评审方法及标准</w:t>
      </w:r>
    </w:p>
    <w:p>
      <w:pPr>
        <w:pStyle w:val="18"/>
        <w:kinsoku w:val="0"/>
        <w:overflowPunct w:val="0"/>
        <w:spacing w:before="57" w:line="440" w:lineRule="exact"/>
        <w:ind w:left="0" w:firstLine="600" w:firstLineChars="250"/>
      </w:pPr>
      <w:r>
        <w:rPr>
          <w:rFonts w:hint="eastAsia"/>
        </w:rPr>
        <w:t>供应商应详细阅读采购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pPr>
        <w:pStyle w:val="18"/>
        <w:kinsoku w:val="0"/>
        <w:overflowPunct w:val="0"/>
        <w:spacing w:line="440" w:lineRule="exact"/>
        <w:ind w:right="112"/>
        <w:jc w:val="both"/>
        <w:rPr>
          <w:b/>
        </w:rPr>
      </w:pPr>
      <w:r>
        <w:rPr>
          <w:b/>
        </w:rPr>
        <w:t>12</w:t>
      </w:r>
      <w:r>
        <w:rPr>
          <w:rFonts w:hint="eastAsia"/>
          <w:b/>
        </w:rPr>
        <w:t>、磋商文件的澄清</w:t>
      </w:r>
    </w:p>
    <w:p>
      <w:pPr>
        <w:spacing w:line="360" w:lineRule="auto"/>
        <w:ind w:firstLine="600" w:firstLineChars="250"/>
        <w:rPr>
          <w:rFonts w:ascii="宋体" w:hAnsi="宋体"/>
        </w:rPr>
      </w:pPr>
      <w:r>
        <w:rPr>
          <w:rFonts w:ascii="宋体" w:hAnsi="宋体"/>
        </w:rPr>
        <w:t xml:space="preserve">12.1  </w:t>
      </w:r>
      <w:r>
        <w:rPr>
          <w:rFonts w:hint="eastAsia" w:ascii="宋体" w:hAnsi="宋体"/>
        </w:rPr>
        <w:t>在首次提交响应文件截止时间前，采购代理机构可以对采购文件进行澄清或者修改，</w:t>
      </w:r>
      <w:r>
        <w:rPr>
          <w:rFonts w:hint="eastAsia" w:ascii="宋体" w:hAnsi="宋体" w:cs="宋体"/>
          <w:szCs w:val="21"/>
        </w:rPr>
        <w:t>招标方将视情况确定采用适当方式予以澄清或以书面形式予以答复。</w:t>
      </w:r>
      <w:r>
        <w:rPr>
          <w:rFonts w:hint="eastAsia" w:ascii="宋体" w:hAnsi="宋体"/>
        </w:rPr>
        <w:t>澄清或者修改的内容作为采购文件的组成部分。澄清或者修改的内容可能影响响应文件编制的，将按国家法律规定顺延提交首次响应文件截止时间。</w:t>
      </w:r>
    </w:p>
    <w:p>
      <w:pPr>
        <w:pStyle w:val="18"/>
        <w:kinsoku w:val="0"/>
        <w:overflowPunct w:val="0"/>
        <w:spacing w:before="57" w:line="440" w:lineRule="exact"/>
        <w:ind w:left="0" w:firstLine="600" w:firstLineChars="250"/>
      </w:pPr>
      <w:r>
        <w:t>12.</w:t>
      </w:r>
      <w:r>
        <w:rPr>
          <w:rFonts w:hint="eastAsia"/>
        </w:rPr>
        <w:t>2</w:t>
      </w:r>
      <w:r>
        <w:t xml:space="preserve"> </w:t>
      </w:r>
      <w:r>
        <w:rPr>
          <w:rFonts w:hint="eastAsia"/>
        </w:rPr>
        <w:t>供应商在规定的时间内未对采购文件澄清或提出疑问的，采购代理机构将视其为同意。</w:t>
      </w:r>
    </w:p>
    <w:p>
      <w:pPr>
        <w:pStyle w:val="7"/>
        <w:kinsoku w:val="0"/>
        <w:overflowPunct w:val="0"/>
        <w:spacing w:before="57" w:line="440" w:lineRule="exact"/>
        <w:rPr>
          <w:rFonts w:eastAsia="Times New Roman"/>
        </w:rPr>
      </w:pPr>
      <w:r>
        <w:t>13</w:t>
      </w:r>
      <w:r>
        <w:rPr>
          <w:rFonts w:hint="eastAsia"/>
        </w:rPr>
        <w:t>、磋商文件的修改或补充</w:t>
      </w:r>
    </w:p>
    <w:p>
      <w:pPr>
        <w:pStyle w:val="18"/>
        <w:kinsoku w:val="0"/>
        <w:overflowPunct w:val="0"/>
        <w:spacing w:line="440" w:lineRule="exact"/>
        <w:ind w:left="111" w:right="110" w:firstLine="480"/>
        <w:rPr>
          <w:rFonts w:eastAsia="Times New Roman"/>
        </w:rPr>
      </w:pPr>
      <w:r>
        <w:t>13.1</w:t>
      </w:r>
      <w:r>
        <w:rPr>
          <w:rFonts w:hint="eastAsia"/>
        </w:rPr>
        <w:t xml:space="preserve"> 磋商文件发出后</w:t>
      </w:r>
      <w:r>
        <w:rPr>
          <w:rFonts w:hint="eastAsia"/>
          <w:spacing w:val="-60"/>
        </w:rPr>
        <w:t>，</w:t>
      </w:r>
      <w:r>
        <w:rPr>
          <w:rFonts w:hint="eastAsia"/>
        </w:rPr>
        <w:t>在提交响应文件截止时间</w:t>
      </w:r>
      <w:r>
        <w:t>5</w:t>
      </w:r>
      <w:r>
        <w:rPr>
          <w:rFonts w:hint="eastAsia"/>
        </w:rPr>
        <w:t>日前</w:t>
      </w:r>
      <w:r>
        <w:rPr>
          <w:rFonts w:hint="eastAsia"/>
          <w:spacing w:val="-60"/>
        </w:rPr>
        <w:t>，</w:t>
      </w:r>
      <w:r>
        <w:rPr>
          <w:rFonts w:hint="eastAsia"/>
        </w:rPr>
        <w:t>采购人可对磋商文件进行必要的澄清或修改。</w:t>
      </w:r>
    </w:p>
    <w:p>
      <w:pPr>
        <w:pStyle w:val="18"/>
        <w:kinsoku w:val="0"/>
        <w:overflowPunct w:val="0"/>
        <w:spacing w:line="440" w:lineRule="exact"/>
        <w:ind w:left="111" w:right="110" w:firstLine="480"/>
      </w:pPr>
      <w:r>
        <w:t>13.2</w:t>
      </w:r>
      <w:r>
        <w:rPr>
          <w:rFonts w:hint="eastAsia"/>
        </w:rPr>
        <w:t xml:space="preserve"> 磋商文件的修改将以书面形式通知所有竞争磋商文件收受人，并在财政部门指定的政府采购信息发布媒体上发布更正公告。磋商文件的修改内容作为磋商文件的组成部分，具有约束作用。</w:t>
      </w:r>
    </w:p>
    <w:p>
      <w:pPr>
        <w:pStyle w:val="18"/>
        <w:kinsoku w:val="0"/>
        <w:overflowPunct w:val="0"/>
        <w:spacing w:line="440" w:lineRule="exact"/>
        <w:ind w:left="111" w:right="110" w:firstLine="480"/>
        <w:rPr>
          <w:rFonts w:eastAsia="Times New Roman"/>
        </w:rPr>
      </w:pPr>
      <w:r>
        <w:t>13.3</w:t>
      </w:r>
      <w:r>
        <w:rPr>
          <w:rFonts w:hint="eastAsia"/>
        </w:rPr>
        <w:t>磋商文件的澄清、修改、补充等内容均以书面形式明确的内容为准。当磋商</w:t>
      </w:r>
      <w:r>
        <w:rPr>
          <w:rFonts w:hint="eastAsia"/>
          <w:spacing w:val="-2"/>
        </w:rPr>
        <w:t>文件、磋商文件的澄清、修改、补充等在同一内容的表述上不一致时，以最后发出的</w:t>
      </w:r>
      <w:r>
        <w:rPr>
          <w:rFonts w:hint="eastAsia"/>
        </w:rPr>
        <w:t>书面文件为准。</w:t>
      </w:r>
    </w:p>
    <w:p>
      <w:pPr>
        <w:pStyle w:val="18"/>
        <w:kinsoku w:val="0"/>
        <w:overflowPunct w:val="0"/>
        <w:spacing w:before="57" w:line="440" w:lineRule="exact"/>
        <w:ind w:left="111" w:right="232" w:firstLine="480"/>
        <w:jc w:val="both"/>
      </w:pPr>
      <w:r>
        <w:t>13.4</w:t>
      </w:r>
      <w:r>
        <w:rPr>
          <w:rFonts w:hint="eastAsia"/>
        </w:rPr>
        <w:t>为使供应商在编制响应文件时有充分时间对磋商文件的澄清</w:t>
      </w:r>
      <w:r>
        <w:rPr>
          <w:rFonts w:hint="eastAsia"/>
          <w:spacing w:val="-60"/>
        </w:rPr>
        <w:t>、</w:t>
      </w:r>
      <w:r>
        <w:rPr>
          <w:rFonts w:hint="eastAsia"/>
        </w:rPr>
        <w:t>修改</w:t>
      </w:r>
      <w:r>
        <w:rPr>
          <w:rFonts w:hint="eastAsia"/>
          <w:spacing w:val="-60"/>
        </w:rPr>
        <w:t>、</w:t>
      </w:r>
      <w:r>
        <w:rPr>
          <w:rFonts w:hint="eastAsia"/>
        </w:rPr>
        <w:t>补充等内容进行研究</w:t>
      </w:r>
      <w:r>
        <w:rPr>
          <w:rFonts w:hint="eastAsia"/>
          <w:spacing w:val="-32"/>
        </w:rPr>
        <w:t>，</w:t>
      </w:r>
      <w:r>
        <w:rPr>
          <w:rFonts w:hint="eastAsia"/>
        </w:rPr>
        <w:t>采购人将酌情延长提交响应文件的截止时</w:t>
      </w:r>
      <w:r>
        <w:rPr>
          <w:rFonts w:hint="eastAsia"/>
          <w:spacing w:val="2"/>
        </w:rPr>
        <w:t>间</w:t>
      </w:r>
      <w:r>
        <w:rPr>
          <w:rFonts w:hint="eastAsia"/>
          <w:spacing w:val="-32"/>
        </w:rPr>
        <w:t>，</w:t>
      </w:r>
      <w:r>
        <w:rPr>
          <w:rFonts w:hint="eastAsia"/>
        </w:rPr>
        <w:t>具体时间将在磋商文件的修改、补充通知中予以明确。</w:t>
      </w:r>
    </w:p>
    <w:p>
      <w:pPr>
        <w:pStyle w:val="7"/>
        <w:kinsoku w:val="0"/>
        <w:overflowPunct w:val="0"/>
        <w:spacing w:before="57" w:line="440" w:lineRule="exact"/>
      </w:pPr>
      <w:r>
        <w:rPr>
          <w:rFonts w:hint="eastAsia"/>
        </w:rPr>
        <w:t>14、本项目招标文件最终解释权归招标人所有。</w:t>
      </w:r>
    </w:p>
    <w:p>
      <w:pPr>
        <w:pStyle w:val="7"/>
        <w:kinsoku w:val="0"/>
        <w:overflowPunct w:val="0"/>
        <w:spacing w:before="57" w:line="440" w:lineRule="exact"/>
      </w:pPr>
      <w:r>
        <w:rPr>
          <w:rFonts w:hint="eastAsia"/>
        </w:rPr>
        <w:t>15、廉洁自律承诺要求</w:t>
      </w:r>
    </w:p>
    <w:p>
      <w:pPr>
        <w:pStyle w:val="18"/>
        <w:kinsoku w:val="0"/>
        <w:overflowPunct w:val="0"/>
        <w:spacing w:before="57" w:line="440" w:lineRule="exact"/>
        <w:ind w:left="111" w:right="232" w:firstLine="480"/>
        <w:jc w:val="both"/>
      </w:pPr>
      <w:r>
        <w:rPr>
          <w:rFonts w:hint="eastAsia"/>
        </w:rPr>
        <w:t>按照财政厅颁发《政府采购预防职务违法违纪工作规程》的要求，在本次招标活动中，招标方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要求参加本次项目的采购单位、评标专家要填写《廉洁自律承诺书》，所有投标单位（供应商）必须要填写反商业贿赂承诺书（不填视为无效投标处理），并在评标结束后，将签订的《廉洁自律承诺书》和《反商业贿赂承诺书》报本项目政府采购监督管理办公室备案。</w:t>
      </w:r>
    </w:p>
    <w:p>
      <w:pPr>
        <w:pStyle w:val="18"/>
        <w:kinsoku w:val="0"/>
        <w:overflowPunct w:val="0"/>
        <w:ind w:left="0"/>
        <w:rPr>
          <w:rFonts w:eastAsia="Times New Roman"/>
        </w:rPr>
      </w:pPr>
    </w:p>
    <w:p>
      <w:pPr>
        <w:pStyle w:val="7"/>
        <w:numPr>
          <w:ilvl w:val="0"/>
          <w:numId w:val="3"/>
        </w:numPr>
        <w:kinsoku w:val="0"/>
        <w:overflowPunct w:val="0"/>
        <w:spacing w:before="0" w:line="429" w:lineRule="auto"/>
        <w:ind w:right="110"/>
        <w:jc w:val="center"/>
        <w:rPr>
          <w:rFonts w:eastAsia="Times New Roman"/>
          <w:spacing w:val="28"/>
          <w:w w:val="99"/>
        </w:rPr>
      </w:pPr>
      <w:r>
        <w:rPr>
          <w:rFonts w:hint="eastAsia"/>
          <w:w w:val="95"/>
        </w:rPr>
        <w:t>响应文件的编制</w:t>
      </w:r>
    </w:p>
    <w:p>
      <w:pPr>
        <w:spacing w:line="560" w:lineRule="exact"/>
        <w:ind w:firstLine="480" w:firstLineChars="200"/>
        <w:outlineLvl w:val="0"/>
        <w:rPr>
          <w:rFonts w:ascii="宋体" w:hAnsi="宋体" w:cs="宋体"/>
          <w:b/>
          <w:szCs w:val="21"/>
        </w:rPr>
      </w:pPr>
      <w:r>
        <w:rPr>
          <w:rFonts w:hint="eastAsia"/>
        </w:rPr>
        <w:t>16、</w:t>
      </w:r>
      <w:r>
        <w:rPr>
          <w:rFonts w:hint="eastAsia" w:ascii="宋体" w:hAnsi="宋体" w:cs="宋体"/>
          <w:b/>
          <w:szCs w:val="21"/>
        </w:rPr>
        <w:t>要求</w:t>
      </w:r>
    </w:p>
    <w:p>
      <w:pPr>
        <w:spacing w:line="560" w:lineRule="exact"/>
        <w:ind w:firstLine="480" w:firstLineChars="200"/>
      </w:pPr>
      <w:r>
        <w:rPr>
          <w:rFonts w:hint="eastAsia" w:ascii="宋体" w:hAnsi="宋体" w:cs="宋体"/>
          <w:szCs w:val="21"/>
        </w:rPr>
        <w:t>16.1 供应商应详细阅读磋商文件中的条款、规范、表示、条件和格式等所有内容，按磋商文件要求的份数提供响应文件，并保证所提供全部材料的真实性，以使其投标对磋商文件做出实质性响应。否则，其投标可能被拒绝。</w:t>
      </w:r>
    </w:p>
    <w:p>
      <w:pPr>
        <w:pStyle w:val="7"/>
        <w:kinsoku w:val="0"/>
        <w:overflowPunct w:val="0"/>
        <w:spacing w:before="0" w:line="440" w:lineRule="exact"/>
        <w:ind w:left="0" w:right="110" w:firstLine="482" w:firstLineChars="200"/>
        <w:rPr>
          <w:rFonts w:eastAsia="Times New Roman"/>
          <w:b w:val="0"/>
        </w:rPr>
      </w:pPr>
      <w:r>
        <w:rPr>
          <w:rFonts w:hint="eastAsia"/>
        </w:rPr>
        <w:t>17、响应文件的语言及度量衡单位</w:t>
      </w:r>
    </w:p>
    <w:p>
      <w:pPr>
        <w:pStyle w:val="18"/>
        <w:kinsoku w:val="0"/>
        <w:overflowPunct w:val="0"/>
        <w:spacing w:before="56" w:line="440" w:lineRule="exact"/>
        <w:rPr>
          <w:rFonts w:eastAsia="Times New Roman"/>
        </w:rPr>
      </w:pPr>
      <w:r>
        <w:t>1</w:t>
      </w:r>
      <w:r>
        <w:rPr>
          <w:rFonts w:hint="eastAsia"/>
        </w:rPr>
        <w:t>7</w:t>
      </w:r>
      <w:r>
        <w:t>.1</w:t>
      </w:r>
      <w:r>
        <w:rPr>
          <w:rFonts w:hint="eastAsia"/>
          <w:spacing w:val="-1"/>
        </w:rPr>
        <w:t>响应文件和与磋商有关的所有文件均应使用</w:t>
      </w:r>
      <w:r>
        <w:rPr>
          <w:rFonts w:hint="eastAsia"/>
          <w:u w:val="single"/>
        </w:rPr>
        <w:t>中文</w:t>
      </w:r>
      <w:r>
        <w:rPr>
          <w:rFonts w:hint="eastAsia"/>
        </w:rPr>
        <w:t>。</w:t>
      </w:r>
    </w:p>
    <w:p>
      <w:pPr>
        <w:pStyle w:val="18"/>
        <w:kinsoku w:val="0"/>
        <w:overflowPunct w:val="0"/>
        <w:spacing w:line="440" w:lineRule="exact"/>
        <w:rPr>
          <w:rFonts w:eastAsia="Times New Roman"/>
        </w:rPr>
      </w:pPr>
      <w:r>
        <w:t>1</w:t>
      </w:r>
      <w:r>
        <w:rPr>
          <w:rFonts w:hint="eastAsia"/>
        </w:rPr>
        <w:t>7</w:t>
      </w:r>
      <w:r>
        <w:t>.2</w:t>
      </w:r>
      <w:r>
        <w:rPr>
          <w:rFonts w:hint="eastAsia"/>
        </w:rPr>
        <w:t>除工程规范另有规定外</w:t>
      </w:r>
      <w:r>
        <w:rPr>
          <w:rFonts w:hint="eastAsia"/>
          <w:spacing w:val="-60"/>
        </w:rPr>
        <w:t>，</w:t>
      </w:r>
      <w:r>
        <w:rPr>
          <w:rFonts w:hint="eastAsia"/>
        </w:rPr>
        <w:t>响应文件使用的度量衡单位</w:t>
      </w:r>
      <w:r>
        <w:rPr>
          <w:rFonts w:hint="eastAsia"/>
          <w:spacing w:val="-60"/>
        </w:rPr>
        <w:t>，</w:t>
      </w:r>
      <w:r>
        <w:rPr>
          <w:rFonts w:hint="eastAsia"/>
        </w:rPr>
        <w:t>均采用中华人民共和</w:t>
      </w:r>
    </w:p>
    <w:p>
      <w:pPr>
        <w:pStyle w:val="18"/>
        <w:kinsoku w:val="0"/>
        <w:overflowPunct w:val="0"/>
        <w:spacing w:before="26" w:line="440" w:lineRule="exact"/>
        <w:ind w:right="5091" w:hanging="480"/>
      </w:pPr>
      <w:r>
        <w:rPr>
          <w:rFonts w:hint="eastAsia"/>
        </w:rPr>
        <w:t>国法定计量单位。</w:t>
      </w:r>
    </w:p>
    <w:p>
      <w:pPr>
        <w:pStyle w:val="18"/>
        <w:kinsoku w:val="0"/>
        <w:overflowPunct w:val="0"/>
        <w:spacing w:before="26" w:line="440" w:lineRule="exact"/>
        <w:ind w:left="590" w:leftChars="246" w:right="5091"/>
        <w:rPr>
          <w:b/>
          <w:w w:val="95"/>
        </w:rPr>
      </w:pPr>
      <w:r>
        <w:rPr>
          <w:b/>
          <w:w w:val="95"/>
        </w:rPr>
        <w:t>1</w:t>
      </w:r>
      <w:r>
        <w:rPr>
          <w:rFonts w:hint="eastAsia"/>
          <w:b/>
          <w:w w:val="95"/>
        </w:rPr>
        <w:t>8、响应文件的编制</w:t>
      </w:r>
    </w:p>
    <w:p>
      <w:pPr>
        <w:pStyle w:val="18"/>
        <w:kinsoku w:val="0"/>
        <w:overflowPunct w:val="0"/>
        <w:spacing w:line="440" w:lineRule="exact"/>
      </w:pPr>
      <w:r>
        <w:rPr>
          <w:rFonts w:hint="eastAsia"/>
        </w:rPr>
        <w:t>供应商投标时须提供加密的电子响应文件，按政采云平台供应商项目采购</w:t>
      </w:r>
      <w:r>
        <w:t>-</w:t>
      </w:r>
      <w:r>
        <w:rPr>
          <w:rFonts w:hint="eastAsia"/>
        </w:rPr>
        <w:t>电子招</w:t>
      </w:r>
    </w:p>
    <w:p>
      <w:pPr>
        <w:pStyle w:val="18"/>
        <w:kinsoku w:val="0"/>
        <w:overflowPunct w:val="0"/>
        <w:spacing w:line="440" w:lineRule="exact"/>
        <w:ind w:left="0"/>
      </w:pPr>
      <w:r>
        <w:rPr>
          <w:rFonts w:hint="eastAsia"/>
        </w:rPr>
        <w:t>投标操作指南</w:t>
      </w:r>
      <w:r>
        <w:t>(www.zcygov.cn)</w:t>
      </w:r>
      <w:r>
        <w:rPr>
          <w:rFonts w:hint="eastAsia"/>
        </w:rPr>
        <w:t>及本磋商文件要求编制、提交。</w:t>
      </w:r>
    </w:p>
    <w:p>
      <w:pPr>
        <w:pStyle w:val="7"/>
        <w:kinsoku w:val="0"/>
        <w:overflowPunct w:val="0"/>
        <w:spacing w:before="57" w:line="440" w:lineRule="exact"/>
        <w:rPr>
          <w:rFonts w:eastAsia="Times New Roman"/>
          <w:b w:val="0"/>
          <w:bCs/>
          <w:color w:val="auto"/>
          <w:spacing w:val="2"/>
          <w:w w:val="95"/>
        </w:rPr>
      </w:pPr>
      <w:r>
        <w:rPr>
          <w:b w:val="0"/>
          <w:bCs/>
          <w:color w:val="auto"/>
          <w:w w:val="95"/>
        </w:rPr>
        <w:t>1</w:t>
      </w:r>
      <w:r>
        <w:rPr>
          <w:rFonts w:hint="eastAsia"/>
          <w:b w:val="0"/>
          <w:bCs/>
          <w:color w:val="auto"/>
          <w:w w:val="95"/>
        </w:rPr>
        <w:t>8</w:t>
      </w:r>
      <w:r>
        <w:rPr>
          <w:b w:val="0"/>
          <w:bCs/>
          <w:color w:val="auto"/>
          <w:w w:val="95"/>
        </w:rPr>
        <w:t xml:space="preserve">.1 </w:t>
      </w:r>
      <w:r>
        <w:rPr>
          <w:rFonts w:hint="eastAsia"/>
          <w:b w:val="0"/>
          <w:bCs/>
          <w:color w:val="auto"/>
          <w:spacing w:val="2"/>
          <w:w w:val="95"/>
        </w:rPr>
        <w:t>响应文件的组成</w:t>
      </w:r>
    </w:p>
    <w:p>
      <w:pPr>
        <w:pStyle w:val="18"/>
        <w:widowControl w:val="0"/>
        <w:numPr>
          <w:ilvl w:val="0"/>
          <w:numId w:val="0"/>
        </w:numPr>
        <w:kinsoku w:val="0"/>
        <w:wordWrap/>
        <w:overflowPunct w:val="0"/>
        <w:autoSpaceDE w:val="0"/>
        <w:autoSpaceDN w:val="0"/>
        <w:adjustRightInd w:val="0"/>
        <w:snapToGrid/>
        <w:spacing w:before="57" w:line="440" w:lineRule="exact"/>
        <w:ind w:left="591" w:leftChars="0" w:right="232"/>
        <w:jc w:val="both"/>
        <w:textAlignment w:val="auto"/>
        <w:rPr>
          <w:rFonts w:hint="eastAsia"/>
          <w:b/>
          <w:bCs/>
          <w:color w:val="auto"/>
        </w:rPr>
      </w:pPr>
      <w:r>
        <w:rPr>
          <w:rFonts w:hint="eastAsia"/>
          <w:b/>
          <w:bCs/>
          <w:color w:val="auto"/>
          <w:lang w:eastAsia="zh-CN"/>
        </w:rPr>
        <w:t>一、</w:t>
      </w:r>
      <w:r>
        <w:rPr>
          <w:rFonts w:hint="eastAsia"/>
          <w:b/>
          <w:bCs/>
          <w:color w:val="auto"/>
        </w:rPr>
        <w:t>投标函及投标函附录；</w:t>
      </w:r>
    </w:p>
    <w:p>
      <w:pPr>
        <w:pStyle w:val="18"/>
        <w:widowControl w:val="0"/>
        <w:numPr>
          <w:ilvl w:val="0"/>
          <w:numId w:val="0"/>
        </w:numPr>
        <w:kinsoku w:val="0"/>
        <w:wordWrap/>
        <w:overflowPunct w:val="0"/>
        <w:autoSpaceDE w:val="0"/>
        <w:autoSpaceDN w:val="0"/>
        <w:adjustRightInd w:val="0"/>
        <w:snapToGrid/>
        <w:spacing w:before="57" w:line="440" w:lineRule="exact"/>
        <w:ind w:left="591" w:leftChars="0" w:right="232"/>
        <w:jc w:val="both"/>
        <w:textAlignment w:val="auto"/>
        <w:rPr>
          <w:rFonts w:eastAsia="Times New Roman"/>
          <w:b/>
          <w:bCs/>
          <w:color w:val="auto"/>
        </w:rPr>
      </w:pPr>
      <w:r>
        <w:rPr>
          <w:rFonts w:hint="eastAsia"/>
          <w:b/>
          <w:bCs/>
          <w:color w:val="auto"/>
        </w:rPr>
        <w:t>二、法定代表人身份证明书或法定代表人授权委托书；</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b/>
          <w:bCs/>
          <w:color w:val="auto"/>
        </w:rPr>
      </w:pPr>
      <w:r>
        <w:rPr>
          <w:rFonts w:hint="eastAsia"/>
          <w:b/>
          <w:bCs/>
          <w:color w:val="auto"/>
        </w:rPr>
        <w:t>三、投标报价</w:t>
      </w:r>
      <w:r>
        <w:rPr>
          <w:rFonts w:hint="eastAsia"/>
          <w:b/>
          <w:bCs/>
          <w:color w:val="auto"/>
          <w:lang w:eastAsia="zh-CN"/>
        </w:rPr>
        <w:t>明细</w:t>
      </w:r>
      <w:r>
        <w:rPr>
          <w:rFonts w:hint="eastAsia"/>
          <w:b/>
          <w:bCs/>
          <w:color w:val="auto"/>
        </w:rPr>
        <w:t>表；</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b/>
          <w:bCs/>
          <w:color w:val="auto"/>
        </w:rPr>
      </w:pPr>
      <w:r>
        <w:rPr>
          <w:rFonts w:hint="eastAsia"/>
          <w:b/>
          <w:bCs/>
          <w:color w:val="auto"/>
        </w:rPr>
        <w:t>四、最终报价单；</w:t>
      </w:r>
    </w:p>
    <w:p>
      <w:pPr>
        <w:pStyle w:val="18"/>
        <w:widowControl w:val="0"/>
        <w:kinsoku w:val="0"/>
        <w:wordWrap/>
        <w:overflowPunct w:val="0"/>
        <w:autoSpaceDE w:val="0"/>
        <w:autoSpaceDN w:val="0"/>
        <w:adjustRightInd w:val="0"/>
        <w:snapToGrid/>
        <w:spacing w:before="57" w:line="440" w:lineRule="exact"/>
        <w:ind w:left="0" w:right="232" w:firstLine="602" w:firstLineChars="250"/>
        <w:jc w:val="both"/>
        <w:textAlignment w:val="auto"/>
        <w:rPr>
          <w:rFonts w:eastAsia="Times New Roman"/>
          <w:b/>
          <w:bCs/>
          <w:color w:val="auto"/>
        </w:rPr>
      </w:pPr>
      <w:r>
        <w:rPr>
          <w:rFonts w:hint="eastAsia"/>
          <w:b/>
          <w:bCs/>
          <w:color w:val="auto"/>
          <w:lang w:val="en-US" w:eastAsia="zh-CN"/>
        </w:rPr>
        <w:t>五</w:t>
      </w:r>
      <w:r>
        <w:rPr>
          <w:rFonts w:hint="eastAsia"/>
          <w:b/>
          <w:bCs/>
          <w:color w:val="auto"/>
        </w:rPr>
        <w:t>、供应商概况；</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b/>
          <w:bCs/>
          <w:color w:val="auto"/>
        </w:rPr>
      </w:pPr>
      <w:r>
        <w:rPr>
          <w:rFonts w:hint="eastAsia"/>
          <w:b/>
          <w:bCs/>
          <w:color w:val="auto"/>
          <w:lang w:val="en-US" w:eastAsia="zh-CN"/>
        </w:rPr>
        <w:t>六</w:t>
      </w:r>
      <w:r>
        <w:rPr>
          <w:rFonts w:hint="eastAsia"/>
          <w:b/>
          <w:bCs/>
          <w:color w:val="auto"/>
        </w:rPr>
        <w:t>、</w:t>
      </w:r>
      <w:r>
        <w:rPr>
          <w:rFonts w:hint="eastAsia" w:cs="宋体"/>
          <w:b/>
          <w:bCs/>
          <w:color w:val="auto"/>
          <w:szCs w:val="21"/>
        </w:rPr>
        <w:t>近三年类似项目业绩表（2019年</w:t>
      </w:r>
      <w:r>
        <w:rPr>
          <w:rFonts w:hint="eastAsia" w:cs="宋体"/>
          <w:b/>
          <w:bCs/>
          <w:color w:val="auto"/>
          <w:szCs w:val="21"/>
          <w:lang w:val="en-US" w:eastAsia="zh-CN"/>
        </w:rPr>
        <w:t>7</w:t>
      </w:r>
      <w:r>
        <w:rPr>
          <w:rFonts w:hint="eastAsia" w:cs="宋体"/>
          <w:b/>
          <w:bCs/>
          <w:color w:val="auto"/>
          <w:szCs w:val="21"/>
        </w:rPr>
        <w:t>月-至今）</w:t>
      </w:r>
      <w:r>
        <w:rPr>
          <w:rFonts w:hint="eastAsia"/>
          <w:b/>
          <w:bCs/>
          <w:color w:val="auto"/>
        </w:rPr>
        <w:t>；</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b/>
          <w:bCs/>
          <w:color w:val="auto"/>
        </w:rPr>
      </w:pPr>
      <w:r>
        <w:rPr>
          <w:rFonts w:hint="eastAsia"/>
          <w:b/>
          <w:bCs/>
          <w:color w:val="auto"/>
          <w:lang w:val="en-US" w:eastAsia="zh-CN"/>
        </w:rPr>
        <w:t>七</w:t>
      </w:r>
      <w:r>
        <w:rPr>
          <w:rFonts w:hint="eastAsia"/>
          <w:b/>
          <w:bCs/>
          <w:color w:val="auto"/>
        </w:rPr>
        <w:t>、项目负责人简历；</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b/>
          <w:bCs/>
          <w:color w:val="auto"/>
          <w:lang w:val="en-US" w:eastAsia="zh-CN"/>
        </w:rPr>
      </w:pPr>
      <w:r>
        <w:rPr>
          <w:rFonts w:hint="eastAsia"/>
          <w:b/>
          <w:bCs/>
          <w:color w:val="auto"/>
          <w:lang w:val="en-US" w:eastAsia="zh-CN"/>
        </w:rPr>
        <w:t>八</w:t>
      </w:r>
      <w:r>
        <w:rPr>
          <w:rFonts w:hint="eastAsia"/>
          <w:b/>
          <w:bCs/>
          <w:color w:val="auto"/>
        </w:rPr>
        <w:t>、</w:t>
      </w:r>
      <w:r>
        <w:rPr>
          <w:rFonts w:hint="eastAsia"/>
          <w:b/>
          <w:bCs/>
          <w:color w:val="auto"/>
          <w:lang w:val="en-US" w:eastAsia="zh-CN"/>
        </w:rPr>
        <w:t>项目管理机构配备情况表；</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九、技术方案；</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十、资格证明文件；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b/>
          <w:bCs/>
          <w:color w:val="auto"/>
        </w:rPr>
      </w:pPr>
      <w:r>
        <w:rPr>
          <w:rFonts w:hint="eastAsia" w:ascii="宋体" w:hAnsi="宋体" w:eastAsia="宋体" w:cs="宋体"/>
          <w:b/>
          <w:bCs/>
          <w:color w:val="auto"/>
          <w:szCs w:val="21"/>
          <w:lang w:val="en-US" w:eastAsia="zh-CN"/>
        </w:rPr>
        <w:t>1.投标供应商企业法人营业执</w:t>
      </w:r>
      <w:r>
        <w:rPr>
          <w:rFonts w:hint="eastAsia" w:ascii="宋体" w:hAnsi="宋体" w:eastAsia="宋体" w:cs="Times New Roman"/>
          <w:b/>
          <w:bCs/>
          <w:color w:val="auto"/>
        </w:rPr>
        <w:t>照（须有二维码）、《基本账户开户许可证》原件的扫描件；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b/>
          <w:bCs/>
          <w:color w:val="auto"/>
          <w:lang w:val="en-US" w:eastAsia="zh-CN"/>
        </w:rPr>
      </w:pPr>
      <w:r>
        <w:rPr>
          <w:rFonts w:hint="eastAsia" w:cs="Times New Roman"/>
          <w:b/>
          <w:bCs/>
          <w:color w:val="auto"/>
          <w:lang w:val="en-US" w:eastAsia="zh-CN"/>
        </w:rPr>
        <w:t>2</w:t>
      </w:r>
      <w:r>
        <w:rPr>
          <w:rFonts w:hint="eastAsia" w:ascii="宋体" w:hAnsi="宋体" w:eastAsia="宋体" w:cs="Times New Roman"/>
          <w:b/>
          <w:bCs/>
          <w:color w:val="auto"/>
        </w:rPr>
        <w:t>.</w:t>
      </w:r>
      <w:r>
        <w:rPr>
          <w:rFonts w:hint="eastAsia" w:cs="Times New Roman"/>
          <w:b/>
          <w:bCs/>
          <w:color w:val="auto"/>
          <w:lang w:eastAsia="zh-CN"/>
        </w:rPr>
        <w:t>企业资质证书、</w:t>
      </w:r>
      <w:r>
        <w:rPr>
          <w:rFonts w:hint="eastAsia" w:ascii="宋体" w:hAnsi="宋体" w:eastAsia="宋体" w:cs="Times New Roman"/>
          <w:b/>
          <w:bCs/>
          <w:color w:val="auto"/>
          <w:lang w:val="en-US" w:eastAsia="zh-CN"/>
        </w:rPr>
        <w:t>安全生产许可证</w:t>
      </w:r>
      <w:r>
        <w:rPr>
          <w:rFonts w:hint="eastAsia" w:cs="Times New Roman"/>
          <w:b/>
          <w:bCs/>
          <w:color w:val="auto"/>
          <w:lang w:val="en-US" w:eastAsia="zh-CN"/>
        </w:rPr>
        <w:t>、</w:t>
      </w:r>
      <w:r>
        <w:rPr>
          <w:rFonts w:hint="eastAsia" w:ascii="宋体" w:hAnsi="宋体" w:eastAsia="宋体" w:cs="Times New Roman"/>
          <w:b/>
          <w:bCs/>
          <w:color w:val="auto"/>
          <w:lang w:val="en-US" w:eastAsia="zh-CN"/>
        </w:rPr>
        <w:t>项目负责人的注册建造师执业资格证书及安全生产考核合格证书（B类证），以上均提供原件的扫描件；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b/>
          <w:bCs/>
          <w:color w:val="auto"/>
        </w:rPr>
      </w:pPr>
      <w:r>
        <w:rPr>
          <w:rFonts w:hint="eastAsia" w:cs="Times New Roman"/>
          <w:b/>
          <w:bCs/>
          <w:color w:val="auto"/>
          <w:lang w:val="en-US" w:eastAsia="zh-CN"/>
        </w:rPr>
        <w:t>3</w:t>
      </w:r>
      <w:r>
        <w:rPr>
          <w:rFonts w:hint="eastAsia" w:ascii="宋体" w:hAnsi="宋体" w:eastAsia="宋体" w:cs="Times New Roman"/>
          <w:b/>
          <w:bCs/>
          <w:color w:val="auto"/>
        </w:rPr>
        <w:t>.具有履行合同所必须的设备和专业技术能力,投标供应商须提供书面声明（格式自拟）；</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b/>
          <w:bCs/>
          <w:color w:val="auto"/>
        </w:rPr>
      </w:pPr>
      <w:r>
        <w:rPr>
          <w:rFonts w:hint="eastAsia" w:cs="Times New Roman"/>
          <w:b/>
          <w:bCs/>
          <w:color w:val="auto"/>
          <w:lang w:val="en-US" w:eastAsia="zh-CN"/>
        </w:rPr>
        <w:t>4</w:t>
      </w:r>
      <w:r>
        <w:rPr>
          <w:rFonts w:hint="eastAsia" w:ascii="宋体" w:hAnsi="宋体" w:eastAsia="宋体" w:cs="Times New Roman"/>
          <w:b/>
          <w:bCs/>
          <w:color w:val="auto"/>
        </w:rPr>
        <w:t>.财务状况、缴纳税收和社会保障资金证明；</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b/>
          <w:bCs/>
          <w:color w:val="auto"/>
        </w:rPr>
      </w:pPr>
      <w:r>
        <w:rPr>
          <w:rFonts w:hint="eastAsia"/>
          <w:b/>
          <w:bCs/>
          <w:color w:val="auto"/>
        </w:rPr>
        <w:t>a、经第三方机构出具的上一年度财务状况审计报告或财务会计报表（含资产负债表、现金流量表、利润表）原件的扫描件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b/>
          <w:bCs/>
          <w:color w:val="auto"/>
        </w:rPr>
      </w:pPr>
      <w:r>
        <w:rPr>
          <w:rFonts w:hint="eastAsia"/>
          <w:b/>
          <w:bCs/>
          <w:color w:val="auto"/>
        </w:rPr>
        <w:t>b、投标人近一年连续3个月的依法缴纳税收证明和近一年连续3个月社会保障资金记录的证明材料原件的扫描件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b/>
          <w:bCs/>
          <w:color w:val="auto"/>
          <w:lang w:val="en-US" w:eastAsia="zh-CN"/>
        </w:rPr>
      </w:pPr>
      <w:r>
        <w:rPr>
          <w:rFonts w:hint="eastAsia" w:ascii="宋体" w:hAnsi="宋体" w:eastAsia="宋体" w:cs="Times New Roman"/>
          <w:b/>
          <w:bCs/>
          <w:color w:val="auto"/>
          <w:lang w:val="en-US" w:eastAsia="zh-CN"/>
        </w:rPr>
        <w:t>5.供应商通过“信用中国”和“中国政府采购网”渠道查询的加盖公章的主体信用记录网页截图；</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b/>
          <w:bCs/>
          <w:color w:val="auto"/>
          <w:lang w:val="en-US" w:eastAsia="zh-CN"/>
        </w:rPr>
      </w:pPr>
      <w:r>
        <w:rPr>
          <w:rFonts w:hint="eastAsia" w:ascii="宋体" w:hAnsi="宋体" w:eastAsia="宋体" w:cs="Times New Roman"/>
          <w:b/>
          <w:bCs/>
          <w:color w:val="auto"/>
          <w:lang w:val="en-US" w:eastAsia="zh-CN"/>
        </w:rPr>
        <w:t>6.磋商保证金缴纳凭证；</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b/>
          <w:bCs/>
          <w:color w:val="auto"/>
          <w:lang w:val="en-US" w:eastAsia="zh-CN"/>
        </w:rPr>
      </w:pPr>
      <w:r>
        <w:rPr>
          <w:rFonts w:hint="eastAsia" w:ascii="宋体" w:hAnsi="宋体" w:eastAsia="宋体" w:cs="Times New Roman"/>
          <w:b/>
          <w:bCs/>
          <w:color w:val="auto"/>
          <w:lang w:val="en-US" w:eastAsia="zh-CN"/>
        </w:rPr>
        <w:t>十一、投标单位（供应商）反商业贿赂承诺书；</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b/>
          <w:bCs/>
          <w:color w:val="auto"/>
          <w:lang w:val="en-US" w:eastAsia="zh-CN"/>
        </w:rPr>
      </w:pPr>
      <w:r>
        <w:rPr>
          <w:rFonts w:hint="eastAsia" w:ascii="宋体" w:hAnsi="宋体" w:eastAsia="宋体" w:cs="Times New Roman"/>
          <w:b/>
          <w:bCs/>
          <w:color w:val="auto"/>
          <w:lang w:val="en-US" w:eastAsia="zh-CN"/>
        </w:rPr>
        <w:t>十二、中小企业声明函；</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b/>
          <w:bCs/>
          <w:color w:val="auto"/>
          <w:lang w:val="en-US" w:eastAsia="zh-CN"/>
        </w:rPr>
      </w:pPr>
      <w:r>
        <w:rPr>
          <w:rFonts w:hint="eastAsia" w:ascii="宋体" w:hAnsi="宋体" w:eastAsia="宋体" w:cs="Times New Roman"/>
          <w:b/>
          <w:bCs/>
          <w:color w:val="auto"/>
          <w:lang w:val="en-US" w:eastAsia="zh-CN"/>
        </w:rPr>
        <w:t>十三、提供其它有利于投标的资料（如获奖证书、ISO9001质量管理体系认证、ISO14001环境管理体系认证、OHSAS18001:2007职业健康安全管理体系认证、检验检测机构资质认定证书、工程咨询单位备案证书等）；</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pPr>
      <w:r>
        <w:rPr>
          <w:rFonts w:hint="eastAsia"/>
        </w:rPr>
        <w:t>18.</w:t>
      </w:r>
      <w:r>
        <w:rPr>
          <w:rFonts w:hint="eastAsia"/>
          <w:lang w:val="en-US" w:eastAsia="zh-CN"/>
        </w:rPr>
        <w:t>2</w:t>
      </w:r>
      <w:r>
        <w:t xml:space="preserve"> </w:t>
      </w:r>
      <w:r>
        <w:rPr>
          <w:rFonts w:hint="eastAsia"/>
        </w:rPr>
        <w:t>开标后各投标供应商需在公示期满后，另行提交纸质版响应文件（正本一份、副本三份）。须与电子版响应文件内容一致，纸质响应文件需留存备案将一律不予退还。</w:t>
      </w:r>
    </w:p>
    <w:p>
      <w:pPr>
        <w:pStyle w:val="18"/>
        <w:kinsoku w:val="0"/>
        <w:overflowPunct w:val="0"/>
        <w:spacing w:before="57" w:line="440" w:lineRule="exact"/>
        <w:ind w:left="111" w:right="232" w:firstLine="480"/>
        <w:jc w:val="both"/>
        <w:rPr>
          <w:rFonts w:hint="eastAsia" w:ascii="宋体" w:hAnsi="宋体" w:eastAsia="宋体" w:cs="Times New Roman"/>
        </w:rPr>
      </w:pPr>
      <w:r>
        <w:rPr>
          <w:rFonts w:hint="eastAsia" w:ascii="宋体" w:hAnsi="宋体" w:eastAsia="宋体" w:cs="Times New Roman"/>
        </w:rPr>
        <w:t>纸质版标书邮寄地址：新疆</w:t>
      </w:r>
      <w:r>
        <w:rPr>
          <w:rFonts w:hint="eastAsia" w:ascii="宋体" w:hAnsi="宋体" w:eastAsia="宋体" w:cs="Times New Roman"/>
          <w:lang w:eastAsia="zh-CN"/>
        </w:rPr>
        <w:t>新疆巴州库尔勒市团结辖区兰干路18号吉恒大厦1栋1层01商铺</w:t>
      </w:r>
      <w:r>
        <w:rPr>
          <w:rFonts w:hint="eastAsia" w:ascii="宋体" w:hAnsi="宋体" w:eastAsia="宋体" w:cs="Times New Roman"/>
        </w:rPr>
        <w:t>（</w:t>
      </w:r>
      <w:r>
        <w:rPr>
          <w:rFonts w:hint="eastAsia" w:ascii="宋体" w:hAnsi="宋体" w:eastAsia="宋体" w:cs="Times New Roman"/>
          <w:lang w:eastAsia="zh-CN"/>
        </w:rPr>
        <w:t>新疆汇力赋能项目管理有限责任公司</w:t>
      </w:r>
      <w:r>
        <w:rPr>
          <w:rFonts w:hint="eastAsia" w:ascii="宋体" w:hAnsi="宋体" w:eastAsia="宋体" w:cs="Times New Roman"/>
        </w:rPr>
        <w:t>）</w:t>
      </w:r>
    </w:p>
    <w:p>
      <w:pPr>
        <w:pStyle w:val="18"/>
        <w:kinsoku w:val="0"/>
        <w:overflowPunct w:val="0"/>
        <w:spacing w:before="57" w:line="440" w:lineRule="exact"/>
        <w:ind w:left="111" w:right="232" w:firstLine="480"/>
        <w:jc w:val="both"/>
        <w:rPr>
          <w:rFonts w:hint="eastAsia" w:ascii="宋体" w:hAnsi="宋体" w:eastAsia="宋体" w:cs="Times New Roman"/>
          <w:lang w:val="en-US" w:eastAsia="zh-CN"/>
        </w:rPr>
      </w:pPr>
      <w:r>
        <w:rPr>
          <w:rFonts w:hint="eastAsia" w:ascii="宋体" w:hAnsi="宋体" w:eastAsia="宋体" w:cs="Times New Roman"/>
          <w:lang w:val="en-US" w:eastAsia="zh-CN"/>
        </w:rPr>
        <w:t>收件人</w:t>
      </w:r>
      <w:r>
        <w:rPr>
          <w:rFonts w:hint="eastAsia" w:ascii="宋体" w:hAnsi="宋体" w:eastAsia="宋体" w:cs="Times New Roman"/>
        </w:rPr>
        <w:t>：</w:t>
      </w:r>
      <w:r>
        <w:rPr>
          <w:rFonts w:hint="eastAsia" w:ascii="宋体" w:hAnsi="宋体" w:eastAsia="宋体" w:cs="Times New Roman"/>
          <w:lang w:val="en-US" w:eastAsia="zh-CN"/>
        </w:rPr>
        <w:t xml:space="preserve">方桦柯珺  </w:t>
      </w:r>
      <w:r>
        <w:rPr>
          <w:rFonts w:hint="eastAsia" w:ascii="宋体" w:hAnsi="宋体" w:eastAsia="宋体" w:cs="Times New Roman"/>
        </w:rPr>
        <w:t>联系电话：0996-</w:t>
      </w:r>
      <w:r>
        <w:rPr>
          <w:rFonts w:hint="eastAsia" w:ascii="宋体" w:hAnsi="宋体" w:eastAsia="宋体" w:cs="Times New Roman"/>
          <w:lang w:val="en-US" w:eastAsia="zh-CN"/>
        </w:rPr>
        <w:t>2118336</w:t>
      </w:r>
    </w:p>
    <w:p>
      <w:pPr>
        <w:pStyle w:val="18"/>
        <w:kinsoku w:val="0"/>
        <w:overflowPunct w:val="0"/>
        <w:spacing w:before="57" w:line="440" w:lineRule="exact"/>
        <w:ind w:left="110" w:leftChars="46" w:right="232" w:firstLine="357" w:firstLineChars="149"/>
        <w:jc w:val="both"/>
        <w:rPr>
          <w:rFonts w:hint="eastAsia"/>
          <w:b w:val="0"/>
          <w:bCs/>
        </w:rPr>
      </w:pPr>
      <w:r>
        <w:rPr>
          <w:rFonts w:hint="eastAsia"/>
          <w:b w:val="0"/>
          <w:bCs/>
        </w:rPr>
        <w:t>18.</w:t>
      </w:r>
      <w:r>
        <w:rPr>
          <w:rFonts w:hint="eastAsia"/>
          <w:b w:val="0"/>
          <w:bCs/>
          <w:lang w:val="en-US" w:eastAsia="zh-CN"/>
        </w:rPr>
        <w:t>3</w:t>
      </w:r>
      <w:r>
        <w:rPr>
          <w:b w:val="0"/>
          <w:bCs/>
        </w:rPr>
        <w:t xml:space="preserve"> </w:t>
      </w:r>
      <w:r>
        <w:rPr>
          <w:rFonts w:hint="eastAsia"/>
          <w:b w:val="0"/>
          <w:bCs/>
        </w:rPr>
        <w:t>若磋商供应商未按采购文件的要求提供资料，或未对采购文件做出实质性响应，将作为无效响应文件。</w:t>
      </w:r>
    </w:p>
    <w:p>
      <w:pPr>
        <w:pStyle w:val="18"/>
        <w:kinsoku w:val="0"/>
        <w:overflowPunct w:val="0"/>
        <w:spacing w:before="57" w:line="440" w:lineRule="exact"/>
        <w:ind w:left="110" w:leftChars="46" w:right="232" w:firstLine="357" w:firstLineChars="149"/>
        <w:jc w:val="both"/>
      </w:pPr>
      <w:r>
        <w:rPr>
          <w:rFonts w:hint="eastAsia"/>
        </w:rPr>
        <w:t>18.</w:t>
      </w:r>
      <w:r>
        <w:rPr>
          <w:rFonts w:hint="eastAsia"/>
          <w:lang w:val="en-US" w:eastAsia="zh-CN"/>
        </w:rPr>
        <w:t>4</w:t>
      </w:r>
      <w:r>
        <w:t xml:space="preserve"> </w:t>
      </w:r>
      <w:r>
        <w:rPr>
          <w:rFonts w:hint="eastAsia"/>
        </w:rPr>
        <w:t>磋商响应文件出现下列情形之一的，采购人不予受理或被政采云平台拒收：</w:t>
      </w:r>
    </w:p>
    <w:p>
      <w:pPr>
        <w:pStyle w:val="18"/>
        <w:kinsoku w:val="0"/>
        <w:overflowPunct w:val="0"/>
        <w:spacing w:before="57" w:line="440" w:lineRule="exact"/>
        <w:ind w:left="111" w:right="232" w:firstLine="480"/>
        <w:jc w:val="both"/>
      </w:pPr>
      <w:r>
        <w:rPr>
          <w:rFonts w:hint="eastAsia"/>
        </w:rPr>
        <w:t>（</w:t>
      </w:r>
      <w:r>
        <w:t>1</w:t>
      </w:r>
      <w:r>
        <w:rPr>
          <w:rFonts w:hint="eastAsia"/>
        </w:rPr>
        <w:t>）电子磋商响应文件未按磋商文件要求上传的；</w:t>
      </w:r>
    </w:p>
    <w:p>
      <w:pPr>
        <w:pStyle w:val="18"/>
        <w:kinsoku w:val="0"/>
        <w:overflowPunct w:val="0"/>
        <w:spacing w:before="57" w:line="440" w:lineRule="exact"/>
        <w:ind w:left="111" w:right="232" w:firstLine="480"/>
        <w:jc w:val="both"/>
      </w:pPr>
      <w:r>
        <w:rPr>
          <w:rFonts w:hint="eastAsia"/>
        </w:rPr>
        <w:t>（</w:t>
      </w:r>
      <w:r>
        <w:t>2</w:t>
      </w:r>
      <w:r>
        <w:rPr>
          <w:rFonts w:hint="eastAsia"/>
        </w:rPr>
        <w:t>）供应商未按照须知前附表规定的时间解密电子磋商响应文件，或解密失败又未提交备份响应文件的。</w:t>
      </w:r>
    </w:p>
    <w:p>
      <w:pPr>
        <w:spacing w:line="440" w:lineRule="exact"/>
        <w:ind w:firstLine="480" w:firstLineChars="200"/>
        <w:rPr>
          <w:rFonts w:ascii="宋体" w:eastAsia="Times New Roman"/>
        </w:rPr>
      </w:pPr>
      <w:r>
        <w:rPr>
          <w:rFonts w:hint="eastAsia" w:ascii="宋体" w:hAnsi="宋体"/>
        </w:rPr>
        <w:t>18.</w:t>
      </w:r>
      <w:r>
        <w:rPr>
          <w:rFonts w:hint="eastAsia" w:ascii="宋体" w:hAnsi="宋体"/>
          <w:lang w:val="en-US" w:eastAsia="zh-CN"/>
        </w:rPr>
        <w:t>5</w:t>
      </w:r>
      <w:r>
        <w:rPr>
          <w:rFonts w:ascii="宋体" w:hAnsi="宋体"/>
        </w:rPr>
        <w:t xml:space="preserve">  </w:t>
      </w:r>
      <w:r>
        <w:rPr>
          <w:rFonts w:hint="eastAsia" w:ascii="宋体" w:hAnsi="宋体"/>
        </w:rPr>
        <w:t>响应文件封面要求</w:t>
      </w:r>
    </w:p>
    <w:p>
      <w:pPr>
        <w:spacing w:line="440" w:lineRule="exact"/>
        <w:ind w:firstLine="480" w:firstLineChars="200"/>
        <w:rPr>
          <w:rFonts w:ascii="宋体" w:eastAsia="Times New Roman"/>
        </w:rPr>
      </w:pPr>
      <w:r>
        <w:rPr>
          <w:rFonts w:ascii="宋体" w:hAnsi="宋体"/>
        </w:rPr>
        <w:t>1</w:t>
      </w:r>
      <w:r>
        <w:rPr>
          <w:rFonts w:hint="eastAsia" w:ascii="宋体" w:hAnsi="宋体"/>
        </w:rPr>
        <w:t>8</w:t>
      </w:r>
      <w:r>
        <w:rPr>
          <w:rFonts w:ascii="宋体" w:hAnsi="宋体"/>
        </w:rPr>
        <w:t>.</w:t>
      </w:r>
      <w:r>
        <w:rPr>
          <w:rFonts w:hint="eastAsia" w:ascii="宋体" w:hAnsi="宋体"/>
          <w:lang w:val="en-US" w:eastAsia="zh-CN"/>
        </w:rPr>
        <w:t>5</w:t>
      </w:r>
      <w:r>
        <w:rPr>
          <w:rFonts w:ascii="宋体" w:hAnsi="宋体"/>
        </w:rPr>
        <w:t xml:space="preserve">.1 </w:t>
      </w:r>
      <w:r>
        <w:rPr>
          <w:rFonts w:hint="eastAsia" w:ascii="宋体" w:hAnsi="宋体"/>
          <w:lang w:eastAsia="zh-CN"/>
        </w:rPr>
        <w:t>响应文件</w:t>
      </w:r>
      <w:r>
        <w:rPr>
          <w:rFonts w:hint="eastAsia" w:ascii="宋体" w:hAnsi="宋体"/>
        </w:rPr>
        <w:t>封面应按磋商文件规定格式编制。</w:t>
      </w:r>
    </w:p>
    <w:p>
      <w:pPr>
        <w:spacing w:line="440" w:lineRule="exact"/>
        <w:ind w:firstLine="480" w:firstLineChars="200"/>
        <w:rPr>
          <w:rFonts w:ascii="宋体" w:eastAsia="Times New Roman"/>
        </w:rPr>
      </w:pPr>
      <w:r>
        <w:rPr>
          <w:rFonts w:hint="eastAsia" w:ascii="宋体" w:hAnsi="宋体"/>
        </w:rPr>
        <w:t>18.</w:t>
      </w:r>
      <w:r>
        <w:rPr>
          <w:rFonts w:hint="eastAsia" w:ascii="宋体" w:hAnsi="宋体"/>
          <w:lang w:val="en-US" w:eastAsia="zh-CN"/>
        </w:rPr>
        <w:t>6</w:t>
      </w:r>
      <w:r>
        <w:rPr>
          <w:rFonts w:hint="eastAsia" w:ascii="宋体" w:hAnsi="宋体"/>
        </w:rPr>
        <w:t xml:space="preserve"> 响应文件目录要求</w:t>
      </w:r>
    </w:p>
    <w:p>
      <w:pPr>
        <w:spacing w:line="440" w:lineRule="exact"/>
        <w:ind w:firstLine="480" w:firstLineChars="200"/>
        <w:rPr>
          <w:rFonts w:ascii="宋体" w:eastAsia="Times New Roman"/>
        </w:rPr>
      </w:pPr>
      <w:r>
        <w:rPr>
          <w:rFonts w:hint="eastAsia" w:ascii="宋体" w:hAnsi="宋体"/>
        </w:rPr>
        <w:t>18.</w:t>
      </w:r>
      <w:r>
        <w:rPr>
          <w:rFonts w:hint="eastAsia" w:ascii="宋体" w:hAnsi="宋体"/>
          <w:lang w:val="en-US" w:eastAsia="zh-CN"/>
        </w:rPr>
        <w:t>6</w:t>
      </w:r>
      <w:r>
        <w:rPr>
          <w:rFonts w:hint="eastAsia" w:ascii="宋体" w:hAnsi="宋体"/>
        </w:rPr>
        <w:t>.1</w:t>
      </w:r>
      <w:r>
        <w:rPr>
          <w:rFonts w:ascii="宋体" w:hAnsi="宋体"/>
        </w:rPr>
        <w:t xml:space="preserve"> </w:t>
      </w:r>
      <w:r>
        <w:rPr>
          <w:rFonts w:hint="eastAsia" w:ascii="宋体" w:hAnsi="宋体"/>
        </w:rPr>
        <w:t>为便于评审，</w:t>
      </w:r>
      <w:r>
        <w:rPr>
          <w:rFonts w:hint="eastAsia" w:ascii="宋体" w:hAnsi="宋体"/>
          <w:lang w:eastAsia="zh-CN"/>
        </w:rPr>
        <w:t>响应文件</w:t>
      </w:r>
      <w:r>
        <w:rPr>
          <w:rFonts w:hint="eastAsia" w:ascii="宋体" w:hAnsi="宋体"/>
        </w:rPr>
        <w:t>目录宜按本磋商文件相关内容先后顺序编排。</w:t>
      </w:r>
    </w:p>
    <w:p>
      <w:pPr>
        <w:pStyle w:val="18"/>
        <w:kinsoku w:val="0"/>
        <w:overflowPunct w:val="0"/>
        <w:spacing w:line="440" w:lineRule="exact"/>
        <w:ind w:right="5091"/>
        <w:rPr>
          <w:rFonts w:eastAsia="Times New Roman"/>
        </w:rPr>
      </w:pPr>
      <w:r>
        <w:rPr>
          <w:rFonts w:hint="eastAsia"/>
          <w:b/>
        </w:rPr>
        <w:t>19、响应文件格式</w:t>
      </w:r>
    </w:p>
    <w:p>
      <w:pPr>
        <w:pStyle w:val="18"/>
        <w:kinsoku w:val="0"/>
        <w:overflowPunct w:val="0"/>
        <w:spacing w:before="57" w:line="440" w:lineRule="exact"/>
        <w:ind w:left="111" w:right="232" w:firstLine="480"/>
        <w:jc w:val="both"/>
        <w:rPr>
          <w:rFonts w:eastAsia="Times New Roman"/>
        </w:rPr>
      </w:pPr>
      <w:r>
        <w:t>1</w:t>
      </w:r>
      <w:r>
        <w:rPr>
          <w:rFonts w:hint="eastAsia"/>
        </w:rPr>
        <w:t>9</w:t>
      </w:r>
      <w:r>
        <w:t>.1</w:t>
      </w:r>
      <w:r>
        <w:rPr>
          <w:rFonts w:hint="eastAsia"/>
        </w:rPr>
        <w:t>响应文件包括本须知第</w:t>
      </w:r>
      <w:r>
        <w:t>1</w:t>
      </w:r>
      <w:r>
        <w:rPr>
          <w:rFonts w:hint="eastAsia"/>
        </w:rPr>
        <w:t>8条中规定的内容，供应商提交的响应文件应当使用磋商文件所提供的响应文件全部格式（表格可以按同样格式扩展）。</w:t>
      </w:r>
    </w:p>
    <w:p>
      <w:pPr>
        <w:pStyle w:val="7"/>
        <w:kinsoku w:val="0"/>
        <w:overflowPunct w:val="0"/>
        <w:spacing w:before="56" w:line="440" w:lineRule="exact"/>
        <w:rPr>
          <w:rFonts w:eastAsia="Times New Roman"/>
        </w:rPr>
      </w:pPr>
      <w:r>
        <w:rPr>
          <w:rFonts w:hint="eastAsia"/>
        </w:rPr>
        <w:t>20、磋商报价</w:t>
      </w:r>
    </w:p>
    <w:p>
      <w:pPr>
        <w:pStyle w:val="18"/>
        <w:kinsoku w:val="0"/>
        <w:overflowPunct w:val="0"/>
        <w:spacing w:line="440" w:lineRule="exact"/>
        <w:rPr>
          <w:rFonts w:eastAsia="Times New Roman"/>
        </w:rPr>
      </w:pPr>
      <w:r>
        <w:rPr>
          <w:rFonts w:hint="eastAsia"/>
        </w:rPr>
        <w:t>20</w:t>
      </w:r>
      <w:r>
        <w:t>.</w:t>
      </w:r>
      <w:r>
        <w:rPr>
          <w:rFonts w:hint="eastAsia"/>
          <w:lang w:val="en-US" w:eastAsia="zh-CN"/>
        </w:rPr>
        <w:t>1</w:t>
      </w:r>
      <w:r>
        <w:rPr>
          <w:rFonts w:hint="eastAsia"/>
        </w:rPr>
        <w:t xml:space="preserve"> 磋商报价为供应商在响应文件中提出的各项支付金额的总和。</w:t>
      </w:r>
    </w:p>
    <w:p>
      <w:pPr>
        <w:pStyle w:val="18"/>
        <w:kinsoku w:val="0"/>
        <w:overflowPunct w:val="0"/>
        <w:spacing w:line="440" w:lineRule="exact"/>
        <w:ind w:left="111" w:right="232" w:firstLine="480"/>
        <w:jc w:val="both"/>
        <w:rPr>
          <w:rFonts w:eastAsia="Times New Roman"/>
        </w:rPr>
      </w:pPr>
      <w:r>
        <w:rPr>
          <w:rFonts w:hint="eastAsia"/>
        </w:rPr>
        <w:t>20</w:t>
      </w:r>
      <w:r>
        <w:t>.</w:t>
      </w:r>
      <w:r>
        <w:rPr>
          <w:rFonts w:hint="eastAsia"/>
          <w:lang w:val="en-US" w:eastAsia="zh-CN"/>
        </w:rPr>
        <w:t>2</w:t>
      </w:r>
      <w:r>
        <w:rPr>
          <w:rFonts w:hint="eastAsia"/>
        </w:rPr>
        <w:t xml:space="preserve"> 供应商的磋商报价</w:t>
      </w:r>
      <w:r>
        <w:rPr>
          <w:rFonts w:hint="eastAsia"/>
          <w:spacing w:val="-120"/>
        </w:rPr>
        <w:t>，</w:t>
      </w:r>
      <w:r>
        <w:rPr>
          <w:rFonts w:hint="eastAsia"/>
        </w:rPr>
        <w:t>应是完成本须知第</w:t>
      </w:r>
      <w:r>
        <w:t>3</w:t>
      </w:r>
      <w:r>
        <w:rPr>
          <w:rFonts w:hint="eastAsia"/>
        </w:rPr>
        <w:t>条和合同条款上所列磋商工程范围及工期的全部，不得以任何理由予以重复，作为供应商计算单价或总价的依据。</w:t>
      </w:r>
    </w:p>
    <w:p>
      <w:pPr>
        <w:pStyle w:val="7"/>
        <w:kinsoku w:val="0"/>
        <w:overflowPunct w:val="0"/>
        <w:spacing w:before="60" w:line="440" w:lineRule="exact"/>
        <w:ind w:left="111" w:right="199" w:firstLine="480"/>
        <w:jc w:val="both"/>
        <w:rPr>
          <w:rFonts w:eastAsia="Times New Roman"/>
          <w:b w:val="0"/>
        </w:rPr>
      </w:pPr>
      <w:r>
        <w:rPr>
          <w:rFonts w:hint="eastAsia"/>
          <w:spacing w:val="1"/>
        </w:rPr>
        <w:t>20</w:t>
      </w:r>
      <w:r>
        <w:rPr>
          <w:spacing w:val="1"/>
        </w:rPr>
        <w:t>.</w:t>
      </w:r>
      <w:r>
        <w:rPr>
          <w:rFonts w:hint="eastAsia"/>
          <w:spacing w:val="1"/>
          <w:lang w:val="en-US" w:eastAsia="zh-CN"/>
        </w:rPr>
        <w:t>3</w:t>
      </w:r>
      <w:r>
        <w:rPr>
          <w:rFonts w:hint="eastAsia"/>
          <w:spacing w:val="1"/>
        </w:rPr>
        <w:t xml:space="preserve"> 本项目磋商报价为二轮报价，首次报价在响应文件中体现；最终报价由各磋商供应商在规定的时间内（发出最终报价指令后的</w:t>
      </w:r>
      <w:r>
        <w:rPr>
          <w:rFonts w:hint="eastAsia"/>
          <w:spacing w:val="1"/>
          <w:lang w:val="en-US" w:eastAsia="zh-CN"/>
        </w:rPr>
        <w:t>20</w:t>
      </w:r>
      <w:r>
        <w:rPr>
          <w:rFonts w:hint="eastAsia"/>
          <w:spacing w:val="1"/>
        </w:rPr>
        <w:t>分钟内）在政采云平台在线完成；政采云平台在线报价操作失败的，供应商应及时联系采购代理机构（应在政采云平台最终轮报价倒计价结束前，联系电话0996-</w:t>
      </w:r>
      <w:r>
        <w:rPr>
          <w:rFonts w:hint="eastAsia"/>
          <w:spacing w:val="1"/>
          <w:lang w:val="en-US" w:eastAsia="zh-CN"/>
        </w:rPr>
        <w:t>2118336</w:t>
      </w:r>
      <w:r>
        <w:rPr>
          <w:rFonts w:hint="eastAsia"/>
          <w:spacing w:val="1"/>
        </w:rPr>
        <w:t>），通过指定的电子邮箱提供（最终报价函格式见磋商文件最终报价单内容相应附件，指定邮箱号：</w:t>
      </w:r>
      <w:r>
        <w:rPr>
          <w:rFonts w:hint="eastAsia"/>
          <w:spacing w:val="1"/>
          <w:lang w:val="en-US" w:eastAsia="zh-CN"/>
        </w:rPr>
        <w:t>2259928698</w:t>
      </w:r>
      <w:r>
        <w:rPr>
          <w:rFonts w:hint="eastAsia"/>
          <w:spacing w:val="1"/>
        </w:rPr>
        <w:t>@qq.com）。因本项目采用竞争性磋商方式，成交价以最终报价为准</w:t>
      </w:r>
      <w:r>
        <w:rPr>
          <w:rFonts w:hint="eastAsia"/>
        </w:rPr>
        <w:t>。</w:t>
      </w:r>
    </w:p>
    <w:p>
      <w:pPr>
        <w:pStyle w:val="18"/>
        <w:kinsoku w:val="0"/>
        <w:overflowPunct w:val="0"/>
        <w:spacing w:before="60" w:line="440" w:lineRule="exact"/>
        <w:ind w:left="111" w:right="232" w:firstLine="480"/>
        <w:jc w:val="both"/>
        <w:rPr>
          <w:rFonts w:eastAsia="Times New Roman"/>
        </w:rPr>
      </w:pPr>
      <w:r>
        <w:rPr>
          <w:rFonts w:hint="eastAsia"/>
        </w:rPr>
        <w:t>20</w:t>
      </w:r>
      <w:r>
        <w:t>.</w:t>
      </w:r>
      <w:r>
        <w:rPr>
          <w:rFonts w:hint="eastAsia"/>
          <w:lang w:val="en-US" w:eastAsia="zh-CN"/>
        </w:rPr>
        <w:t>4</w:t>
      </w:r>
      <w:r>
        <w:rPr>
          <w:rFonts w:hint="eastAsia"/>
        </w:rPr>
        <w:t xml:space="preserve"> 本项目采用全费用综合单价报价</w:t>
      </w:r>
      <w:r>
        <w:rPr>
          <w:rFonts w:hint="eastAsia"/>
          <w:spacing w:val="-60"/>
        </w:rPr>
        <w:t>，</w:t>
      </w:r>
      <w:r>
        <w:rPr>
          <w:rFonts w:hint="eastAsia"/>
        </w:rPr>
        <w:t>除非采购人对磋商文件予以修改</w:t>
      </w:r>
      <w:r>
        <w:rPr>
          <w:rFonts w:hint="eastAsia"/>
          <w:spacing w:val="-60"/>
        </w:rPr>
        <w:t>，</w:t>
      </w:r>
      <w:r>
        <w:rPr>
          <w:rFonts w:hint="eastAsia"/>
        </w:rPr>
        <w:t>供应商应按采购人提供的报价表中列出的项目和数量填报单价和合价</w:t>
      </w:r>
      <w:r>
        <w:rPr>
          <w:rFonts w:hint="eastAsia"/>
          <w:spacing w:val="-60"/>
        </w:rPr>
        <w:t>。</w:t>
      </w:r>
      <w:r>
        <w:rPr>
          <w:rFonts w:hint="eastAsia"/>
        </w:rPr>
        <w:t>每一项目只允许有一</w:t>
      </w:r>
      <w:r>
        <w:rPr>
          <w:rFonts w:hint="eastAsia"/>
          <w:spacing w:val="-2"/>
        </w:rPr>
        <w:t>个报价，任何有选择的报价将不予接受。供应商未填单价或合价、漏报的项目，在实施后，采购人不予以支付，并视为该项费用已包含在其他有价款的单价或合价内，结</w:t>
      </w:r>
      <w:r>
        <w:rPr>
          <w:rFonts w:hint="eastAsia"/>
        </w:rPr>
        <w:t>算时出现数量调整时，按零费用考虑。</w:t>
      </w:r>
    </w:p>
    <w:p>
      <w:pPr>
        <w:pStyle w:val="18"/>
        <w:kinsoku w:val="0"/>
        <w:overflowPunct w:val="0"/>
        <w:spacing w:before="57" w:line="440" w:lineRule="exact"/>
        <w:rPr>
          <w:rFonts w:eastAsia="Times New Roman"/>
          <w:color w:val="000000"/>
        </w:rPr>
      </w:pPr>
      <w:r>
        <w:rPr>
          <w:rFonts w:hint="eastAsia"/>
          <w:color w:val="000000"/>
        </w:rPr>
        <w:t>20</w:t>
      </w:r>
      <w:r>
        <w:rPr>
          <w:color w:val="000000"/>
        </w:rPr>
        <w:t>.</w:t>
      </w:r>
      <w:r>
        <w:rPr>
          <w:rFonts w:hint="eastAsia"/>
          <w:color w:val="000000"/>
          <w:lang w:val="en-US" w:eastAsia="zh-CN"/>
        </w:rPr>
        <w:t>5</w:t>
      </w:r>
      <w:r>
        <w:rPr>
          <w:rFonts w:hint="eastAsia"/>
          <w:color w:val="000000"/>
        </w:rPr>
        <w:t xml:space="preserve"> 本招标工程的施工地点为本须知前附表第</w:t>
      </w:r>
      <w:r>
        <w:rPr>
          <w:color w:val="000000"/>
        </w:rPr>
        <w:t>4</w:t>
      </w:r>
      <w:r>
        <w:rPr>
          <w:rFonts w:hint="eastAsia"/>
          <w:color w:val="000000"/>
        </w:rPr>
        <w:t>项所述，除非合同中另有规定，</w:t>
      </w:r>
    </w:p>
    <w:p>
      <w:pPr>
        <w:pStyle w:val="18"/>
        <w:kinsoku w:val="0"/>
        <w:overflowPunct w:val="0"/>
        <w:spacing w:before="26" w:line="440" w:lineRule="exact"/>
        <w:ind w:left="111" w:right="229"/>
        <w:jc w:val="both"/>
        <w:rPr>
          <w:rFonts w:eastAsia="Times New Roman"/>
          <w:color w:val="000000"/>
        </w:rPr>
      </w:pPr>
      <w:r>
        <w:rPr>
          <w:rFonts w:hint="eastAsia"/>
          <w:color w:val="000000"/>
        </w:rPr>
        <w:t>供应商的报价应包括为施工和完成该细目工程所需的市场价格的</w:t>
      </w:r>
      <w:r>
        <w:rPr>
          <w:rFonts w:hint="eastAsia"/>
          <w:color w:val="000000"/>
          <w:lang w:eastAsia="zh-CN"/>
        </w:rPr>
        <w:t>人工</w:t>
      </w:r>
      <w:r>
        <w:rPr>
          <w:rFonts w:hint="eastAsia"/>
          <w:color w:val="000000"/>
        </w:rPr>
        <w:t>费</w:t>
      </w:r>
      <w:r>
        <w:rPr>
          <w:rFonts w:hint="eastAsia"/>
          <w:color w:val="000000"/>
          <w:spacing w:val="-29"/>
        </w:rPr>
        <w:t>、</w:t>
      </w:r>
      <w:r>
        <w:rPr>
          <w:rFonts w:hint="eastAsia"/>
          <w:color w:val="000000"/>
          <w:lang w:eastAsia="zh-CN"/>
        </w:rPr>
        <w:t>设备</w:t>
      </w:r>
      <w:r>
        <w:rPr>
          <w:rFonts w:hint="eastAsia"/>
          <w:color w:val="000000"/>
        </w:rPr>
        <w:t>费</w:t>
      </w:r>
      <w:r>
        <w:rPr>
          <w:rFonts w:hint="eastAsia"/>
          <w:color w:val="000000"/>
          <w:spacing w:val="-32"/>
        </w:rPr>
        <w:t>、</w:t>
      </w:r>
      <w:r>
        <w:rPr>
          <w:rFonts w:hint="eastAsia"/>
          <w:color w:val="000000"/>
        </w:rPr>
        <w:t>机</w:t>
      </w:r>
      <w:r>
        <w:rPr>
          <w:rFonts w:hint="eastAsia"/>
          <w:color w:val="000000"/>
          <w:spacing w:val="-2"/>
        </w:rPr>
        <w:t>械费、运输费、安装费、</w:t>
      </w:r>
      <w:r>
        <w:rPr>
          <w:rFonts w:hint="eastAsia" w:ascii="宋体" w:hAnsi="宋体" w:eastAsia="宋体" w:cs="Times New Roman"/>
          <w:color w:val="000000"/>
        </w:rPr>
        <w:t>检测验收、技术培训、售后服务</w:t>
      </w:r>
      <w:r>
        <w:rPr>
          <w:rFonts w:hint="eastAsia" w:ascii="宋体" w:hAnsi="宋体" w:eastAsia="宋体" w:cs="Times New Roman"/>
          <w:color w:val="000000"/>
          <w:lang w:eastAsia="zh-CN"/>
        </w:rPr>
        <w:t>、</w:t>
      </w:r>
      <w:r>
        <w:rPr>
          <w:rFonts w:hint="eastAsia" w:ascii="宋体" w:hAnsi="宋体" w:eastAsia="宋体" w:cs="Times New Roman"/>
          <w:color w:val="000000"/>
          <w:lang w:val="en-US" w:eastAsia="zh-CN"/>
        </w:rPr>
        <w:t>运行维护、报告编制费、</w:t>
      </w:r>
      <w:r>
        <w:rPr>
          <w:rFonts w:hint="eastAsia"/>
          <w:color w:val="000000"/>
          <w:spacing w:val="-2"/>
        </w:rPr>
        <w:t>管理费、保险费、利润、规费、税金等各种费用和价格，并包括各项费用和价格的涨价风险等，以</w:t>
      </w:r>
      <w:r>
        <w:rPr>
          <w:rFonts w:hint="eastAsia"/>
          <w:color w:val="000000"/>
        </w:rPr>
        <w:t>及合同明示或暗示的所有责任、义务和不可抗力以外的一切风险。</w:t>
      </w:r>
    </w:p>
    <w:p>
      <w:pPr>
        <w:pStyle w:val="18"/>
        <w:kinsoku w:val="0"/>
        <w:overflowPunct w:val="0"/>
        <w:spacing w:before="57" w:line="440" w:lineRule="exact"/>
        <w:ind w:left="111" w:right="232" w:firstLine="480"/>
        <w:jc w:val="both"/>
        <w:rPr>
          <w:rFonts w:eastAsia="Times New Roman"/>
        </w:rPr>
      </w:pPr>
      <w:r>
        <w:rPr>
          <w:rFonts w:hint="eastAsia"/>
        </w:rPr>
        <w:t>20</w:t>
      </w:r>
      <w:r>
        <w:t>.</w:t>
      </w:r>
      <w:r>
        <w:rPr>
          <w:rFonts w:hint="eastAsia"/>
          <w:lang w:val="en-US" w:eastAsia="zh-CN"/>
        </w:rPr>
        <w:t>6</w:t>
      </w:r>
      <w:r>
        <w:rPr>
          <w:rFonts w:hint="eastAsia"/>
        </w:rPr>
        <w:t>供应商可先到工地踏勘以充分了解工地位置</w:t>
      </w:r>
      <w:r>
        <w:rPr>
          <w:rFonts w:hint="eastAsia"/>
          <w:spacing w:val="-60"/>
        </w:rPr>
        <w:t>、</w:t>
      </w:r>
      <w:r>
        <w:rPr>
          <w:rFonts w:hint="eastAsia"/>
        </w:rPr>
        <w:t>情况</w:t>
      </w:r>
      <w:r>
        <w:rPr>
          <w:rFonts w:hint="eastAsia"/>
          <w:spacing w:val="-60"/>
        </w:rPr>
        <w:t>、</w:t>
      </w:r>
      <w:r>
        <w:rPr>
          <w:rFonts w:hint="eastAsia"/>
        </w:rPr>
        <w:t>道路及任何其他足以影响承包价的情况</w:t>
      </w:r>
      <w:r>
        <w:rPr>
          <w:rFonts w:hint="eastAsia"/>
          <w:spacing w:val="-60"/>
        </w:rPr>
        <w:t>，</w:t>
      </w:r>
      <w:r>
        <w:rPr>
          <w:rFonts w:hint="eastAsia"/>
        </w:rPr>
        <w:t>任何因忽视或误解工地情况而导致的索赔或工期延长申请将不被批准。</w:t>
      </w:r>
    </w:p>
    <w:p>
      <w:pPr>
        <w:pStyle w:val="18"/>
        <w:kinsoku w:val="0"/>
        <w:overflowPunct w:val="0"/>
        <w:spacing w:before="57" w:line="440" w:lineRule="exact"/>
        <w:rPr>
          <w:rFonts w:eastAsia="Times New Roman"/>
        </w:rPr>
      </w:pPr>
      <w:r>
        <w:rPr>
          <w:rFonts w:hint="eastAsia"/>
        </w:rPr>
        <w:t>20</w:t>
      </w:r>
      <w:r>
        <w:t>.</w:t>
      </w:r>
      <w:r>
        <w:rPr>
          <w:rFonts w:hint="eastAsia"/>
          <w:lang w:val="en-US" w:eastAsia="zh-CN"/>
        </w:rPr>
        <w:t>7</w:t>
      </w:r>
      <w:r>
        <w:rPr>
          <w:rFonts w:hint="eastAsia"/>
        </w:rPr>
        <w:t xml:space="preserve"> 供应商应将磋商报价需要说明的事项</w:t>
      </w:r>
      <w:r>
        <w:rPr>
          <w:rFonts w:hint="eastAsia"/>
          <w:spacing w:val="-89"/>
        </w:rPr>
        <w:t>，</w:t>
      </w:r>
      <w:r>
        <w:rPr>
          <w:rFonts w:hint="eastAsia"/>
        </w:rPr>
        <w:t>用文字书写与磋商报价表一并报送。</w:t>
      </w:r>
    </w:p>
    <w:p>
      <w:pPr>
        <w:pStyle w:val="18"/>
        <w:kinsoku w:val="0"/>
        <w:overflowPunct w:val="0"/>
        <w:spacing w:before="56" w:line="440" w:lineRule="exact"/>
        <w:ind w:right="232"/>
        <w:jc w:val="both"/>
        <w:rPr>
          <w:rFonts w:eastAsia="Times New Roman"/>
          <w:spacing w:val="-2"/>
        </w:rPr>
      </w:pPr>
      <w:r>
        <w:rPr>
          <w:rFonts w:hint="eastAsia"/>
        </w:rPr>
        <w:t>20</w:t>
      </w:r>
      <w:r>
        <w:t>.</w:t>
      </w:r>
      <w:r>
        <w:rPr>
          <w:rFonts w:hint="eastAsia"/>
          <w:lang w:val="en-US" w:eastAsia="zh-CN"/>
        </w:rPr>
        <w:t xml:space="preserve">8 </w:t>
      </w:r>
      <w:r>
        <w:rPr>
          <w:rFonts w:hint="eastAsia"/>
        </w:rPr>
        <w:t>本工程承包范围内所有材料</w:t>
      </w:r>
      <w:r>
        <w:rPr>
          <w:rFonts w:hint="eastAsia"/>
          <w:spacing w:val="-44"/>
        </w:rPr>
        <w:t>、</w:t>
      </w:r>
      <w:r>
        <w:rPr>
          <w:rFonts w:hint="eastAsia"/>
        </w:rPr>
        <w:t>设备由中标人负</w:t>
      </w:r>
      <w:r>
        <w:rPr>
          <w:rFonts w:hint="eastAsia"/>
          <w:spacing w:val="-2"/>
        </w:rPr>
        <w:t>责采购。用于本工程施工的</w:t>
      </w:r>
    </w:p>
    <w:p>
      <w:pPr>
        <w:pStyle w:val="18"/>
        <w:kinsoku w:val="0"/>
        <w:overflowPunct w:val="0"/>
        <w:spacing w:before="56" w:line="440" w:lineRule="exact"/>
        <w:ind w:left="0" w:right="232"/>
        <w:jc w:val="both"/>
        <w:rPr>
          <w:rFonts w:eastAsia="Times New Roman"/>
        </w:rPr>
      </w:pPr>
      <w:r>
        <w:rPr>
          <w:rFonts w:hint="eastAsia"/>
          <w:spacing w:val="-2"/>
        </w:rPr>
        <w:t>所有材料、设备、设施一经运至现场，即被视为是专门供本工程施工使用，由中标人负责统一保管，装卸费、装卸损耗费、保管费、材料</w:t>
      </w:r>
      <w:r>
        <w:rPr>
          <w:rFonts w:hint="eastAsia"/>
        </w:rPr>
        <w:t>检验试验费及其它损耗费均包含在报价中，采购人不再单独支付。</w:t>
      </w:r>
    </w:p>
    <w:p>
      <w:pPr>
        <w:pStyle w:val="18"/>
        <w:kinsoku w:val="0"/>
        <w:overflowPunct w:val="0"/>
        <w:spacing w:before="57" w:line="440" w:lineRule="exact"/>
        <w:ind w:right="232"/>
        <w:jc w:val="both"/>
        <w:rPr>
          <w:rFonts w:eastAsia="Times New Roman"/>
        </w:rPr>
      </w:pPr>
      <w:r>
        <w:rPr>
          <w:rFonts w:hint="eastAsia"/>
        </w:rPr>
        <w:t>20</w:t>
      </w:r>
      <w:r>
        <w:t>.</w:t>
      </w:r>
      <w:r>
        <w:rPr>
          <w:rFonts w:hint="eastAsia"/>
          <w:lang w:val="en-US" w:eastAsia="zh-CN"/>
        </w:rPr>
        <w:t>9</w:t>
      </w:r>
      <w:r>
        <w:rPr>
          <w:rFonts w:hint="eastAsia"/>
        </w:rPr>
        <w:t xml:space="preserve"> 工程中所需材料质量必须满足国家质量要求</w:t>
      </w:r>
      <w:r>
        <w:rPr>
          <w:rFonts w:hint="eastAsia"/>
          <w:spacing w:val="-89"/>
        </w:rPr>
        <w:t>。</w:t>
      </w:r>
      <w:r>
        <w:rPr>
          <w:rFonts w:hint="eastAsia"/>
        </w:rPr>
        <w:t>中标人在工程中应使用国家</w:t>
      </w:r>
    </w:p>
    <w:p>
      <w:pPr>
        <w:pStyle w:val="18"/>
        <w:kinsoku w:val="0"/>
        <w:overflowPunct w:val="0"/>
        <w:spacing w:before="57" w:line="440" w:lineRule="exact"/>
        <w:ind w:left="0" w:right="232"/>
        <w:jc w:val="both"/>
        <w:rPr>
          <w:rFonts w:eastAsia="Times New Roman"/>
        </w:rPr>
      </w:pPr>
      <w:r>
        <w:rPr>
          <w:rFonts w:hint="eastAsia"/>
        </w:rPr>
        <w:t>规定的材料，对禁止或废除的材料不得使用</w:t>
      </w:r>
      <w:r>
        <w:rPr>
          <w:rFonts w:hint="eastAsia"/>
          <w:b/>
          <w:bCs/>
          <w:color w:val="auto"/>
        </w:rPr>
        <w:t>。</w:t>
      </w:r>
      <w:r>
        <w:rPr>
          <w:rFonts w:hint="eastAsia" w:ascii="宋体" w:hAnsi="宋体" w:eastAsia="宋体" w:cs="Times New Roman"/>
          <w:b/>
          <w:bCs/>
          <w:color w:val="auto"/>
          <w:lang w:val="en-US" w:eastAsia="zh-CN"/>
        </w:rPr>
        <w:t>中标人提供的设备</w:t>
      </w:r>
      <w:r>
        <w:rPr>
          <w:rFonts w:hint="eastAsia" w:ascii="宋体" w:hAnsi="宋体" w:cs="Times New Roman"/>
          <w:b/>
          <w:bCs/>
          <w:color w:val="auto"/>
          <w:lang w:val="en-US" w:eastAsia="zh-CN"/>
        </w:rPr>
        <w:t>具有</w:t>
      </w:r>
      <w:r>
        <w:rPr>
          <w:rFonts w:hint="eastAsia" w:ascii="宋体" w:hAnsi="宋体" w:eastAsia="宋体" w:cs="Times New Roman"/>
          <w:b/>
          <w:bCs/>
          <w:color w:val="auto"/>
          <w:lang w:val="en-US" w:eastAsia="zh-CN"/>
        </w:rPr>
        <w:t>中国民航局《民用航空自动气象观测设备试验验证评估结论》</w:t>
      </w:r>
      <w:r>
        <w:rPr>
          <w:rFonts w:hint="eastAsia" w:ascii="宋体" w:hAnsi="宋体" w:cs="Times New Roman"/>
          <w:b/>
          <w:bCs/>
          <w:color w:val="auto"/>
          <w:lang w:val="en-US" w:eastAsia="zh-CN"/>
        </w:rPr>
        <w:t>气象观测站设备。</w:t>
      </w:r>
    </w:p>
    <w:p>
      <w:pPr>
        <w:pStyle w:val="7"/>
        <w:kinsoku w:val="0"/>
        <w:overflowPunct w:val="0"/>
        <w:spacing w:before="57" w:line="440" w:lineRule="exact"/>
        <w:rPr>
          <w:rFonts w:eastAsia="Times New Roman"/>
        </w:rPr>
      </w:pPr>
      <w:r>
        <w:rPr>
          <w:rFonts w:hint="eastAsia"/>
        </w:rPr>
        <w:t>21、磋商货币</w:t>
      </w:r>
    </w:p>
    <w:p>
      <w:pPr>
        <w:pStyle w:val="18"/>
        <w:kinsoku w:val="0"/>
        <w:overflowPunct w:val="0"/>
        <w:spacing w:line="440" w:lineRule="exact"/>
        <w:rPr>
          <w:rFonts w:eastAsia="Times New Roman"/>
        </w:rPr>
      </w:pPr>
      <w:r>
        <w:rPr>
          <w:rFonts w:hint="eastAsia"/>
        </w:rPr>
        <w:t>21</w:t>
      </w:r>
      <w:r>
        <w:t>.1</w:t>
      </w:r>
      <w:r>
        <w:rPr>
          <w:rFonts w:hint="eastAsia"/>
        </w:rPr>
        <w:t>本工程磋商报价采用的币种为</w:t>
      </w:r>
      <w:r>
        <w:rPr>
          <w:rFonts w:hint="eastAsia"/>
          <w:u w:val="single"/>
        </w:rPr>
        <w:t>人民币</w:t>
      </w:r>
      <w:r>
        <w:rPr>
          <w:rFonts w:hint="eastAsia"/>
        </w:rPr>
        <w:t>。</w:t>
      </w:r>
    </w:p>
    <w:p>
      <w:pPr>
        <w:pStyle w:val="7"/>
        <w:kinsoku w:val="0"/>
        <w:overflowPunct w:val="0"/>
        <w:spacing w:before="0" w:line="440" w:lineRule="exact"/>
        <w:rPr>
          <w:rFonts w:eastAsia="Times New Roman"/>
        </w:rPr>
      </w:pPr>
      <w:r>
        <w:rPr>
          <w:rFonts w:hint="eastAsia"/>
        </w:rPr>
        <w:t>22、磋商有效期</w:t>
      </w:r>
    </w:p>
    <w:p>
      <w:pPr>
        <w:pStyle w:val="18"/>
        <w:kinsoku w:val="0"/>
        <w:overflowPunct w:val="0"/>
        <w:spacing w:line="440" w:lineRule="exact"/>
        <w:ind w:left="111" w:right="232" w:firstLine="480"/>
        <w:jc w:val="both"/>
        <w:rPr>
          <w:rFonts w:eastAsia="Times New Roman"/>
        </w:rPr>
      </w:pPr>
      <w:r>
        <w:rPr>
          <w:rFonts w:hint="eastAsia"/>
        </w:rPr>
        <w:t>22</w:t>
      </w:r>
      <w:r>
        <w:t>.1</w:t>
      </w:r>
      <w:r>
        <w:rPr>
          <w:rFonts w:hint="eastAsia"/>
        </w:rPr>
        <w:t xml:space="preserve"> 磋商有效期见本须知前附表第20项所规定的期限，在此期限内，凡符合磋商文件要求的响应文件均保持有效。</w:t>
      </w:r>
    </w:p>
    <w:p>
      <w:pPr>
        <w:pStyle w:val="18"/>
        <w:kinsoku w:val="0"/>
        <w:overflowPunct w:val="0"/>
        <w:spacing w:before="26" w:line="440" w:lineRule="exact"/>
        <w:ind w:left="111" w:right="152" w:firstLine="480"/>
        <w:jc w:val="both"/>
        <w:rPr>
          <w:rFonts w:eastAsia="Times New Roman"/>
        </w:rPr>
      </w:pPr>
      <w:r>
        <w:rPr>
          <w:rFonts w:hint="eastAsia"/>
        </w:rPr>
        <w:t>22</w:t>
      </w:r>
      <w:r>
        <w:t>.2</w:t>
      </w:r>
      <w:r>
        <w:rPr>
          <w:rFonts w:hint="eastAsia"/>
        </w:rPr>
        <w:t xml:space="preserve"> 在特殊情况下</w:t>
      </w:r>
      <w:r>
        <w:rPr>
          <w:rFonts w:hint="eastAsia"/>
          <w:spacing w:val="-60"/>
        </w:rPr>
        <w:t>，</w:t>
      </w:r>
      <w:r>
        <w:rPr>
          <w:rFonts w:hint="eastAsia"/>
        </w:rPr>
        <w:t>采购人在原定磋商有效期内</w:t>
      </w:r>
      <w:r>
        <w:rPr>
          <w:rFonts w:hint="eastAsia"/>
          <w:spacing w:val="-60"/>
        </w:rPr>
        <w:t>，</w:t>
      </w:r>
      <w:r>
        <w:rPr>
          <w:rFonts w:hint="eastAsia"/>
        </w:rPr>
        <w:t>可以根据需要以书面形式向供应商提出延长磋商有效期的要求</w:t>
      </w:r>
      <w:r>
        <w:rPr>
          <w:rFonts w:hint="eastAsia"/>
          <w:spacing w:val="-32"/>
        </w:rPr>
        <w:t>，</w:t>
      </w:r>
      <w:r>
        <w:rPr>
          <w:rFonts w:hint="eastAsia"/>
        </w:rPr>
        <w:t>对此要求供应商须以书面形式予以答</w:t>
      </w:r>
      <w:r>
        <w:rPr>
          <w:rFonts w:hint="eastAsia"/>
          <w:spacing w:val="2"/>
        </w:rPr>
        <w:t>复</w:t>
      </w:r>
      <w:r>
        <w:rPr>
          <w:rFonts w:hint="eastAsia"/>
          <w:spacing w:val="-32"/>
        </w:rPr>
        <w:t>。</w:t>
      </w:r>
      <w:r>
        <w:rPr>
          <w:rFonts w:hint="eastAsia"/>
        </w:rPr>
        <w:t>供应商可以拒绝采购人这种要求</w:t>
      </w:r>
      <w:r>
        <w:rPr>
          <w:rFonts w:hint="eastAsia"/>
          <w:spacing w:val="-32"/>
        </w:rPr>
        <w:t>，</w:t>
      </w:r>
      <w:r>
        <w:rPr>
          <w:rFonts w:hint="eastAsia"/>
        </w:rPr>
        <w:t>而不被没收保证</w:t>
      </w:r>
      <w:r>
        <w:rPr>
          <w:rFonts w:hint="eastAsia"/>
          <w:spacing w:val="2"/>
        </w:rPr>
        <w:t>金</w:t>
      </w:r>
      <w:r>
        <w:rPr>
          <w:rFonts w:hint="eastAsia"/>
          <w:spacing w:val="-32"/>
        </w:rPr>
        <w:t>。</w:t>
      </w:r>
      <w:r>
        <w:rPr>
          <w:rFonts w:hint="eastAsia"/>
        </w:rPr>
        <w:t>同意延长磋商有效期的供应商既不能要求也不允许修改其响应文件</w:t>
      </w:r>
      <w:r>
        <w:rPr>
          <w:rFonts w:hint="eastAsia"/>
          <w:spacing w:val="-32"/>
        </w:rPr>
        <w:t>，</w:t>
      </w:r>
      <w:r>
        <w:rPr>
          <w:rFonts w:hint="eastAsia"/>
        </w:rPr>
        <w:t>但需要相应地延长磋商保证金的有效</w:t>
      </w:r>
      <w:r>
        <w:rPr>
          <w:rFonts w:hint="eastAsia"/>
          <w:spacing w:val="2"/>
        </w:rPr>
        <w:t>期</w:t>
      </w:r>
      <w:r>
        <w:rPr>
          <w:rFonts w:hint="eastAsia"/>
          <w:spacing w:val="-32"/>
        </w:rPr>
        <w:t>，</w:t>
      </w:r>
      <w:r>
        <w:rPr>
          <w:rFonts w:hint="eastAsia"/>
        </w:rPr>
        <w:t>在延长的磋商有效期内本须知第</w:t>
      </w:r>
      <w:r>
        <w:t>2</w:t>
      </w:r>
      <w:r>
        <w:rPr>
          <w:rFonts w:hint="eastAsia"/>
        </w:rPr>
        <w:t>3条关于磋商保证金的退还与没收的规定仍然适用。</w:t>
      </w:r>
    </w:p>
    <w:p>
      <w:pPr>
        <w:pStyle w:val="7"/>
        <w:kinsoku w:val="0"/>
        <w:overflowPunct w:val="0"/>
        <w:spacing w:before="57" w:line="440" w:lineRule="exact"/>
        <w:rPr>
          <w:rFonts w:eastAsia="Times New Roman"/>
        </w:rPr>
      </w:pPr>
      <w:r>
        <w:rPr>
          <w:rFonts w:hint="eastAsia"/>
        </w:rPr>
        <w:t>23、磋商保证金</w:t>
      </w:r>
    </w:p>
    <w:p>
      <w:pPr>
        <w:pStyle w:val="18"/>
        <w:tabs>
          <w:tab w:val="left" w:pos="3963"/>
        </w:tabs>
        <w:kinsoku w:val="0"/>
        <w:overflowPunct w:val="0"/>
        <w:spacing w:before="56" w:line="440" w:lineRule="exact"/>
        <w:rPr>
          <w:rFonts w:hint="eastAsia" w:ascii="宋体" w:hAnsi="宋体" w:eastAsia="宋体" w:cs="Times New Roman"/>
          <w:b/>
          <w:spacing w:val="1"/>
          <w:sz w:val="24"/>
          <w:szCs w:val="24"/>
          <w:lang w:val="en-US" w:eastAsia="zh-CN" w:bidi="ar-SA"/>
        </w:rPr>
      </w:pPr>
      <w:r>
        <w:rPr>
          <w:rFonts w:hint="eastAsia"/>
          <w:b/>
          <w:spacing w:val="1"/>
        </w:rPr>
        <w:t>23</w:t>
      </w:r>
      <w:r>
        <w:rPr>
          <w:b/>
          <w:spacing w:val="1"/>
        </w:rPr>
        <w:t>.1</w:t>
      </w:r>
      <w:r>
        <w:rPr>
          <w:rFonts w:hint="eastAsia"/>
          <w:b/>
          <w:spacing w:val="1"/>
        </w:rPr>
        <w:t>供应商应同时提供前附表第</w:t>
      </w:r>
      <w:r>
        <w:rPr>
          <w:rFonts w:hint="eastAsia"/>
          <w:b/>
        </w:rPr>
        <w:t>21</w:t>
      </w:r>
      <w:r>
        <w:rPr>
          <w:rFonts w:hint="eastAsia"/>
          <w:b/>
          <w:spacing w:val="2"/>
        </w:rPr>
        <w:t>项规</w:t>
      </w:r>
      <w:r>
        <w:rPr>
          <w:rFonts w:hint="eastAsia"/>
          <w:b/>
        </w:rPr>
        <w:t>定</w:t>
      </w:r>
      <w:r>
        <w:rPr>
          <w:rFonts w:hint="eastAsia"/>
          <w:b/>
          <w:spacing w:val="2"/>
        </w:rPr>
        <w:t>数额的磋商</w:t>
      </w:r>
      <w:r>
        <w:rPr>
          <w:rFonts w:hint="eastAsia"/>
          <w:b/>
        </w:rPr>
        <w:t>保</w:t>
      </w:r>
      <w:r>
        <w:rPr>
          <w:rFonts w:hint="eastAsia"/>
          <w:b/>
          <w:spacing w:val="2"/>
        </w:rPr>
        <w:t>证金</w:t>
      </w:r>
      <w:r>
        <w:rPr>
          <w:rFonts w:hint="eastAsia"/>
          <w:b/>
          <w:spacing w:val="-33"/>
        </w:rPr>
        <w:t>，</w:t>
      </w:r>
      <w:r>
        <w:rPr>
          <w:rFonts w:hint="eastAsia"/>
          <w:b/>
          <w:spacing w:val="2"/>
        </w:rPr>
        <w:t>并作</w:t>
      </w:r>
      <w:r>
        <w:rPr>
          <w:rFonts w:hint="eastAsia"/>
          <w:b/>
        </w:rPr>
        <w:t>为</w:t>
      </w:r>
      <w:r>
        <w:rPr>
          <w:rFonts w:hint="eastAsia"/>
          <w:b/>
          <w:spacing w:val="2"/>
        </w:rPr>
        <w:t>其响应</w:t>
      </w:r>
      <w:r>
        <w:rPr>
          <w:rFonts w:hint="eastAsia"/>
          <w:b/>
        </w:rPr>
        <w:t>文</w:t>
      </w:r>
      <w:r>
        <w:rPr>
          <w:rFonts w:hint="eastAsia" w:ascii="宋体" w:hAnsi="宋体" w:eastAsia="宋体" w:cs="Times New Roman"/>
          <w:b/>
          <w:spacing w:val="1"/>
          <w:sz w:val="24"/>
          <w:szCs w:val="24"/>
          <w:lang w:val="en-US" w:eastAsia="zh-CN" w:bidi="ar-SA"/>
        </w:rPr>
        <w:t>件的</w:t>
      </w:r>
    </w:p>
    <w:p>
      <w:pPr>
        <w:pStyle w:val="18"/>
        <w:tabs>
          <w:tab w:val="left" w:pos="3963"/>
        </w:tabs>
        <w:kinsoku w:val="0"/>
        <w:overflowPunct w:val="0"/>
        <w:spacing w:before="56" w:line="440" w:lineRule="exact"/>
        <w:ind w:left="0" w:leftChars="0" w:firstLine="0" w:firstLineChars="0"/>
        <w:rPr>
          <w:rFonts w:ascii="宋体"/>
          <w:b/>
          <w:sz w:val="24"/>
        </w:rPr>
      </w:pPr>
      <w:r>
        <w:rPr>
          <w:rFonts w:hint="eastAsia" w:ascii="宋体" w:hAnsi="宋体" w:eastAsia="宋体" w:cs="Times New Roman"/>
          <w:b/>
          <w:spacing w:val="1"/>
          <w:sz w:val="24"/>
          <w:szCs w:val="24"/>
          <w:lang w:val="en-US" w:eastAsia="zh-CN" w:bidi="ar-SA"/>
        </w:rPr>
        <w:t>一部分。磋商保证</w:t>
      </w:r>
      <w:r>
        <w:rPr>
          <w:rFonts w:hint="eastAsia" w:ascii="宋体" w:hAnsi="宋体"/>
          <w:b/>
          <w:sz w:val="24"/>
        </w:rPr>
        <w:t>金提交方式为从供应商基本账户以电汇、网银等非现金形式在提交首次响应文件截止时间前交纳。汇款需注明采购项目名称或编号。</w:t>
      </w:r>
    </w:p>
    <w:p>
      <w:pPr>
        <w:pStyle w:val="18"/>
        <w:kinsoku w:val="0"/>
        <w:overflowPunct w:val="0"/>
        <w:spacing w:line="440" w:lineRule="exact"/>
        <w:ind w:left="111" w:firstLine="480"/>
        <w:rPr>
          <w:rFonts w:hint="eastAsia" w:ascii="宋体" w:hAnsi="宋体" w:eastAsia="宋体" w:cs="宋体"/>
          <w:bCs/>
          <w:color w:val="000000"/>
        </w:rPr>
      </w:pPr>
      <w:r>
        <w:rPr>
          <w:rFonts w:hint="eastAsia" w:ascii="宋体" w:hAnsi="宋体" w:eastAsia="宋体" w:cs="宋体"/>
          <w:bCs/>
          <w:color w:val="000000"/>
        </w:rPr>
        <w:t>单位名称：</w:t>
      </w:r>
      <w:r>
        <w:rPr>
          <w:rFonts w:hint="eastAsia" w:ascii="宋体" w:hAnsi="宋体" w:eastAsia="宋体" w:cs="宋体"/>
          <w:bCs/>
          <w:color w:val="000000"/>
          <w:lang w:eastAsia="zh-CN"/>
        </w:rPr>
        <w:t>新疆汇力赋能项目管理有限责任公司</w:t>
      </w:r>
    </w:p>
    <w:p>
      <w:pPr>
        <w:pStyle w:val="18"/>
        <w:kinsoku w:val="0"/>
        <w:overflowPunct w:val="0"/>
        <w:spacing w:line="440" w:lineRule="exact"/>
        <w:ind w:left="111" w:firstLine="480"/>
        <w:rPr>
          <w:rFonts w:hint="eastAsia" w:ascii="宋体" w:hAnsi="宋体" w:eastAsia="宋体" w:cs="宋体"/>
          <w:bCs/>
          <w:color w:val="000000"/>
        </w:rPr>
      </w:pPr>
      <w:r>
        <w:rPr>
          <w:rFonts w:hint="eastAsia" w:ascii="宋体" w:hAnsi="宋体" w:eastAsia="宋体" w:cs="宋体"/>
          <w:bCs/>
          <w:color w:val="000000"/>
        </w:rPr>
        <w:t>开户银行：中国工商银行股份有限公司巴音郭楞蒙古自治州分行</w:t>
      </w:r>
    </w:p>
    <w:p>
      <w:pPr>
        <w:pStyle w:val="18"/>
        <w:kinsoku w:val="0"/>
        <w:overflowPunct w:val="0"/>
        <w:spacing w:line="440" w:lineRule="exact"/>
        <w:ind w:left="111" w:firstLine="480"/>
        <w:rPr>
          <w:rFonts w:hint="eastAsia" w:ascii="宋体" w:hAnsi="宋体" w:eastAsia="宋体" w:cs="宋体"/>
          <w:bCs/>
          <w:color w:val="000000"/>
        </w:rPr>
      </w:pPr>
      <w:r>
        <w:rPr>
          <w:rFonts w:hint="eastAsia" w:ascii="宋体" w:hAnsi="宋体" w:eastAsia="宋体" w:cs="宋体"/>
          <w:bCs/>
          <w:color w:val="000000"/>
        </w:rPr>
        <w:t>帐  号：3010024709200410350</w:t>
      </w:r>
    </w:p>
    <w:p>
      <w:pPr>
        <w:pStyle w:val="18"/>
        <w:kinsoku w:val="0"/>
        <w:overflowPunct w:val="0"/>
        <w:spacing w:line="440" w:lineRule="exact"/>
        <w:ind w:left="111" w:firstLine="480"/>
        <w:rPr>
          <w:rFonts w:hint="eastAsia" w:ascii="宋体" w:hAnsi="宋体" w:eastAsia="宋体" w:cs="宋体"/>
          <w:bCs/>
          <w:color w:val="000000"/>
          <w:sz w:val="24"/>
        </w:rPr>
      </w:pPr>
      <w:r>
        <w:rPr>
          <w:rFonts w:hint="eastAsia" w:ascii="宋体" w:hAnsi="宋体" w:eastAsia="宋体" w:cs="宋体"/>
          <w:bCs/>
          <w:color w:val="000000"/>
        </w:rPr>
        <w:t>行  号：</w:t>
      </w:r>
      <w:r>
        <w:rPr>
          <w:rFonts w:hint="eastAsia" w:ascii="宋体" w:hAnsi="宋体" w:eastAsia="宋体" w:cs="宋体"/>
          <w:bCs/>
          <w:color w:val="000000"/>
          <w:lang w:val="en-US" w:eastAsia="zh-CN"/>
        </w:rPr>
        <w:t>102888000013</w:t>
      </w:r>
    </w:p>
    <w:p>
      <w:pPr>
        <w:pStyle w:val="18"/>
        <w:kinsoku w:val="0"/>
        <w:overflowPunct w:val="0"/>
        <w:spacing w:line="440" w:lineRule="exact"/>
        <w:ind w:left="111" w:firstLine="480"/>
        <w:rPr>
          <w:rFonts w:cs="宋体"/>
          <w:bCs/>
          <w:color w:val="000000"/>
          <w:szCs w:val="22"/>
        </w:rPr>
      </w:pPr>
      <w:r>
        <w:rPr>
          <w:rFonts w:hint="eastAsia" w:ascii="宋体" w:hAnsi="宋体" w:eastAsia="宋体" w:cs="宋体"/>
          <w:bCs/>
          <w:color w:val="000000"/>
        </w:rPr>
        <w:t>投标保证金以到账信息为准，供应商应充分考虑在途时间，投标供应商未按照磋商文件要求提交投标保证金的，磋商无效。</w:t>
      </w:r>
      <w:r>
        <w:rPr>
          <w:rFonts w:hint="eastAsia" w:cs="宋体"/>
          <w:bCs/>
          <w:color w:val="000000"/>
          <w:szCs w:val="22"/>
        </w:rPr>
        <w:t>投标保证金以到账信息为准，供应商应充分考虑在途时间，投标供应商未按照磋商文件要求提交投标保证金的，磋商无效。</w:t>
      </w:r>
    </w:p>
    <w:p>
      <w:pPr>
        <w:pStyle w:val="18"/>
        <w:kinsoku w:val="0"/>
        <w:overflowPunct w:val="0"/>
        <w:spacing w:line="440" w:lineRule="exact"/>
        <w:ind w:left="111" w:firstLine="480"/>
        <w:rPr>
          <w:rFonts w:eastAsia="Times New Roman"/>
        </w:rPr>
      </w:pPr>
      <w:r>
        <w:rPr>
          <w:rFonts w:hint="eastAsia"/>
        </w:rPr>
        <w:t>23</w:t>
      </w:r>
      <w:r>
        <w:t xml:space="preserve">.2 </w:t>
      </w:r>
      <w:r>
        <w:rPr>
          <w:rFonts w:hint="eastAsia"/>
          <w:spacing w:val="1"/>
        </w:rPr>
        <w:t>对于未能按要求提交磋商保证金的报价，采购人将视为不响应磋商文件而</w:t>
      </w:r>
      <w:r>
        <w:rPr>
          <w:rFonts w:hint="eastAsia"/>
        </w:rPr>
        <w:t>予以拒绝。</w:t>
      </w:r>
    </w:p>
    <w:p>
      <w:pPr>
        <w:pStyle w:val="18"/>
        <w:kinsoku w:val="0"/>
        <w:overflowPunct w:val="0"/>
        <w:spacing w:before="56" w:line="440" w:lineRule="exact"/>
        <w:ind w:left="111" w:firstLine="480"/>
        <w:rPr>
          <w:rFonts w:eastAsia="Times New Roman"/>
        </w:rPr>
      </w:pPr>
      <w:r>
        <w:rPr>
          <w:rFonts w:hint="eastAsia"/>
        </w:rPr>
        <w:t>23</w:t>
      </w:r>
      <w:r>
        <w:t xml:space="preserve">.3 </w:t>
      </w:r>
      <w:r>
        <w:rPr>
          <w:rFonts w:hint="eastAsia"/>
          <w:spacing w:val="1"/>
        </w:rPr>
        <w:t>未中标的供应商的磋商保证金将在成交通知书发出之日起</w:t>
      </w:r>
      <w:r>
        <w:t>5</w:t>
      </w:r>
      <w:r>
        <w:rPr>
          <w:rFonts w:hint="eastAsia"/>
          <w:spacing w:val="1"/>
        </w:rPr>
        <w:t>个工作日内退</w:t>
      </w:r>
      <w:r>
        <w:rPr>
          <w:rFonts w:hint="eastAsia"/>
        </w:rPr>
        <w:t>还（无息）。</w:t>
      </w:r>
    </w:p>
    <w:p>
      <w:pPr>
        <w:pStyle w:val="18"/>
        <w:kinsoku w:val="0"/>
        <w:overflowPunct w:val="0"/>
        <w:spacing w:before="60" w:line="440" w:lineRule="exact"/>
        <w:ind w:left="111" w:firstLine="480"/>
        <w:rPr>
          <w:rFonts w:eastAsia="Times New Roman"/>
        </w:rPr>
      </w:pPr>
      <w:r>
        <w:rPr>
          <w:rFonts w:hint="eastAsia"/>
        </w:rPr>
        <w:t>23</w:t>
      </w:r>
      <w:r>
        <w:t>.4</w:t>
      </w:r>
      <w:r>
        <w:rPr>
          <w:rFonts w:hint="eastAsia"/>
        </w:rPr>
        <w:t xml:space="preserve"> 中标人的磋商保证金</w:t>
      </w:r>
      <w:r>
        <w:rPr>
          <w:rFonts w:hint="eastAsia"/>
          <w:spacing w:val="-120"/>
        </w:rPr>
        <w:t>，</w:t>
      </w:r>
      <w:r>
        <w:rPr>
          <w:rFonts w:hint="eastAsia" w:cs="宋体"/>
          <w:lang w:val="zh-CN"/>
        </w:rPr>
        <w:t>在采购合同签定后</w:t>
      </w:r>
      <w:r>
        <w:rPr>
          <w:rFonts w:cs="宋体"/>
          <w:lang w:val="zh-CN"/>
        </w:rPr>
        <w:t>5</w:t>
      </w:r>
      <w:r>
        <w:rPr>
          <w:rFonts w:hint="eastAsia" w:cs="宋体"/>
          <w:lang w:val="zh-CN"/>
        </w:rPr>
        <w:t>个工作日内退还，但因供应商自身原因导致无法及时退还的除外。</w:t>
      </w:r>
    </w:p>
    <w:p>
      <w:pPr>
        <w:pStyle w:val="18"/>
        <w:kinsoku w:val="0"/>
        <w:overflowPunct w:val="0"/>
        <w:spacing w:before="57" w:line="440" w:lineRule="exact"/>
        <w:rPr>
          <w:rFonts w:eastAsia="Times New Roman"/>
        </w:rPr>
      </w:pPr>
      <w:r>
        <w:rPr>
          <w:rFonts w:hint="eastAsia"/>
        </w:rPr>
        <w:t>23</w:t>
      </w:r>
      <w:r>
        <w:t>.5</w:t>
      </w:r>
      <w:r>
        <w:rPr>
          <w:rFonts w:hint="eastAsia"/>
        </w:rPr>
        <w:t xml:space="preserve"> 如供应商有下列情况，将被没收磋商保证金：</w:t>
      </w:r>
    </w:p>
    <w:p>
      <w:pPr>
        <w:pStyle w:val="18"/>
        <w:kinsoku w:val="0"/>
        <w:overflowPunct w:val="0"/>
        <w:spacing w:line="440" w:lineRule="exact"/>
        <w:rPr>
          <w:rFonts w:eastAsia="Times New Roman"/>
        </w:rPr>
      </w:pPr>
      <w:r>
        <w:rPr>
          <w:rFonts w:hint="eastAsia"/>
        </w:rPr>
        <w:t>23</w:t>
      </w:r>
      <w:r>
        <w:t>.5.1</w:t>
      </w:r>
      <w:r>
        <w:rPr>
          <w:rFonts w:hint="eastAsia"/>
        </w:rPr>
        <w:t>供应商在磋商有效期内撤销或修改其响应文件；</w:t>
      </w:r>
    </w:p>
    <w:p>
      <w:pPr>
        <w:pStyle w:val="18"/>
        <w:kinsoku w:val="0"/>
        <w:overflowPunct w:val="0"/>
        <w:spacing w:line="440" w:lineRule="exact"/>
        <w:rPr>
          <w:rFonts w:eastAsia="Times New Roman"/>
        </w:rPr>
      </w:pPr>
      <w:r>
        <w:rPr>
          <w:rFonts w:hint="eastAsia"/>
        </w:rPr>
        <w:t>23</w:t>
      </w:r>
      <w:r>
        <w:t>.5.2</w:t>
      </w:r>
      <w:r>
        <w:rPr>
          <w:rFonts w:hint="eastAsia"/>
        </w:rPr>
        <w:t>中标人未能在规定期限内签署合同协议；</w:t>
      </w:r>
    </w:p>
    <w:p>
      <w:pPr>
        <w:pStyle w:val="18"/>
        <w:kinsoku w:val="0"/>
        <w:overflowPunct w:val="0"/>
        <w:spacing w:line="420" w:lineRule="exact"/>
        <w:rPr>
          <w:rFonts w:eastAsia="Times New Roman"/>
        </w:rPr>
      </w:pPr>
      <w:r>
        <w:rPr>
          <w:rFonts w:hint="eastAsia"/>
        </w:rPr>
        <w:t>23</w:t>
      </w:r>
      <w:r>
        <w:t>.5.3</w:t>
      </w:r>
      <w:r>
        <w:rPr>
          <w:rFonts w:hint="eastAsia"/>
        </w:rPr>
        <w:t>法律法规规定的其他情形。</w:t>
      </w:r>
    </w:p>
    <w:p>
      <w:pPr>
        <w:pStyle w:val="18"/>
        <w:kinsoku w:val="0"/>
        <w:overflowPunct w:val="0"/>
        <w:spacing w:before="26" w:line="420" w:lineRule="exact"/>
        <w:ind w:left="590"/>
        <w:rPr>
          <w:rFonts w:eastAsia="Times New Roman"/>
        </w:rPr>
      </w:pPr>
      <w:r>
        <w:rPr>
          <w:rFonts w:hint="eastAsia"/>
          <w:b/>
        </w:rPr>
        <w:t>24、供应商的替代方案：</w:t>
      </w:r>
      <w:r>
        <w:rPr>
          <w:rFonts w:hint="eastAsia"/>
        </w:rPr>
        <w:t>无。</w:t>
      </w:r>
    </w:p>
    <w:p>
      <w:pPr>
        <w:pStyle w:val="7"/>
        <w:kinsoku w:val="0"/>
        <w:overflowPunct w:val="0"/>
        <w:spacing w:before="57" w:line="420" w:lineRule="exact"/>
        <w:rPr>
          <w:rFonts w:eastAsia="Times New Roman"/>
        </w:rPr>
      </w:pPr>
      <w:r>
        <w:rPr>
          <w:rFonts w:hint="eastAsia"/>
        </w:rPr>
        <w:t>25、响应文件的份数和签署</w:t>
      </w:r>
    </w:p>
    <w:p>
      <w:pPr>
        <w:spacing w:line="440" w:lineRule="exact"/>
        <w:ind w:firstLine="420"/>
        <w:rPr>
          <w:rFonts w:ascii="宋体"/>
        </w:rPr>
      </w:pPr>
      <w:r>
        <w:rPr>
          <w:rFonts w:hint="eastAsia" w:ascii="宋体" w:hAnsi="宋体"/>
        </w:rPr>
        <w:t>25</w:t>
      </w:r>
      <w:r>
        <w:rPr>
          <w:rFonts w:ascii="宋体" w:hAnsi="宋体"/>
        </w:rPr>
        <w:t xml:space="preserve">.1  </w:t>
      </w:r>
      <w:r>
        <w:rPr>
          <w:rFonts w:hint="eastAsia" w:ascii="宋体" w:hAnsi="宋体"/>
        </w:rPr>
        <w:t>响应文件应按本采购文件第六章有关要求编制，上传的电子磋商响应文件的签署可采用</w:t>
      </w:r>
      <w:r>
        <w:rPr>
          <w:rFonts w:ascii="宋体" w:hAnsi="宋体"/>
        </w:rPr>
        <w:t>CA</w:t>
      </w:r>
      <w:r>
        <w:rPr>
          <w:rFonts w:hint="eastAsia" w:ascii="宋体" w:hAnsi="宋体"/>
        </w:rPr>
        <w:t>锁电子签章进行，如办理了法人电子锁，法人签字也可以进行电子签章。</w:t>
      </w:r>
    </w:p>
    <w:p>
      <w:pPr>
        <w:spacing w:line="440" w:lineRule="exact"/>
        <w:ind w:firstLine="420"/>
        <w:rPr>
          <w:rFonts w:ascii="宋体"/>
        </w:rPr>
      </w:pPr>
      <w:r>
        <w:rPr>
          <w:rFonts w:hint="eastAsia" w:ascii="宋体" w:hAnsi="宋体"/>
        </w:rPr>
        <w:t>25</w:t>
      </w:r>
      <w:r>
        <w:rPr>
          <w:rFonts w:ascii="宋体" w:hAnsi="宋体"/>
        </w:rPr>
        <w:t xml:space="preserve">.2 </w:t>
      </w:r>
      <w:r>
        <w:rPr>
          <w:rFonts w:hint="eastAsia" w:ascii="宋体" w:hAnsi="宋体"/>
        </w:rPr>
        <w:t>纸质版响应文件均须在封面上清楚标明</w:t>
      </w:r>
      <w:r>
        <w:rPr>
          <w:rFonts w:hint="eastAsia" w:ascii="宋体"/>
        </w:rPr>
        <w:t>“</w:t>
      </w:r>
      <w:r>
        <w:rPr>
          <w:rFonts w:hint="eastAsia" w:ascii="宋体" w:hAnsi="宋体"/>
        </w:rPr>
        <w:t>正本</w:t>
      </w:r>
      <w:r>
        <w:rPr>
          <w:rFonts w:hint="eastAsia" w:ascii="宋体"/>
        </w:rPr>
        <w:t>”</w:t>
      </w:r>
      <w:r>
        <w:rPr>
          <w:rFonts w:hint="eastAsia" w:ascii="宋体" w:hAnsi="宋体"/>
        </w:rPr>
        <w:t>或</w:t>
      </w:r>
      <w:r>
        <w:rPr>
          <w:rFonts w:hint="eastAsia" w:ascii="宋体"/>
        </w:rPr>
        <w:t>“</w:t>
      </w:r>
      <w:r>
        <w:rPr>
          <w:rFonts w:hint="eastAsia" w:ascii="宋体" w:hAnsi="宋体"/>
        </w:rPr>
        <w:t>副本</w:t>
      </w:r>
      <w:r>
        <w:rPr>
          <w:rFonts w:hint="eastAsia" w:ascii="宋体"/>
        </w:rPr>
        <w:t>”</w:t>
      </w:r>
      <w:r>
        <w:rPr>
          <w:rFonts w:hint="eastAsia" w:ascii="宋体" w:hAnsi="宋体"/>
        </w:rPr>
        <w:t>字样。</w:t>
      </w:r>
      <w:r>
        <w:rPr>
          <w:rFonts w:hint="eastAsia" w:ascii="宋体"/>
        </w:rPr>
        <w:t>“</w:t>
      </w:r>
      <w:r>
        <w:rPr>
          <w:rFonts w:hint="eastAsia" w:ascii="宋体" w:hAnsi="宋体"/>
        </w:rPr>
        <w:t>正本</w:t>
      </w:r>
      <w:r>
        <w:rPr>
          <w:rFonts w:hint="eastAsia" w:ascii="宋体"/>
        </w:rPr>
        <w:t>”</w:t>
      </w:r>
      <w:r>
        <w:rPr>
          <w:rFonts w:hint="eastAsia" w:ascii="宋体" w:hAnsi="宋体"/>
        </w:rPr>
        <w:t>和</w:t>
      </w:r>
      <w:r>
        <w:rPr>
          <w:rFonts w:hint="eastAsia" w:ascii="宋体"/>
        </w:rPr>
        <w:t>“</w:t>
      </w:r>
      <w:r>
        <w:rPr>
          <w:rFonts w:hint="eastAsia" w:ascii="宋体" w:hAnsi="宋体"/>
        </w:rPr>
        <w:t>副本</w:t>
      </w:r>
      <w:r>
        <w:rPr>
          <w:rFonts w:hint="eastAsia" w:ascii="宋体"/>
        </w:rPr>
        <w:t>”</w:t>
      </w:r>
      <w:r>
        <w:rPr>
          <w:rFonts w:hint="eastAsia" w:ascii="宋体" w:hAnsi="宋体"/>
        </w:rPr>
        <w:t>之间如有差异，以正本为准。纸质版响应文件正本中，文字材料需打印或用不褪色墨水书写。纸质版响应文件的正本须经法人代表或授权委托人签署和加盖磋商供应商公章，副本可以是正本的复印件。纸质版响应文件如有错误必须修改时，修改处须由法人代表或其授权委托人签字或加盖公章。</w:t>
      </w:r>
    </w:p>
    <w:p>
      <w:pPr>
        <w:spacing w:line="440" w:lineRule="exact"/>
        <w:ind w:firstLine="420"/>
        <w:rPr>
          <w:rFonts w:ascii="宋体" w:eastAsia="Times New Roman"/>
          <w:b/>
        </w:rPr>
      </w:pPr>
      <w:r>
        <w:rPr>
          <w:rFonts w:hint="eastAsia" w:ascii="宋体" w:hAnsi="宋体"/>
        </w:rPr>
        <w:t>25</w:t>
      </w:r>
      <w:r>
        <w:rPr>
          <w:rFonts w:ascii="宋体" w:hAnsi="宋体"/>
        </w:rPr>
        <w:t xml:space="preserve">.3 </w:t>
      </w:r>
      <w:r>
        <w:rPr>
          <w:rFonts w:hint="eastAsia" w:ascii="宋体" w:hAnsi="宋体"/>
          <w:b/>
        </w:rPr>
        <w:t>投标报价表凡是要求盖供应商公章、法定代表人或委托代理人</w:t>
      </w:r>
      <w:r>
        <w:rPr>
          <w:rFonts w:hint="eastAsia" w:ascii="宋体" w:hAnsi="宋体"/>
          <w:b/>
          <w:lang w:eastAsia="zh-CN"/>
        </w:rPr>
        <w:t>签</w:t>
      </w:r>
      <w:r>
        <w:rPr>
          <w:rFonts w:hint="eastAsia" w:ascii="宋体" w:hAnsi="宋体"/>
          <w:b/>
        </w:rPr>
        <w:t>章</w:t>
      </w:r>
      <w:r>
        <w:rPr>
          <w:rFonts w:hint="eastAsia" w:ascii="宋体" w:hAnsi="宋体"/>
          <w:b/>
          <w:lang w:eastAsia="zh-CN"/>
        </w:rPr>
        <w:t>的，</w:t>
      </w:r>
      <w:r>
        <w:rPr>
          <w:rFonts w:hint="eastAsia" w:ascii="宋体" w:hAnsi="宋体"/>
          <w:b/>
        </w:rPr>
        <w:t>供应商必须加盖</w:t>
      </w:r>
      <w:r>
        <w:rPr>
          <w:rFonts w:hint="eastAsia" w:ascii="宋体" w:hAnsi="宋体"/>
          <w:b/>
          <w:lang w:eastAsia="zh-CN"/>
        </w:rPr>
        <w:t>和签章</w:t>
      </w:r>
      <w:r>
        <w:rPr>
          <w:rFonts w:hint="eastAsia" w:ascii="宋体" w:hAnsi="宋体"/>
          <w:b/>
        </w:rPr>
        <w:t>。</w:t>
      </w:r>
    </w:p>
    <w:p>
      <w:pPr>
        <w:pStyle w:val="7"/>
        <w:kinsoku w:val="0"/>
        <w:overflowPunct w:val="0"/>
        <w:spacing w:before="57" w:line="420" w:lineRule="exact"/>
        <w:ind w:left="0" w:right="110"/>
        <w:rPr>
          <w:rFonts w:eastAsia="Times New Roman"/>
        </w:rPr>
      </w:pPr>
    </w:p>
    <w:p>
      <w:pPr>
        <w:pStyle w:val="7"/>
        <w:numPr>
          <w:ilvl w:val="0"/>
          <w:numId w:val="3"/>
        </w:numPr>
        <w:kinsoku w:val="0"/>
        <w:overflowPunct w:val="0"/>
        <w:spacing w:before="57" w:line="440" w:lineRule="exact"/>
        <w:ind w:right="110"/>
        <w:jc w:val="center"/>
        <w:rPr>
          <w:rFonts w:eastAsia="Times New Roman"/>
          <w:spacing w:val="26"/>
          <w:w w:val="99"/>
        </w:rPr>
      </w:pPr>
      <w:r>
        <w:rPr>
          <w:rFonts w:hint="eastAsia"/>
        </w:rPr>
        <w:t>响应文件的提交</w:t>
      </w:r>
    </w:p>
    <w:p>
      <w:pPr>
        <w:spacing w:line="440" w:lineRule="exact"/>
        <w:ind w:firstLine="482" w:firstLineChars="200"/>
        <w:rPr>
          <w:rFonts w:ascii="宋体" w:eastAsia="Times New Roman"/>
          <w:b/>
          <w:color w:val="000000"/>
        </w:rPr>
      </w:pPr>
      <w:r>
        <w:rPr>
          <w:rFonts w:ascii="宋体" w:hAnsi="宋体"/>
          <w:b/>
          <w:color w:val="000000"/>
        </w:rPr>
        <w:t>2</w:t>
      </w:r>
      <w:r>
        <w:rPr>
          <w:rFonts w:hint="eastAsia" w:ascii="宋体" w:hAnsi="宋体"/>
          <w:b/>
          <w:color w:val="000000"/>
        </w:rPr>
        <w:t>6、响应文件的密封与标志</w:t>
      </w:r>
    </w:p>
    <w:p>
      <w:pPr>
        <w:pStyle w:val="82"/>
        <w:widowControl w:val="0"/>
        <w:autoSpaceDE w:val="0"/>
        <w:autoSpaceDN w:val="0"/>
        <w:spacing w:before="0" w:after="0" w:line="440" w:lineRule="exact"/>
        <w:ind w:firstLine="480" w:firstLineChars="200"/>
        <w:jc w:val="left"/>
        <w:rPr>
          <w:rFonts w:ascii="宋体"/>
          <w:color w:val="000000"/>
          <w:sz w:val="24"/>
          <w:szCs w:val="24"/>
          <w:lang w:val="en-US" w:eastAsia="zh-CN"/>
        </w:rPr>
      </w:pPr>
      <w:r>
        <w:rPr>
          <w:rFonts w:ascii="宋体" w:hAnsi="宋体"/>
          <w:color w:val="000000"/>
          <w:sz w:val="24"/>
          <w:szCs w:val="24"/>
          <w:lang w:val="en-US" w:eastAsia="zh-CN"/>
        </w:rPr>
        <w:t>2</w:t>
      </w:r>
      <w:r>
        <w:rPr>
          <w:rFonts w:hint="eastAsia" w:ascii="宋体" w:hAnsi="宋体"/>
          <w:color w:val="000000"/>
          <w:sz w:val="24"/>
          <w:szCs w:val="24"/>
          <w:lang w:val="en-US" w:eastAsia="zh-CN"/>
        </w:rPr>
        <w:t>6</w:t>
      </w:r>
      <w:r>
        <w:rPr>
          <w:rFonts w:ascii="宋体" w:hAnsi="宋体"/>
          <w:color w:val="000000"/>
          <w:sz w:val="24"/>
          <w:szCs w:val="24"/>
          <w:lang w:val="en-US" w:eastAsia="zh-CN"/>
        </w:rPr>
        <w:t xml:space="preserve">.1 </w:t>
      </w:r>
      <w:r>
        <w:rPr>
          <w:rFonts w:hint="eastAsia" w:ascii="宋体" w:hAnsi="宋体"/>
          <w:color w:val="000000"/>
          <w:sz w:val="24"/>
          <w:szCs w:val="24"/>
          <w:lang w:val="en-US" w:eastAsia="zh-CN"/>
        </w:rPr>
        <w:t>电子投标响应文件按照本项目磋商文件和政采云平台的要求编制、加密传输。</w:t>
      </w:r>
    </w:p>
    <w:p>
      <w:pPr>
        <w:pStyle w:val="82"/>
        <w:widowControl w:val="0"/>
        <w:autoSpaceDE w:val="0"/>
        <w:autoSpaceDN w:val="0"/>
        <w:spacing w:before="0" w:after="0" w:line="440" w:lineRule="exact"/>
        <w:ind w:firstLine="480" w:firstLineChars="200"/>
        <w:jc w:val="left"/>
        <w:rPr>
          <w:rFonts w:ascii="宋体"/>
          <w:color w:val="000000"/>
          <w:sz w:val="24"/>
          <w:szCs w:val="24"/>
          <w:lang w:val="en-US" w:eastAsia="zh-CN"/>
        </w:rPr>
      </w:pPr>
      <w:r>
        <w:rPr>
          <w:rFonts w:ascii="宋体" w:hAnsi="宋体"/>
          <w:color w:val="000000"/>
          <w:sz w:val="24"/>
          <w:szCs w:val="24"/>
          <w:lang w:val="en-US" w:eastAsia="zh-CN"/>
        </w:rPr>
        <w:t>2</w:t>
      </w:r>
      <w:r>
        <w:rPr>
          <w:rFonts w:hint="eastAsia" w:ascii="宋体" w:hAnsi="宋体"/>
          <w:color w:val="000000"/>
          <w:sz w:val="24"/>
          <w:szCs w:val="24"/>
          <w:lang w:val="en-US" w:eastAsia="zh-CN"/>
        </w:rPr>
        <w:t>6</w:t>
      </w:r>
      <w:r>
        <w:rPr>
          <w:rFonts w:ascii="宋体" w:hAnsi="宋体"/>
          <w:color w:val="000000"/>
          <w:sz w:val="24"/>
          <w:szCs w:val="24"/>
          <w:lang w:val="en-US" w:eastAsia="zh-CN"/>
        </w:rPr>
        <w:t xml:space="preserve">.2 </w:t>
      </w:r>
      <w:r>
        <w:rPr>
          <w:rFonts w:hint="eastAsia" w:ascii="宋体" w:hAnsi="宋体"/>
          <w:color w:val="000000"/>
          <w:sz w:val="24"/>
          <w:szCs w:val="24"/>
          <w:lang w:val="en-US" w:eastAsia="zh-CN"/>
        </w:rPr>
        <w:t>纸质版响应文件密封不做要求，文件封面须标记清楚：采购编号及项目名称、供应商的名称、地址、联系人、电话和传真等内容。</w:t>
      </w:r>
    </w:p>
    <w:p>
      <w:pPr>
        <w:pStyle w:val="82"/>
        <w:widowControl w:val="0"/>
        <w:autoSpaceDE w:val="0"/>
        <w:autoSpaceDN w:val="0"/>
        <w:spacing w:before="0" w:after="0" w:line="440" w:lineRule="exact"/>
        <w:ind w:firstLine="442" w:firstLineChars="200"/>
        <w:jc w:val="left"/>
        <w:rPr>
          <w:b/>
          <w:color w:val="000000"/>
          <w:sz w:val="24"/>
          <w:szCs w:val="24"/>
          <w:lang w:val="en-US" w:eastAsia="zh-CN"/>
        </w:rPr>
      </w:pPr>
      <w:r>
        <w:rPr>
          <w:rFonts w:hint="eastAsia"/>
          <w:b/>
          <w:color w:val="000000"/>
          <w:lang w:eastAsia="zh-CN"/>
        </w:rPr>
        <w:t>27</w:t>
      </w:r>
      <w:r>
        <w:rPr>
          <w:rFonts w:hint="eastAsia" w:ascii="宋体" w:hAnsi="宋体" w:cs="宋体"/>
          <w:b/>
          <w:color w:val="000000"/>
          <w:lang w:eastAsia="zh-CN"/>
        </w:rPr>
        <w:t>、</w:t>
      </w:r>
      <w:r>
        <w:rPr>
          <w:rFonts w:hint="eastAsia"/>
          <w:b/>
          <w:color w:val="000000"/>
          <w:sz w:val="24"/>
          <w:szCs w:val="24"/>
          <w:lang w:val="en-US" w:eastAsia="zh-CN"/>
        </w:rPr>
        <w:t>提交首次响应文件截止时间</w:t>
      </w:r>
    </w:p>
    <w:p>
      <w:pPr>
        <w:pStyle w:val="18"/>
        <w:kinsoku w:val="0"/>
        <w:overflowPunct w:val="0"/>
        <w:spacing w:before="57" w:line="440" w:lineRule="exact"/>
        <w:ind w:left="111" w:right="232" w:firstLine="480"/>
        <w:jc w:val="both"/>
        <w:rPr>
          <w:rFonts w:ascii="宋体" w:hAnsi="宋体" w:eastAsia="宋体" w:cs="宋体"/>
          <w:color w:val="000000"/>
          <w:szCs w:val="21"/>
        </w:rPr>
      </w:pPr>
      <w:r>
        <w:rPr>
          <w:color w:val="000000"/>
        </w:rPr>
        <w:t>2</w:t>
      </w:r>
      <w:r>
        <w:rPr>
          <w:rFonts w:hint="eastAsia"/>
          <w:color w:val="000000"/>
        </w:rPr>
        <w:t>7</w:t>
      </w:r>
      <w:r>
        <w:rPr>
          <w:color w:val="000000"/>
        </w:rPr>
        <w:t>.1</w:t>
      </w:r>
      <w:r>
        <w:rPr>
          <w:rFonts w:hint="eastAsia"/>
          <w:color w:val="000000"/>
        </w:rPr>
        <w:t>供应商应在采购文件第二章</w:t>
      </w:r>
      <w:r>
        <w:rPr>
          <w:rFonts w:hint="eastAsia" w:eastAsia="宋体"/>
          <w:color w:val="000000"/>
        </w:rPr>
        <w:t>“</w:t>
      </w:r>
      <w:r>
        <w:rPr>
          <w:rFonts w:hint="eastAsia"/>
          <w:color w:val="000000"/>
        </w:rPr>
        <w:t>竞争性磋商须知前附表</w:t>
      </w:r>
      <w:r>
        <w:rPr>
          <w:rFonts w:hint="eastAsia" w:eastAsia="宋体"/>
          <w:color w:val="000000"/>
        </w:rPr>
        <w:t>”</w:t>
      </w:r>
      <w:r>
        <w:rPr>
          <w:rFonts w:hint="eastAsia"/>
          <w:color w:val="000000"/>
        </w:rPr>
        <w:t>规定的提交首次响应文件截止时间前，</w:t>
      </w:r>
      <w:r>
        <w:rPr>
          <w:rFonts w:hint="eastAsia" w:ascii="宋体" w:hAnsi="宋体" w:eastAsia="宋体" w:cs="宋体"/>
          <w:color w:val="000000"/>
          <w:szCs w:val="21"/>
        </w:rPr>
        <w:t>通过“政采云”平台（</w:t>
      </w:r>
      <w:r>
        <w:rPr>
          <w:rFonts w:ascii="宋体" w:hAnsi="宋体" w:eastAsia="宋体" w:cs="宋体"/>
          <w:color w:val="000000"/>
          <w:szCs w:val="21"/>
        </w:rPr>
        <w:t>https://www.zcygov.cn</w:t>
      </w:r>
      <w:r>
        <w:rPr>
          <w:rFonts w:hint="eastAsia" w:ascii="宋体" w:hAnsi="宋体" w:eastAsia="宋体" w:cs="宋体"/>
          <w:color w:val="000000"/>
          <w:szCs w:val="21"/>
        </w:rPr>
        <w:t>）上传加密的电子响应文件。</w:t>
      </w:r>
    </w:p>
    <w:p>
      <w:pPr>
        <w:pStyle w:val="18"/>
        <w:kinsoku w:val="0"/>
        <w:overflowPunct w:val="0"/>
        <w:spacing w:before="57" w:line="440" w:lineRule="exact"/>
        <w:ind w:left="111" w:right="232" w:firstLine="480"/>
        <w:jc w:val="both"/>
        <w:rPr>
          <w:color w:val="000000"/>
        </w:rPr>
      </w:pPr>
      <w:r>
        <w:rPr>
          <w:color w:val="000000"/>
        </w:rPr>
        <w:t>2</w:t>
      </w:r>
      <w:r>
        <w:rPr>
          <w:rFonts w:hint="eastAsia"/>
          <w:color w:val="000000"/>
        </w:rPr>
        <w:t>7</w:t>
      </w:r>
      <w:r>
        <w:rPr>
          <w:color w:val="000000"/>
        </w:rPr>
        <w:t xml:space="preserve">.2 </w:t>
      </w:r>
      <w:r>
        <w:rPr>
          <w:rFonts w:hint="eastAsia"/>
          <w:color w:val="000000"/>
        </w:rPr>
        <w:t>采购人可按本须知第</w:t>
      </w:r>
      <w:r>
        <w:rPr>
          <w:color w:val="000000"/>
        </w:rPr>
        <w:t xml:space="preserve"> 13 </w:t>
      </w:r>
      <w:r>
        <w:rPr>
          <w:rFonts w:hint="eastAsia"/>
          <w:color w:val="000000"/>
        </w:rPr>
        <w:t>条规定以修改补充通知的方式，酌情延长提交响应文件的截止时间。在此情况下，供应商的所有权利和义务以及供应商受制约的截止时间，均以延长后新的磋商截止时间为准。</w:t>
      </w:r>
    </w:p>
    <w:p>
      <w:pPr>
        <w:pStyle w:val="7"/>
        <w:kinsoku w:val="0"/>
        <w:overflowPunct w:val="0"/>
        <w:spacing w:before="60" w:line="440" w:lineRule="exact"/>
        <w:rPr>
          <w:rFonts w:eastAsia="Times New Roman"/>
          <w:color w:val="000000"/>
        </w:rPr>
      </w:pPr>
      <w:r>
        <w:rPr>
          <w:rFonts w:hint="eastAsia"/>
          <w:color w:val="000000"/>
        </w:rPr>
        <w:t>28、迟交的响应文件</w:t>
      </w:r>
    </w:p>
    <w:p>
      <w:pPr>
        <w:pStyle w:val="18"/>
        <w:kinsoku w:val="0"/>
        <w:overflowPunct w:val="0"/>
        <w:spacing w:before="57" w:line="440" w:lineRule="exact"/>
        <w:ind w:left="111" w:right="232" w:firstLine="480"/>
        <w:jc w:val="both"/>
        <w:rPr>
          <w:color w:val="000000"/>
        </w:rPr>
      </w:pPr>
      <w:r>
        <w:rPr>
          <w:color w:val="000000"/>
        </w:rPr>
        <w:t>2</w:t>
      </w:r>
      <w:r>
        <w:rPr>
          <w:rFonts w:hint="eastAsia"/>
          <w:color w:val="000000"/>
        </w:rPr>
        <w:t>8</w:t>
      </w:r>
      <w:r>
        <w:rPr>
          <w:color w:val="000000"/>
        </w:rPr>
        <w:t xml:space="preserve">.1 </w:t>
      </w:r>
      <w:r>
        <w:rPr>
          <w:rFonts w:hint="eastAsia"/>
          <w:color w:val="000000"/>
        </w:rPr>
        <w:t>在提交首次响应文件截止时间后递交的响应文件，采购人将拒绝接受。</w:t>
      </w:r>
      <w:bookmarkStart w:id="70" w:name="_Toc301187687"/>
    </w:p>
    <w:p>
      <w:pPr>
        <w:pStyle w:val="18"/>
        <w:kinsoku w:val="0"/>
        <w:overflowPunct w:val="0"/>
        <w:spacing w:before="57" w:line="440" w:lineRule="exact"/>
        <w:ind w:left="111" w:right="232" w:firstLine="480"/>
        <w:jc w:val="both"/>
        <w:rPr>
          <w:color w:val="000000"/>
        </w:rPr>
      </w:pPr>
      <w:r>
        <w:rPr>
          <w:color w:val="000000"/>
        </w:rPr>
        <w:t>2</w:t>
      </w:r>
      <w:r>
        <w:rPr>
          <w:rFonts w:hint="eastAsia"/>
          <w:color w:val="000000"/>
        </w:rPr>
        <w:t>8</w:t>
      </w:r>
      <w:r>
        <w:rPr>
          <w:color w:val="000000"/>
        </w:rPr>
        <w:t xml:space="preserve">.2 </w:t>
      </w:r>
      <w:r>
        <w:rPr>
          <w:rFonts w:hint="eastAsia"/>
          <w:color w:val="000000"/>
        </w:rPr>
        <w:t>不予接收的磋商响应文件情形</w:t>
      </w:r>
    </w:p>
    <w:p>
      <w:pPr>
        <w:pStyle w:val="18"/>
        <w:kinsoku w:val="0"/>
        <w:overflowPunct w:val="0"/>
        <w:spacing w:before="57" w:line="440" w:lineRule="exact"/>
        <w:ind w:left="111" w:right="232" w:firstLine="480"/>
        <w:jc w:val="both"/>
        <w:rPr>
          <w:color w:val="000000"/>
        </w:rPr>
      </w:pPr>
      <w:r>
        <w:rPr>
          <w:color w:val="000000"/>
        </w:rPr>
        <w:fldChar w:fldCharType="begin"/>
      </w:r>
      <w:r>
        <w:rPr>
          <w:color w:val="000000"/>
        </w:rPr>
        <w:instrText xml:space="preserve"> = 1 \* GB2 </w:instrText>
      </w:r>
      <w:r>
        <w:rPr>
          <w:color w:val="000000"/>
        </w:rPr>
        <w:fldChar w:fldCharType="separate"/>
      </w:r>
      <w:r>
        <w:rPr>
          <w:rFonts w:hint="eastAsia"/>
          <w:color w:val="000000"/>
        </w:rPr>
        <w:t>⑴</w:t>
      </w:r>
      <w:r>
        <w:rPr>
          <w:color w:val="000000"/>
        </w:rPr>
        <w:fldChar w:fldCharType="end"/>
      </w:r>
      <w:bookmarkEnd w:id="70"/>
      <w:r>
        <w:rPr>
          <w:rFonts w:hint="eastAsia"/>
          <w:color w:val="000000"/>
        </w:rPr>
        <w:t>投标截止时间前未完成传输的电子磋商响应文件；</w:t>
      </w:r>
    </w:p>
    <w:p>
      <w:pPr>
        <w:pStyle w:val="18"/>
        <w:kinsoku w:val="0"/>
        <w:overflowPunct w:val="0"/>
        <w:spacing w:before="57" w:line="440" w:lineRule="exact"/>
        <w:ind w:left="111" w:right="232" w:firstLine="480"/>
        <w:jc w:val="both"/>
        <w:rPr>
          <w:color w:val="000000"/>
        </w:rPr>
      </w:pPr>
      <w:r>
        <w:rPr>
          <w:color w:val="000000"/>
        </w:rPr>
        <w:fldChar w:fldCharType="begin"/>
      </w:r>
      <w:r>
        <w:rPr>
          <w:color w:val="000000"/>
        </w:rPr>
        <w:instrText xml:space="preserve"> = 2 \* GB2 </w:instrText>
      </w:r>
      <w:r>
        <w:rPr>
          <w:color w:val="000000"/>
        </w:rPr>
        <w:fldChar w:fldCharType="separate"/>
      </w:r>
      <w:r>
        <w:rPr>
          <w:rFonts w:hint="eastAsia"/>
          <w:color w:val="000000"/>
        </w:rPr>
        <w:t>⑵</w:t>
      </w:r>
      <w:r>
        <w:rPr>
          <w:color w:val="000000"/>
        </w:rPr>
        <w:fldChar w:fldCharType="end"/>
      </w:r>
      <w:r>
        <w:rPr>
          <w:rFonts w:hint="eastAsia"/>
          <w:color w:val="000000"/>
        </w:rPr>
        <w:t>未生成加密的电子磋商响应文件；</w:t>
      </w:r>
    </w:p>
    <w:p>
      <w:pPr>
        <w:pStyle w:val="18"/>
        <w:kinsoku w:val="0"/>
        <w:overflowPunct w:val="0"/>
        <w:spacing w:before="57" w:line="440" w:lineRule="exact"/>
        <w:ind w:left="111" w:right="232" w:firstLine="480"/>
        <w:jc w:val="both"/>
        <w:rPr>
          <w:color w:val="000000"/>
        </w:rPr>
      </w:pPr>
      <w:r>
        <w:rPr>
          <w:rFonts w:hint="eastAsia"/>
          <w:color w:val="000000"/>
        </w:rPr>
        <w:t>⑶在规定时间内未解密的电子磋商响应文件，或者解密不成功又未提供备份磋商响应文件的。</w:t>
      </w:r>
    </w:p>
    <w:p>
      <w:pPr>
        <w:pStyle w:val="7"/>
        <w:kinsoku w:val="0"/>
        <w:overflowPunct w:val="0"/>
        <w:spacing w:before="60" w:line="440" w:lineRule="exact"/>
        <w:rPr>
          <w:rFonts w:eastAsia="Times New Roman"/>
          <w:color w:val="000000"/>
        </w:rPr>
      </w:pPr>
      <w:r>
        <w:rPr>
          <w:color w:val="000000"/>
        </w:rPr>
        <w:t>2</w:t>
      </w:r>
      <w:r>
        <w:rPr>
          <w:rFonts w:hint="eastAsia"/>
          <w:color w:val="000000"/>
        </w:rPr>
        <w:t>9、响应文件的补充、修改和撤回</w:t>
      </w:r>
    </w:p>
    <w:p>
      <w:pPr>
        <w:pStyle w:val="18"/>
        <w:kinsoku w:val="0"/>
        <w:overflowPunct w:val="0"/>
        <w:spacing w:line="440" w:lineRule="exact"/>
        <w:ind w:left="111" w:right="232" w:firstLine="480"/>
        <w:jc w:val="both"/>
        <w:rPr>
          <w:color w:val="000000"/>
        </w:rPr>
      </w:pPr>
      <w:r>
        <w:rPr>
          <w:color w:val="000000"/>
        </w:rPr>
        <w:t>2</w:t>
      </w:r>
      <w:r>
        <w:rPr>
          <w:rFonts w:hint="eastAsia"/>
          <w:color w:val="000000"/>
        </w:rPr>
        <w:t>9</w:t>
      </w:r>
      <w:r>
        <w:rPr>
          <w:color w:val="000000"/>
        </w:rPr>
        <w:t xml:space="preserve">.1 </w:t>
      </w:r>
      <w:r>
        <w:rPr>
          <w:rFonts w:hint="eastAsia"/>
          <w:color w:val="000000"/>
        </w:rPr>
        <w:t>在投标截止时间前，磋商供应商可对已提交的电子磋商响应文件进行补充、修改或撤回。补充、修改电子磋商响应文件的，应当先行撤回原文件，补充、修改后重新生成加密的电子磋商响应文件并重新传输递交；</w:t>
      </w:r>
    </w:p>
    <w:p>
      <w:pPr>
        <w:pStyle w:val="18"/>
        <w:kinsoku w:val="0"/>
        <w:overflowPunct w:val="0"/>
        <w:spacing w:line="440" w:lineRule="exact"/>
        <w:ind w:left="111" w:right="232" w:firstLine="480"/>
        <w:jc w:val="both"/>
        <w:rPr>
          <w:color w:val="000000"/>
        </w:rPr>
      </w:pPr>
      <w:r>
        <w:rPr>
          <w:color w:val="000000"/>
        </w:rPr>
        <w:t>2</w:t>
      </w:r>
      <w:r>
        <w:rPr>
          <w:rFonts w:hint="eastAsia"/>
          <w:color w:val="000000"/>
        </w:rPr>
        <w:t>9</w:t>
      </w:r>
      <w:r>
        <w:rPr>
          <w:color w:val="000000"/>
        </w:rPr>
        <w:t xml:space="preserve">.2 </w:t>
      </w:r>
      <w:r>
        <w:rPr>
          <w:rFonts w:hint="eastAsia"/>
          <w:color w:val="000000"/>
        </w:rPr>
        <w:t>补充、修改后重新提交的电子磋商响应文件应按磋商文件的规定编制、导入、加密和提交；</w:t>
      </w:r>
    </w:p>
    <w:p>
      <w:pPr>
        <w:pStyle w:val="18"/>
        <w:kinsoku w:val="0"/>
        <w:overflowPunct w:val="0"/>
        <w:spacing w:line="440" w:lineRule="exact"/>
        <w:ind w:left="111" w:right="232" w:firstLine="480"/>
        <w:jc w:val="both"/>
        <w:rPr>
          <w:rFonts w:eastAsia="宋体"/>
          <w:color w:val="000000"/>
          <w:sz w:val="20"/>
        </w:rPr>
      </w:pPr>
      <w:r>
        <w:rPr>
          <w:color w:val="000000"/>
        </w:rPr>
        <w:t>2</w:t>
      </w:r>
      <w:r>
        <w:rPr>
          <w:rFonts w:hint="eastAsia"/>
          <w:color w:val="000000"/>
        </w:rPr>
        <w:t>9</w:t>
      </w:r>
      <w:r>
        <w:rPr>
          <w:color w:val="000000"/>
        </w:rPr>
        <w:t xml:space="preserve">.3 </w:t>
      </w:r>
      <w:r>
        <w:rPr>
          <w:rFonts w:hint="eastAsia"/>
          <w:color w:val="000000"/>
        </w:rPr>
        <w:t>在投标截止时间后，磋商供应商不得修改、撤回已提交的电子磋商响应文件</w:t>
      </w:r>
    </w:p>
    <w:p>
      <w:pPr>
        <w:pStyle w:val="44"/>
      </w:pPr>
    </w:p>
    <w:p>
      <w:pPr>
        <w:pStyle w:val="18"/>
        <w:kinsoku w:val="0"/>
        <w:overflowPunct w:val="0"/>
        <w:ind w:left="458" w:right="577"/>
        <w:jc w:val="center"/>
        <w:rPr>
          <w:rFonts w:eastAsia="Times New Roman"/>
          <w:color w:val="000000"/>
        </w:rPr>
      </w:pPr>
      <w:r>
        <w:rPr>
          <w:rFonts w:hint="eastAsia"/>
          <w:b/>
          <w:color w:val="000000"/>
        </w:rPr>
        <w:t>（五）竞争性磋商程序</w:t>
      </w:r>
    </w:p>
    <w:p>
      <w:pPr>
        <w:pStyle w:val="18"/>
        <w:kinsoku w:val="0"/>
        <w:overflowPunct w:val="0"/>
        <w:spacing w:before="10"/>
        <w:ind w:left="0"/>
        <w:rPr>
          <w:rFonts w:eastAsia="Times New Roman"/>
          <w:b/>
          <w:color w:val="000000"/>
          <w:sz w:val="18"/>
        </w:rPr>
      </w:pPr>
    </w:p>
    <w:p>
      <w:pPr>
        <w:pStyle w:val="18"/>
        <w:kinsoku w:val="0"/>
        <w:overflowPunct w:val="0"/>
        <w:spacing w:line="440" w:lineRule="exact"/>
        <w:ind w:left="0" w:firstLine="482" w:firstLineChars="200"/>
        <w:rPr>
          <w:rFonts w:eastAsia="Times New Roman"/>
        </w:rPr>
      </w:pPr>
      <w:r>
        <w:rPr>
          <w:rFonts w:hint="eastAsia"/>
          <w:b/>
        </w:rPr>
        <w:t>30、磋商</w:t>
      </w:r>
    </w:p>
    <w:p>
      <w:pPr>
        <w:pStyle w:val="82"/>
        <w:widowControl w:val="0"/>
        <w:autoSpaceDE w:val="0"/>
        <w:autoSpaceDN w:val="0"/>
        <w:spacing w:before="0" w:after="0" w:line="440" w:lineRule="exact"/>
        <w:ind w:firstLine="480" w:firstLineChars="200"/>
        <w:jc w:val="left"/>
        <w:rPr>
          <w:rFonts w:ascii="宋体"/>
          <w:sz w:val="24"/>
          <w:szCs w:val="24"/>
          <w:lang w:val="en-US" w:eastAsia="zh-CN"/>
        </w:rPr>
      </w:pPr>
      <w:bookmarkStart w:id="71" w:name="_Toc520356165"/>
      <w:r>
        <w:rPr>
          <w:rFonts w:hint="eastAsia" w:ascii="宋体" w:hAnsi="宋体"/>
          <w:sz w:val="24"/>
          <w:szCs w:val="24"/>
          <w:lang w:val="en-US" w:eastAsia="zh-CN"/>
        </w:rPr>
        <w:t>30</w:t>
      </w:r>
      <w:r>
        <w:rPr>
          <w:rFonts w:ascii="宋体" w:hAnsi="宋体"/>
          <w:sz w:val="24"/>
          <w:szCs w:val="24"/>
          <w:lang w:val="en-US" w:eastAsia="zh-CN"/>
        </w:rPr>
        <w:t xml:space="preserve">.1 </w:t>
      </w:r>
      <w:r>
        <w:rPr>
          <w:rFonts w:hint="eastAsia" w:ascii="宋体" w:hAnsi="宋体"/>
          <w:sz w:val="24"/>
          <w:szCs w:val="24"/>
          <w:lang w:val="en-US" w:eastAsia="zh-CN"/>
        </w:rPr>
        <w:t>开标</w:t>
      </w:r>
    </w:p>
    <w:p>
      <w:pPr>
        <w:pStyle w:val="82"/>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30</w:t>
      </w:r>
      <w:r>
        <w:rPr>
          <w:rFonts w:ascii="宋体" w:hAnsi="宋体"/>
          <w:sz w:val="24"/>
          <w:szCs w:val="24"/>
          <w:lang w:val="en-US" w:eastAsia="zh-CN"/>
        </w:rPr>
        <w:t xml:space="preserve">.1.1 </w:t>
      </w:r>
      <w:r>
        <w:rPr>
          <w:rFonts w:hint="eastAsia" w:ascii="宋体" w:hAnsi="宋体"/>
          <w:sz w:val="24"/>
          <w:szCs w:val="24"/>
          <w:lang w:val="en-US" w:eastAsia="zh-CN"/>
        </w:rPr>
        <w:t>本项目采用全流程不见面电子开评标，采购人和采购代理机构将按规定的磋商时间和地点组织开评标，监督部门将视情况派代表到现场进行监督。投标供应商不足</w:t>
      </w:r>
      <w:r>
        <w:rPr>
          <w:rFonts w:ascii="宋体" w:hAnsi="宋体"/>
          <w:sz w:val="24"/>
          <w:szCs w:val="24"/>
          <w:lang w:val="en-US" w:eastAsia="zh-CN"/>
        </w:rPr>
        <w:t>3</w:t>
      </w:r>
      <w:r>
        <w:rPr>
          <w:rFonts w:hint="eastAsia" w:ascii="宋体" w:hAnsi="宋体"/>
          <w:sz w:val="24"/>
          <w:szCs w:val="24"/>
          <w:lang w:val="en-US" w:eastAsia="zh-CN"/>
        </w:rPr>
        <w:t>家的，不得开标。</w:t>
      </w:r>
    </w:p>
    <w:p>
      <w:pPr>
        <w:snapToGrid w:val="0"/>
        <w:spacing w:line="440" w:lineRule="exact"/>
        <w:ind w:firstLine="480" w:firstLineChars="200"/>
        <w:rPr>
          <w:rFonts w:ascii="宋体"/>
        </w:rPr>
      </w:pPr>
      <w:r>
        <w:rPr>
          <w:rFonts w:hint="eastAsia" w:ascii="宋体" w:hAnsi="宋体"/>
        </w:rPr>
        <w:t>30</w:t>
      </w:r>
      <w:r>
        <w:rPr>
          <w:rFonts w:ascii="宋体" w:hAnsi="宋体"/>
        </w:rPr>
        <w:t xml:space="preserve">.1.2 </w:t>
      </w:r>
      <w:r>
        <w:rPr>
          <w:rFonts w:hint="eastAsia" w:ascii="宋体" w:hAnsi="宋体"/>
        </w:rPr>
        <w:t>供应商无需到开标现场参加开标会议。供应商在开标前自备可联网电脑及</w:t>
      </w:r>
      <w:r>
        <w:rPr>
          <w:rFonts w:ascii="宋体" w:hAnsi="宋体"/>
        </w:rPr>
        <w:t>CA</w:t>
      </w:r>
      <w:r>
        <w:rPr>
          <w:rFonts w:hint="eastAsia" w:ascii="宋体" w:hAnsi="宋体"/>
        </w:rPr>
        <w:t>锁，电脑须提前配置好浏览器（建议使用</w:t>
      </w:r>
      <w:r>
        <w:rPr>
          <w:rFonts w:ascii="宋体" w:hAnsi="宋体"/>
        </w:rPr>
        <w:t>360</w:t>
      </w:r>
      <w:r>
        <w:rPr>
          <w:rFonts w:hint="eastAsia" w:ascii="宋体" w:hAnsi="宋体"/>
        </w:rPr>
        <w:t>浏览器或谷歌浏览器），以便开标时解锁，提前登录政采云平台做好准备，并保证设备正常，在线准时参加开标活动并进行文件解密、磋商谈判、答疑澄清、</w:t>
      </w:r>
      <w:r>
        <w:rPr>
          <w:rFonts w:hint="eastAsia" w:ascii="宋体" w:hAnsi="宋体" w:cs="宋体"/>
          <w:szCs w:val="21"/>
        </w:rPr>
        <w:t>二次报价。</w:t>
      </w:r>
    </w:p>
    <w:p>
      <w:pPr>
        <w:snapToGrid w:val="0"/>
        <w:spacing w:line="440" w:lineRule="exact"/>
        <w:ind w:firstLine="480" w:firstLineChars="200"/>
        <w:rPr>
          <w:rFonts w:ascii="宋体"/>
        </w:rPr>
      </w:pPr>
      <w:r>
        <w:rPr>
          <w:rFonts w:hint="eastAsia" w:ascii="宋体" w:hAnsi="宋体"/>
        </w:rPr>
        <w:t>30</w:t>
      </w:r>
      <w:r>
        <w:rPr>
          <w:rFonts w:ascii="宋体" w:hAnsi="宋体"/>
        </w:rPr>
        <w:t>.1.3</w:t>
      </w:r>
      <w:r>
        <w:rPr>
          <w:rFonts w:hint="eastAsia" w:ascii="宋体" w:hAnsi="宋体"/>
        </w:rPr>
        <w:t>开标时，采购代理机构主持介绍项目基本情况并宣布有关纪律和磋商程序，并检查所有电子响应文件的加密上传情况，在确认无误后，供应商使用</w:t>
      </w:r>
      <w:r>
        <w:rPr>
          <w:rFonts w:ascii="宋体" w:hAnsi="宋体"/>
        </w:rPr>
        <w:t>CA</w:t>
      </w:r>
      <w:r>
        <w:rPr>
          <w:rFonts w:hint="eastAsia" w:ascii="宋体" w:hAnsi="宋体"/>
        </w:rPr>
        <w:t>锁各自登录政采云平台，用“项目采购</w:t>
      </w:r>
      <w:r>
        <w:rPr>
          <w:rFonts w:ascii="宋体"/>
        </w:rPr>
        <w:t>-</w:t>
      </w:r>
      <w:r>
        <w:rPr>
          <w:rFonts w:hint="eastAsia" w:ascii="宋体" w:hAnsi="宋体"/>
        </w:rPr>
        <w:t>开标评标”功能对电子磋商响应文件进行在线解密。在线解密电子磋商响应文件时间为发出解密指令后</w:t>
      </w:r>
      <w:r>
        <w:rPr>
          <w:rFonts w:ascii="宋体" w:hAnsi="宋体"/>
        </w:rPr>
        <w:t>30</w:t>
      </w:r>
      <w:r>
        <w:rPr>
          <w:rFonts w:hint="eastAsia" w:ascii="宋体" w:hAnsi="宋体"/>
        </w:rPr>
        <w:t>分钟内。若供应商在规定时间内未按时解密的，或解密失败又未提供备份响应文件的视为响应文件撤回。</w:t>
      </w:r>
    </w:p>
    <w:p>
      <w:pPr>
        <w:pStyle w:val="82"/>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30</w:t>
      </w:r>
      <w:r>
        <w:rPr>
          <w:rFonts w:ascii="宋体" w:hAnsi="宋体"/>
          <w:sz w:val="24"/>
          <w:szCs w:val="24"/>
          <w:lang w:val="en-US" w:eastAsia="zh-CN"/>
        </w:rPr>
        <w:t xml:space="preserve">.1.4 </w:t>
      </w:r>
      <w:r>
        <w:rPr>
          <w:rFonts w:hint="eastAsia" w:ascii="宋体" w:hAnsi="宋体"/>
          <w:sz w:val="24"/>
          <w:szCs w:val="24"/>
          <w:lang w:val="en-US" w:eastAsia="zh-CN"/>
        </w:rPr>
        <w:t>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pPr>
        <w:pStyle w:val="82"/>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30</w:t>
      </w:r>
      <w:r>
        <w:rPr>
          <w:rFonts w:ascii="宋体" w:hAnsi="宋体"/>
          <w:sz w:val="24"/>
          <w:szCs w:val="24"/>
          <w:lang w:val="en-US" w:eastAsia="zh-CN"/>
        </w:rPr>
        <w:t xml:space="preserve">.2 </w:t>
      </w:r>
      <w:r>
        <w:rPr>
          <w:rFonts w:hint="eastAsia" w:ascii="宋体" w:hAnsi="宋体"/>
          <w:sz w:val="24"/>
          <w:szCs w:val="24"/>
          <w:lang w:val="en-US" w:eastAsia="zh-CN"/>
        </w:rPr>
        <w:t>投标供应商资格资质审查</w:t>
      </w:r>
    </w:p>
    <w:p>
      <w:pPr>
        <w:pStyle w:val="82"/>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30</w:t>
      </w:r>
      <w:r>
        <w:rPr>
          <w:rFonts w:ascii="宋体" w:hAnsi="宋体"/>
          <w:sz w:val="24"/>
          <w:szCs w:val="24"/>
          <w:lang w:val="en-US" w:eastAsia="zh-CN"/>
        </w:rPr>
        <w:t xml:space="preserve">.2.1 </w:t>
      </w:r>
      <w:r>
        <w:rPr>
          <w:rFonts w:hint="eastAsia" w:ascii="宋体" w:hAnsi="宋体"/>
          <w:sz w:val="24"/>
          <w:szCs w:val="24"/>
          <w:lang w:val="en-US" w:eastAsia="zh-CN"/>
        </w:rPr>
        <w:t>投标供应商必须提交能够证明其具有履行本招标项目合同能力的资质证明文件，作为响应文件的一部分。</w:t>
      </w:r>
    </w:p>
    <w:p>
      <w:pPr>
        <w:pStyle w:val="82"/>
        <w:widowControl w:val="0"/>
        <w:autoSpaceDE w:val="0"/>
        <w:autoSpaceDN w:val="0"/>
        <w:spacing w:before="0" w:after="0" w:line="44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30</w:t>
      </w:r>
      <w:r>
        <w:rPr>
          <w:rFonts w:ascii="宋体" w:hAnsi="宋体"/>
          <w:sz w:val="24"/>
          <w:szCs w:val="24"/>
          <w:lang w:val="en-US" w:eastAsia="zh-CN"/>
        </w:rPr>
        <w:t xml:space="preserve">.2.2 </w:t>
      </w:r>
      <w:r>
        <w:rPr>
          <w:rFonts w:hint="eastAsia" w:ascii="宋体" w:hAnsi="宋体"/>
          <w:sz w:val="24"/>
          <w:szCs w:val="24"/>
          <w:lang w:val="en-US" w:eastAsia="zh-CN"/>
        </w:rPr>
        <w:t>采购人代表及采购代理机构依据法律法规和磋商文件中规定的内容，对投标供应商的资格进行审查。未通过资格审查的投标供应商不进入磋商；进入磋商的投标供应商不足</w:t>
      </w:r>
      <w:r>
        <w:rPr>
          <w:rFonts w:ascii="宋体" w:hAnsi="宋体"/>
          <w:sz w:val="24"/>
          <w:szCs w:val="24"/>
          <w:lang w:val="en-US" w:eastAsia="zh-CN"/>
        </w:rPr>
        <w:t>3</w:t>
      </w:r>
      <w:r>
        <w:rPr>
          <w:rFonts w:hint="eastAsia" w:ascii="宋体" w:hAnsi="宋体"/>
          <w:sz w:val="24"/>
          <w:szCs w:val="24"/>
          <w:lang w:val="en-US" w:eastAsia="zh-CN"/>
        </w:rPr>
        <w:t>家的，不得磋商。</w:t>
      </w:r>
    </w:p>
    <w:p>
      <w:pPr>
        <w:pStyle w:val="82"/>
        <w:widowControl w:val="0"/>
        <w:autoSpaceDE w:val="0"/>
        <w:autoSpaceDN w:val="0"/>
        <w:spacing w:before="0" w:after="0" w:line="440" w:lineRule="exact"/>
        <w:ind w:firstLine="482" w:firstLineChars="200"/>
        <w:jc w:val="left"/>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资格审查如下：</w:t>
      </w:r>
    </w:p>
    <w:p>
      <w:pPr>
        <w:pStyle w:val="82"/>
        <w:widowControl w:val="0"/>
        <w:autoSpaceDE w:val="0"/>
        <w:autoSpaceDN w:val="0"/>
        <w:spacing w:before="0" w:after="0" w:line="440" w:lineRule="exact"/>
        <w:ind w:firstLine="723" w:firstLineChars="300"/>
        <w:jc w:val="left"/>
        <w:rPr>
          <w:rFonts w:ascii="宋体"/>
          <w:b/>
          <w:color w:val="auto"/>
          <w:sz w:val="24"/>
          <w:szCs w:val="24"/>
          <w:u w:val="single"/>
          <w:lang w:val="en-US" w:eastAsia="zh-CN"/>
        </w:rPr>
      </w:pPr>
      <w:r>
        <w:rPr>
          <w:rFonts w:hint="eastAsia" w:ascii="宋体" w:hAnsi="宋体"/>
          <w:b/>
          <w:color w:val="auto"/>
          <w:sz w:val="24"/>
          <w:szCs w:val="24"/>
          <w:u w:val="single"/>
          <w:lang w:val="en-US" w:eastAsia="zh-CN"/>
        </w:rPr>
        <w:t>1.企业法人营业执照（须有二维码）原件的扫描件；</w:t>
      </w:r>
    </w:p>
    <w:p>
      <w:pPr>
        <w:pStyle w:val="24"/>
        <w:spacing w:line="440" w:lineRule="exact"/>
        <w:ind w:firstLine="723" w:firstLineChars="300"/>
        <w:rPr>
          <w:rFonts w:hint="eastAsia" w:hAnsi="宋体"/>
          <w:b/>
          <w:color w:val="auto"/>
          <w:u w:val="single"/>
        </w:rPr>
      </w:pPr>
      <w:r>
        <w:rPr>
          <w:rFonts w:hint="eastAsia" w:hAnsi="宋体"/>
          <w:b/>
          <w:color w:val="auto"/>
          <w:u w:val="single"/>
          <w:lang w:val="en-US" w:eastAsia="zh-CN"/>
        </w:rPr>
        <w:t>2.</w:t>
      </w:r>
      <w:r>
        <w:rPr>
          <w:rFonts w:hint="eastAsia" w:hAnsi="宋体"/>
          <w:b/>
          <w:color w:val="auto"/>
          <w:u w:val="single"/>
        </w:rPr>
        <w:t>法定代表人身份证或法人代表授权委托书原件的扫描件（依据磋商文件规定的格式提供）及被授权人身份证原件的扫描件；</w:t>
      </w:r>
    </w:p>
    <w:p>
      <w:pPr>
        <w:pStyle w:val="24"/>
        <w:spacing w:line="440" w:lineRule="exact"/>
        <w:ind w:firstLine="723" w:firstLineChars="300"/>
        <w:rPr>
          <w:rFonts w:hint="eastAsia" w:hAnsi="宋体"/>
          <w:b/>
          <w:color w:val="auto"/>
          <w:u w:val="single"/>
          <w:lang w:val="en-US" w:eastAsia="zh-CN"/>
        </w:rPr>
      </w:pPr>
      <w:r>
        <w:rPr>
          <w:rFonts w:hint="eastAsia" w:hAnsi="宋体"/>
          <w:b/>
          <w:color w:val="auto"/>
          <w:u w:val="single"/>
          <w:lang w:val="en-US" w:eastAsia="zh-CN"/>
        </w:rPr>
        <w:t>3.</w:t>
      </w:r>
      <w:r>
        <w:rPr>
          <w:rFonts w:hint="eastAsia" w:hAnsi="宋体"/>
          <w:b/>
          <w:color w:val="auto"/>
          <w:u w:val="single"/>
        </w:rPr>
        <w:t>民航空管工程及机场弱电系统工程专业承包二级及以上资质原件的扫描件；安全生产许可证原件的扫描件</w:t>
      </w:r>
      <w:r>
        <w:rPr>
          <w:rFonts w:hint="eastAsia" w:hAnsi="宋体"/>
          <w:b/>
          <w:color w:val="auto"/>
          <w:u w:val="single"/>
          <w:lang w:val="en-US" w:eastAsia="zh-CN"/>
        </w:rPr>
        <w:t>；</w:t>
      </w:r>
    </w:p>
    <w:p>
      <w:pPr>
        <w:pStyle w:val="24"/>
        <w:spacing w:line="440" w:lineRule="exact"/>
        <w:ind w:firstLine="723" w:firstLineChars="300"/>
        <w:rPr>
          <w:rFonts w:hint="default" w:hAnsi="宋体" w:eastAsia="宋体"/>
          <w:b/>
          <w:color w:val="auto"/>
          <w:u w:val="single"/>
          <w:lang w:val="en-US" w:eastAsia="zh-CN"/>
        </w:rPr>
      </w:pPr>
      <w:r>
        <w:rPr>
          <w:rFonts w:hint="eastAsia" w:ascii="宋体" w:hAnsi="宋体" w:eastAsia="宋体" w:cs="Times New Roman"/>
          <w:b/>
          <w:bCs w:val="0"/>
          <w:color w:val="auto"/>
          <w:u w:val="single"/>
          <w:lang w:val="en-US" w:eastAsia="zh-CN"/>
        </w:rPr>
        <w:t>4.项目负责人的民航机场工程专业贰级及以上注册建造师执业资格证书及安全生产考核合格证书（B类证）原件的扫描件；</w:t>
      </w:r>
    </w:p>
    <w:p>
      <w:pPr>
        <w:pStyle w:val="24"/>
        <w:spacing w:line="440" w:lineRule="exact"/>
        <w:ind w:firstLine="723" w:firstLineChars="300"/>
        <w:rPr>
          <w:rFonts w:hint="eastAsia" w:hAnsi="宋体" w:eastAsia="宋体"/>
          <w:b/>
          <w:color w:val="auto"/>
          <w:u w:val="single"/>
          <w:lang w:eastAsia="zh-CN"/>
        </w:rPr>
      </w:pPr>
      <w:r>
        <w:rPr>
          <w:rFonts w:hint="eastAsia" w:hAnsi="宋体"/>
          <w:b/>
          <w:color w:val="auto"/>
          <w:u w:val="single"/>
          <w:lang w:val="en-US" w:eastAsia="zh-CN"/>
        </w:rPr>
        <w:t>5.</w:t>
      </w:r>
      <w:r>
        <w:rPr>
          <w:rFonts w:hint="eastAsia" w:hAnsi="宋体"/>
          <w:b/>
          <w:color w:val="auto"/>
          <w:u w:val="single"/>
        </w:rPr>
        <w:t>磋商保证金缴纳凭证</w:t>
      </w:r>
      <w:r>
        <w:rPr>
          <w:rFonts w:hint="eastAsia" w:hAnsi="宋体"/>
          <w:b/>
          <w:color w:val="auto"/>
          <w:u w:val="single"/>
          <w:lang w:val="en-US" w:eastAsia="zh-CN"/>
        </w:rPr>
        <w:t>原件的扫描件</w:t>
      </w:r>
      <w:r>
        <w:rPr>
          <w:rFonts w:hint="eastAsia" w:hAnsi="宋体"/>
          <w:b/>
          <w:color w:val="auto"/>
          <w:u w:val="single"/>
          <w:lang w:eastAsia="zh-CN"/>
        </w:rPr>
        <w:t>；</w:t>
      </w:r>
    </w:p>
    <w:p>
      <w:pPr>
        <w:widowControl w:val="0"/>
        <w:autoSpaceDE w:val="0"/>
        <w:autoSpaceDN w:val="0"/>
        <w:adjustRightInd w:val="0"/>
        <w:spacing w:before="0" w:after="0" w:line="440" w:lineRule="exact"/>
        <w:ind w:firstLine="723" w:firstLineChars="300"/>
        <w:jc w:val="left"/>
        <w:rPr>
          <w:rFonts w:hint="default" w:hAnsi="宋体"/>
          <w:b/>
          <w:color w:val="auto"/>
          <w:u w:val="single"/>
          <w:lang w:val="en-US"/>
        </w:rPr>
      </w:pPr>
      <w:r>
        <w:rPr>
          <w:rFonts w:hint="default" w:ascii="宋体" w:hAnsi="宋体" w:eastAsia="宋体" w:cs="Times New Roman"/>
          <w:b/>
          <w:color w:val="auto"/>
          <w:sz w:val="24"/>
          <w:szCs w:val="24"/>
          <w:u w:val="single"/>
          <w:lang w:val="en-US" w:eastAsia="zh-CN" w:bidi="ar-SA"/>
        </w:rPr>
        <w:t>6.</w:t>
      </w:r>
      <w:r>
        <w:rPr>
          <w:rFonts w:hint="eastAsia" w:ascii="宋体" w:hAnsi="宋体" w:eastAsia="宋体" w:cs="Times New Roman"/>
          <w:b/>
          <w:color w:val="auto"/>
          <w:sz w:val="24"/>
          <w:szCs w:val="24"/>
          <w:u w:val="single"/>
          <w:lang w:val="en-US" w:eastAsia="zh-CN" w:bidi="ar-SA"/>
        </w:rPr>
        <w:t>《中小企业声明函》原件的扫描件；</w:t>
      </w:r>
    </w:p>
    <w:bookmarkEnd w:id="71"/>
    <w:p>
      <w:pPr>
        <w:pStyle w:val="18"/>
        <w:kinsoku w:val="0"/>
        <w:overflowPunct w:val="0"/>
        <w:snapToGrid w:val="0"/>
        <w:spacing w:line="440" w:lineRule="exact"/>
        <w:ind w:left="0" w:firstLine="482" w:firstLineChars="200"/>
        <w:rPr>
          <w:rFonts w:eastAsia="宋体"/>
          <w:b/>
        </w:rPr>
      </w:pPr>
      <w:r>
        <w:rPr>
          <w:rFonts w:hint="eastAsia" w:eastAsia="宋体"/>
          <w:b/>
        </w:rPr>
        <w:t>31、竞争性磋商程序</w:t>
      </w:r>
    </w:p>
    <w:p>
      <w:pPr>
        <w:pStyle w:val="82"/>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31</w:t>
      </w:r>
      <w:r>
        <w:rPr>
          <w:rFonts w:ascii="宋体" w:hAnsi="宋体"/>
          <w:sz w:val="24"/>
          <w:szCs w:val="24"/>
          <w:lang w:val="en-US" w:eastAsia="zh-CN"/>
        </w:rPr>
        <w:t xml:space="preserve">.1 </w:t>
      </w:r>
      <w:r>
        <w:rPr>
          <w:rFonts w:hint="eastAsia" w:ascii="宋体" w:hAnsi="宋体"/>
          <w:sz w:val="24"/>
          <w:szCs w:val="24"/>
          <w:lang w:val="en-US" w:eastAsia="zh-CN"/>
        </w:rPr>
        <w:t>根据公开、公平、公正、诚信科学的原则，组织招标采购。</w:t>
      </w:r>
    </w:p>
    <w:p>
      <w:pPr>
        <w:pStyle w:val="82"/>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31</w:t>
      </w:r>
      <w:r>
        <w:rPr>
          <w:rFonts w:ascii="宋体" w:hAnsi="宋体"/>
          <w:sz w:val="24"/>
          <w:szCs w:val="24"/>
          <w:lang w:val="en-US" w:eastAsia="zh-CN"/>
        </w:rPr>
        <w:t xml:space="preserve">.2 </w:t>
      </w:r>
      <w:r>
        <w:rPr>
          <w:rFonts w:hint="eastAsia" w:ascii="宋体" w:hAnsi="宋体"/>
          <w:sz w:val="24"/>
          <w:szCs w:val="24"/>
          <w:lang w:val="en-US" w:eastAsia="zh-CN"/>
        </w:rPr>
        <w:t>具体工作流程：</w:t>
      </w:r>
    </w:p>
    <w:p>
      <w:pPr>
        <w:pStyle w:val="82"/>
        <w:widowControl w:val="0"/>
        <w:autoSpaceDE w:val="0"/>
        <w:autoSpaceDN w:val="0"/>
        <w:spacing w:before="0" w:after="0" w:line="440" w:lineRule="exact"/>
        <w:ind w:firstLine="600" w:firstLineChars="250"/>
        <w:jc w:val="left"/>
        <w:rPr>
          <w:rFonts w:ascii="宋体"/>
          <w:sz w:val="24"/>
          <w:szCs w:val="24"/>
          <w:lang w:val="en-US" w:eastAsia="zh-CN"/>
        </w:rPr>
      </w:pPr>
      <w:r>
        <w:rPr>
          <w:rFonts w:hint="eastAsia" w:ascii="宋体" w:hAnsi="宋体"/>
          <w:sz w:val="24"/>
          <w:szCs w:val="24"/>
          <w:lang w:val="en-US" w:eastAsia="zh-CN"/>
        </w:rPr>
        <w:t>（</w:t>
      </w:r>
      <w:r>
        <w:rPr>
          <w:rFonts w:ascii="宋体" w:hAnsi="宋体"/>
          <w:sz w:val="24"/>
          <w:szCs w:val="24"/>
          <w:lang w:val="en-US" w:eastAsia="zh-CN"/>
        </w:rPr>
        <w:t>1</w:t>
      </w:r>
      <w:r>
        <w:rPr>
          <w:rFonts w:hint="eastAsia" w:ascii="宋体" w:hAnsi="宋体"/>
          <w:sz w:val="24"/>
          <w:szCs w:val="24"/>
          <w:lang w:val="en-US" w:eastAsia="zh-CN"/>
        </w:rPr>
        <w:t>）磋商小组审阅竞争性磋商文件和响应文件；</w:t>
      </w:r>
    </w:p>
    <w:p>
      <w:pPr>
        <w:widowControl/>
        <w:spacing w:line="440" w:lineRule="exact"/>
        <w:ind w:firstLine="600" w:firstLineChars="250"/>
        <w:rPr>
          <w:rFonts w:ascii="宋体"/>
        </w:rPr>
      </w:pPr>
      <w:r>
        <w:rPr>
          <w:rFonts w:hint="eastAsia" w:ascii="宋体" w:hAnsi="宋体"/>
        </w:rPr>
        <w:t>（</w:t>
      </w:r>
      <w:r>
        <w:rPr>
          <w:rFonts w:ascii="宋体" w:hAnsi="宋体"/>
        </w:rPr>
        <w:t>2</w:t>
      </w:r>
      <w:r>
        <w:rPr>
          <w:rFonts w:hint="eastAsia" w:ascii="宋体" w:hAnsi="宋体"/>
        </w:rPr>
        <w:t>）本项目采用全流程不见面电子开评标，响应文件解密、磋商谈判、答疑澄清等，通过系统在线方式完成。投标供应商在项目开、评标期间应保持在线状态，授权委托人应保持电话畅通，随时通过“政采云”平台接受磋商小组发出的询标等信息，并在规定时间内答复。</w:t>
      </w:r>
    </w:p>
    <w:p>
      <w:pPr>
        <w:pStyle w:val="82"/>
        <w:widowControl w:val="0"/>
        <w:autoSpaceDE w:val="0"/>
        <w:autoSpaceDN w:val="0"/>
        <w:spacing w:before="0" w:after="0" w:line="440" w:lineRule="exact"/>
        <w:ind w:left="420" w:firstLine="120" w:firstLineChars="50"/>
        <w:jc w:val="left"/>
        <w:rPr>
          <w:rFonts w:ascii="宋体"/>
          <w:sz w:val="24"/>
          <w:szCs w:val="24"/>
          <w:lang w:val="en-US" w:eastAsia="zh-CN"/>
        </w:rPr>
      </w:pPr>
      <w:r>
        <w:rPr>
          <w:rFonts w:hint="eastAsia" w:ascii="宋体" w:hAnsi="宋体"/>
          <w:sz w:val="24"/>
          <w:szCs w:val="24"/>
          <w:lang w:val="en-US" w:eastAsia="zh-CN"/>
        </w:rPr>
        <w:t>（</w:t>
      </w:r>
      <w:r>
        <w:rPr>
          <w:rFonts w:ascii="宋体" w:hAnsi="宋体"/>
          <w:sz w:val="24"/>
          <w:szCs w:val="24"/>
          <w:lang w:val="en-US" w:eastAsia="zh-CN"/>
        </w:rPr>
        <w:t>3</w:t>
      </w:r>
      <w:r>
        <w:rPr>
          <w:rFonts w:hint="eastAsia" w:ascii="宋体" w:hAnsi="宋体"/>
          <w:sz w:val="24"/>
          <w:szCs w:val="24"/>
          <w:lang w:val="en-US" w:eastAsia="zh-CN"/>
        </w:rPr>
        <w:t>）磋商小组全体成员集中与单一供应商就采购需求、质量和服务等分别进行磋</w:t>
      </w:r>
    </w:p>
    <w:p>
      <w:pPr>
        <w:pStyle w:val="82"/>
        <w:widowControl w:val="0"/>
        <w:autoSpaceDE w:val="0"/>
        <w:autoSpaceDN w:val="0"/>
        <w:spacing w:before="0" w:after="0" w:line="440" w:lineRule="exact"/>
        <w:jc w:val="left"/>
        <w:rPr>
          <w:rFonts w:ascii="宋体"/>
          <w:sz w:val="24"/>
          <w:szCs w:val="24"/>
          <w:lang w:val="en-US" w:eastAsia="zh-CN"/>
        </w:rPr>
      </w:pPr>
      <w:r>
        <w:rPr>
          <w:rFonts w:hint="eastAsia" w:ascii="宋体" w:hAnsi="宋体"/>
          <w:sz w:val="24"/>
          <w:szCs w:val="24"/>
          <w:lang w:val="en-US" w:eastAsia="zh-CN"/>
        </w:rPr>
        <w:t>商。逐家磋商一次为一个轮次，磋商轮次由磋商小组视情况决定。</w:t>
      </w:r>
    </w:p>
    <w:p>
      <w:pPr>
        <w:pStyle w:val="82"/>
        <w:widowControl w:val="0"/>
        <w:autoSpaceDE w:val="0"/>
        <w:autoSpaceDN w:val="0"/>
        <w:spacing w:before="0" w:after="0" w:line="440" w:lineRule="exact"/>
        <w:ind w:firstLine="480" w:firstLineChars="200"/>
        <w:jc w:val="left"/>
        <w:rPr>
          <w:rFonts w:hint="eastAsia" w:ascii="宋体" w:hAnsi="宋体"/>
          <w:sz w:val="24"/>
          <w:szCs w:val="24"/>
          <w:lang w:val="en-US" w:eastAsia="zh-CN"/>
        </w:rPr>
      </w:pPr>
      <w:r>
        <w:rPr>
          <w:rFonts w:hint="eastAsia" w:ascii="宋体" w:hAnsi="宋体"/>
          <w:color w:val="000000"/>
          <w:sz w:val="24"/>
          <w:szCs w:val="24"/>
          <w:lang w:val="en-US" w:eastAsia="zh-CN"/>
        </w:rPr>
        <w:t>（</w:t>
      </w:r>
      <w:r>
        <w:rPr>
          <w:rFonts w:ascii="宋体" w:hAnsi="宋体"/>
          <w:color w:val="000000"/>
          <w:sz w:val="24"/>
          <w:szCs w:val="24"/>
          <w:lang w:val="en-US" w:eastAsia="zh-CN"/>
        </w:rPr>
        <w:t>4</w:t>
      </w:r>
      <w:r>
        <w:rPr>
          <w:rFonts w:hint="eastAsia" w:ascii="宋体" w:hAnsi="宋体"/>
          <w:color w:val="000000"/>
          <w:sz w:val="24"/>
          <w:szCs w:val="24"/>
          <w:lang w:val="en-US" w:eastAsia="zh-CN"/>
        </w:rPr>
        <w:t>）</w:t>
      </w:r>
      <w:r>
        <w:rPr>
          <w:rFonts w:hint="eastAsia" w:ascii="宋体" w:hAnsi="宋体"/>
          <w:sz w:val="24"/>
          <w:szCs w:val="24"/>
          <w:lang w:val="en-US" w:eastAsia="zh-CN"/>
        </w:rPr>
        <w:t>磋商结束后，磋商小组将要求实质性响应磋商文件的供应商在规定时间内在线提交最后报价，磋商小组将现场公开唱价。</w:t>
      </w:r>
    </w:p>
    <w:p>
      <w:pPr>
        <w:pStyle w:val="82"/>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（5）采购人或采购代理机构将对磋商过程进行记录，由监督部门人员、采购方代表全程监督。</w:t>
      </w:r>
    </w:p>
    <w:p>
      <w:pPr>
        <w:pStyle w:val="82"/>
        <w:widowControl w:val="0"/>
        <w:autoSpaceDE w:val="0"/>
        <w:autoSpaceDN w:val="0"/>
        <w:spacing w:before="0" w:after="0" w:line="440" w:lineRule="exact"/>
        <w:ind w:firstLine="550" w:firstLineChars="250"/>
        <w:jc w:val="left"/>
        <w:rPr>
          <w:rFonts w:ascii="宋体" w:cs="宋体"/>
          <w:color w:val="000000"/>
          <w:lang w:val="en-US" w:eastAsia="zh-CN"/>
        </w:rPr>
      </w:pPr>
    </w:p>
    <w:p>
      <w:pPr>
        <w:pStyle w:val="18"/>
        <w:kinsoku w:val="0"/>
        <w:overflowPunct w:val="0"/>
        <w:spacing w:before="176"/>
        <w:ind w:left="458" w:right="577"/>
        <w:jc w:val="center"/>
        <w:rPr>
          <w:rFonts w:eastAsia="Times New Roman"/>
        </w:rPr>
      </w:pPr>
      <w:r>
        <w:rPr>
          <w:rFonts w:hint="eastAsia"/>
          <w:b/>
        </w:rPr>
        <w:t>（六）评审</w:t>
      </w:r>
    </w:p>
    <w:p>
      <w:pPr>
        <w:pStyle w:val="18"/>
        <w:kinsoku w:val="0"/>
        <w:overflowPunct w:val="0"/>
        <w:spacing w:before="12"/>
        <w:ind w:left="0"/>
        <w:rPr>
          <w:rFonts w:eastAsia="Times New Roman"/>
          <w:b/>
          <w:sz w:val="18"/>
        </w:rPr>
      </w:pPr>
    </w:p>
    <w:p>
      <w:pPr>
        <w:pStyle w:val="18"/>
        <w:kinsoku w:val="0"/>
        <w:overflowPunct w:val="0"/>
        <w:spacing w:line="440" w:lineRule="exact"/>
        <w:rPr>
          <w:rFonts w:eastAsia="Times New Roman"/>
          <w:b/>
        </w:rPr>
      </w:pPr>
      <w:r>
        <w:rPr>
          <w:b/>
        </w:rPr>
        <w:t>3</w:t>
      </w:r>
      <w:r>
        <w:rPr>
          <w:rFonts w:hint="eastAsia"/>
          <w:b/>
        </w:rPr>
        <w:t>2、磋商小组与评审</w:t>
      </w:r>
    </w:p>
    <w:p>
      <w:pPr>
        <w:pStyle w:val="18"/>
        <w:kinsoku w:val="0"/>
        <w:overflowPunct w:val="0"/>
        <w:spacing w:line="440" w:lineRule="exact"/>
        <w:ind w:left="111" w:right="110" w:firstLine="480"/>
      </w:pPr>
      <w:r>
        <w:t>3</w:t>
      </w:r>
      <w:r>
        <w:rPr>
          <w:rFonts w:hint="eastAsia"/>
        </w:rPr>
        <w:t>2</w:t>
      </w:r>
      <w:r>
        <w:t xml:space="preserve">.1 </w:t>
      </w:r>
      <w:r>
        <w:rPr>
          <w:rFonts w:hint="eastAsia"/>
        </w:rPr>
        <w:t>采购人按照有关规定程序负责组织成立评标委员会，组成竞争性磋商小组</w:t>
      </w:r>
      <w:r>
        <w:t xml:space="preserve">, </w:t>
      </w:r>
      <w:r>
        <w:rPr>
          <w:rFonts w:hint="eastAsia"/>
        </w:rPr>
        <w:t>磋商小组由采购人的代表和有关方面的专家</w:t>
      </w:r>
      <w:r>
        <w:t xml:space="preserve"> 3 </w:t>
      </w:r>
      <w:r>
        <w:rPr>
          <w:rFonts w:hint="eastAsia"/>
        </w:rPr>
        <w:t>人及以上的单数组成。该磋商小组独立工作，负责评审所有响应文件并确定成交候选供应商。</w:t>
      </w:r>
    </w:p>
    <w:p>
      <w:pPr>
        <w:pStyle w:val="18"/>
        <w:kinsoku w:val="0"/>
        <w:overflowPunct w:val="0"/>
        <w:spacing w:line="440" w:lineRule="exact"/>
        <w:rPr>
          <w:rFonts w:eastAsia="Times New Roman"/>
        </w:rPr>
      </w:pPr>
      <w:r>
        <w:t>3</w:t>
      </w:r>
      <w:r>
        <w:rPr>
          <w:rFonts w:hint="eastAsia"/>
        </w:rPr>
        <w:t>2</w:t>
      </w:r>
      <w:r>
        <w:t>.2</w:t>
      </w:r>
      <w:r>
        <w:rPr>
          <w:rFonts w:hint="eastAsia"/>
        </w:rPr>
        <w:t>磋商结束后，开始评审，评审采用保密方式进行。</w:t>
      </w:r>
    </w:p>
    <w:p>
      <w:pPr>
        <w:pStyle w:val="7"/>
        <w:kinsoku w:val="0"/>
        <w:overflowPunct w:val="0"/>
        <w:spacing w:before="0" w:line="440" w:lineRule="exact"/>
        <w:rPr>
          <w:rFonts w:eastAsia="Times New Roman"/>
        </w:rPr>
      </w:pPr>
      <w:r>
        <w:t>3</w:t>
      </w:r>
      <w:r>
        <w:rPr>
          <w:rFonts w:hint="eastAsia"/>
        </w:rPr>
        <w:t>3、评审过程的保密</w:t>
      </w:r>
    </w:p>
    <w:p>
      <w:pPr>
        <w:pStyle w:val="18"/>
        <w:kinsoku w:val="0"/>
        <w:overflowPunct w:val="0"/>
        <w:spacing w:line="440" w:lineRule="exact"/>
        <w:ind w:left="111" w:right="110" w:firstLine="480"/>
        <w:rPr>
          <w:rFonts w:eastAsia="Times New Roman"/>
        </w:rPr>
      </w:pPr>
      <w:r>
        <w:t>3</w:t>
      </w:r>
      <w:r>
        <w:rPr>
          <w:rFonts w:hint="eastAsia"/>
        </w:rPr>
        <w:t>3</w:t>
      </w:r>
      <w:r>
        <w:t>.1</w:t>
      </w:r>
      <w:r>
        <w:rPr>
          <w:rFonts w:hint="eastAsia"/>
        </w:rPr>
        <w:t>磋商后，直至授予中标人合同为止，凡属于对响应文件的审查、澄清、评价和比较的有关资料以及成交候选人的推荐情况</w:t>
      </w:r>
      <w:r>
        <w:rPr>
          <w:rFonts w:hint="eastAsia"/>
          <w:spacing w:val="-60"/>
        </w:rPr>
        <w:t>，</w:t>
      </w:r>
      <w:r>
        <w:rPr>
          <w:rFonts w:hint="eastAsia"/>
        </w:rPr>
        <w:t>与评审有关的其他任何情况均严格保密。</w:t>
      </w:r>
    </w:p>
    <w:p>
      <w:pPr>
        <w:pStyle w:val="18"/>
        <w:kinsoku w:val="0"/>
        <w:overflowPunct w:val="0"/>
        <w:spacing w:line="440" w:lineRule="exact"/>
        <w:ind w:left="111" w:right="112" w:firstLine="480"/>
        <w:jc w:val="both"/>
        <w:rPr>
          <w:rFonts w:eastAsia="Times New Roman"/>
        </w:rPr>
      </w:pPr>
      <w:r>
        <w:t>3</w:t>
      </w:r>
      <w:r>
        <w:rPr>
          <w:rFonts w:hint="eastAsia"/>
        </w:rPr>
        <w:t>3</w:t>
      </w:r>
      <w:r>
        <w:t>.2</w:t>
      </w:r>
      <w:r>
        <w:rPr>
          <w:rFonts w:hint="eastAsia"/>
        </w:rPr>
        <w:t>在响应文件的评审和比较</w:t>
      </w:r>
      <w:r>
        <w:rPr>
          <w:rFonts w:hint="eastAsia"/>
          <w:spacing w:val="-60"/>
        </w:rPr>
        <w:t>、</w:t>
      </w:r>
      <w:r>
        <w:rPr>
          <w:rFonts w:hint="eastAsia"/>
        </w:rPr>
        <w:t>成交候选人推荐以及授予合同的过程中</w:t>
      </w:r>
      <w:r>
        <w:rPr>
          <w:rFonts w:hint="eastAsia"/>
          <w:spacing w:val="-60"/>
        </w:rPr>
        <w:t>，</w:t>
      </w:r>
      <w:r>
        <w:rPr>
          <w:rFonts w:hint="eastAsia"/>
        </w:rPr>
        <w:t>供应商向采购人和磋商小组施加影响的任何行为，都将会导致其磋商被拒绝。</w:t>
      </w:r>
    </w:p>
    <w:p>
      <w:pPr>
        <w:pStyle w:val="18"/>
        <w:kinsoku w:val="0"/>
        <w:overflowPunct w:val="0"/>
        <w:spacing w:before="60" w:line="440" w:lineRule="exact"/>
        <w:ind w:left="111" w:right="112" w:firstLine="480"/>
        <w:jc w:val="both"/>
        <w:rPr>
          <w:rFonts w:eastAsia="Times New Roman"/>
        </w:rPr>
      </w:pPr>
      <w:r>
        <w:t>3</w:t>
      </w:r>
      <w:r>
        <w:rPr>
          <w:rFonts w:hint="eastAsia"/>
        </w:rPr>
        <w:t>3</w:t>
      </w:r>
      <w:r>
        <w:t>.3</w:t>
      </w:r>
      <w:r>
        <w:rPr>
          <w:rFonts w:hint="eastAsia"/>
        </w:rPr>
        <w:t>中标人确定后</w:t>
      </w:r>
      <w:r>
        <w:rPr>
          <w:rFonts w:hint="eastAsia"/>
          <w:spacing w:val="-120"/>
        </w:rPr>
        <w:t>，</w:t>
      </w:r>
      <w:r>
        <w:rPr>
          <w:rFonts w:hint="eastAsia"/>
        </w:rPr>
        <w:t>采购人不对未中标人就评审过程以及未能成交原因作出任何解释</w:t>
      </w:r>
      <w:r>
        <w:rPr>
          <w:rFonts w:hint="eastAsia"/>
          <w:spacing w:val="-60"/>
        </w:rPr>
        <w:t>。</w:t>
      </w:r>
      <w:r>
        <w:rPr>
          <w:rFonts w:hint="eastAsia"/>
        </w:rPr>
        <w:t>未中标人不得向磋商小组组成人员或其他有关人员索问评审过程的情况和材料</w:t>
      </w:r>
    </w:p>
    <w:p>
      <w:pPr>
        <w:pStyle w:val="18"/>
        <w:kinsoku w:val="0"/>
        <w:overflowPunct w:val="0"/>
        <w:spacing w:before="60" w:line="440" w:lineRule="exact"/>
        <w:ind w:right="110"/>
        <w:rPr>
          <w:b/>
          <w:spacing w:val="25"/>
          <w:w w:val="99"/>
        </w:rPr>
      </w:pPr>
      <w:r>
        <w:rPr>
          <w:b/>
        </w:rPr>
        <w:t>3</w:t>
      </w:r>
      <w:r>
        <w:rPr>
          <w:rFonts w:hint="eastAsia"/>
          <w:b/>
        </w:rPr>
        <w:t>4、响应文件的澄清</w:t>
      </w:r>
    </w:p>
    <w:p>
      <w:pPr>
        <w:pStyle w:val="18"/>
        <w:kinsoku w:val="0"/>
        <w:overflowPunct w:val="0"/>
        <w:spacing w:before="60" w:line="440" w:lineRule="exact"/>
        <w:ind w:right="110"/>
        <w:rPr>
          <w:rFonts w:eastAsia="Times New Roman"/>
        </w:rPr>
      </w:pPr>
      <w:r>
        <w:rPr>
          <w:rFonts w:hint="eastAsia"/>
        </w:rPr>
        <w:t>为有助于响应文件的审查</w:t>
      </w:r>
      <w:r>
        <w:rPr>
          <w:rFonts w:hint="eastAsia"/>
          <w:spacing w:val="-32"/>
        </w:rPr>
        <w:t>、</w:t>
      </w:r>
      <w:r>
        <w:rPr>
          <w:rFonts w:hint="eastAsia"/>
        </w:rPr>
        <w:t>评价和比较</w:t>
      </w:r>
      <w:r>
        <w:rPr>
          <w:rFonts w:hint="eastAsia"/>
          <w:spacing w:val="-29"/>
        </w:rPr>
        <w:t>，</w:t>
      </w:r>
      <w:r>
        <w:rPr>
          <w:rFonts w:hint="eastAsia"/>
        </w:rPr>
        <w:t>磋商小组可以书面形式要求供应商对响</w:t>
      </w:r>
    </w:p>
    <w:p>
      <w:pPr>
        <w:pStyle w:val="18"/>
        <w:kinsoku w:val="0"/>
        <w:overflowPunct w:val="0"/>
        <w:spacing w:before="57" w:line="440" w:lineRule="exact"/>
        <w:ind w:left="111" w:right="112"/>
        <w:jc w:val="both"/>
        <w:rPr>
          <w:rFonts w:eastAsia="Times New Roman"/>
        </w:rPr>
      </w:pPr>
      <w:r>
        <w:rPr>
          <w:rFonts w:hint="eastAsia"/>
        </w:rPr>
        <w:t>应文件含义不明确的内容作必要的澄清或说明</w:t>
      </w:r>
      <w:r>
        <w:rPr>
          <w:rFonts w:hint="eastAsia"/>
          <w:spacing w:val="-60"/>
        </w:rPr>
        <w:t>，</w:t>
      </w:r>
      <w:r>
        <w:rPr>
          <w:rFonts w:hint="eastAsia"/>
        </w:rPr>
        <w:t>供应商应采用书面形式进行澄清或补</w:t>
      </w:r>
      <w:r>
        <w:rPr>
          <w:rFonts w:hint="eastAsia"/>
          <w:spacing w:val="1"/>
        </w:rPr>
        <w:t>正，但不得超出响应文件的范围或改变响应文件的实质性内容。根据本须知第</w:t>
      </w:r>
      <w:r>
        <w:t>34</w:t>
      </w:r>
      <w:r>
        <w:rPr>
          <w:rFonts w:hint="eastAsia"/>
        </w:rPr>
        <w:t>条规定</w:t>
      </w:r>
      <w:r>
        <w:rPr>
          <w:rFonts w:hint="eastAsia"/>
          <w:spacing w:val="-32"/>
        </w:rPr>
        <w:t>，</w:t>
      </w:r>
      <w:r>
        <w:rPr>
          <w:rFonts w:hint="eastAsia"/>
        </w:rPr>
        <w:t>供应商的澄清或补正内容将作为响应文件的组成部</w:t>
      </w:r>
      <w:r>
        <w:rPr>
          <w:rFonts w:hint="eastAsia"/>
          <w:spacing w:val="2"/>
        </w:rPr>
        <w:t>分</w:t>
      </w:r>
      <w:r>
        <w:rPr>
          <w:rFonts w:hint="eastAsia"/>
          <w:spacing w:val="-32"/>
        </w:rPr>
        <w:t>，</w:t>
      </w:r>
      <w:r>
        <w:rPr>
          <w:rFonts w:hint="eastAsia"/>
        </w:rPr>
        <w:t>供应商拒不按照要求对响应文件进行澄清或补正的</w:t>
      </w:r>
      <w:r>
        <w:rPr>
          <w:rFonts w:hint="eastAsia"/>
          <w:spacing w:val="-32"/>
        </w:rPr>
        <w:t>，</w:t>
      </w:r>
      <w:r>
        <w:rPr>
          <w:rFonts w:hint="eastAsia"/>
        </w:rPr>
        <w:t>采购人将否决其报</w:t>
      </w:r>
      <w:r>
        <w:rPr>
          <w:rFonts w:hint="eastAsia"/>
          <w:spacing w:val="2"/>
        </w:rPr>
        <w:t>价</w:t>
      </w:r>
      <w:r>
        <w:rPr>
          <w:rFonts w:hint="eastAsia"/>
          <w:spacing w:val="-32"/>
        </w:rPr>
        <w:t>，</w:t>
      </w:r>
      <w:r>
        <w:rPr>
          <w:rFonts w:hint="eastAsia"/>
        </w:rPr>
        <w:t>采购人不接受供应商主动提出的澄清。凡属于磋商小组在评审中发现的计算错误进行核实的修改不在此列。</w:t>
      </w:r>
    </w:p>
    <w:p>
      <w:pPr>
        <w:pStyle w:val="7"/>
        <w:kinsoku w:val="0"/>
        <w:overflowPunct w:val="0"/>
        <w:spacing w:before="57" w:line="440" w:lineRule="exact"/>
        <w:rPr>
          <w:rFonts w:eastAsia="Times New Roman"/>
        </w:rPr>
      </w:pPr>
      <w:r>
        <w:t>3</w:t>
      </w:r>
      <w:r>
        <w:rPr>
          <w:rFonts w:hint="eastAsia"/>
        </w:rPr>
        <w:t>5、响应文件的符合性审查</w:t>
      </w:r>
    </w:p>
    <w:p>
      <w:pPr>
        <w:pStyle w:val="18"/>
        <w:kinsoku w:val="0"/>
        <w:overflowPunct w:val="0"/>
        <w:spacing w:line="440" w:lineRule="exact"/>
        <w:ind w:left="111" w:right="112" w:firstLine="480"/>
        <w:jc w:val="both"/>
        <w:rPr>
          <w:rFonts w:eastAsia="Times New Roman"/>
        </w:rPr>
      </w:pPr>
      <w:r>
        <w:t>3</w:t>
      </w:r>
      <w:r>
        <w:rPr>
          <w:rFonts w:hint="eastAsia"/>
        </w:rPr>
        <w:t>5</w:t>
      </w:r>
      <w:r>
        <w:t>.1</w:t>
      </w:r>
      <w:r>
        <w:rPr>
          <w:rFonts w:hint="eastAsia"/>
        </w:rPr>
        <w:t xml:space="preserve"> 经采购人审查资格审查的有效响应文件，才能提交磋商小组进行评审。</w:t>
      </w:r>
    </w:p>
    <w:p>
      <w:pPr>
        <w:pStyle w:val="18"/>
        <w:kinsoku w:val="0"/>
        <w:overflowPunct w:val="0"/>
        <w:spacing w:before="56" w:line="440" w:lineRule="exact"/>
        <w:ind w:left="111" w:right="112" w:firstLine="480"/>
        <w:jc w:val="both"/>
        <w:rPr>
          <w:rFonts w:eastAsia="Times New Roman"/>
        </w:rPr>
      </w:pPr>
      <w:r>
        <w:t>3</w:t>
      </w:r>
      <w:r>
        <w:rPr>
          <w:rFonts w:hint="eastAsia"/>
        </w:rPr>
        <w:t>5</w:t>
      </w:r>
      <w:r>
        <w:t>.2</w:t>
      </w:r>
      <w:r>
        <w:rPr>
          <w:rFonts w:hint="eastAsia"/>
        </w:rPr>
        <w:t xml:space="preserve"> 评审时</w:t>
      </w:r>
      <w:r>
        <w:rPr>
          <w:rFonts w:hint="eastAsia"/>
          <w:spacing w:val="-120"/>
        </w:rPr>
        <w:t>，</w:t>
      </w:r>
      <w:r>
        <w:rPr>
          <w:rFonts w:hint="eastAsia"/>
        </w:rPr>
        <w:t>磋商小组将首先评定每份响应文件是否在实质上响应了磋商文件的</w:t>
      </w:r>
      <w:r>
        <w:rPr>
          <w:rFonts w:hint="eastAsia"/>
          <w:spacing w:val="-2"/>
        </w:rPr>
        <w:t>要求。所谓实质上响应，是指响应文件应与磋商文件的所有实质性条款、条件和要求相符，无显著差异或保留。所谓显著差异或保留是指对工程的发包范围、质量标准及</w:t>
      </w:r>
      <w:r>
        <w:rPr>
          <w:rFonts w:hint="eastAsia"/>
          <w:spacing w:val="4"/>
        </w:rPr>
        <w:t>使用产生实质性影响或者对合同中规定的采购人的权力及供应商的义务造成实质性</w:t>
      </w:r>
      <w:r>
        <w:rPr>
          <w:rFonts w:hint="eastAsia"/>
        </w:rPr>
        <w:t>限制</w:t>
      </w:r>
      <w:r>
        <w:rPr>
          <w:rFonts w:hint="eastAsia"/>
          <w:spacing w:val="-32"/>
        </w:rPr>
        <w:t>，</w:t>
      </w:r>
      <w:r>
        <w:rPr>
          <w:rFonts w:hint="eastAsia"/>
        </w:rPr>
        <w:t>而且纠正这种差异或保留</w:t>
      </w:r>
      <w:r>
        <w:rPr>
          <w:rFonts w:hint="eastAsia"/>
          <w:spacing w:val="-29"/>
        </w:rPr>
        <w:t>，</w:t>
      </w:r>
      <w:r>
        <w:rPr>
          <w:rFonts w:hint="eastAsia"/>
        </w:rPr>
        <w:t>将会对其他实质上响应要求的供应商的竞争地位产生不公正的影响。</w:t>
      </w:r>
    </w:p>
    <w:p>
      <w:pPr>
        <w:pStyle w:val="18"/>
        <w:kinsoku w:val="0"/>
        <w:overflowPunct w:val="0"/>
        <w:spacing w:before="57" w:line="440" w:lineRule="exact"/>
        <w:ind w:left="111" w:right="112" w:firstLine="480"/>
        <w:jc w:val="both"/>
        <w:rPr>
          <w:rFonts w:eastAsia="Times New Roman"/>
        </w:rPr>
      </w:pPr>
      <w:r>
        <w:t>3</w:t>
      </w:r>
      <w:r>
        <w:rPr>
          <w:rFonts w:hint="eastAsia"/>
        </w:rPr>
        <w:t>5</w:t>
      </w:r>
      <w:r>
        <w:t>.3</w:t>
      </w:r>
      <w:r>
        <w:rPr>
          <w:rFonts w:hint="eastAsia"/>
        </w:rPr>
        <w:t>如果响应文件实质上不响应磋商文件的各项要求</w:t>
      </w:r>
      <w:r>
        <w:rPr>
          <w:rFonts w:hint="eastAsia"/>
          <w:spacing w:val="-60"/>
        </w:rPr>
        <w:t>，</w:t>
      </w:r>
      <w:r>
        <w:rPr>
          <w:rFonts w:hint="eastAsia"/>
        </w:rPr>
        <w:t>磋商小组将予以拒绝</w:t>
      </w:r>
      <w:r>
        <w:rPr>
          <w:rFonts w:hint="eastAsia"/>
          <w:spacing w:val="-60"/>
        </w:rPr>
        <w:t>，</w:t>
      </w:r>
      <w:r>
        <w:rPr>
          <w:rFonts w:hint="eastAsia"/>
        </w:rPr>
        <w:t>并且不允许供应商通过修改或撤销其不符合要求的差异或保留</w:t>
      </w:r>
      <w:r>
        <w:rPr>
          <w:rFonts w:hint="eastAsia"/>
          <w:spacing w:val="-60"/>
        </w:rPr>
        <w:t>，</w:t>
      </w:r>
      <w:r>
        <w:rPr>
          <w:rFonts w:hint="eastAsia"/>
        </w:rPr>
        <w:t>使之成为具有响应性的</w:t>
      </w:r>
    </w:p>
    <w:p>
      <w:pPr>
        <w:pStyle w:val="18"/>
        <w:kinsoku w:val="0"/>
        <w:overflowPunct w:val="0"/>
        <w:spacing w:before="26" w:line="440" w:lineRule="exact"/>
        <w:ind w:left="111"/>
        <w:rPr>
          <w:rFonts w:eastAsia="Times New Roman"/>
        </w:rPr>
      </w:pPr>
      <w:r>
        <w:rPr>
          <w:rFonts w:hint="eastAsia"/>
        </w:rPr>
        <w:t>报价。</w:t>
      </w:r>
    </w:p>
    <w:p>
      <w:pPr>
        <w:pStyle w:val="18"/>
        <w:kinsoku w:val="0"/>
        <w:overflowPunct w:val="0"/>
        <w:spacing w:line="440" w:lineRule="exact"/>
        <w:ind w:left="111" w:right="232" w:firstLine="480"/>
        <w:jc w:val="both"/>
        <w:rPr>
          <w:rFonts w:eastAsia="宋体"/>
        </w:rPr>
      </w:pPr>
      <w:r>
        <w:t>3</w:t>
      </w:r>
      <w:r>
        <w:rPr>
          <w:rFonts w:hint="eastAsia"/>
        </w:rPr>
        <w:t>5</w:t>
      </w:r>
      <w:r>
        <w:t>.4</w:t>
      </w:r>
      <w:r>
        <w:rPr>
          <w:rFonts w:hint="eastAsia"/>
        </w:rPr>
        <w:t>响应文件有下列情形之一的</w:t>
      </w:r>
      <w:r>
        <w:rPr>
          <w:rFonts w:hint="eastAsia"/>
          <w:spacing w:val="-60"/>
        </w:rPr>
        <w:t>，</w:t>
      </w:r>
      <w:r>
        <w:rPr>
          <w:rFonts w:hint="eastAsia"/>
        </w:rPr>
        <w:t>视为未能对磋商文件作出实质性响应</w:t>
      </w:r>
      <w:r>
        <w:rPr>
          <w:rFonts w:hint="eastAsia"/>
          <w:spacing w:val="-60"/>
        </w:rPr>
        <w:t>，</w:t>
      </w:r>
      <w:r>
        <w:rPr>
          <w:rFonts w:hint="eastAsia"/>
        </w:rPr>
        <w:t>由磋商小组初审后按无效标处理：</w:t>
      </w:r>
    </w:p>
    <w:p>
      <w:pPr>
        <w:pStyle w:val="18"/>
        <w:kinsoku w:val="0"/>
        <w:overflowPunct w:val="0"/>
        <w:spacing w:before="57" w:line="440" w:lineRule="exact"/>
        <w:ind w:left="111" w:right="112" w:firstLine="480"/>
        <w:jc w:val="both"/>
        <w:rPr>
          <w:b/>
        </w:rPr>
      </w:pPr>
      <w:r>
        <w:rPr>
          <w:rFonts w:hint="eastAsia"/>
          <w:b/>
        </w:rPr>
        <w:t>（1）未按照磋商文件规定要求签署、盖章的；</w:t>
      </w:r>
    </w:p>
    <w:p>
      <w:pPr>
        <w:pStyle w:val="18"/>
        <w:kinsoku w:val="0"/>
        <w:overflowPunct w:val="0"/>
        <w:spacing w:before="57" w:line="440" w:lineRule="exact"/>
        <w:ind w:left="111" w:right="112" w:firstLine="480"/>
        <w:jc w:val="both"/>
        <w:rPr>
          <w:rFonts w:eastAsia="Times New Roman"/>
          <w:b/>
        </w:rPr>
      </w:pPr>
      <w:r>
        <w:rPr>
          <w:rFonts w:hint="eastAsia"/>
          <w:b/>
        </w:rPr>
        <w:t>（2）响应文件明显不符合磋商文件规定的技术以及商务条款的实质性要求的；</w:t>
      </w:r>
    </w:p>
    <w:p>
      <w:pPr>
        <w:pStyle w:val="18"/>
        <w:kinsoku w:val="0"/>
        <w:overflowPunct w:val="0"/>
        <w:spacing w:before="57" w:line="440" w:lineRule="exact"/>
        <w:ind w:left="111" w:right="112" w:firstLine="480"/>
        <w:jc w:val="both"/>
        <w:rPr>
          <w:rFonts w:eastAsia="Times New Roman"/>
          <w:b/>
        </w:rPr>
      </w:pPr>
      <w:r>
        <w:rPr>
          <w:rFonts w:hint="eastAsia"/>
          <w:b/>
        </w:rPr>
        <w:t>（3）响应文件载明的工期、质量标准等明显不符合磋商文件要求的；</w:t>
      </w:r>
    </w:p>
    <w:p>
      <w:pPr>
        <w:pStyle w:val="18"/>
        <w:kinsoku w:val="0"/>
        <w:overflowPunct w:val="0"/>
        <w:spacing w:before="57" w:line="440" w:lineRule="exact"/>
        <w:ind w:left="111" w:right="112" w:firstLine="480"/>
        <w:jc w:val="both"/>
        <w:rPr>
          <w:rFonts w:eastAsia="Times New Roman"/>
          <w:b/>
        </w:rPr>
      </w:pPr>
      <w:r>
        <w:rPr>
          <w:rFonts w:hint="eastAsia"/>
          <w:b/>
        </w:rPr>
        <w:t>（4）供应商对同一招标项目作出两个以上报价未明确效力的；</w:t>
      </w:r>
    </w:p>
    <w:p>
      <w:pPr>
        <w:pStyle w:val="18"/>
        <w:kinsoku w:val="0"/>
        <w:overflowPunct w:val="0"/>
        <w:spacing w:before="57" w:line="440" w:lineRule="exact"/>
        <w:ind w:left="111" w:right="112" w:firstLine="480"/>
        <w:jc w:val="both"/>
        <w:rPr>
          <w:rFonts w:eastAsia="Times New Roman"/>
          <w:b/>
        </w:rPr>
      </w:pPr>
      <w:r>
        <w:rPr>
          <w:rFonts w:hint="eastAsia"/>
          <w:b/>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pStyle w:val="18"/>
        <w:kinsoku w:val="0"/>
        <w:overflowPunct w:val="0"/>
        <w:spacing w:before="57" w:line="440" w:lineRule="exact"/>
        <w:ind w:left="111" w:right="112" w:firstLine="480"/>
        <w:jc w:val="both"/>
        <w:rPr>
          <w:rFonts w:eastAsia="Times New Roman"/>
          <w:b/>
        </w:rPr>
      </w:pPr>
      <w:r>
        <w:rPr>
          <w:rFonts w:hint="eastAsia"/>
          <w:b/>
        </w:rPr>
        <w:t>（6）供应商的投标报价超过最高限价，且采购人不能支付的；</w:t>
      </w:r>
    </w:p>
    <w:p>
      <w:pPr>
        <w:pStyle w:val="18"/>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7</w:t>
      </w:r>
      <w:r>
        <w:rPr>
          <w:rFonts w:hint="eastAsia"/>
          <w:b/>
        </w:rPr>
        <w:t>）在评标过程中，发现供应商以他人名义投标、串通投标、以行贿手段谋取成交或者以其他弄虚作假方式投标的；</w:t>
      </w:r>
    </w:p>
    <w:p>
      <w:pPr>
        <w:pStyle w:val="18"/>
        <w:kinsoku w:val="0"/>
        <w:overflowPunct w:val="0"/>
        <w:spacing w:before="57" w:line="440" w:lineRule="exact"/>
        <w:ind w:left="111" w:right="112" w:firstLine="480"/>
        <w:jc w:val="both"/>
        <w:rPr>
          <w:rFonts w:eastAsia="Times New Roman"/>
          <w:b/>
        </w:rPr>
      </w:pPr>
      <w:r>
        <w:rPr>
          <w:rFonts w:hint="eastAsia"/>
          <w:b/>
        </w:rPr>
        <w:t>（</w:t>
      </w:r>
      <w:r>
        <w:rPr>
          <w:rFonts w:hint="eastAsia"/>
          <w:b/>
          <w:lang w:val="en-US" w:eastAsia="zh-CN"/>
        </w:rPr>
        <w:t>8</w:t>
      </w:r>
      <w:r>
        <w:rPr>
          <w:rFonts w:hint="eastAsia"/>
          <w:b/>
        </w:rPr>
        <w:t>）响应文件附有采购人不能接受的实质性条件的；</w:t>
      </w:r>
    </w:p>
    <w:p>
      <w:pPr>
        <w:pStyle w:val="18"/>
        <w:kinsoku w:val="0"/>
        <w:overflowPunct w:val="0"/>
        <w:spacing w:before="57" w:line="440" w:lineRule="exact"/>
        <w:ind w:left="111" w:right="112" w:firstLine="480"/>
        <w:jc w:val="both"/>
        <w:rPr>
          <w:b/>
        </w:rPr>
      </w:pPr>
      <w:r>
        <w:rPr>
          <w:rFonts w:hint="eastAsia"/>
          <w:b/>
        </w:rPr>
        <w:t>（</w:t>
      </w:r>
      <w:r>
        <w:rPr>
          <w:rFonts w:hint="eastAsia"/>
          <w:b/>
          <w:lang w:val="en-US" w:eastAsia="zh-CN"/>
        </w:rPr>
        <w:t>9</w:t>
      </w:r>
      <w:r>
        <w:rPr>
          <w:rFonts w:hint="eastAsia"/>
          <w:b/>
        </w:rPr>
        <w:t>）响应文件不符合磋商文件规定的其他实质性要求的。</w:t>
      </w:r>
    </w:p>
    <w:p>
      <w:pPr>
        <w:pStyle w:val="18"/>
        <w:kinsoku w:val="0"/>
        <w:overflowPunct w:val="0"/>
        <w:spacing w:line="440" w:lineRule="exact"/>
        <w:rPr>
          <w:rFonts w:eastAsia="Times New Roman"/>
        </w:rPr>
      </w:pPr>
      <w:r>
        <w:t>3</w:t>
      </w:r>
      <w:r>
        <w:rPr>
          <w:rFonts w:hint="eastAsia"/>
        </w:rPr>
        <w:t>5</w:t>
      </w:r>
      <w:r>
        <w:t>.5</w:t>
      </w:r>
      <w:r>
        <w:rPr>
          <w:rFonts w:hint="eastAsia"/>
        </w:rPr>
        <w:t>所有供应商报价均超出磋商控制价的，本项目废标。</w:t>
      </w:r>
    </w:p>
    <w:p>
      <w:pPr>
        <w:pStyle w:val="18"/>
        <w:kinsoku w:val="0"/>
        <w:overflowPunct w:val="0"/>
        <w:spacing w:line="440" w:lineRule="exact"/>
        <w:ind w:left="111" w:right="232" w:firstLine="480"/>
        <w:jc w:val="both"/>
        <w:rPr>
          <w:rFonts w:eastAsia="Times New Roman"/>
        </w:rPr>
      </w:pPr>
      <w:r>
        <w:t>3</w:t>
      </w:r>
      <w:r>
        <w:rPr>
          <w:rFonts w:hint="eastAsia"/>
        </w:rPr>
        <w:t>5</w:t>
      </w:r>
      <w:r>
        <w:t>.6</w:t>
      </w:r>
      <w:r>
        <w:rPr>
          <w:rFonts w:hint="eastAsia"/>
        </w:rPr>
        <w:t>响应文件在实质上响应磋商文件要求</w:t>
      </w:r>
      <w:r>
        <w:rPr>
          <w:rFonts w:hint="eastAsia"/>
          <w:spacing w:val="-120"/>
        </w:rPr>
        <w:t>，</w:t>
      </w:r>
      <w:r>
        <w:rPr>
          <w:rFonts w:hint="eastAsia"/>
        </w:rPr>
        <w:t>但在个别地方存在遗漏或者提供了不完整的技术信息和数据的情况</w:t>
      </w:r>
      <w:r>
        <w:rPr>
          <w:rFonts w:hint="eastAsia"/>
          <w:spacing w:val="-60"/>
        </w:rPr>
        <w:t>，</w:t>
      </w:r>
      <w:r>
        <w:rPr>
          <w:rFonts w:hint="eastAsia"/>
        </w:rPr>
        <w:t>并且补正这些遗漏或不完整不会对其他供应商造成不公平的结果，这种情况不影响响应文件的有效性。</w:t>
      </w:r>
    </w:p>
    <w:p>
      <w:pPr>
        <w:pStyle w:val="18"/>
        <w:kinsoku w:val="0"/>
        <w:overflowPunct w:val="0"/>
        <w:spacing w:before="26" w:line="440" w:lineRule="exact"/>
        <w:ind w:left="111" w:right="110" w:firstLine="480"/>
        <w:rPr>
          <w:rFonts w:eastAsia="Times New Roman"/>
        </w:rPr>
      </w:pPr>
      <w:r>
        <w:t>3</w:t>
      </w:r>
      <w:r>
        <w:rPr>
          <w:rFonts w:hint="eastAsia"/>
        </w:rPr>
        <w:t>5</w:t>
      </w:r>
      <w:r>
        <w:t>.7</w:t>
      </w:r>
      <w:r>
        <w:rPr>
          <w:rFonts w:hint="eastAsia"/>
        </w:rPr>
        <w:t>磋商小组对响应文件的判定</w:t>
      </w:r>
      <w:r>
        <w:rPr>
          <w:rFonts w:hint="eastAsia"/>
          <w:spacing w:val="-120"/>
        </w:rPr>
        <w:t>，</w:t>
      </w:r>
      <w:r>
        <w:rPr>
          <w:rFonts w:hint="eastAsia"/>
        </w:rPr>
        <w:t>只依据响应文件本身及按磋商文件规定提供的有关原件为准，不依靠其他任何外来证明。</w:t>
      </w:r>
    </w:p>
    <w:p>
      <w:pPr>
        <w:pStyle w:val="7"/>
        <w:kinsoku w:val="0"/>
        <w:overflowPunct w:val="0"/>
        <w:spacing w:before="57" w:line="440" w:lineRule="exact"/>
        <w:rPr>
          <w:rFonts w:eastAsia="Times New Roman"/>
        </w:rPr>
      </w:pPr>
      <w:r>
        <w:rPr>
          <w:rFonts w:hint="eastAsia"/>
        </w:rPr>
        <w:t>36、响应文件计算错误的修正</w:t>
      </w:r>
    </w:p>
    <w:p>
      <w:pPr>
        <w:pStyle w:val="18"/>
        <w:kinsoku w:val="0"/>
        <w:overflowPunct w:val="0"/>
        <w:spacing w:line="440" w:lineRule="exact"/>
        <w:ind w:left="111" w:right="110" w:firstLine="480"/>
        <w:rPr>
          <w:rFonts w:eastAsia="Times New Roman"/>
        </w:rPr>
      </w:pPr>
      <w:r>
        <w:t>3</w:t>
      </w:r>
      <w:r>
        <w:rPr>
          <w:rFonts w:hint="eastAsia"/>
        </w:rPr>
        <w:t>6</w:t>
      </w:r>
      <w:r>
        <w:t>.1</w:t>
      </w:r>
      <w:r>
        <w:rPr>
          <w:rFonts w:hint="eastAsia"/>
        </w:rPr>
        <w:t>磋商小组将对确定为实质上响应磋商文件要求的响应文件进行校核</w:t>
      </w:r>
      <w:r>
        <w:rPr>
          <w:rFonts w:hint="eastAsia"/>
          <w:spacing w:val="-120"/>
        </w:rPr>
        <w:t>，</w:t>
      </w:r>
      <w:r>
        <w:rPr>
          <w:rFonts w:hint="eastAsia"/>
        </w:rPr>
        <w:t>看其是否有计算或表达上的错误，修正错误的原则如下：</w:t>
      </w:r>
    </w:p>
    <w:p>
      <w:pPr>
        <w:pStyle w:val="18"/>
        <w:kinsoku w:val="0"/>
        <w:overflowPunct w:val="0"/>
        <w:spacing w:before="57" w:line="440" w:lineRule="exact"/>
        <w:ind w:left="111" w:right="110" w:firstLine="480"/>
        <w:rPr>
          <w:rFonts w:eastAsia="Times New Roman"/>
        </w:rPr>
      </w:pPr>
      <w:r>
        <w:t>3</w:t>
      </w:r>
      <w:r>
        <w:rPr>
          <w:rFonts w:hint="eastAsia"/>
        </w:rPr>
        <w:t>6</w:t>
      </w:r>
      <w:r>
        <w:t>.1.1</w:t>
      </w:r>
      <w:r>
        <w:rPr>
          <w:rFonts w:hint="eastAsia"/>
        </w:rPr>
        <w:t>如果数字表示的金额和用文字表示的金额不一致时</w:t>
      </w:r>
      <w:r>
        <w:rPr>
          <w:rFonts w:hint="eastAsia"/>
          <w:spacing w:val="-120"/>
        </w:rPr>
        <w:t>，</w:t>
      </w:r>
      <w:r>
        <w:rPr>
          <w:rFonts w:hint="eastAsia"/>
        </w:rPr>
        <w:t>应以文字表示的金额为准；</w:t>
      </w:r>
    </w:p>
    <w:p>
      <w:pPr>
        <w:pStyle w:val="18"/>
        <w:kinsoku w:val="0"/>
        <w:overflowPunct w:val="0"/>
        <w:spacing w:before="56" w:line="440" w:lineRule="exact"/>
        <w:rPr>
          <w:rFonts w:eastAsia="Times New Roman"/>
        </w:rPr>
      </w:pPr>
      <w:r>
        <w:t>3</w:t>
      </w:r>
      <w:r>
        <w:rPr>
          <w:rFonts w:hint="eastAsia"/>
        </w:rPr>
        <w:t>6</w:t>
      </w:r>
      <w:r>
        <w:t>.1.2</w:t>
      </w:r>
      <w:r>
        <w:rPr>
          <w:rFonts w:hint="eastAsia"/>
        </w:rPr>
        <w:t>大写金额和小写金额不一致的，应以大写金额为准；</w:t>
      </w:r>
    </w:p>
    <w:p>
      <w:pPr>
        <w:pStyle w:val="18"/>
        <w:kinsoku w:val="0"/>
        <w:overflowPunct w:val="0"/>
        <w:spacing w:line="440" w:lineRule="exact"/>
        <w:ind w:left="111" w:right="112" w:firstLine="480"/>
        <w:jc w:val="both"/>
        <w:rPr>
          <w:rFonts w:eastAsia="Times New Roman"/>
        </w:rPr>
      </w:pPr>
      <w:r>
        <w:t>3</w:t>
      </w:r>
      <w:r>
        <w:rPr>
          <w:rFonts w:hint="eastAsia"/>
        </w:rPr>
        <w:t>6</w:t>
      </w:r>
      <w:r>
        <w:t>.2</w:t>
      </w:r>
      <w:r>
        <w:rPr>
          <w:rFonts w:hint="eastAsia"/>
        </w:rPr>
        <w:t>按上述修正错误的原则及方法调整或修正响应文件的磋商报价</w:t>
      </w:r>
      <w:r>
        <w:rPr>
          <w:rFonts w:hint="eastAsia"/>
          <w:spacing w:val="-120"/>
        </w:rPr>
        <w:t>，</w:t>
      </w:r>
      <w:r>
        <w:rPr>
          <w:rFonts w:hint="eastAsia"/>
        </w:rPr>
        <w:t>供应商同意</w:t>
      </w:r>
      <w:r>
        <w:rPr>
          <w:rFonts w:hint="eastAsia"/>
          <w:spacing w:val="-2"/>
        </w:rPr>
        <w:t>后，调整后的磋商报价对供应商起约束作用。如果供应商不接受修正后的报价，则其</w:t>
      </w:r>
      <w:r>
        <w:rPr>
          <w:rFonts w:hint="eastAsia"/>
        </w:rPr>
        <w:t>磋商将被拒绝，并不影响评审工作。</w:t>
      </w:r>
    </w:p>
    <w:p>
      <w:pPr>
        <w:pStyle w:val="18"/>
        <w:kinsoku w:val="0"/>
        <w:overflowPunct w:val="0"/>
        <w:spacing w:before="57" w:line="440" w:lineRule="exact"/>
        <w:rPr>
          <w:rFonts w:eastAsia="Times New Roman"/>
        </w:rPr>
      </w:pPr>
      <w:r>
        <w:t>3</w:t>
      </w:r>
      <w:r>
        <w:rPr>
          <w:rFonts w:hint="eastAsia"/>
        </w:rPr>
        <w:t>6</w:t>
      </w:r>
      <w:r>
        <w:t>.3</w:t>
      </w:r>
      <w:r>
        <w:rPr>
          <w:rFonts w:hint="eastAsia"/>
        </w:rPr>
        <w:t>对多报的清单子项或报价视为不实质响应磋商文件，按无效标处理。</w:t>
      </w:r>
    </w:p>
    <w:p>
      <w:pPr>
        <w:pStyle w:val="18"/>
        <w:kinsoku w:val="0"/>
        <w:overflowPunct w:val="0"/>
        <w:spacing w:line="440" w:lineRule="exact"/>
        <w:rPr>
          <w:rFonts w:eastAsia="Times New Roman"/>
        </w:rPr>
      </w:pPr>
      <w:r>
        <w:rPr>
          <w:rFonts w:hint="eastAsia"/>
          <w:b/>
        </w:rPr>
        <w:t>37、响应文件的评审、比较和否决</w:t>
      </w:r>
    </w:p>
    <w:p>
      <w:pPr>
        <w:pStyle w:val="18"/>
        <w:kinsoku w:val="0"/>
        <w:overflowPunct w:val="0"/>
        <w:spacing w:line="440" w:lineRule="exact"/>
        <w:ind w:left="111" w:right="110" w:firstLine="480"/>
        <w:rPr>
          <w:rFonts w:eastAsia="Times New Roman"/>
        </w:rPr>
      </w:pPr>
      <w:r>
        <w:t>3</w:t>
      </w:r>
      <w:r>
        <w:rPr>
          <w:rFonts w:hint="eastAsia"/>
        </w:rPr>
        <w:t>7</w:t>
      </w:r>
      <w:r>
        <w:t>.1</w:t>
      </w:r>
      <w:r>
        <w:rPr>
          <w:rFonts w:hint="eastAsia"/>
        </w:rPr>
        <w:t>磋商小组将按照本须知第</w:t>
      </w:r>
      <w:r>
        <w:t>33</w:t>
      </w:r>
      <w:r>
        <w:rPr>
          <w:rFonts w:hint="eastAsia"/>
        </w:rPr>
        <w:t>条规定，仅对在实质上响应磋商文件要求的响应文件进行评估和比较。</w:t>
      </w:r>
    </w:p>
    <w:p>
      <w:pPr>
        <w:pStyle w:val="18"/>
        <w:kinsoku w:val="0"/>
        <w:overflowPunct w:val="0"/>
        <w:spacing w:before="60" w:line="440" w:lineRule="exact"/>
        <w:ind w:left="111" w:right="110" w:firstLine="480"/>
        <w:rPr>
          <w:rFonts w:eastAsia="Times New Roman"/>
        </w:rPr>
      </w:pPr>
      <w:r>
        <w:t>3</w:t>
      </w:r>
      <w:r>
        <w:rPr>
          <w:rFonts w:hint="eastAsia"/>
        </w:rPr>
        <w:t>7</w:t>
      </w:r>
      <w:r>
        <w:t>.2</w:t>
      </w:r>
      <w:r>
        <w:rPr>
          <w:rFonts w:hint="eastAsia"/>
        </w:rPr>
        <w:t>在评审过程中</w:t>
      </w:r>
      <w:r>
        <w:rPr>
          <w:rFonts w:hint="eastAsia"/>
          <w:spacing w:val="-120"/>
        </w:rPr>
        <w:t>，</w:t>
      </w:r>
      <w:r>
        <w:rPr>
          <w:rFonts w:hint="eastAsia"/>
        </w:rPr>
        <w:t>磋商小组可以书面形式要求供应商就响应文件中含义不明确的内容进行书面说明并提供相关材料。</w:t>
      </w:r>
    </w:p>
    <w:p>
      <w:pPr>
        <w:pStyle w:val="18"/>
        <w:kinsoku w:val="0"/>
        <w:overflowPunct w:val="0"/>
        <w:spacing w:before="57" w:line="440" w:lineRule="exact"/>
        <w:rPr>
          <w:rFonts w:eastAsia="Times New Roman"/>
          <w:spacing w:val="4"/>
        </w:rPr>
      </w:pPr>
      <w:r>
        <w:t>3</w:t>
      </w:r>
      <w:r>
        <w:rPr>
          <w:rFonts w:hint="eastAsia"/>
        </w:rPr>
        <w:t>7</w:t>
      </w:r>
      <w:r>
        <w:t>.3</w:t>
      </w:r>
      <w:r>
        <w:rPr>
          <w:rFonts w:hint="eastAsia"/>
        </w:rPr>
        <w:t>磋商开始，磋商小组成员与供应商磋商各项内容：</w:t>
      </w:r>
      <w:r>
        <w:rPr>
          <w:rFonts w:hint="eastAsia"/>
          <w:spacing w:val="4"/>
        </w:rPr>
        <w:t>磋商小组所有成员集中</w:t>
      </w:r>
    </w:p>
    <w:p>
      <w:pPr>
        <w:pStyle w:val="18"/>
        <w:kinsoku w:val="0"/>
        <w:overflowPunct w:val="0"/>
        <w:spacing w:before="57" w:line="440" w:lineRule="exact"/>
        <w:ind w:left="0"/>
        <w:rPr>
          <w:rFonts w:eastAsia="Times New Roman"/>
        </w:rPr>
      </w:pPr>
      <w:r>
        <w:rPr>
          <w:rFonts w:hint="eastAsia"/>
          <w:spacing w:val="4"/>
        </w:rPr>
        <w:t>与单一供应商分别进行磋商。磋商小组根据供应商的报</w:t>
      </w:r>
      <w:r>
        <w:rPr>
          <w:rFonts w:hint="eastAsia"/>
        </w:rPr>
        <w:t>价、响应内容及磋商的情况，给予每个正在参加磋商的供应商相同的机会。</w:t>
      </w:r>
    </w:p>
    <w:p>
      <w:pPr>
        <w:pStyle w:val="18"/>
        <w:kinsoku w:val="0"/>
        <w:overflowPunct w:val="0"/>
        <w:spacing w:line="440" w:lineRule="exact"/>
        <w:ind w:left="111" w:right="110" w:firstLine="480"/>
        <w:rPr>
          <w:rFonts w:eastAsia="Times New Roman"/>
        </w:rPr>
      </w:pPr>
      <w:r>
        <w:t>3</w:t>
      </w:r>
      <w:r>
        <w:rPr>
          <w:rFonts w:hint="eastAsia"/>
        </w:rPr>
        <w:t>7</w:t>
      </w:r>
      <w:r>
        <w:t xml:space="preserve">.3.1 </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8"/>
        <w:kinsoku w:val="0"/>
        <w:overflowPunct w:val="0"/>
        <w:spacing w:before="56" w:line="440" w:lineRule="exact"/>
        <w:ind w:left="111" w:right="110" w:firstLine="480"/>
        <w:rPr>
          <w:rFonts w:eastAsia="Times New Roman"/>
        </w:rPr>
      </w:pPr>
      <w:r>
        <w:t>3</w:t>
      </w:r>
      <w:r>
        <w:rPr>
          <w:rFonts w:hint="eastAsia"/>
        </w:rPr>
        <w:t>7</w:t>
      </w:r>
      <w:r>
        <w:t xml:space="preserve">.3.2 </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8"/>
        <w:kinsoku w:val="0"/>
        <w:overflowPunct w:val="0"/>
        <w:spacing w:line="440" w:lineRule="exact"/>
        <w:ind w:left="111" w:right="110" w:firstLine="480"/>
        <w:rPr>
          <w:rFonts w:hint="eastAsia"/>
        </w:rPr>
      </w:pPr>
      <w:r>
        <w:t>3</w:t>
      </w:r>
      <w:r>
        <w:rPr>
          <w:rFonts w:hint="eastAsia"/>
        </w:rPr>
        <w:t>7</w:t>
      </w:r>
      <w:r>
        <w:t xml:space="preserve">.3.3 </w:t>
      </w:r>
      <w:r>
        <w:rPr>
          <w:rFonts w:hint="eastAsia"/>
        </w:rPr>
        <w:t>供应商按照磋商文件实质性变动情况和磋商小组的要求重新提交响应文件，并由其全权代表签章。</w:t>
      </w:r>
    </w:p>
    <w:p>
      <w:pPr>
        <w:pStyle w:val="18"/>
        <w:kinsoku w:val="0"/>
        <w:overflowPunct w:val="0"/>
        <w:spacing w:line="440" w:lineRule="exact"/>
        <w:ind w:left="111" w:right="110" w:firstLine="480"/>
        <w:rPr>
          <w:rFonts w:eastAsia="Times New Roman"/>
        </w:rPr>
      </w:pPr>
      <w:r>
        <w:t>3</w:t>
      </w:r>
      <w:r>
        <w:rPr>
          <w:rFonts w:hint="eastAsia"/>
        </w:rPr>
        <w:t>7</w:t>
      </w:r>
      <w:r>
        <w:t xml:space="preserve">.3.4 </w:t>
      </w:r>
      <w:r>
        <w:rPr>
          <w:rFonts w:hint="eastAsia"/>
        </w:rPr>
        <w:t>磋商结束后，参加磋商的供应商应当对磋商达成的意向，以书面形式由全权代表签字确认后提交。</w:t>
      </w:r>
    </w:p>
    <w:p>
      <w:pPr>
        <w:pStyle w:val="18"/>
        <w:kinsoku w:val="0"/>
        <w:overflowPunct w:val="0"/>
        <w:spacing w:before="56" w:line="440" w:lineRule="exact"/>
        <w:ind w:left="111" w:right="110" w:firstLine="480"/>
        <w:rPr>
          <w:rFonts w:eastAsia="Times New Roman"/>
        </w:rPr>
      </w:pPr>
      <w:r>
        <w:t>3</w:t>
      </w:r>
      <w:r>
        <w:rPr>
          <w:rFonts w:hint="eastAsia"/>
        </w:rPr>
        <w:t>7</w:t>
      </w:r>
      <w:r>
        <w:t xml:space="preserve">.4 </w:t>
      </w:r>
      <w:r>
        <w:rPr>
          <w:rFonts w:hint="eastAsia"/>
        </w:rPr>
        <w:t>磋商小组依据本须知</w:t>
      </w:r>
      <w:r>
        <w:t>35.5</w:t>
      </w:r>
      <w:r>
        <w:rPr>
          <w:rFonts w:hint="eastAsi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pStyle w:val="18"/>
        <w:kinsoku w:val="0"/>
        <w:overflowPunct w:val="0"/>
        <w:spacing w:before="57" w:line="440" w:lineRule="exact"/>
        <w:rPr>
          <w:rFonts w:eastAsia="Times New Roman"/>
          <w:b/>
        </w:rPr>
      </w:pPr>
      <w:r>
        <w:t>3</w:t>
      </w:r>
      <w:r>
        <w:rPr>
          <w:rFonts w:hint="eastAsia"/>
        </w:rPr>
        <w:t>7</w:t>
      </w:r>
      <w:r>
        <w:t xml:space="preserve">.5 </w:t>
      </w:r>
      <w:r>
        <w:rPr>
          <w:rFonts w:hint="eastAsia"/>
        </w:rPr>
        <w:t>评审方法及标准</w:t>
      </w:r>
    </w:p>
    <w:p>
      <w:pPr>
        <w:pStyle w:val="18"/>
        <w:kinsoku w:val="0"/>
        <w:overflowPunct w:val="0"/>
        <w:spacing w:line="440" w:lineRule="exact"/>
        <w:ind w:left="111" w:right="172" w:firstLine="480"/>
        <w:jc w:val="both"/>
        <w:rPr>
          <w:rFonts w:eastAsia="Times New Roman"/>
        </w:rPr>
      </w:pPr>
      <w:r>
        <w:t>3</w:t>
      </w:r>
      <w:r>
        <w:rPr>
          <w:rFonts w:hint="eastAsia"/>
        </w:rPr>
        <w:t>7</w:t>
      </w:r>
      <w:r>
        <w:t>.5.1</w:t>
      </w:r>
      <w:r>
        <w:rPr>
          <w:rFonts w:hint="eastAsia"/>
        </w:rPr>
        <w:t>本次评审采用综合评估法：具体详见“第七章评标方法及标准”。</w:t>
      </w:r>
    </w:p>
    <w:p>
      <w:pPr>
        <w:pStyle w:val="18"/>
        <w:kinsoku w:val="0"/>
        <w:overflowPunct w:val="0"/>
        <w:spacing w:line="440" w:lineRule="exact"/>
        <w:ind w:left="111" w:right="172" w:firstLine="480"/>
        <w:jc w:val="both"/>
        <w:rPr>
          <w:rFonts w:eastAsia="Times New Roman"/>
        </w:rPr>
      </w:pPr>
      <w:r>
        <w:t>3</w:t>
      </w:r>
      <w:r>
        <w:rPr>
          <w:rFonts w:hint="eastAsia"/>
        </w:rPr>
        <w:t>7</w:t>
      </w:r>
      <w:r>
        <w:t>.6</w:t>
      </w:r>
      <w:r>
        <w:rPr>
          <w:rFonts w:hint="eastAsia"/>
        </w:rPr>
        <w:t>磋商小组经评审</w:t>
      </w:r>
      <w:r>
        <w:rPr>
          <w:rFonts w:hint="eastAsia"/>
          <w:spacing w:val="-60"/>
        </w:rPr>
        <w:t>，</w:t>
      </w:r>
      <w:r>
        <w:rPr>
          <w:rFonts w:hint="eastAsia"/>
        </w:rPr>
        <w:t>认为所有磋商都不符合磋商文件要求的</w:t>
      </w:r>
      <w:r>
        <w:rPr>
          <w:rFonts w:hint="eastAsia"/>
          <w:spacing w:val="-60"/>
        </w:rPr>
        <w:t>，</w:t>
      </w:r>
      <w:r>
        <w:rPr>
          <w:rFonts w:hint="eastAsia"/>
        </w:rPr>
        <w:t>可以否决所有报价。所有报价被否决后，采购人应当依法重新磋商。</w:t>
      </w:r>
    </w:p>
    <w:p>
      <w:pPr>
        <w:pStyle w:val="7"/>
        <w:kinsoku w:val="0"/>
        <w:overflowPunct w:val="0"/>
        <w:spacing w:before="0"/>
        <w:ind w:left="0" w:right="56"/>
        <w:rPr>
          <w:rFonts w:eastAsia="宋体"/>
        </w:rPr>
      </w:pPr>
    </w:p>
    <w:p>
      <w:pPr>
        <w:pStyle w:val="7"/>
        <w:kinsoku w:val="0"/>
        <w:overflowPunct w:val="0"/>
        <w:spacing w:before="0"/>
        <w:ind w:left="0" w:right="56"/>
        <w:rPr>
          <w:rFonts w:eastAsia="宋体"/>
        </w:rPr>
      </w:pPr>
    </w:p>
    <w:p>
      <w:pPr>
        <w:pStyle w:val="7"/>
        <w:kinsoku w:val="0"/>
        <w:overflowPunct w:val="0"/>
        <w:spacing w:before="0"/>
        <w:ind w:left="0" w:right="56"/>
        <w:jc w:val="center"/>
        <w:rPr>
          <w:rFonts w:eastAsia="Times New Roman"/>
          <w:b w:val="0"/>
        </w:rPr>
      </w:pPr>
      <w:r>
        <w:rPr>
          <w:rFonts w:hint="eastAsia"/>
        </w:rPr>
        <w:t>（七）合同的授予</w:t>
      </w:r>
    </w:p>
    <w:p>
      <w:pPr>
        <w:pStyle w:val="18"/>
        <w:kinsoku w:val="0"/>
        <w:overflowPunct w:val="0"/>
        <w:spacing w:before="10"/>
        <w:ind w:left="0"/>
        <w:rPr>
          <w:rFonts w:eastAsia="Times New Roman"/>
          <w:b/>
          <w:sz w:val="18"/>
        </w:rPr>
      </w:pPr>
    </w:p>
    <w:p>
      <w:pPr>
        <w:pStyle w:val="18"/>
        <w:kinsoku w:val="0"/>
        <w:overflowPunct w:val="0"/>
        <w:spacing w:line="440" w:lineRule="exact"/>
        <w:rPr>
          <w:rFonts w:eastAsia="Times New Roman"/>
          <w:b/>
        </w:rPr>
      </w:pPr>
      <w:r>
        <w:rPr>
          <w:b/>
        </w:rPr>
        <w:t>3</w:t>
      </w:r>
      <w:r>
        <w:rPr>
          <w:rFonts w:hint="eastAsia"/>
          <w:b/>
        </w:rPr>
        <w:t>8、合同授予标准</w:t>
      </w:r>
    </w:p>
    <w:p>
      <w:pPr>
        <w:pStyle w:val="18"/>
        <w:kinsoku w:val="0"/>
        <w:overflowPunct w:val="0"/>
        <w:spacing w:line="440" w:lineRule="exact"/>
        <w:rPr>
          <w:rFonts w:eastAsia="Times New Roman"/>
        </w:rPr>
      </w:pPr>
      <w:r>
        <w:t>3</w:t>
      </w:r>
      <w:r>
        <w:rPr>
          <w:rFonts w:hint="eastAsia"/>
        </w:rPr>
        <w:t>8</w:t>
      </w:r>
      <w:r>
        <w:t>.1</w:t>
      </w:r>
      <w:r>
        <w:rPr>
          <w:rFonts w:hint="eastAsia"/>
        </w:rPr>
        <w:t>本磋商工程的施工合同将授予按本须知第</w:t>
      </w:r>
      <w:r>
        <w:t>35.5.1</w:t>
      </w:r>
      <w:r>
        <w:rPr>
          <w:rFonts w:hint="eastAsia"/>
        </w:rPr>
        <w:t>款所确定的中标人。</w:t>
      </w:r>
    </w:p>
    <w:p>
      <w:pPr>
        <w:pStyle w:val="7"/>
        <w:kinsoku w:val="0"/>
        <w:overflowPunct w:val="0"/>
        <w:spacing w:before="0" w:line="440" w:lineRule="exact"/>
        <w:rPr>
          <w:rFonts w:eastAsia="Times New Roman"/>
        </w:rPr>
      </w:pPr>
      <w:r>
        <w:t>3</w:t>
      </w:r>
      <w:r>
        <w:rPr>
          <w:rFonts w:hint="eastAsia"/>
        </w:rPr>
        <w:t>9、采购人拒绝磋商的权力</w:t>
      </w:r>
    </w:p>
    <w:p>
      <w:pPr>
        <w:pStyle w:val="18"/>
        <w:kinsoku w:val="0"/>
        <w:overflowPunct w:val="0"/>
        <w:spacing w:line="440" w:lineRule="exact"/>
        <w:ind w:left="111" w:right="172" w:firstLine="480"/>
        <w:jc w:val="both"/>
        <w:rPr>
          <w:rFonts w:hint="eastAsia" w:eastAsia="宋体"/>
          <w:lang w:eastAsia="zh-CN"/>
        </w:rPr>
      </w:pPr>
      <w:r>
        <w:t>3</w:t>
      </w:r>
      <w:r>
        <w:rPr>
          <w:rFonts w:hint="eastAsia"/>
        </w:rPr>
        <w:t>9</w:t>
      </w:r>
      <w:r>
        <w:t>.1</w:t>
      </w:r>
      <w:r>
        <w:rPr>
          <w:rFonts w:hint="eastAsia"/>
        </w:rPr>
        <w:t>采购人在发出成交通知书前</w:t>
      </w:r>
      <w:r>
        <w:rPr>
          <w:rFonts w:hint="eastAsia"/>
          <w:spacing w:val="-120"/>
        </w:rPr>
        <w:t>，</w:t>
      </w:r>
      <w:r>
        <w:rPr>
          <w:rFonts w:hint="eastAsia"/>
        </w:rPr>
        <w:t>有权依据磋商小组的评审报告拒绝不合格的报价</w:t>
      </w:r>
      <w:r>
        <w:rPr>
          <w:rFonts w:hint="eastAsia"/>
          <w:lang w:eastAsia="zh-CN"/>
        </w:rPr>
        <w:t>。</w:t>
      </w:r>
    </w:p>
    <w:p>
      <w:pPr>
        <w:pStyle w:val="7"/>
        <w:kinsoku w:val="0"/>
        <w:overflowPunct w:val="0"/>
        <w:spacing w:before="56" w:line="440" w:lineRule="exact"/>
      </w:pPr>
      <w:r>
        <w:rPr>
          <w:rFonts w:hint="eastAsia"/>
        </w:rPr>
        <w:t>40、成交信息的公布</w:t>
      </w:r>
    </w:p>
    <w:p>
      <w:pPr>
        <w:spacing w:line="440" w:lineRule="exact"/>
        <w:ind w:firstLine="480" w:firstLineChars="200"/>
        <w:outlineLvl w:val="0"/>
        <w:rPr>
          <w:rFonts w:hAnsi="宋体"/>
        </w:rPr>
      </w:pPr>
      <w:r>
        <w:rPr>
          <w:rFonts w:hint="eastAsia" w:ascii="宋体" w:hAnsi="宋体"/>
        </w:rPr>
        <w:t>40</w:t>
      </w:r>
      <w:r>
        <w:rPr>
          <w:rFonts w:ascii="宋体" w:hAnsi="宋体"/>
        </w:rPr>
        <w:t>.1</w:t>
      </w:r>
      <w:r>
        <w:rPr>
          <w:rFonts w:hint="eastAsia" w:hAnsi="宋体"/>
        </w:rPr>
        <w:t>确定成交供应商后，由采购代理机构将中标结果在省级以上财政部门指定的信息发布媒体上公告</w:t>
      </w:r>
      <w:r>
        <w:rPr>
          <w:rFonts w:hAnsi="宋体"/>
        </w:rPr>
        <w:t>1</w:t>
      </w:r>
      <w:r>
        <w:rPr>
          <w:rFonts w:hint="eastAsia" w:hAnsi="宋体"/>
        </w:rPr>
        <w:t>个工作日，在公告中标结果的同时，采购代理机构向中标供应商发出《成交通知书》。成交通知书对采购人和成交供应商具有同等法律效力。</w:t>
      </w:r>
    </w:p>
    <w:p>
      <w:pPr>
        <w:spacing w:line="440" w:lineRule="exact"/>
        <w:ind w:firstLine="480" w:firstLineChars="200"/>
        <w:outlineLvl w:val="0"/>
        <w:rPr>
          <w:rFonts w:eastAsia="Times New Roman"/>
          <w:lang w:val="zh-CN"/>
        </w:rPr>
      </w:pPr>
      <w:r>
        <w:rPr>
          <w:rFonts w:hint="eastAsia" w:ascii="宋体" w:hAnsi="宋体"/>
        </w:rPr>
        <w:t>40</w:t>
      </w:r>
      <w:r>
        <w:rPr>
          <w:rFonts w:ascii="宋体" w:hAnsi="宋体"/>
        </w:rPr>
        <w:t xml:space="preserve">.2 </w:t>
      </w:r>
      <w:r>
        <w:rPr>
          <w:rFonts w:hint="eastAsia" w:ascii="宋体" w:hAnsi="宋体"/>
        </w:rPr>
        <w:t>供应商对中标公告有异议的，应当在中标公告发布之日起</w:t>
      </w:r>
      <w:r>
        <w:rPr>
          <w:rFonts w:ascii="宋体" w:hAnsi="宋体"/>
        </w:rPr>
        <w:t>7</w:t>
      </w:r>
      <w:r>
        <w:rPr>
          <w:rFonts w:hint="eastAsia" w:ascii="宋体" w:hAnsi="宋体"/>
        </w:rPr>
        <w:t>个工作日内，以书面形式向采购人和采购代理机构提出质疑。质疑供应商对答复不满意或者采购人未在规定时间内答复的，可以在答复期满后十五个工作日内向同级政府采购监督管理部门投诉。</w:t>
      </w:r>
    </w:p>
    <w:p>
      <w:pPr>
        <w:spacing w:line="440" w:lineRule="exact"/>
        <w:ind w:firstLine="480" w:firstLineChars="200"/>
        <w:outlineLvl w:val="0"/>
        <w:rPr>
          <w:rFonts w:ascii="宋体" w:eastAsia="Times New Roman"/>
          <w:lang w:val="zh-CN"/>
        </w:rPr>
      </w:pPr>
      <w:r>
        <w:rPr>
          <w:rFonts w:hint="eastAsia" w:ascii="宋体" w:hAnsi="宋体"/>
        </w:rPr>
        <w:t>40</w:t>
      </w:r>
      <w:r>
        <w:rPr>
          <w:rFonts w:ascii="宋体" w:eastAsia="Times New Roman"/>
          <w:lang w:val="zh-CN"/>
        </w:rPr>
        <w:t>.</w:t>
      </w:r>
      <w:r>
        <w:rPr>
          <w:rFonts w:ascii="宋体" w:hAnsi="宋体"/>
        </w:rPr>
        <w:t>3</w:t>
      </w:r>
      <w:r>
        <w:rPr>
          <w:rFonts w:hint="eastAsia" w:ascii="宋体" w:hAnsi="宋体"/>
          <w:lang w:val="zh-CN"/>
        </w:rPr>
        <w:t>《中标通知书》要作为</w:t>
      </w:r>
      <w:r>
        <w:rPr>
          <w:rFonts w:hint="eastAsia" w:ascii="宋体" w:hAnsi="宋体"/>
        </w:rPr>
        <w:t>采购人、中标人</w:t>
      </w:r>
      <w:r>
        <w:rPr>
          <w:rFonts w:hint="eastAsia" w:ascii="宋体" w:hAnsi="宋体"/>
          <w:lang w:val="zh-CN"/>
        </w:rPr>
        <w:t>签订政府采购合同的依据。</w:t>
      </w:r>
    </w:p>
    <w:p>
      <w:pPr>
        <w:pStyle w:val="7"/>
        <w:kinsoku w:val="0"/>
        <w:overflowPunct w:val="0"/>
        <w:spacing w:before="0" w:line="440" w:lineRule="exact"/>
        <w:rPr>
          <w:rFonts w:eastAsia="Times New Roman"/>
        </w:rPr>
      </w:pPr>
      <w:r>
        <w:rPr>
          <w:rFonts w:hint="eastAsia"/>
        </w:rPr>
        <w:t>41、合同协议书的签订</w:t>
      </w:r>
    </w:p>
    <w:p>
      <w:pPr>
        <w:pStyle w:val="18"/>
        <w:kinsoku w:val="0"/>
        <w:overflowPunct w:val="0"/>
        <w:spacing w:line="440" w:lineRule="exact"/>
        <w:ind w:left="111" w:right="232" w:firstLine="480"/>
        <w:jc w:val="both"/>
        <w:rPr>
          <w:rFonts w:eastAsia="Times New Roman"/>
        </w:rPr>
      </w:pPr>
      <w:r>
        <w:rPr>
          <w:rFonts w:hint="eastAsia"/>
        </w:rPr>
        <w:t>41</w:t>
      </w:r>
      <w:r>
        <w:t>.1</w:t>
      </w:r>
      <w:r>
        <w:rPr>
          <w:rFonts w:hint="eastAsia"/>
        </w:rPr>
        <w:t>采购人与中标人将于成交通知书发出之日起</w:t>
      </w:r>
      <w:r>
        <w:t>30</w:t>
      </w:r>
      <w:r>
        <w:rPr>
          <w:rFonts w:hint="eastAsia"/>
        </w:rPr>
        <w:t>日内，按照磋商文件和中标人的响应文件订立书面工程施工合同</w:t>
      </w:r>
      <w:r>
        <w:rPr>
          <w:rFonts w:hint="eastAsia"/>
          <w:spacing w:val="-60"/>
        </w:rPr>
        <w:t>，</w:t>
      </w:r>
      <w:r>
        <w:rPr>
          <w:rFonts w:hint="eastAsia"/>
        </w:rPr>
        <w:t>采购人和中标人不得再行订立背离合同实质性内容的其他协议。</w:t>
      </w:r>
    </w:p>
    <w:p>
      <w:pPr>
        <w:pStyle w:val="18"/>
        <w:kinsoku w:val="0"/>
        <w:overflowPunct w:val="0"/>
        <w:spacing w:before="60" w:line="440" w:lineRule="exact"/>
        <w:ind w:left="111" w:right="172" w:firstLine="480"/>
        <w:jc w:val="both"/>
        <w:rPr>
          <w:rFonts w:eastAsia="Times New Roman"/>
        </w:rPr>
      </w:pPr>
      <w:r>
        <w:rPr>
          <w:rFonts w:hint="eastAsia"/>
        </w:rPr>
        <w:t>41.</w:t>
      </w:r>
      <w:r>
        <w:t>2</w:t>
      </w:r>
      <w:r>
        <w:rPr>
          <w:rFonts w:hint="eastAsia"/>
        </w:rPr>
        <w:t>中标人如不按本磋商须知第</w:t>
      </w:r>
      <w:r>
        <w:t>39.1</w:t>
      </w:r>
      <w:r>
        <w:rPr>
          <w:rFonts w:hint="eastAsia"/>
        </w:rPr>
        <w:t>款的规定与采购人订立合同，则采购人将废除授标，磋商保证金不予退还，给采购人造成的损失超过磋商保证金数额的，还应当对超过部分予以赔偿，同时依法承担相应法律责任。</w:t>
      </w:r>
    </w:p>
    <w:p>
      <w:pPr>
        <w:pStyle w:val="18"/>
        <w:kinsoku w:val="0"/>
        <w:overflowPunct w:val="0"/>
        <w:spacing w:before="60" w:line="440" w:lineRule="exact"/>
        <w:ind w:left="111" w:right="232" w:firstLine="480"/>
        <w:jc w:val="both"/>
        <w:rPr>
          <w:rFonts w:eastAsia="Times New Roman"/>
        </w:rPr>
      </w:pPr>
      <w:r>
        <w:rPr>
          <w:rFonts w:hint="eastAsia"/>
        </w:rPr>
        <w:t>41</w:t>
      </w:r>
      <w:r>
        <w:t>.3</w:t>
      </w:r>
      <w:r>
        <w:rPr>
          <w:rFonts w:hint="eastAsia"/>
        </w:rPr>
        <w:t>中标人应当按照合同约定履行义务</w:t>
      </w:r>
      <w:r>
        <w:rPr>
          <w:rFonts w:hint="eastAsia"/>
          <w:spacing w:val="-60"/>
        </w:rPr>
        <w:t>，</w:t>
      </w:r>
      <w:r>
        <w:rPr>
          <w:rFonts w:hint="eastAsia"/>
        </w:rPr>
        <w:t>完成成交项目施工</w:t>
      </w:r>
      <w:r>
        <w:rPr>
          <w:rFonts w:hint="eastAsia"/>
          <w:spacing w:val="-60"/>
        </w:rPr>
        <w:t>，</w:t>
      </w:r>
      <w:r>
        <w:rPr>
          <w:rFonts w:hint="eastAsia"/>
        </w:rPr>
        <w:t>不得将成交项目转让（转包）给他人。</w:t>
      </w:r>
    </w:p>
    <w:p>
      <w:pPr>
        <w:pStyle w:val="18"/>
        <w:kinsoku w:val="0"/>
        <w:overflowPunct w:val="0"/>
        <w:spacing w:line="440" w:lineRule="exact"/>
        <w:ind w:right="5091"/>
        <w:rPr>
          <w:b/>
        </w:rPr>
      </w:pPr>
      <w:r>
        <w:rPr>
          <w:rFonts w:hint="eastAsia"/>
          <w:b/>
        </w:rPr>
        <w:t>42、质疑与投诉</w:t>
      </w:r>
    </w:p>
    <w:p>
      <w:pPr>
        <w:snapToGrid w:val="0"/>
        <w:spacing w:line="440" w:lineRule="exact"/>
        <w:ind w:firstLine="482" w:firstLineChars="200"/>
        <w:rPr>
          <w:rFonts w:ascii="宋体" w:hAnsi="宋体"/>
          <w:color w:val="000000"/>
        </w:rPr>
      </w:pPr>
      <w:r>
        <w:rPr>
          <w:rFonts w:hint="eastAsia"/>
          <w:b/>
        </w:rPr>
        <w:t>42</w:t>
      </w:r>
      <w:r>
        <w:rPr>
          <w:rFonts w:hint="eastAsia" w:ascii="宋体" w:hAnsi="宋体"/>
          <w:color w:val="000000"/>
        </w:rPr>
        <w:t>.1 质疑供应商是指直接参加本项目采购活动的供应商，未参加政府采购活动的供应商或在采购活动中自身权益未受到损害的供应商所提出的质疑不予受理。</w:t>
      </w:r>
    </w:p>
    <w:p>
      <w:pPr>
        <w:snapToGrid w:val="0"/>
        <w:spacing w:line="440" w:lineRule="exact"/>
        <w:ind w:firstLine="482" w:firstLineChars="200"/>
        <w:rPr>
          <w:rFonts w:ascii="宋体" w:hAnsi="宋体"/>
          <w:color w:val="000000"/>
        </w:rPr>
      </w:pPr>
      <w:r>
        <w:rPr>
          <w:rFonts w:hint="eastAsia"/>
          <w:b/>
        </w:rPr>
        <w:t>42</w:t>
      </w:r>
      <w:r>
        <w:rPr>
          <w:rFonts w:hint="eastAsia" w:ascii="宋体" w:hAnsi="宋体"/>
          <w:color w:val="000000"/>
        </w:rPr>
        <w:t>.2 投标供应商认为谈判文件、采购过程、中标和成交结果使自己的合法权益受到损害的，可以在知道或应知道其权益受到损害之日起七个工作日内以书面形式向招采购人或采购代理机构提出质疑。</w:t>
      </w:r>
    </w:p>
    <w:p>
      <w:pPr>
        <w:snapToGrid w:val="0"/>
        <w:spacing w:line="440" w:lineRule="exact"/>
        <w:ind w:firstLine="482" w:firstLineChars="200"/>
        <w:rPr>
          <w:rFonts w:ascii="宋体" w:hAnsi="宋体"/>
          <w:color w:val="000000"/>
        </w:rPr>
      </w:pPr>
      <w:r>
        <w:rPr>
          <w:rFonts w:hint="eastAsia"/>
          <w:b/>
        </w:rPr>
        <w:t>42</w:t>
      </w:r>
      <w:r>
        <w:rPr>
          <w:rFonts w:hint="eastAsia" w:ascii="宋体" w:hAnsi="宋体"/>
          <w:color w:val="000000"/>
        </w:rPr>
        <w:t>.3 采购人或采购代理机构在收到投标供应商的书面质疑后七个工作日内作出答复，但答复的内容不得涉及商业秘密。质疑投标供应商对采购人或采购代理机构的答复不满意，可以在答复期满后十五个工作日内向采购监督管理部门投诉。</w:t>
      </w:r>
    </w:p>
    <w:p>
      <w:pPr>
        <w:snapToGrid w:val="0"/>
        <w:spacing w:line="440" w:lineRule="exact"/>
        <w:ind w:firstLine="482" w:firstLineChars="200"/>
        <w:rPr>
          <w:rFonts w:ascii="宋体" w:hAnsi="宋体"/>
          <w:color w:val="000000"/>
        </w:rPr>
      </w:pPr>
      <w:r>
        <w:rPr>
          <w:rFonts w:hint="eastAsia"/>
          <w:b/>
        </w:rPr>
        <w:t>42</w:t>
      </w:r>
      <w:r>
        <w:rPr>
          <w:rFonts w:hint="eastAsia" w:ascii="宋体" w:hAnsi="宋体"/>
          <w:color w:val="000000"/>
        </w:rPr>
        <w:t xml:space="preserve">.4 投诉人投诉时，应提交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napToGrid w:val="0"/>
        <w:spacing w:line="440" w:lineRule="exact"/>
        <w:ind w:firstLine="480" w:firstLineChars="200"/>
        <w:rPr>
          <w:rFonts w:ascii="宋体" w:hAnsi="宋体"/>
          <w:color w:val="000000"/>
        </w:rPr>
      </w:pPr>
      <w:r>
        <w:rPr>
          <w:rFonts w:hint="eastAsia" w:ascii="宋体" w:hAnsi="宋体"/>
          <w:color w:val="000000"/>
        </w:rPr>
        <w:t xml:space="preserve">（1）供应商的姓名或者名称、地址、邮编、联系人及联系电话（包括座机、手机、传真号码等）； </w:t>
      </w:r>
    </w:p>
    <w:p>
      <w:pPr>
        <w:snapToGrid w:val="0"/>
        <w:spacing w:line="440" w:lineRule="exact"/>
        <w:ind w:firstLine="480" w:firstLineChars="200"/>
        <w:rPr>
          <w:rFonts w:ascii="宋体" w:hAnsi="宋体"/>
          <w:color w:val="000000"/>
        </w:rPr>
      </w:pPr>
      <w:r>
        <w:rPr>
          <w:rFonts w:hint="eastAsia" w:ascii="宋体" w:hAnsi="宋体"/>
          <w:color w:val="000000"/>
        </w:rPr>
        <w:t xml:space="preserve">（2）质疑项目的名称、项目编号、包号、采购公告发布时间、递交投标文件或响应文件截止时间； </w:t>
      </w:r>
    </w:p>
    <w:p>
      <w:pPr>
        <w:snapToGrid w:val="0"/>
        <w:spacing w:line="440" w:lineRule="exact"/>
        <w:ind w:firstLine="480" w:firstLineChars="200"/>
        <w:rPr>
          <w:rFonts w:ascii="宋体" w:hAnsi="宋体"/>
          <w:color w:val="000000"/>
        </w:rPr>
      </w:pPr>
      <w:r>
        <w:rPr>
          <w:rFonts w:hint="eastAsia" w:ascii="宋体" w:hAnsi="宋体"/>
          <w:color w:val="000000"/>
        </w:rPr>
        <w:t xml:space="preserve">（3）具体、明确的质疑事项和与质疑事项相关的请求； </w:t>
      </w:r>
    </w:p>
    <w:p>
      <w:pPr>
        <w:snapToGrid w:val="0"/>
        <w:spacing w:line="440" w:lineRule="exact"/>
        <w:ind w:firstLine="480" w:firstLineChars="200"/>
        <w:rPr>
          <w:rFonts w:ascii="宋体" w:hAnsi="宋体"/>
          <w:color w:val="000000"/>
        </w:rPr>
      </w:pPr>
      <w:r>
        <w:rPr>
          <w:rFonts w:hint="eastAsia" w:ascii="宋体" w:hAnsi="宋体"/>
          <w:color w:val="000000"/>
        </w:rPr>
        <w:t xml:space="preserve">（4）事实依据（具体条款，认为自己合法权益受到损害或可能受到损害的相关证据材料。如涉及到产品功能或技术指标的，应出具相关制造商的证明文件）； </w:t>
      </w:r>
    </w:p>
    <w:p>
      <w:pPr>
        <w:snapToGrid w:val="0"/>
        <w:spacing w:line="440" w:lineRule="exact"/>
        <w:ind w:firstLine="480" w:firstLineChars="200"/>
        <w:rPr>
          <w:rFonts w:ascii="宋体" w:hAnsi="宋体"/>
          <w:color w:val="000000"/>
        </w:rPr>
      </w:pPr>
      <w:r>
        <w:rPr>
          <w:rFonts w:hint="eastAsia" w:ascii="宋体" w:hAnsi="宋体"/>
          <w:color w:val="000000"/>
        </w:rPr>
        <w:t xml:space="preserve">（5）必要的法律依据； </w:t>
      </w:r>
    </w:p>
    <w:p>
      <w:pPr>
        <w:snapToGrid w:val="0"/>
        <w:spacing w:line="440" w:lineRule="exact"/>
        <w:ind w:firstLine="480" w:firstLineChars="200"/>
        <w:rPr>
          <w:rFonts w:ascii="宋体" w:hAnsi="宋体"/>
          <w:color w:val="000000"/>
        </w:rPr>
      </w:pPr>
      <w:r>
        <w:rPr>
          <w:rFonts w:hint="eastAsia" w:ascii="宋体" w:hAnsi="宋体"/>
          <w:color w:val="000000"/>
        </w:rPr>
        <w:t>（6）提起质疑的日期；</w:t>
      </w:r>
    </w:p>
    <w:p>
      <w:pPr>
        <w:snapToGrid w:val="0"/>
        <w:spacing w:line="440" w:lineRule="exact"/>
        <w:ind w:firstLine="480" w:firstLineChars="200"/>
        <w:rPr>
          <w:rFonts w:ascii="宋体" w:hAnsi="宋体"/>
          <w:color w:val="000000"/>
        </w:rPr>
      </w:pPr>
      <w:r>
        <w:rPr>
          <w:rFonts w:hint="eastAsia" w:ascii="宋体" w:hAnsi="宋体"/>
          <w:color w:val="000000"/>
        </w:rPr>
        <w:t>（7）质疑文件应当署名，质疑人为自然人的，应当由本人签字并附有效身份证明；质疑人为法人或其他组织的，应当由法定代表人签字并加盖单位公章；</w:t>
      </w:r>
    </w:p>
    <w:p>
      <w:pPr>
        <w:snapToGrid w:val="0"/>
        <w:spacing w:line="440" w:lineRule="exact"/>
        <w:ind w:firstLine="480" w:firstLineChars="200"/>
        <w:rPr>
          <w:rFonts w:ascii="宋体" w:hAnsi="宋体"/>
          <w:color w:val="000000"/>
        </w:rPr>
      </w:pPr>
      <w:r>
        <w:rPr>
          <w:rFonts w:hint="eastAsia" w:ascii="宋体" w:hAnsi="宋体"/>
          <w:color w:val="000000"/>
        </w:rPr>
        <w:t>（8）供应商委托代理质疑的，应当提交授权委托书，并载明代理人的姓名或者名称、代理事项、 具体权限、期限和相关事项。</w:t>
      </w:r>
    </w:p>
    <w:p>
      <w:pPr>
        <w:snapToGrid w:val="0"/>
        <w:spacing w:line="440" w:lineRule="exact"/>
        <w:ind w:firstLine="482" w:firstLineChars="200"/>
        <w:rPr>
          <w:rFonts w:ascii="宋体" w:hAnsi="宋体"/>
          <w:color w:val="000000"/>
        </w:rPr>
      </w:pPr>
      <w:r>
        <w:rPr>
          <w:rFonts w:hint="eastAsia"/>
          <w:b/>
        </w:rPr>
        <w:t>42</w:t>
      </w:r>
      <w:r>
        <w:rPr>
          <w:rFonts w:hint="eastAsia" w:ascii="宋体" w:hAnsi="宋体"/>
          <w:color w:val="000000"/>
        </w:rPr>
        <w:t>.5投诉人对质疑/投诉书的真实性负责，恶意投诉将承当相应的法律和民事责任。</w:t>
      </w:r>
    </w:p>
    <w:p>
      <w:pPr>
        <w:pStyle w:val="18"/>
        <w:kinsoku w:val="0"/>
        <w:overflowPunct w:val="0"/>
        <w:spacing w:line="440" w:lineRule="exact"/>
        <w:ind w:right="5091"/>
        <w:rPr>
          <w:b/>
        </w:rPr>
      </w:pPr>
    </w:p>
    <w:p>
      <w:pPr>
        <w:pStyle w:val="18"/>
        <w:kinsoku w:val="0"/>
        <w:overflowPunct w:val="0"/>
        <w:spacing w:line="440" w:lineRule="exact"/>
        <w:ind w:left="0" w:right="5091"/>
        <w:rPr>
          <w:rFonts w:eastAsia="宋体"/>
        </w:rPr>
        <w:sectPr>
          <w:footerReference r:id="rId6" w:type="default"/>
          <w:pgSz w:w="11910" w:h="16840"/>
          <w:pgMar w:top="1134" w:right="1247" w:bottom="1134" w:left="1247" w:header="858" w:footer="997" w:gutter="0"/>
          <w:pgBorders>
            <w:top w:val="none" w:sz="0" w:space="0"/>
            <w:left w:val="none" w:sz="0" w:space="0"/>
            <w:bottom w:val="none" w:sz="0" w:space="0"/>
            <w:right w:val="none" w:sz="0" w:space="0"/>
          </w:pgBorders>
          <w:pgNumType w:fmt="numberInDash" w:start="1"/>
          <w:cols w:space="720" w:num="1"/>
        </w:sectPr>
      </w:pPr>
    </w:p>
    <w:p>
      <w:pPr>
        <w:pStyle w:val="3"/>
        <w:tabs>
          <w:tab w:val="left" w:pos="1283"/>
        </w:tabs>
        <w:kinsoku w:val="0"/>
        <w:overflowPunct w:val="0"/>
        <w:ind w:right="61"/>
        <w:jc w:val="center"/>
        <w:rPr>
          <w:rFonts w:eastAsia="Times New Roman"/>
          <w:b w:val="0"/>
        </w:rPr>
      </w:pPr>
      <w:r>
        <w:rPr>
          <w:rFonts w:hint="eastAsia"/>
          <w:w w:val="95"/>
        </w:rPr>
        <w:t>第二章</w:t>
      </w:r>
      <w:r>
        <w:rPr>
          <w:rFonts w:eastAsia="Times New Roman"/>
          <w:w w:val="95"/>
        </w:rPr>
        <w:tab/>
      </w:r>
      <w:r>
        <w:rPr>
          <w:rFonts w:hint="eastAsia"/>
          <w:spacing w:val="1"/>
        </w:rPr>
        <w:t>合同文本格式</w:t>
      </w:r>
    </w:p>
    <w:p>
      <w:pPr>
        <w:pStyle w:val="18"/>
        <w:tabs>
          <w:tab w:val="left" w:pos="1655"/>
        </w:tabs>
        <w:kinsoku w:val="0"/>
        <w:overflowPunct w:val="0"/>
        <w:spacing w:before="7"/>
        <w:ind w:left="0" w:right="101"/>
        <w:jc w:val="center"/>
        <w:rPr>
          <w:rFonts w:eastAsia="Times New Roman"/>
          <w:b/>
          <w:w w:val="95"/>
          <w:sz w:val="30"/>
        </w:rPr>
      </w:pPr>
      <w:r>
        <w:rPr>
          <w:rFonts w:hint="eastAsia"/>
          <w:b/>
          <w:w w:val="95"/>
          <w:sz w:val="30"/>
        </w:rPr>
        <w:t>第一部分</w:t>
      </w:r>
      <w:r>
        <w:rPr>
          <w:rFonts w:eastAsia="Times New Roman"/>
          <w:b/>
          <w:w w:val="95"/>
          <w:sz w:val="30"/>
        </w:rPr>
        <w:tab/>
      </w:r>
      <w:r>
        <w:rPr>
          <w:rFonts w:hint="eastAsia"/>
          <w:b/>
          <w:w w:val="95"/>
          <w:sz w:val="30"/>
        </w:rPr>
        <w:t>协议书</w:t>
      </w:r>
    </w:p>
    <w:p>
      <w:pPr>
        <w:widowControl/>
        <w:wordWrap/>
        <w:autoSpaceDE w:val="0"/>
        <w:autoSpaceDN w:val="0"/>
        <w:adjustRightInd w:val="0"/>
        <w:spacing w:line="360" w:lineRule="auto"/>
        <w:ind w:firstLine="480" w:firstLineChars="200"/>
        <w:textAlignment w:val="auto"/>
        <w:rPr>
          <w:rFonts w:ascii="宋体" w:hAnsi="宋体"/>
        </w:rPr>
      </w:pPr>
      <w:r>
        <w:rPr>
          <w:rFonts w:hint="eastAsia" w:ascii="宋体" w:hAnsi="宋体"/>
        </w:rPr>
        <w:t>发包人</w:t>
      </w:r>
      <w:r>
        <w:rPr>
          <w:rFonts w:ascii="宋体" w:hAnsi="宋体"/>
        </w:rPr>
        <w:t>(</w:t>
      </w:r>
      <w:r>
        <w:rPr>
          <w:rFonts w:hint="eastAsia" w:ascii="宋体" w:hAnsi="宋体"/>
        </w:rPr>
        <w:t>全称</w:t>
      </w:r>
      <w:r>
        <w:rPr>
          <w:rFonts w:ascii="宋体" w:hAnsi="宋体"/>
        </w:rPr>
        <w:t xml:space="preserve">): </w:t>
      </w:r>
      <w:r>
        <w:rPr>
          <w:rFonts w:hint="eastAsia"/>
          <w:color w:val="000000" w:themeColor="text1"/>
          <w:u w:val="single"/>
        </w:rPr>
        <w:t xml:space="preserve">   </w:t>
      </w:r>
      <w:r>
        <w:rPr>
          <w:rFonts w:hint="eastAsia"/>
          <w:color w:val="000000" w:themeColor="text1"/>
          <w:u w:val="single"/>
          <w:lang w:eastAsia="zh-CN"/>
        </w:rPr>
        <w:t>博湖县发展和改革委员会</w:t>
      </w:r>
      <w:r>
        <w:rPr>
          <w:rFonts w:hint="eastAsia"/>
          <w:color w:val="000000" w:themeColor="text1"/>
          <w:u w:val="single"/>
        </w:rPr>
        <w:t xml:space="preserve">  </w:t>
      </w:r>
      <w:r>
        <w:rPr>
          <w:rFonts w:hint="eastAsia"/>
          <w:u w:val="single"/>
        </w:rPr>
        <w:t xml:space="preserve">    </w:t>
      </w:r>
    </w:p>
    <w:p>
      <w:pPr>
        <w:widowControl/>
        <w:wordWrap/>
        <w:autoSpaceDE w:val="0"/>
        <w:autoSpaceDN w:val="0"/>
        <w:adjustRightInd w:val="0"/>
        <w:spacing w:line="360" w:lineRule="auto"/>
        <w:ind w:firstLine="480" w:firstLineChars="200"/>
        <w:textAlignment w:val="auto"/>
        <w:rPr>
          <w:u w:val="single"/>
        </w:rPr>
      </w:pPr>
      <w:r>
        <w:rPr>
          <w:rFonts w:hint="eastAsia" w:ascii="宋体" w:hAnsi="宋体"/>
        </w:rPr>
        <w:t>承包人</w:t>
      </w:r>
      <w:r>
        <w:rPr>
          <w:rFonts w:ascii="宋体" w:hAnsi="宋体"/>
        </w:rPr>
        <w:t>(</w:t>
      </w:r>
      <w:r>
        <w:rPr>
          <w:rFonts w:hint="eastAsia" w:ascii="宋体" w:hAnsi="宋体"/>
        </w:rPr>
        <w:t>全称</w:t>
      </w:r>
      <w:r>
        <w:rPr>
          <w:rFonts w:ascii="宋体" w:hAnsi="宋体"/>
        </w:rPr>
        <w:t>):</w:t>
      </w:r>
      <w:r>
        <w:rPr>
          <w:rFonts w:hint="eastAsia" w:ascii="宋体" w:hAnsi="宋体"/>
        </w:rPr>
        <w:t xml:space="preserve"> </w:t>
      </w:r>
      <w:r>
        <w:rPr>
          <w:rFonts w:hint="eastAsia" w:ascii="宋体" w:hAnsi="宋体"/>
          <w:u w:val="single"/>
        </w:rPr>
        <w:t xml:space="preserve">                            </w:t>
      </w:r>
      <w:r>
        <w:rPr>
          <w:rFonts w:hint="eastAsia" w:ascii="宋体" w:hAnsi="宋体"/>
        </w:rPr>
        <w:t xml:space="preserve">   </w:t>
      </w:r>
    </w:p>
    <w:p>
      <w:pPr>
        <w:widowControl/>
        <w:wordWrap/>
        <w:autoSpaceDE w:val="0"/>
        <w:autoSpaceDN w:val="0"/>
        <w:adjustRightInd w:val="0"/>
        <w:spacing w:line="360" w:lineRule="auto"/>
        <w:ind w:firstLine="480" w:firstLineChars="200"/>
        <w:textAlignment w:val="auto"/>
        <w:rPr>
          <w:rFonts w:ascii="宋体" w:hAnsi="宋体"/>
        </w:rPr>
      </w:pPr>
      <w:r>
        <w:rPr>
          <w:rFonts w:hint="eastAsia" w:ascii="宋体" w:hAnsi="宋体"/>
        </w:rPr>
        <w:t>依照《中华人民共和国民法典》、《中华人民共和国建筑法》及其他有关法律、行政法规，遵循平等、自愿、公平和诚实信用的原则，双方就本建设工程施工事项协商一致，订立本合同。</w:t>
      </w:r>
    </w:p>
    <w:p>
      <w:pPr>
        <w:widowControl/>
        <w:wordWrap/>
        <w:autoSpaceDE w:val="0"/>
        <w:autoSpaceDN w:val="0"/>
        <w:adjustRightInd w:val="0"/>
        <w:spacing w:line="360" w:lineRule="auto"/>
        <w:ind w:firstLine="480" w:firstLineChars="200"/>
        <w:textAlignment w:val="auto"/>
        <w:rPr>
          <w:rFonts w:eastAsia="Times New Roman"/>
        </w:rPr>
      </w:pPr>
      <w:r>
        <w:rPr>
          <w:rFonts w:hint="eastAsia" w:ascii="宋体" w:hAnsi="宋体"/>
        </w:rPr>
        <w:t>一、工程概况</w:t>
      </w:r>
    </w:p>
    <w:p>
      <w:pPr>
        <w:widowControl/>
        <w:wordWrap/>
        <w:autoSpaceDE w:val="0"/>
        <w:autoSpaceDN w:val="0"/>
        <w:adjustRightInd w:val="0"/>
        <w:spacing w:line="360" w:lineRule="auto"/>
        <w:ind w:firstLine="480" w:firstLineChars="200"/>
        <w:textAlignment w:val="auto"/>
        <w:rPr>
          <w:rFonts w:hint="eastAsia" w:ascii="宋体" w:eastAsia="宋体"/>
          <w:color w:val="auto"/>
          <w:u w:val="single"/>
          <w:lang w:eastAsia="zh-CN"/>
        </w:rPr>
      </w:pPr>
      <w:r>
        <w:rPr>
          <w:rFonts w:hint="eastAsia" w:ascii="宋体" w:hAnsi="宋体"/>
        </w:rPr>
        <w:t>工程名称：</w:t>
      </w:r>
      <w:r>
        <w:rPr>
          <w:rFonts w:hint="eastAsia"/>
          <w:color w:val="auto"/>
          <w:lang w:eastAsia="zh-CN"/>
        </w:rPr>
        <w:t>新疆博湖通用机场首选址临时气象观测站建设及气象条件分析项目</w:t>
      </w:r>
    </w:p>
    <w:p>
      <w:pPr>
        <w:wordWrap/>
        <w:autoSpaceDE w:val="0"/>
        <w:autoSpaceDN w:val="0"/>
        <w:adjustRightInd w:val="0"/>
        <w:spacing w:line="360" w:lineRule="auto"/>
        <w:ind w:firstLine="480" w:firstLineChars="200"/>
        <w:textAlignment w:val="auto"/>
        <w:rPr>
          <w:rFonts w:hint="eastAsia" w:ascii="宋体" w:eastAsia="宋体"/>
          <w:color w:val="auto"/>
          <w:lang w:eastAsia="zh-CN"/>
        </w:rPr>
      </w:pPr>
      <w:r>
        <w:rPr>
          <w:rFonts w:hint="eastAsia" w:ascii="宋体" w:hAnsi="宋体"/>
          <w:color w:val="auto"/>
        </w:rPr>
        <w:t>工程地点：</w:t>
      </w:r>
      <w:r>
        <w:rPr>
          <w:rFonts w:hint="eastAsia" w:ascii="宋体" w:hAnsi="宋体" w:eastAsia="宋体"/>
          <w:color w:val="auto"/>
          <w:lang w:eastAsia="zh-CN"/>
        </w:rPr>
        <w:t>博湖县</w:t>
      </w:r>
    </w:p>
    <w:p>
      <w:pPr>
        <w:widowControl/>
        <w:numPr>
          <w:ilvl w:val="0"/>
          <w:numId w:val="1"/>
        </w:numPr>
        <w:wordWrap/>
        <w:autoSpaceDE w:val="0"/>
        <w:autoSpaceDN w:val="0"/>
        <w:adjustRightInd w:val="0"/>
        <w:spacing w:line="360" w:lineRule="auto"/>
        <w:ind w:left="398" w:leftChars="0" w:firstLine="0" w:firstLineChars="0"/>
        <w:jc w:val="left"/>
        <w:textAlignment w:val="auto"/>
        <w:rPr>
          <w:rFonts w:hint="eastAsia" w:ascii="Times New Roman" w:hAnsi="宋体" w:eastAsia="宋体" w:cs="宋体"/>
          <w:color w:val="auto"/>
          <w:kern w:val="0"/>
          <w:lang w:eastAsia="zh-CN"/>
        </w:rPr>
      </w:pPr>
      <w:r>
        <w:rPr>
          <w:rFonts w:hint="eastAsia" w:ascii="宋体" w:hAnsi="宋体"/>
          <w:color w:val="auto"/>
        </w:rPr>
        <w:t>工程承包范围：</w:t>
      </w:r>
      <w:r>
        <w:rPr>
          <w:rFonts w:hint="eastAsia"/>
          <w:color w:val="auto"/>
          <w:lang w:val="en-US" w:eastAsia="zh-CN"/>
        </w:rPr>
        <w:t>新疆博湖通用机场首选址临时气象观测站建设及气象条件分析项目的临时气象观测站建设、运行维护、气象分析及论证报告的编制。具体内容包括</w:t>
      </w:r>
      <w:r>
        <w:rPr>
          <w:rFonts w:hint="eastAsia" w:ascii="Times New Roman" w:hAnsi="宋体" w:eastAsia="宋体" w:cs="宋体"/>
          <w:color w:val="auto"/>
          <w:kern w:val="0"/>
          <w:lang w:val="en-US" w:eastAsia="zh-CN"/>
        </w:rPr>
        <w:t>建站施工、</w:t>
      </w:r>
      <w:r>
        <w:rPr>
          <w:rFonts w:hint="eastAsia" w:hAnsi="宋体" w:cs="宋体"/>
          <w:color w:val="auto"/>
          <w:kern w:val="0"/>
          <w:lang w:val="en-US" w:eastAsia="zh-CN"/>
        </w:rPr>
        <w:t>设备</w:t>
      </w:r>
      <w:r>
        <w:rPr>
          <w:rFonts w:hint="eastAsia" w:ascii="Times New Roman" w:hAnsi="宋体" w:eastAsia="宋体" w:cs="宋体"/>
          <w:color w:val="auto"/>
          <w:kern w:val="0"/>
          <w:lang w:val="en-US" w:eastAsia="zh-CN"/>
        </w:rPr>
        <w:t>采购</w:t>
      </w:r>
      <w:r>
        <w:rPr>
          <w:rFonts w:hint="eastAsia" w:ascii="Times New Roman" w:hAnsi="宋体" w:eastAsia="宋体" w:cs="宋体"/>
          <w:color w:val="auto"/>
          <w:kern w:val="0"/>
          <w:lang w:eastAsia="zh-CN"/>
        </w:rPr>
        <w:t>、</w:t>
      </w:r>
      <w:r>
        <w:rPr>
          <w:rFonts w:hint="eastAsia" w:ascii="Times New Roman" w:hAnsi="宋体" w:eastAsia="宋体" w:cs="宋体"/>
          <w:color w:val="auto"/>
          <w:kern w:val="0"/>
          <w:lang w:val="en-US" w:eastAsia="zh-CN"/>
        </w:rPr>
        <w:t>安装、</w:t>
      </w:r>
      <w:r>
        <w:rPr>
          <w:rFonts w:hint="eastAsia" w:ascii="Times New Roman" w:hAnsi="宋体" w:eastAsia="宋体" w:cs="宋体"/>
          <w:color w:val="auto"/>
          <w:kern w:val="0"/>
          <w:lang w:eastAsia="zh-CN"/>
        </w:rPr>
        <w:t>检测验收、技术培训、售后服务、</w:t>
      </w:r>
      <w:r>
        <w:rPr>
          <w:rFonts w:hint="eastAsia" w:ascii="Times New Roman" w:hAnsi="宋体" w:eastAsia="宋体" w:cs="宋体"/>
          <w:color w:val="auto"/>
          <w:kern w:val="0"/>
          <w:lang w:val="en-US" w:eastAsia="zh-CN"/>
        </w:rPr>
        <w:t>运行维护、</w:t>
      </w:r>
      <w:r>
        <w:rPr>
          <w:rFonts w:hint="eastAsia" w:hAnsi="宋体" w:cs="宋体"/>
          <w:color w:val="auto"/>
          <w:kern w:val="0"/>
          <w:lang w:val="en-US" w:eastAsia="zh-CN"/>
        </w:rPr>
        <w:t>编制</w:t>
      </w:r>
      <w:r>
        <w:rPr>
          <w:rFonts w:hint="eastAsia" w:ascii="Times New Roman" w:hAnsi="宋体" w:eastAsia="宋体" w:cs="宋体"/>
          <w:color w:val="auto"/>
          <w:kern w:val="0"/>
          <w:lang w:val="en-US" w:eastAsia="zh-CN"/>
        </w:rPr>
        <w:t>气象条件分析报告</w:t>
      </w:r>
      <w:r>
        <w:rPr>
          <w:rFonts w:hint="eastAsia" w:ascii="Times New Roman" w:hAnsi="宋体" w:eastAsia="宋体" w:cs="宋体"/>
          <w:color w:val="auto"/>
          <w:kern w:val="0"/>
          <w:lang w:eastAsia="zh-CN"/>
        </w:rPr>
        <w:t>及其他一切伴随服务。</w:t>
      </w:r>
    </w:p>
    <w:p>
      <w:pPr>
        <w:widowControl/>
        <w:numPr>
          <w:ilvl w:val="0"/>
          <w:numId w:val="1"/>
        </w:numPr>
        <w:wordWrap/>
        <w:autoSpaceDE w:val="0"/>
        <w:autoSpaceDN w:val="0"/>
        <w:adjustRightInd w:val="0"/>
        <w:spacing w:line="360" w:lineRule="auto"/>
        <w:ind w:left="398" w:leftChars="0" w:firstLine="0" w:firstLineChars="0"/>
        <w:jc w:val="left"/>
        <w:textAlignment w:val="auto"/>
        <w:rPr>
          <w:rFonts w:hint="eastAsia" w:ascii="宋体" w:hAnsi="宋体" w:eastAsia="宋体" w:cs="Times New Roman"/>
          <w:bCs/>
          <w:color w:val="FF0000"/>
          <w:szCs w:val="21"/>
          <w:lang w:val="en-US" w:eastAsia="zh-CN"/>
        </w:rPr>
      </w:pPr>
      <w:r>
        <w:rPr>
          <w:rFonts w:hint="eastAsia" w:ascii="宋体" w:hAnsi="宋体"/>
        </w:rPr>
        <w:t>质量技术要求：</w:t>
      </w:r>
      <w:r>
        <w:rPr>
          <w:rFonts w:hint="eastAsia" w:ascii="宋体" w:hAnsi="宋体"/>
          <w:lang w:val="zh-CN" w:eastAsia="zh-CN"/>
        </w:rPr>
        <w:t>符合国家质量验收合格标准。</w:t>
      </w:r>
    </w:p>
    <w:p>
      <w:pPr>
        <w:widowControl/>
        <w:spacing w:line="360" w:lineRule="auto"/>
        <w:ind w:firstLine="480" w:firstLineChars="200"/>
        <w:jc w:val="left"/>
      </w:pPr>
      <w:r>
        <w:rPr>
          <w:rFonts w:hint="eastAsia" w:ascii="宋体" w:hAnsi="宋体"/>
        </w:rPr>
        <w:t>四、</w:t>
      </w:r>
      <w:r>
        <w:rPr>
          <w:rFonts w:hint="eastAsia"/>
        </w:rPr>
        <w:t>工期：</w:t>
      </w:r>
      <w:r>
        <w:rPr>
          <w:rFonts w:hint="eastAsia" w:ascii="宋体" w:hAnsi="宋体" w:eastAsia="宋体" w:cs="Times New Roman"/>
          <w:bCs/>
          <w:color w:val="auto"/>
          <w:szCs w:val="21"/>
          <w:lang w:val="en-US" w:eastAsia="zh-CN"/>
        </w:rPr>
        <w:t>临时气象观测站建设</w:t>
      </w:r>
      <w:r>
        <w:rPr>
          <w:rFonts w:hint="eastAsia" w:ascii="宋体" w:hAnsi="宋体" w:eastAsia="宋体" w:cs="Times New Roman"/>
          <w:bCs/>
          <w:color w:val="0000FF"/>
          <w:szCs w:val="21"/>
          <w:lang w:val="en-US" w:eastAsia="zh-CN"/>
        </w:rPr>
        <w:t>（合同签订后60天内完成，计划2022年7月</w:t>
      </w:r>
      <w:r>
        <w:rPr>
          <w:rFonts w:hint="eastAsia" w:ascii="宋体" w:hAnsi="宋体" w:cs="Times New Roman"/>
          <w:bCs/>
          <w:color w:val="0000FF"/>
          <w:szCs w:val="21"/>
          <w:lang w:val="en-US" w:eastAsia="zh-CN"/>
        </w:rPr>
        <w:t>2</w:t>
      </w:r>
      <w:r>
        <w:rPr>
          <w:rFonts w:hint="default" w:ascii="宋体" w:hAnsi="宋体" w:cs="Times New Roman"/>
          <w:bCs/>
          <w:color w:val="0000FF"/>
          <w:szCs w:val="21"/>
          <w:lang w:val="en-US" w:eastAsia="zh-CN"/>
        </w:rPr>
        <w:t>3</w:t>
      </w:r>
      <w:r>
        <w:rPr>
          <w:rFonts w:hint="eastAsia" w:ascii="宋体" w:hAnsi="宋体" w:eastAsia="宋体" w:cs="Times New Roman"/>
          <w:bCs/>
          <w:color w:val="0000FF"/>
          <w:szCs w:val="21"/>
          <w:lang w:val="en-US" w:eastAsia="zh-CN"/>
        </w:rPr>
        <w:t>日开工，2022年9月</w:t>
      </w:r>
      <w:r>
        <w:rPr>
          <w:rFonts w:hint="default" w:ascii="宋体" w:hAnsi="宋体" w:cs="Times New Roman"/>
          <w:bCs/>
          <w:color w:val="0000FF"/>
          <w:szCs w:val="21"/>
          <w:lang w:val="en-US" w:eastAsia="zh-CN"/>
        </w:rPr>
        <w:t>20</w:t>
      </w:r>
      <w:r>
        <w:rPr>
          <w:rFonts w:hint="eastAsia" w:ascii="宋体" w:hAnsi="宋体" w:eastAsia="宋体" w:cs="Times New Roman"/>
          <w:bCs/>
          <w:color w:val="0000FF"/>
          <w:szCs w:val="21"/>
          <w:lang w:val="en-US" w:eastAsia="zh-CN"/>
        </w:rPr>
        <w:t>日竣工）</w:t>
      </w:r>
      <w:r>
        <w:rPr>
          <w:rFonts w:hint="eastAsia" w:ascii="宋体" w:hAnsi="宋体" w:cs="Times New Roman"/>
          <w:bCs/>
          <w:color w:val="0000FF"/>
          <w:szCs w:val="21"/>
          <w:lang w:val="en-US" w:eastAsia="zh-CN"/>
        </w:rPr>
        <w:t>；</w:t>
      </w:r>
      <w:r>
        <w:rPr>
          <w:rFonts w:hint="eastAsia"/>
          <w:color w:val="auto"/>
        </w:rPr>
        <w:t>气象分析及论证报告（1年）</w:t>
      </w:r>
      <w:r>
        <w:rPr>
          <w:rFonts w:hint="eastAsia"/>
          <w:color w:val="auto"/>
          <w:lang w:eastAsia="zh-CN"/>
        </w:rPr>
        <w:t>。</w:t>
      </w:r>
    </w:p>
    <w:p>
      <w:pPr>
        <w:wordWrap/>
        <w:autoSpaceDE w:val="0"/>
        <w:autoSpaceDN w:val="0"/>
        <w:adjustRightInd w:val="0"/>
        <w:spacing w:line="360" w:lineRule="auto"/>
        <w:ind w:firstLine="480" w:firstLineChars="200"/>
        <w:textAlignment w:val="auto"/>
        <w:rPr>
          <w:rFonts w:eastAsia="Times New Roman"/>
        </w:rPr>
      </w:pPr>
      <w:r>
        <w:rPr>
          <w:rFonts w:hint="eastAsia" w:ascii="宋体" w:hAnsi="宋体"/>
        </w:rPr>
        <w:t>五、合同价</w:t>
      </w:r>
    </w:p>
    <w:p>
      <w:pPr>
        <w:wordWrap/>
        <w:autoSpaceDE w:val="0"/>
        <w:autoSpaceDN w:val="0"/>
        <w:adjustRightInd w:val="0"/>
        <w:spacing w:line="360" w:lineRule="auto"/>
        <w:ind w:firstLine="480" w:firstLineChars="200"/>
        <w:textAlignment w:val="auto"/>
        <w:rPr>
          <w:rFonts w:eastAsia="Times New Roman"/>
          <w:u w:val="single"/>
        </w:rPr>
      </w:pPr>
      <w:r>
        <w:rPr>
          <w:rFonts w:ascii="宋体" w:hAnsi="宋体"/>
        </w:rPr>
        <w:t>1</w:t>
      </w:r>
      <w:r>
        <w:rPr>
          <w:rFonts w:hint="eastAsia" w:ascii="宋体" w:hAnsi="宋体"/>
        </w:rPr>
        <w:t>、签约合同价为：</w:t>
      </w:r>
      <w:r>
        <w:rPr>
          <w:rFonts w:hint="eastAsia" w:ascii="宋体" w:hAnsi="宋体"/>
          <w:u w:val="single"/>
        </w:rPr>
        <w:t>人民币    （大写）    （￥元）</w:t>
      </w:r>
    </w:p>
    <w:p>
      <w:pPr>
        <w:widowControl/>
        <w:wordWrap/>
        <w:autoSpaceDE w:val="0"/>
        <w:autoSpaceDN w:val="0"/>
        <w:adjustRightInd w:val="0"/>
        <w:spacing w:line="360" w:lineRule="auto"/>
        <w:ind w:firstLine="480" w:firstLineChars="200"/>
        <w:textAlignment w:val="auto"/>
        <w:rPr>
          <w:rFonts w:ascii="宋体" w:hAnsi="宋体"/>
        </w:rPr>
      </w:pPr>
      <w:r>
        <w:rPr>
          <w:rFonts w:ascii="宋体" w:hAnsi="宋体"/>
        </w:rPr>
        <w:t>2</w:t>
      </w:r>
      <w:r>
        <w:rPr>
          <w:rFonts w:hint="eastAsia" w:ascii="宋体" w:hAnsi="宋体"/>
        </w:rPr>
        <w:t>、合同价格形式：</w:t>
      </w:r>
      <w:r>
        <w:rPr>
          <w:rFonts w:hint="eastAsia" w:ascii="宋体" w:hAnsi="宋体"/>
          <w:lang w:eastAsia="zh-CN"/>
        </w:rPr>
        <w:t>总价</w:t>
      </w:r>
      <w:r>
        <w:rPr>
          <w:rFonts w:hint="eastAsia" w:ascii="宋体" w:hAnsi="宋体"/>
        </w:rPr>
        <w:t>合同。</w:t>
      </w:r>
    </w:p>
    <w:p>
      <w:pPr>
        <w:widowControl/>
        <w:wordWrap/>
        <w:autoSpaceDE w:val="0"/>
        <w:autoSpaceDN w:val="0"/>
        <w:adjustRightInd w:val="0"/>
        <w:spacing w:line="360" w:lineRule="auto"/>
        <w:ind w:firstLine="480" w:firstLineChars="200"/>
        <w:jc w:val="left"/>
        <w:textAlignment w:val="auto"/>
        <w:rPr>
          <w:rFonts w:hint="eastAsia" w:ascii="宋体" w:hAnsi="宋体" w:eastAsia="宋体" w:cs="Times New Roman"/>
          <w:bCs/>
          <w:color w:val="auto"/>
          <w:szCs w:val="21"/>
          <w:lang w:val="en-US" w:eastAsia="zh-CN"/>
        </w:rPr>
      </w:pPr>
      <w:r>
        <w:rPr>
          <w:rFonts w:ascii="宋体" w:hAnsi="宋体"/>
        </w:rPr>
        <w:t>3</w:t>
      </w:r>
      <w:r>
        <w:rPr>
          <w:rFonts w:hint="eastAsia" w:ascii="宋体" w:hAnsi="宋体"/>
        </w:rPr>
        <w:t>、付款方式：</w:t>
      </w:r>
      <w:r>
        <w:rPr>
          <w:rFonts w:hint="eastAsia" w:ascii="宋体" w:hAnsi="宋体" w:eastAsia="宋体" w:cs="Times New Roman"/>
          <w:bCs/>
          <w:color w:val="auto"/>
          <w:szCs w:val="21"/>
          <w:lang w:val="en-US" w:eastAsia="zh-CN"/>
        </w:rPr>
        <w:t>合同签订后支付合同总价</w:t>
      </w:r>
      <w:r>
        <w:rPr>
          <w:rFonts w:hint="cs" w:ascii="宋体" w:hAnsi="宋体" w:eastAsia="宋体" w:cs="Times New Roman"/>
          <w:bCs/>
          <w:color w:val="auto"/>
          <w:szCs w:val="21"/>
          <w:cs/>
          <w:lang w:val="en-US" w:eastAsia="zh-CN"/>
        </w:rPr>
        <w:t>30%</w:t>
      </w:r>
      <w:r>
        <w:rPr>
          <w:rFonts w:hint="eastAsia" w:ascii="宋体" w:hAnsi="宋体" w:eastAsia="宋体" w:cs="Times New Roman"/>
          <w:bCs/>
          <w:color w:val="auto"/>
          <w:szCs w:val="21"/>
          <w:lang w:val="en-US" w:eastAsia="zh-CN"/>
        </w:rPr>
        <w:t>的工程预付款，货到交货地点通过初验、安装、调试、培训、验收合格后，支付至合同价款的80</w:t>
      </w:r>
      <w:r>
        <w:rPr>
          <w:rFonts w:hint="cs" w:ascii="宋体" w:hAnsi="宋体" w:eastAsia="宋体" w:cs="Times New Roman"/>
          <w:bCs/>
          <w:color w:val="auto"/>
          <w:szCs w:val="21"/>
          <w:cs/>
          <w:lang w:val="en-US" w:eastAsia="zh-CN"/>
        </w:rPr>
        <w:t>%</w:t>
      </w:r>
      <w:r>
        <w:rPr>
          <w:rFonts w:hint="eastAsia" w:ascii="宋体" w:hAnsi="宋体" w:eastAsia="宋体" w:cs="Times New Roman"/>
          <w:bCs/>
          <w:color w:val="auto"/>
          <w:szCs w:val="21"/>
          <w:lang w:val="en-US" w:eastAsia="zh-CN"/>
        </w:rPr>
        <w:t>，完成气候分析及论证报告支付至合同价款的100%。最终付款方式按中标后合同约定。</w:t>
      </w:r>
    </w:p>
    <w:p>
      <w:pPr>
        <w:widowControl/>
        <w:wordWrap/>
        <w:autoSpaceDE w:val="0"/>
        <w:autoSpaceDN w:val="0"/>
        <w:adjustRightInd w:val="0"/>
        <w:spacing w:line="360" w:lineRule="auto"/>
        <w:ind w:firstLine="720" w:firstLineChars="300"/>
        <w:jc w:val="left"/>
        <w:textAlignment w:val="auto"/>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验收付款时供应商应必须提交：</w:t>
      </w:r>
    </w:p>
    <w:p>
      <w:pPr>
        <w:widowControl/>
        <w:wordWrap/>
        <w:autoSpaceDE w:val="0"/>
        <w:autoSpaceDN w:val="0"/>
        <w:adjustRightInd w:val="0"/>
        <w:spacing w:line="360" w:lineRule="auto"/>
        <w:ind w:firstLine="720" w:firstLineChars="300"/>
        <w:jc w:val="left"/>
        <w:textAlignment w:val="auto"/>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（1）符合招标人要求的发票；</w:t>
      </w:r>
    </w:p>
    <w:p>
      <w:pPr>
        <w:widowControl/>
        <w:wordWrap/>
        <w:autoSpaceDE w:val="0"/>
        <w:autoSpaceDN w:val="0"/>
        <w:adjustRightInd w:val="0"/>
        <w:spacing w:line="360" w:lineRule="auto"/>
        <w:ind w:firstLine="720" w:firstLineChars="300"/>
        <w:jc w:val="left"/>
        <w:textAlignment w:val="auto"/>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（2）采购人认可的签字盖章的验收回执一份。</w:t>
      </w:r>
    </w:p>
    <w:p>
      <w:pPr>
        <w:wordWrap/>
        <w:autoSpaceDE w:val="0"/>
        <w:autoSpaceDN w:val="0"/>
        <w:adjustRightInd w:val="0"/>
        <w:snapToGrid w:val="0"/>
        <w:spacing w:line="360" w:lineRule="auto"/>
        <w:ind w:firstLine="480" w:firstLineChars="200"/>
        <w:textAlignment w:val="auto"/>
        <w:rPr>
          <w:rFonts w:eastAsia="Times New Roman"/>
        </w:rPr>
      </w:pPr>
      <w:r>
        <w:rPr>
          <w:rFonts w:hint="eastAsia" w:ascii="宋体" w:hAnsi="宋体"/>
        </w:rPr>
        <w:t>六、项目经理</w:t>
      </w:r>
    </w:p>
    <w:p>
      <w:pPr>
        <w:widowControl/>
        <w:wordWrap/>
        <w:autoSpaceDE w:val="0"/>
        <w:autoSpaceDN w:val="0"/>
        <w:adjustRightInd w:val="0"/>
        <w:spacing w:line="360" w:lineRule="auto"/>
        <w:ind w:firstLine="480" w:firstLineChars="200"/>
        <w:textAlignment w:val="auto"/>
        <w:rPr>
          <w:rFonts w:ascii="宋体" w:hAnsi="宋体"/>
          <w:u w:val="single"/>
        </w:rPr>
      </w:pPr>
      <w:r>
        <w:rPr>
          <w:rFonts w:hint="eastAsia" w:ascii="宋体" w:hAnsi="宋体"/>
        </w:rPr>
        <w:t>承包人项目经理：</w:t>
      </w:r>
      <w:r>
        <w:rPr>
          <w:rFonts w:hint="eastAsia" w:ascii="宋体" w:hAnsi="宋体"/>
          <w:u w:val="single"/>
        </w:rPr>
        <w:t xml:space="preserve">            </w:t>
      </w:r>
    </w:p>
    <w:p>
      <w:pPr>
        <w:widowControl/>
        <w:wordWrap/>
        <w:autoSpaceDE w:val="0"/>
        <w:autoSpaceDN w:val="0"/>
        <w:adjustRightInd w:val="0"/>
        <w:spacing w:line="360" w:lineRule="auto"/>
        <w:ind w:firstLine="480" w:firstLineChars="200"/>
        <w:textAlignment w:val="auto"/>
        <w:rPr>
          <w:rFonts w:eastAsia="Times New Roman"/>
        </w:rPr>
      </w:pPr>
      <w:r>
        <w:rPr>
          <w:rFonts w:hint="eastAsia" w:ascii="宋体" w:hAnsi="宋体"/>
        </w:rPr>
        <w:t>七、组成合同的文件</w:t>
      </w:r>
    </w:p>
    <w:p>
      <w:pPr>
        <w:widowControl/>
        <w:spacing w:line="360" w:lineRule="auto"/>
        <w:ind w:firstLine="480" w:firstLineChars="200"/>
        <w:rPr>
          <w:rFonts w:eastAsia="Times New Roman"/>
        </w:rPr>
      </w:pPr>
      <w:r>
        <w:rPr>
          <w:rFonts w:hint="eastAsia" w:ascii="宋体" w:hAnsi="宋体"/>
        </w:rPr>
        <w:t>组成本合同的文件包括：</w:t>
      </w:r>
    </w:p>
    <w:p>
      <w:pPr>
        <w:widowControl/>
        <w:spacing w:line="360" w:lineRule="auto"/>
        <w:ind w:firstLine="480" w:firstLineChars="200"/>
        <w:rPr>
          <w:rFonts w:ascii="宋体" w:hAnsi="宋体"/>
        </w:rPr>
      </w:pPr>
      <w:r>
        <w:rPr>
          <w:rFonts w:ascii="宋体" w:hAnsi="宋体"/>
        </w:rPr>
        <w:t>1</w:t>
      </w:r>
      <w:r>
        <w:rPr>
          <w:rFonts w:hint="eastAsia" w:ascii="宋体" w:hAnsi="宋体"/>
        </w:rPr>
        <w:t>、本合同协议书</w:t>
      </w:r>
    </w:p>
    <w:p>
      <w:pPr>
        <w:widowControl/>
        <w:spacing w:line="360" w:lineRule="auto"/>
        <w:ind w:firstLine="480" w:firstLineChars="200"/>
        <w:rPr>
          <w:rFonts w:eastAsia="Times New Roman"/>
        </w:rPr>
      </w:pPr>
      <w:r>
        <w:rPr>
          <w:rFonts w:ascii="宋体" w:hAnsi="宋体"/>
        </w:rPr>
        <w:t>2</w:t>
      </w:r>
      <w:r>
        <w:rPr>
          <w:rFonts w:hint="eastAsia" w:ascii="宋体" w:hAnsi="宋体"/>
        </w:rPr>
        <w:t>、中标通知书</w:t>
      </w:r>
    </w:p>
    <w:p>
      <w:pPr>
        <w:widowControl/>
        <w:spacing w:line="360" w:lineRule="auto"/>
        <w:ind w:firstLine="480" w:firstLineChars="200"/>
        <w:rPr>
          <w:rFonts w:eastAsia="Times New Roman"/>
        </w:rPr>
      </w:pPr>
      <w:r>
        <w:rPr>
          <w:rFonts w:ascii="宋体" w:hAnsi="宋体"/>
        </w:rPr>
        <w:t>3</w:t>
      </w:r>
      <w:r>
        <w:rPr>
          <w:rFonts w:hint="eastAsia" w:ascii="宋体" w:hAnsi="宋体"/>
        </w:rPr>
        <w:t>、投标书及其附件</w:t>
      </w:r>
    </w:p>
    <w:p>
      <w:pPr>
        <w:widowControl/>
        <w:spacing w:line="360" w:lineRule="auto"/>
        <w:ind w:firstLine="480" w:firstLineChars="200"/>
        <w:rPr>
          <w:rFonts w:eastAsia="Times New Roman"/>
        </w:rPr>
      </w:pPr>
      <w:r>
        <w:rPr>
          <w:rFonts w:ascii="宋体" w:hAnsi="宋体"/>
        </w:rPr>
        <w:t>4</w:t>
      </w:r>
      <w:r>
        <w:rPr>
          <w:rFonts w:hint="eastAsia" w:ascii="宋体" w:hAnsi="宋体"/>
        </w:rPr>
        <w:t>、本合同专用条款</w:t>
      </w:r>
    </w:p>
    <w:p>
      <w:pPr>
        <w:widowControl/>
        <w:spacing w:line="440" w:lineRule="exact"/>
        <w:ind w:firstLine="480" w:firstLineChars="200"/>
        <w:rPr>
          <w:rFonts w:eastAsia="Times New Roman"/>
        </w:rPr>
      </w:pPr>
      <w:r>
        <w:rPr>
          <w:rFonts w:ascii="宋体" w:hAnsi="宋体"/>
        </w:rPr>
        <w:t>5</w:t>
      </w:r>
      <w:r>
        <w:rPr>
          <w:rFonts w:hint="eastAsia" w:ascii="宋体" w:hAnsi="宋体"/>
        </w:rPr>
        <w:t>、本合同通用条款</w:t>
      </w:r>
    </w:p>
    <w:p>
      <w:pPr>
        <w:widowControl/>
        <w:spacing w:line="440" w:lineRule="exact"/>
        <w:ind w:firstLine="480" w:firstLineChars="200"/>
        <w:rPr>
          <w:rFonts w:eastAsia="Times New Roman"/>
        </w:rPr>
      </w:pPr>
      <w:r>
        <w:rPr>
          <w:rFonts w:ascii="宋体" w:hAnsi="宋体"/>
        </w:rPr>
        <w:t>6</w:t>
      </w:r>
      <w:r>
        <w:rPr>
          <w:rFonts w:hint="eastAsia" w:ascii="宋体" w:hAnsi="宋体"/>
        </w:rPr>
        <w:t>、标准、规范及有关技术文件</w:t>
      </w:r>
    </w:p>
    <w:p>
      <w:pPr>
        <w:widowControl/>
        <w:spacing w:line="440" w:lineRule="exact"/>
        <w:ind w:firstLine="480" w:firstLineChars="200"/>
        <w:rPr>
          <w:rFonts w:eastAsia="Times New Roman"/>
        </w:rPr>
      </w:pPr>
      <w:r>
        <w:rPr>
          <w:rFonts w:hint="eastAsia" w:ascii="宋体" w:hAnsi="宋体"/>
          <w:lang w:val="en-US" w:eastAsia="zh-CN"/>
        </w:rPr>
        <w:t>7</w:t>
      </w:r>
      <w:r>
        <w:rPr>
          <w:rFonts w:hint="eastAsia" w:ascii="宋体" w:hAnsi="宋体"/>
        </w:rPr>
        <w:t>、工程报价单或预算书</w:t>
      </w:r>
    </w:p>
    <w:p>
      <w:pPr>
        <w:widowControl/>
        <w:spacing w:line="440" w:lineRule="exact"/>
        <w:ind w:firstLine="480" w:firstLineChars="200"/>
        <w:rPr>
          <w:rFonts w:eastAsia="Times New Roman"/>
        </w:rPr>
      </w:pPr>
      <w:r>
        <w:rPr>
          <w:rFonts w:hint="eastAsia" w:ascii="宋体" w:hAnsi="宋体"/>
          <w:lang w:val="en-US" w:eastAsia="zh-CN"/>
        </w:rPr>
        <w:t>8</w:t>
      </w:r>
      <w:r>
        <w:rPr>
          <w:rFonts w:hint="eastAsia" w:ascii="宋体" w:hAnsi="宋体"/>
        </w:rPr>
        <w:t>、双方有关工程的洽商、变更等书面协议或文件视为本合同的组成部分。</w:t>
      </w:r>
    </w:p>
    <w:p>
      <w:pPr>
        <w:widowControl/>
        <w:spacing w:line="440" w:lineRule="exact"/>
        <w:ind w:firstLine="480" w:firstLineChars="200"/>
        <w:rPr>
          <w:rFonts w:eastAsia="Times New Roman"/>
        </w:rPr>
      </w:pPr>
      <w:r>
        <w:rPr>
          <w:rFonts w:hint="eastAsia" w:ascii="宋体" w:hAnsi="宋体"/>
        </w:rPr>
        <w:t>八、承诺</w:t>
      </w:r>
    </w:p>
    <w:p>
      <w:pPr>
        <w:widowControl/>
        <w:spacing w:line="440" w:lineRule="exact"/>
        <w:ind w:firstLine="480" w:firstLineChars="200"/>
        <w:rPr>
          <w:rFonts w:eastAsia="Times New Roman"/>
        </w:rPr>
      </w:pPr>
      <w:r>
        <w:rPr>
          <w:rFonts w:ascii="宋体" w:hAnsi="宋体"/>
        </w:rPr>
        <w:t>1.</w:t>
      </w:r>
      <w:r>
        <w:rPr>
          <w:rFonts w:hint="eastAsia" w:ascii="宋体" w:hAnsi="宋体"/>
        </w:rPr>
        <w:t>发包人承诺按照法律规定履行项目审批手续、筹集工程建设资金并按照合同约定的期限和方式支付合同价款。</w:t>
      </w:r>
    </w:p>
    <w:p>
      <w:pPr>
        <w:widowControl/>
        <w:spacing w:line="440" w:lineRule="exact"/>
        <w:ind w:firstLine="480" w:firstLineChars="200"/>
        <w:rPr>
          <w:rFonts w:eastAsia="Times New Roman"/>
        </w:rPr>
      </w:pPr>
      <w:r>
        <w:rPr>
          <w:rFonts w:ascii="宋体" w:hAnsi="宋体"/>
        </w:rPr>
        <w:t>2.</w:t>
      </w:r>
      <w:r>
        <w:rPr>
          <w:rFonts w:hint="eastAsia" w:ascii="宋体" w:hAnsi="宋体"/>
        </w:rPr>
        <w:t>承包人承诺按照法律规定及合同约定组织完成工程施工，确保工程质量和安全，不进行转包及违法分包，并在缺陷责任期及保修期内承担相应的工程维修责任。</w:t>
      </w:r>
    </w:p>
    <w:p>
      <w:pPr>
        <w:widowControl/>
        <w:spacing w:line="440" w:lineRule="exact"/>
        <w:ind w:firstLine="480" w:firstLineChars="200"/>
        <w:rPr>
          <w:rFonts w:eastAsia="Times New Roman"/>
        </w:rPr>
      </w:pPr>
      <w:r>
        <w:rPr>
          <w:rFonts w:ascii="宋体" w:hAnsi="宋体"/>
        </w:rPr>
        <w:t>3.</w:t>
      </w:r>
      <w:r>
        <w:rPr>
          <w:rFonts w:hint="eastAsia" w:ascii="宋体" w:hAnsi="宋体"/>
        </w:rPr>
        <w:t>发包人和承包人通过招投标形式签订合同的，双方理解并承诺不再就同一工程另行签订与合同实质性内容相背离的协议。</w:t>
      </w:r>
    </w:p>
    <w:p>
      <w:pPr>
        <w:widowControl/>
        <w:spacing w:line="440" w:lineRule="exact"/>
        <w:ind w:firstLine="480" w:firstLineChars="200"/>
        <w:rPr>
          <w:rFonts w:eastAsia="Times New Roman"/>
        </w:rPr>
      </w:pPr>
      <w:r>
        <w:rPr>
          <w:rFonts w:hint="eastAsia" w:ascii="宋体" w:hAnsi="宋体"/>
        </w:rPr>
        <w:t>九、本协议书中有关词语含义与本合同第二部分《通用条款》中分别赋予它们的定义相同。</w:t>
      </w:r>
    </w:p>
    <w:p>
      <w:pPr>
        <w:widowControl/>
        <w:spacing w:line="440" w:lineRule="exact"/>
        <w:ind w:firstLine="480" w:firstLineChars="200"/>
        <w:rPr>
          <w:rFonts w:eastAsia="Times New Roman"/>
        </w:rPr>
      </w:pPr>
      <w:r>
        <w:rPr>
          <w:rFonts w:hint="eastAsia" w:ascii="宋体" w:hAnsi="宋体"/>
        </w:rPr>
        <w:t>十、承包人向发包人承诺按照合同约定进行施工、竣工并在质量保修期内承担工程质量保修责任。</w:t>
      </w:r>
    </w:p>
    <w:p>
      <w:pPr>
        <w:widowControl/>
        <w:spacing w:line="440" w:lineRule="exact"/>
        <w:ind w:firstLine="480" w:firstLineChars="200"/>
        <w:rPr>
          <w:rFonts w:eastAsia="Times New Roman"/>
        </w:rPr>
      </w:pPr>
      <w:r>
        <w:rPr>
          <w:rFonts w:hint="eastAsia" w:ascii="宋体" w:hAnsi="宋体"/>
        </w:rPr>
        <w:t>十一、发包人向承包人承诺按照合同约定的期限和方式支付合同价款及其他应当支付的款项。</w:t>
      </w:r>
    </w:p>
    <w:p>
      <w:pPr>
        <w:widowControl/>
        <w:spacing w:line="440" w:lineRule="exact"/>
        <w:ind w:firstLine="480" w:firstLineChars="200"/>
        <w:rPr>
          <w:rFonts w:eastAsia="Times New Roman"/>
        </w:rPr>
      </w:pPr>
      <w:r>
        <w:rPr>
          <w:rFonts w:hint="eastAsia" w:ascii="宋体" w:hAnsi="宋体"/>
        </w:rPr>
        <w:t>十二、合同生效</w:t>
      </w:r>
    </w:p>
    <w:p>
      <w:pPr>
        <w:widowControl/>
        <w:spacing w:line="440" w:lineRule="exact"/>
        <w:ind w:firstLine="480" w:firstLineChars="200"/>
        <w:rPr>
          <w:rFonts w:eastAsia="Times New Roman"/>
          <w:u w:val="single"/>
        </w:rPr>
      </w:pPr>
      <w:r>
        <w:rPr>
          <w:rFonts w:hint="eastAsia" w:ascii="宋体" w:hAnsi="宋体"/>
        </w:rPr>
        <w:t>合同订立时间：</w:t>
      </w:r>
      <w:r>
        <w:rPr>
          <w:rFonts w:hint="eastAsia" w:ascii="宋体" w:hAnsi="宋体"/>
          <w:u w:val="single"/>
        </w:rPr>
        <w:t>年   月   日</w:t>
      </w:r>
    </w:p>
    <w:p>
      <w:pPr>
        <w:widowControl/>
        <w:spacing w:line="440" w:lineRule="exact"/>
        <w:ind w:firstLine="480" w:firstLineChars="200"/>
        <w:rPr>
          <w:rFonts w:ascii="宋体" w:hAnsi="宋体"/>
        </w:rPr>
      </w:pPr>
      <w:r>
        <w:rPr>
          <w:rFonts w:hint="eastAsia" w:ascii="宋体" w:hAnsi="宋体"/>
        </w:rPr>
        <w:t>合同订立地点：</w:t>
      </w:r>
    </w:p>
    <w:p>
      <w:pPr>
        <w:widowControl/>
        <w:spacing w:line="440" w:lineRule="exact"/>
        <w:ind w:firstLine="480" w:firstLineChars="200"/>
        <w:rPr>
          <w:rFonts w:ascii="宋体" w:hAnsi="宋体"/>
          <w:u w:val="single"/>
        </w:rPr>
      </w:pPr>
      <w:r>
        <w:rPr>
          <w:rFonts w:hint="eastAsia" w:ascii="宋体" w:hAnsi="宋体"/>
        </w:rPr>
        <w:t>本合同自双方</w:t>
      </w:r>
      <w:r>
        <w:rPr>
          <w:rFonts w:hint="eastAsia" w:ascii="宋体" w:hAnsi="宋体"/>
          <w:u w:val="single"/>
        </w:rPr>
        <w:t>签字、盖章</w:t>
      </w:r>
      <w:r>
        <w:rPr>
          <w:rFonts w:hint="eastAsia" w:ascii="宋体" w:hAnsi="宋体"/>
        </w:rPr>
        <w:t>后生效。</w:t>
      </w:r>
    </w:p>
    <w:p>
      <w:pPr>
        <w:widowControl/>
        <w:spacing w:line="440" w:lineRule="exact"/>
        <w:ind w:firstLine="480" w:firstLineChars="200"/>
        <w:rPr>
          <w:rFonts w:ascii="宋体" w:hAnsi="宋体"/>
        </w:rPr>
      </w:pPr>
      <w:r>
        <w:rPr>
          <w:rFonts w:hint="eastAsia" w:ascii="宋体" w:hAnsi="宋体"/>
        </w:rPr>
        <w:t>发包人：                                  承包人：</w:t>
      </w:r>
    </w:p>
    <w:p>
      <w:pPr>
        <w:widowControl/>
        <w:spacing w:line="440" w:lineRule="exact"/>
        <w:ind w:firstLine="480" w:firstLineChars="200"/>
        <w:rPr>
          <w:rFonts w:ascii="宋体" w:hAnsi="宋体"/>
        </w:rPr>
      </w:pPr>
      <w:r>
        <w:rPr>
          <w:rFonts w:hint="eastAsia" w:ascii="宋体" w:hAnsi="宋体"/>
        </w:rPr>
        <w:t>住所：                                     住所：</w:t>
      </w:r>
    </w:p>
    <w:p>
      <w:pPr>
        <w:widowControl/>
        <w:spacing w:line="440" w:lineRule="exact"/>
        <w:ind w:firstLine="480" w:firstLineChars="200"/>
        <w:rPr>
          <w:rFonts w:eastAsia="Times New Roman"/>
        </w:rPr>
      </w:pPr>
      <w:r>
        <w:rPr>
          <w:rFonts w:hint="eastAsia" w:ascii="宋体" w:hAnsi="宋体"/>
        </w:rPr>
        <w:t>法定代表人（签字</w:t>
      </w:r>
      <w:r>
        <w:rPr>
          <w:rFonts w:ascii="宋体" w:hAnsi="宋体"/>
        </w:rPr>
        <w:t>/</w:t>
      </w:r>
      <w:r>
        <w:rPr>
          <w:rFonts w:hint="eastAsia" w:ascii="宋体" w:hAnsi="宋体"/>
        </w:rPr>
        <w:t>盖章）</w:t>
      </w:r>
      <w:r>
        <w:rPr>
          <w:rFonts w:ascii="宋体" w:hAnsi="宋体"/>
        </w:rPr>
        <w:t xml:space="preserve">:                   </w:t>
      </w:r>
      <w:r>
        <w:rPr>
          <w:rFonts w:hint="eastAsia" w:ascii="宋体" w:hAnsi="宋体"/>
        </w:rPr>
        <w:t>法定代表人（签字</w:t>
      </w:r>
      <w:r>
        <w:rPr>
          <w:rFonts w:ascii="宋体" w:hAnsi="宋体"/>
        </w:rPr>
        <w:t>/</w:t>
      </w:r>
      <w:r>
        <w:rPr>
          <w:rFonts w:hint="eastAsia" w:ascii="宋体" w:hAnsi="宋体"/>
        </w:rPr>
        <w:t>盖章）：</w:t>
      </w:r>
    </w:p>
    <w:p>
      <w:pPr>
        <w:widowControl/>
        <w:spacing w:line="440" w:lineRule="exact"/>
        <w:ind w:firstLine="480" w:firstLineChars="200"/>
        <w:rPr>
          <w:rFonts w:eastAsia="Times New Roman"/>
          <w:b/>
        </w:rPr>
      </w:pPr>
      <w:r>
        <w:rPr>
          <w:rFonts w:hint="eastAsia" w:ascii="宋体" w:hAnsi="宋体"/>
        </w:rPr>
        <w:t>委托代理人：                              委托代理人：</w:t>
      </w:r>
    </w:p>
    <w:p>
      <w:pPr>
        <w:widowControl/>
        <w:spacing w:line="440" w:lineRule="exact"/>
        <w:ind w:firstLine="480" w:firstLineChars="200"/>
        <w:rPr>
          <w:rFonts w:eastAsia="Times New Roman"/>
          <w:b/>
        </w:rPr>
      </w:pPr>
      <w:r>
        <w:rPr>
          <w:rFonts w:hint="eastAsia" w:ascii="宋体" w:hAnsi="宋体"/>
        </w:rPr>
        <w:t>电话：                                    电话</w:t>
      </w:r>
      <w:r>
        <w:rPr>
          <w:rFonts w:ascii="宋体" w:hAnsi="宋体"/>
        </w:rPr>
        <w:t>:</w:t>
      </w:r>
    </w:p>
    <w:p>
      <w:pPr>
        <w:widowControl/>
        <w:spacing w:line="440" w:lineRule="exact"/>
        <w:ind w:firstLine="480" w:firstLineChars="200"/>
        <w:rPr>
          <w:rFonts w:ascii="宋体" w:hAnsi="宋体"/>
        </w:rPr>
      </w:pPr>
      <w:r>
        <w:rPr>
          <w:rFonts w:hint="eastAsia" w:ascii="宋体" w:hAnsi="宋体"/>
        </w:rPr>
        <w:t>开户银行：                                开户银行：</w:t>
      </w:r>
    </w:p>
    <w:p>
      <w:pPr>
        <w:widowControl/>
        <w:spacing w:line="440" w:lineRule="exact"/>
        <w:ind w:firstLine="480" w:firstLineChars="200"/>
        <w:rPr>
          <w:rFonts w:eastAsia="Times New Roman"/>
        </w:rPr>
      </w:pPr>
      <w:r>
        <w:rPr>
          <w:rFonts w:hint="eastAsia" w:ascii="宋体" w:hAnsi="宋体"/>
        </w:rPr>
        <w:t>账号：                                      帐号：</w:t>
      </w:r>
    </w:p>
    <w:p>
      <w:pPr>
        <w:widowControl/>
        <w:spacing w:line="440" w:lineRule="exact"/>
        <w:ind w:firstLine="480" w:firstLineChars="200"/>
        <w:rPr>
          <w:rFonts w:eastAsia="Times New Roman"/>
          <w:b/>
        </w:rPr>
      </w:pPr>
      <w:r>
        <w:rPr>
          <w:rFonts w:hint="eastAsia" w:ascii="宋体" w:hAnsi="宋体"/>
        </w:rPr>
        <w:t>邮政编码：                                  邮政编码：</w:t>
      </w: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hint="eastAsia"/>
          <w:b/>
          <w:w w:val="95"/>
          <w:sz w:val="30"/>
        </w:rPr>
      </w:pPr>
    </w:p>
    <w:p>
      <w:pPr>
        <w:pStyle w:val="18"/>
        <w:tabs>
          <w:tab w:val="left" w:pos="1655"/>
        </w:tabs>
        <w:kinsoku w:val="0"/>
        <w:overflowPunct w:val="0"/>
        <w:spacing w:before="7"/>
        <w:ind w:left="0" w:right="101"/>
        <w:jc w:val="center"/>
        <w:rPr>
          <w:rFonts w:eastAsia="Times New Roman"/>
          <w:sz w:val="30"/>
        </w:rPr>
      </w:pPr>
      <w:r>
        <w:rPr>
          <w:rFonts w:hint="eastAsia"/>
          <w:b/>
          <w:w w:val="95"/>
          <w:sz w:val="30"/>
        </w:rPr>
        <w:t>第二部分</w:t>
      </w:r>
      <w:r>
        <w:rPr>
          <w:rFonts w:eastAsia="Times New Roman"/>
          <w:b/>
          <w:w w:val="95"/>
          <w:sz w:val="30"/>
        </w:rPr>
        <w:tab/>
      </w:r>
      <w:r>
        <w:rPr>
          <w:rFonts w:hint="eastAsia"/>
          <w:b/>
          <w:sz w:val="30"/>
        </w:rPr>
        <w:t>通用条款</w:t>
      </w:r>
    </w:p>
    <w:p>
      <w:pPr>
        <w:pStyle w:val="62"/>
        <w:tabs>
          <w:tab w:val="left" w:pos="576"/>
        </w:tabs>
        <w:jc w:val="center"/>
        <w:rPr>
          <w:rFonts w:eastAsia="Times New Roman"/>
          <w:b/>
          <w:kern w:val="2"/>
          <w:sz w:val="24"/>
          <w:lang w:val="zh-CN"/>
        </w:rPr>
      </w:pPr>
      <w:r>
        <w:rPr>
          <w:rFonts w:hint="eastAsia" w:ascii="宋体" w:hAnsi="宋体"/>
          <w:b/>
          <w:kern w:val="2"/>
          <w:sz w:val="24"/>
          <w:lang w:val="zh-CN"/>
        </w:rPr>
        <w:t>通用合同条款执行住房和城乡建设部、国家工商行政管理总局制定的《建设工程施工合同示范文本》（</w:t>
      </w:r>
      <w:r>
        <w:rPr>
          <w:rFonts w:ascii="宋体" w:hAnsi="宋体"/>
          <w:b/>
          <w:kern w:val="2"/>
          <w:sz w:val="24"/>
          <w:lang w:val="zh-CN"/>
        </w:rPr>
        <w:t>GF—2013—0201</w:t>
      </w:r>
      <w:r>
        <w:rPr>
          <w:rFonts w:hint="eastAsia" w:ascii="宋体" w:hAnsi="宋体"/>
          <w:b/>
          <w:kern w:val="2"/>
          <w:sz w:val="24"/>
          <w:lang w:val="zh-CN"/>
        </w:rPr>
        <w:t>）</w:t>
      </w:r>
    </w:p>
    <w:p>
      <w:pPr>
        <w:pStyle w:val="18"/>
        <w:kinsoku w:val="0"/>
        <w:overflowPunct w:val="0"/>
        <w:ind w:left="0"/>
        <w:jc w:val="center"/>
        <w:rPr>
          <w:rFonts w:eastAsia="Times New Roman"/>
          <w:b/>
        </w:rPr>
      </w:pPr>
    </w:p>
    <w:p>
      <w:pPr>
        <w:pStyle w:val="18"/>
        <w:kinsoku w:val="0"/>
        <w:overflowPunct w:val="0"/>
        <w:spacing w:before="6"/>
        <w:ind w:left="0"/>
        <w:jc w:val="center"/>
        <w:rPr>
          <w:rFonts w:eastAsia="Times New Roman"/>
          <w:b/>
          <w:sz w:val="30"/>
        </w:rPr>
      </w:pPr>
    </w:p>
    <w:p>
      <w:pPr>
        <w:pStyle w:val="18"/>
        <w:tabs>
          <w:tab w:val="left" w:pos="1655"/>
        </w:tabs>
        <w:kinsoku w:val="0"/>
        <w:overflowPunct w:val="0"/>
        <w:ind w:left="0" w:right="101"/>
        <w:jc w:val="center"/>
        <w:rPr>
          <w:rFonts w:eastAsia="Times New Roman"/>
          <w:sz w:val="30"/>
        </w:rPr>
      </w:pPr>
      <w:r>
        <w:rPr>
          <w:rFonts w:hint="eastAsia"/>
          <w:b/>
          <w:w w:val="95"/>
          <w:sz w:val="30"/>
        </w:rPr>
        <w:t>第三部分</w:t>
      </w:r>
      <w:r>
        <w:rPr>
          <w:rFonts w:eastAsia="Times New Roman"/>
          <w:b/>
          <w:w w:val="95"/>
          <w:sz w:val="30"/>
        </w:rPr>
        <w:tab/>
      </w:r>
      <w:r>
        <w:rPr>
          <w:rFonts w:hint="eastAsia"/>
          <w:b/>
          <w:sz w:val="30"/>
        </w:rPr>
        <w:t>专用条款</w:t>
      </w:r>
    </w:p>
    <w:p>
      <w:pPr>
        <w:spacing w:line="488" w:lineRule="exact"/>
        <w:ind w:firstLine="480" w:firstLineChars="200"/>
        <w:rPr>
          <w:rFonts w:eastAsia="Times New Roman"/>
        </w:rPr>
      </w:pPr>
      <w:bookmarkStart w:id="72" w:name="_Toc351203633"/>
      <w:r>
        <w:rPr>
          <w:rFonts w:ascii="宋体" w:hAnsi="宋体"/>
        </w:rPr>
        <w:t>1</w:t>
      </w:r>
      <w:bookmarkStart w:id="73" w:name="_Toc297048342"/>
      <w:bookmarkStart w:id="74" w:name="_Toc292559866"/>
      <w:bookmarkStart w:id="75" w:name="_Toc296503156"/>
      <w:bookmarkStart w:id="76" w:name="_Toc296347155"/>
      <w:bookmarkStart w:id="77" w:name="_Toc296891196"/>
      <w:bookmarkStart w:id="78" w:name="_Toc296346657"/>
      <w:bookmarkStart w:id="79" w:name="_Toc292559361"/>
      <w:bookmarkStart w:id="80" w:name="_Toc296944495"/>
      <w:bookmarkStart w:id="81" w:name="_Toc296890984"/>
      <w:bookmarkStart w:id="82" w:name="_Toc297120456"/>
      <w:r>
        <w:rPr>
          <w:rFonts w:ascii="宋体" w:hAnsi="宋体"/>
        </w:rPr>
        <w:t xml:space="preserve">. </w:t>
      </w:r>
      <w:r>
        <w:rPr>
          <w:rFonts w:hint="eastAsia" w:ascii="宋体" w:hAnsi="宋体"/>
        </w:rPr>
        <w:t>一般约定</w:t>
      </w:r>
      <w:bookmarkEnd w:id="72"/>
    </w:p>
    <w:bookmarkEnd w:id="73"/>
    <w:bookmarkEnd w:id="74"/>
    <w:bookmarkEnd w:id="75"/>
    <w:bookmarkEnd w:id="76"/>
    <w:bookmarkEnd w:id="77"/>
    <w:bookmarkEnd w:id="78"/>
    <w:bookmarkEnd w:id="79"/>
    <w:bookmarkEnd w:id="80"/>
    <w:bookmarkEnd w:id="81"/>
    <w:bookmarkEnd w:id="82"/>
    <w:p>
      <w:pPr>
        <w:spacing w:line="488" w:lineRule="exact"/>
        <w:ind w:firstLine="480" w:firstLineChars="200"/>
        <w:rPr>
          <w:rFonts w:eastAsia="Times New Roman"/>
        </w:rPr>
      </w:pPr>
      <w:r>
        <w:rPr>
          <w:rFonts w:ascii="宋体" w:hAnsi="宋体"/>
        </w:rPr>
        <w:t xml:space="preserve">1.1 </w:t>
      </w:r>
      <w:r>
        <w:rPr>
          <w:rFonts w:hint="eastAsia" w:ascii="宋体" w:hAnsi="宋体"/>
        </w:rPr>
        <w:t>词语定义</w:t>
      </w:r>
    </w:p>
    <w:p>
      <w:pPr>
        <w:spacing w:line="488" w:lineRule="exact"/>
        <w:ind w:firstLine="480" w:firstLineChars="200"/>
        <w:rPr>
          <w:rFonts w:eastAsia="Times New Roman"/>
        </w:rPr>
      </w:pPr>
      <w:r>
        <w:rPr>
          <w:rFonts w:ascii="宋体" w:hAnsi="宋体"/>
        </w:rPr>
        <w:t>1.1.1</w:t>
      </w:r>
      <w:r>
        <w:rPr>
          <w:rFonts w:hint="eastAsia" w:ascii="宋体" w:hAnsi="宋体"/>
        </w:rPr>
        <w:t>合同</w:t>
      </w:r>
    </w:p>
    <w:p>
      <w:pPr>
        <w:spacing w:line="488" w:lineRule="exact"/>
        <w:ind w:firstLine="480" w:firstLineChars="200"/>
        <w:rPr>
          <w:rFonts w:eastAsia="Times New Roman"/>
          <w:b/>
          <w:u w:val="single"/>
        </w:rPr>
      </w:pPr>
      <w:r>
        <w:rPr>
          <w:rFonts w:ascii="宋体" w:hAnsi="宋体"/>
        </w:rPr>
        <w:t>1.1.1.10</w:t>
      </w:r>
      <w:r>
        <w:rPr>
          <w:rFonts w:hint="eastAsia" w:ascii="宋体" w:hAnsi="宋体"/>
        </w:rPr>
        <w:t>其他合同文件包括：</w:t>
      </w:r>
      <w:r>
        <w:rPr>
          <w:rFonts w:hint="eastAsia" w:ascii="宋体" w:hAnsi="宋体"/>
          <w:b/>
          <w:u w:val="single"/>
        </w:rPr>
        <w:t>履行合同过程中双方书面确认的对合同内容有实质性影响的会议纪要、签证、设计变更等资料。</w:t>
      </w:r>
    </w:p>
    <w:p>
      <w:pPr>
        <w:spacing w:after="120" w:line="488" w:lineRule="exact"/>
        <w:ind w:firstLine="480" w:firstLineChars="200"/>
        <w:rPr>
          <w:rFonts w:ascii="宋体" w:hAnsi="宋体"/>
        </w:rPr>
      </w:pPr>
      <w:r>
        <w:rPr>
          <w:rFonts w:ascii="宋体" w:hAnsi="宋体"/>
        </w:rPr>
        <w:t>1.3</w:t>
      </w:r>
      <w:r>
        <w:rPr>
          <w:rFonts w:hint="eastAsia" w:ascii="宋体" w:hAnsi="宋体"/>
        </w:rPr>
        <w:t>法律</w:t>
      </w:r>
    </w:p>
    <w:p>
      <w:pPr>
        <w:spacing w:line="488" w:lineRule="exact"/>
        <w:ind w:left="682" w:leftChars="284"/>
        <w:rPr>
          <w:rFonts w:ascii="宋体" w:eastAsia="Times New Roman"/>
          <w:b/>
          <w:u w:val="single"/>
        </w:rPr>
      </w:pPr>
      <w:r>
        <w:rPr>
          <w:rFonts w:hint="eastAsia" w:ascii="宋体" w:hAnsi="宋体"/>
        </w:rPr>
        <w:t>适用于合同的其他规范性文件：</w:t>
      </w:r>
      <w:r>
        <w:rPr>
          <w:rFonts w:hint="eastAsia" w:ascii="宋体" w:hAnsi="宋体"/>
          <w:b/>
          <w:u w:val="single"/>
        </w:rPr>
        <w:t>《中华人民共和国民法典》、《中华人民共和</w:t>
      </w:r>
    </w:p>
    <w:p>
      <w:pPr>
        <w:spacing w:line="488" w:lineRule="exact"/>
        <w:rPr>
          <w:rFonts w:eastAsia="Times New Roman"/>
          <w:b/>
          <w:u w:val="single"/>
        </w:rPr>
      </w:pPr>
      <w:r>
        <w:rPr>
          <w:rFonts w:hint="eastAsia" w:ascii="宋体" w:hAnsi="宋体"/>
          <w:b/>
          <w:u w:val="single"/>
        </w:rPr>
        <w:t>国建筑法》、《建筑工程质量管理条例》、《建筑工程安全生产管理条例》等国家现行法律及自治区现行地方法规。</w:t>
      </w:r>
    </w:p>
    <w:p>
      <w:pPr>
        <w:spacing w:after="120" w:line="488" w:lineRule="exact"/>
        <w:ind w:firstLine="480" w:firstLineChars="200"/>
        <w:rPr>
          <w:rFonts w:eastAsia="Times New Roman"/>
        </w:rPr>
      </w:pPr>
      <w:r>
        <w:rPr>
          <w:rFonts w:ascii="宋体" w:hAnsi="宋体"/>
        </w:rPr>
        <w:t xml:space="preserve">1.4 </w:t>
      </w:r>
      <w:r>
        <w:rPr>
          <w:rFonts w:hint="eastAsia" w:ascii="宋体" w:hAnsi="宋体"/>
        </w:rPr>
        <w:t>标准和规范</w:t>
      </w:r>
    </w:p>
    <w:p>
      <w:pPr>
        <w:spacing w:line="488" w:lineRule="exact"/>
        <w:ind w:firstLine="480" w:firstLineChars="200"/>
        <w:rPr>
          <w:rFonts w:eastAsia="Times New Roman"/>
          <w:b/>
          <w:u w:val="single"/>
        </w:rPr>
      </w:pPr>
      <w:r>
        <w:rPr>
          <w:rFonts w:ascii="宋体" w:hAnsi="宋体"/>
        </w:rPr>
        <w:t>1.4.1</w:t>
      </w:r>
      <w:r>
        <w:rPr>
          <w:rFonts w:hint="eastAsia" w:ascii="宋体" w:hAnsi="宋体"/>
        </w:rPr>
        <w:t>适用于工程的标准规范包括：</w:t>
      </w:r>
      <w:r>
        <w:rPr>
          <w:rFonts w:hint="eastAsia" w:ascii="宋体" w:hAnsi="宋体"/>
          <w:b/>
          <w:u w:val="single"/>
        </w:rPr>
        <w:t>适用于工程的国家标准、行业标准、工程所在地的地方性标准以及相应的规范、规程等。</w:t>
      </w:r>
    </w:p>
    <w:p>
      <w:pPr>
        <w:spacing w:line="488" w:lineRule="exact"/>
        <w:ind w:firstLine="480" w:firstLineChars="200"/>
        <w:rPr>
          <w:rFonts w:eastAsia="Times New Roman"/>
        </w:rPr>
      </w:pPr>
      <w:r>
        <w:rPr>
          <w:rFonts w:ascii="宋体" w:hAnsi="宋体"/>
        </w:rPr>
        <w:t xml:space="preserve">1.5 </w:t>
      </w:r>
      <w:r>
        <w:rPr>
          <w:rFonts w:hint="eastAsia" w:ascii="宋体" w:hAnsi="宋体"/>
        </w:rPr>
        <w:t>合同文件的优先顺序</w:t>
      </w:r>
    </w:p>
    <w:p>
      <w:pPr>
        <w:spacing w:line="400" w:lineRule="exact"/>
        <w:ind w:firstLine="420"/>
        <w:rPr>
          <w:rFonts w:eastAsia="Times New Roman"/>
          <w:b/>
          <w:u w:val="single"/>
        </w:rPr>
      </w:pPr>
      <w:r>
        <w:rPr>
          <w:rFonts w:hint="eastAsia" w:ascii="宋体" w:hAnsi="宋体"/>
        </w:rPr>
        <w:t>合同文件组成及优先顺序为：</w:t>
      </w:r>
      <w:r>
        <w:rPr>
          <w:rFonts w:hint="eastAsia" w:ascii="宋体" w:hAnsi="宋体"/>
          <w:b/>
          <w:u w:val="single"/>
        </w:rPr>
        <w:t>（</w:t>
      </w:r>
      <w:r>
        <w:rPr>
          <w:rFonts w:ascii="宋体" w:hAnsi="宋体"/>
          <w:b/>
          <w:u w:val="single"/>
        </w:rPr>
        <w:t>1</w:t>
      </w:r>
      <w:r>
        <w:rPr>
          <w:rFonts w:hint="eastAsia" w:ascii="宋体" w:hAnsi="宋体"/>
          <w:b/>
          <w:u w:val="single"/>
        </w:rPr>
        <w:t>）合同协议书；（</w:t>
      </w:r>
      <w:r>
        <w:rPr>
          <w:rFonts w:ascii="宋体" w:hAnsi="宋体"/>
          <w:b/>
          <w:u w:val="single"/>
        </w:rPr>
        <w:t>2</w:t>
      </w:r>
      <w:r>
        <w:rPr>
          <w:rFonts w:hint="eastAsia" w:ascii="宋体" w:hAnsi="宋体"/>
          <w:b/>
          <w:u w:val="single"/>
        </w:rPr>
        <w:t>）中标通知书；（</w:t>
      </w:r>
      <w:r>
        <w:rPr>
          <w:rFonts w:ascii="宋体" w:hAnsi="宋体"/>
          <w:b/>
          <w:u w:val="single"/>
        </w:rPr>
        <w:t>3</w:t>
      </w:r>
      <w:r>
        <w:rPr>
          <w:rFonts w:hint="eastAsia" w:ascii="宋体" w:hAnsi="宋体"/>
          <w:b/>
          <w:u w:val="single"/>
        </w:rPr>
        <w:t>）本工程施工磋商文件（含磋商文件附件、磋商文件补充）；（</w:t>
      </w:r>
      <w:r>
        <w:rPr>
          <w:rFonts w:ascii="宋体" w:hAnsi="宋体"/>
          <w:b/>
          <w:u w:val="single"/>
        </w:rPr>
        <w:t>4</w:t>
      </w:r>
      <w:r>
        <w:rPr>
          <w:rFonts w:hint="eastAsia" w:ascii="宋体" w:hAnsi="宋体"/>
          <w:b/>
          <w:u w:val="single"/>
        </w:rPr>
        <w:t>）合同专用条款（含数据表和磋商文件补充答疑书中与此有关的部分）；（</w:t>
      </w:r>
      <w:r>
        <w:rPr>
          <w:rFonts w:ascii="宋体" w:hAnsi="宋体"/>
          <w:b/>
          <w:u w:val="single"/>
        </w:rPr>
        <w:t>5</w:t>
      </w:r>
      <w:r>
        <w:rPr>
          <w:rFonts w:hint="eastAsia" w:ascii="宋体" w:hAnsi="宋体"/>
          <w:b/>
          <w:u w:val="single"/>
        </w:rPr>
        <w:t>）合同通用条款；（</w:t>
      </w:r>
      <w:r>
        <w:rPr>
          <w:rFonts w:ascii="宋体" w:hAnsi="宋体"/>
          <w:b/>
          <w:u w:val="single"/>
        </w:rPr>
        <w:t>6</w:t>
      </w:r>
      <w:r>
        <w:rPr>
          <w:rFonts w:hint="eastAsia" w:ascii="宋体" w:hAnsi="宋体"/>
          <w:b/>
          <w:u w:val="single"/>
        </w:rPr>
        <w:t>）响应文件（含承包人在评标期间递交和确认并经业主同意的对有关问题的补充资料和澄清文件等）；（</w:t>
      </w:r>
      <w:r>
        <w:rPr>
          <w:rFonts w:ascii="宋体" w:hAnsi="宋体"/>
          <w:b/>
          <w:u w:val="single"/>
        </w:rPr>
        <w:t>7</w:t>
      </w:r>
      <w:r>
        <w:rPr>
          <w:rFonts w:hint="eastAsia" w:ascii="宋体" w:hAnsi="宋体"/>
          <w:b/>
          <w:u w:val="single"/>
        </w:rPr>
        <w:t>）标准、规范及有关技术文件（含磋商文件补充答疑书中与此有关的部分）；（</w:t>
      </w:r>
      <w:r>
        <w:rPr>
          <w:rFonts w:hint="eastAsia" w:ascii="宋体" w:hAnsi="宋体"/>
          <w:b/>
          <w:u w:val="single"/>
          <w:lang w:val="en-US" w:eastAsia="zh-CN"/>
        </w:rPr>
        <w:t>8</w:t>
      </w:r>
      <w:r>
        <w:rPr>
          <w:rFonts w:hint="eastAsia" w:ascii="宋体" w:hAnsi="宋体"/>
          <w:b/>
          <w:u w:val="single"/>
        </w:rPr>
        <w:t>）其它合同文件。</w:t>
      </w:r>
    </w:p>
    <w:p>
      <w:pPr>
        <w:spacing w:line="400" w:lineRule="exact"/>
        <w:ind w:firstLine="420"/>
        <w:rPr>
          <w:rFonts w:eastAsia="Times New Roman"/>
          <w:b/>
          <w:u w:val="single"/>
        </w:rPr>
      </w:pPr>
      <w:r>
        <w:rPr>
          <w:rFonts w:hint="eastAsia" w:ascii="宋体" w:hAnsi="宋体"/>
          <w:b/>
          <w:u w:val="single"/>
        </w:rPr>
        <w:t>双方有关工程的洽商、变更等书面协议或文件视为本合同的组成部分。</w:t>
      </w:r>
    </w:p>
    <w:p>
      <w:pPr>
        <w:spacing w:line="488" w:lineRule="exact"/>
        <w:ind w:firstLine="480" w:firstLineChars="200"/>
        <w:rPr>
          <w:rFonts w:eastAsia="Times New Roman"/>
        </w:rPr>
      </w:pPr>
      <w:r>
        <w:rPr>
          <w:rFonts w:ascii="宋体" w:hAnsi="宋体"/>
        </w:rPr>
        <w:t xml:space="preserve">1.6 </w:t>
      </w:r>
      <w:r>
        <w:rPr>
          <w:rFonts w:hint="eastAsia" w:ascii="宋体" w:hAnsi="宋体"/>
        </w:rPr>
        <w:t>图纸和承包人文件</w:t>
      </w:r>
    </w:p>
    <w:p>
      <w:pPr>
        <w:spacing w:line="488" w:lineRule="exact"/>
        <w:ind w:firstLine="480" w:firstLineChars="200"/>
        <w:rPr>
          <w:rFonts w:eastAsia="Times New Roman"/>
        </w:rPr>
      </w:pPr>
      <w:r>
        <w:rPr>
          <w:rFonts w:ascii="宋体" w:hAnsi="宋体"/>
        </w:rPr>
        <w:t xml:space="preserve">1.6.1 </w:t>
      </w:r>
      <w:r>
        <w:rPr>
          <w:rFonts w:hint="eastAsia" w:ascii="宋体" w:hAnsi="宋体"/>
        </w:rPr>
        <w:t>图纸的提供</w:t>
      </w:r>
    </w:p>
    <w:p>
      <w:pPr>
        <w:spacing w:line="488" w:lineRule="exact"/>
        <w:ind w:firstLine="480" w:firstLineChars="200"/>
        <w:rPr>
          <w:rFonts w:eastAsia="Times New Roman"/>
        </w:rPr>
      </w:pPr>
      <w:r>
        <w:rPr>
          <w:rFonts w:hint="eastAsia" w:ascii="宋体" w:hAnsi="宋体"/>
        </w:rPr>
        <w:t>发包人向承包人提供图纸的期限：</w:t>
      </w:r>
      <w:r>
        <w:rPr>
          <w:rFonts w:hint="eastAsia" w:ascii="宋体" w:hAnsi="宋体"/>
          <w:b/>
          <w:u w:val="single"/>
        </w:rPr>
        <w:t>按合同约定；</w:t>
      </w:r>
    </w:p>
    <w:p>
      <w:pPr>
        <w:spacing w:line="488" w:lineRule="exact"/>
        <w:ind w:firstLine="480" w:firstLineChars="200"/>
        <w:rPr>
          <w:rFonts w:eastAsia="Times New Roman"/>
        </w:rPr>
      </w:pPr>
      <w:r>
        <w:rPr>
          <w:rFonts w:hint="eastAsia" w:ascii="宋体" w:hAnsi="宋体"/>
        </w:rPr>
        <w:t>发包人向承包人提供图纸的数量：</w:t>
      </w:r>
      <w:r>
        <w:rPr>
          <w:rFonts w:hint="eastAsia" w:ascii="宋体" w:hAnsi="宋体"/>
          <w:b/>
          <w:u w:val="single"/>
        </w:rPr>
        <w:t>按合同约定。</w:t>
      </w:r>
    </w:p>
    <w:p>
      <w:pPr>
        <w:spacing w:line="488" w:lineRule="exact"/>
        <w:ind w:firstLine="480" w:firstLineChars="200"/>
        <w:rPr>
          <w:rFonts w:eastAsia="Times New Roman"/>
        </w:rPr>
      </w:pPr>
      <w:r>
        <w:rPr>
          <w:rFonts w:ascii="宋体" w:hAnsi="宋体"/>
        </w:rPr>
        <w:t xml:space="preserve">1.6.4 </w:t>
      </w:r>
      <w:r>
        <w:rPr>
          <w:rFonts w:hint="eastAsia" w:ascii="宋体" w:hAnsi="宋体"/>
        </w:rPr>
        <w:t>承包人文件</w:t>
      </w:r>
    </w:p>
    <w:p>
      <w:pPr>
        <w:spacing w:line="488" w:lineRule="exact"/>
        <w:ind w:firstLine="480" w:firstLineChars="200"/>
        <w:rPr>
          <w:rFonts w:ascii="宋体" w:eastAsia="Times New Roman"/>
          <w:b/>
          <w:u w:val="single"/>
        </w:rPr>
      </w:pPr>
      <w:r>
        <w:rPr>
          <w:rFonts w:hint="eastAsia" w:ascii="宋体" w:hAnsi="宋体"/>
        </w:rPr>
        <w:t>需要由承包人提供的文件，包括：</w:t>
      </w:r>
      <w:r>
        <w:rPr>
          <w:rFonts w:hint="eastAsia" w:ascii="宋体" w:hAnsi="宋体"/>
          <w:b/>
          <w:u w:val="single"/>
        </w:rPr>
        <w:t>施工组织设计方案（安全文明施工、环境保</w:t>
      </w:r>
    </w:p>
    <w:p>
      <w:pPr>
        <w:spacing w:line="488" w:lineRule="exact"/>
        <w:rPr>
          <w:rFonts w:eastAsia="Times New Roman"/>
          <w:b/>
          <w:u w:val="single"/>
        </w:rPr>
      </w:pPr>
      <w:r>
        <w:rPr>
          <w:rFonts w:hint="eastAsia" w:ascii="宋体" w:hAnsi="宋体"/>
          <w:b/>
          <w:u w:val="single"/>
        </w:rPr>
        <w:t>护等）</w:t>
      </w:r>
      <w:r>
        <w:rPr>
          <w:rFonts w:hint="eastAsia" w:ascii="宋体" w:hAnsi="宋体"/>
          <w:b/>
          <w:u w:val="single"/>
          <w:lang w:eastAsia="zh-CN"/>
        </w:rPr>
        <w:t>、设备采购方案、</w:t>
      </w:r>
      <w:r>
        <w:rPr>
          <w:rFonts w:hint="eastAsia" w:ascii="宋体" w:hAnsi="宋体"/>
          <w:b/>
          <w:u w:val="single"/>
        </w:rPr>
        <w:t>进度计划。</w:t>
      </w:r>
    </w:p>
    <w:p>
      <w:pPr>
        <w:spacing w:line="488" w:lineRule="exact"/>
        <w:ind w:firstLine="480" w:firstLineChars="200"/>
        <w:rPr>
          <w:rFonts w:eastAsia="Times New Roman"/>
        </w:rPr>
      </w:pPr>
      <w:r>
        <w:rPr>
          <w:rFonts w:ascii="宋体" w:hAnsi="宋体"/>
        </w:rPr>
        <w:t xml:space="preserve">1.6.5 </w:t>
      </w:r>
      <w:r>
        <w:rPr>
          <w:rFonts w:hint="eastAsia" w:ascii="宋体" w:hAnsi="宋体"/>
        </w:rPr>
        <w:t>现场图纸准备</w:t>
      </w:r>
    </w:p>
    <w:p>
      <w:pPr>
        <w:spacing w:line="488" w:lineRule="exact"/>
        <w:ind w:firstLine="480" w:firstLineChars="200"/>
        <w:rPr>
          <w:rFonts w:eastAsia="Times New Roman"/>
        </w:rPr>
      </w:pPr>
      <w:r>
        <w:rPr>
          <w:rFonts w:hint="eastAsia" w:ascii="宋体" w:hAnsi="宋体"/>
        </w:rPr>
        <w:t>关于现场图纸准备的约定：</w:t>
      </w:r>
      <w:r>
        <w:rPr>
          <w:rFonts w:hint="eastAsia" w:ascii="宋体" w:hAnsi="宋体"/>
          <w:b/>
          <w:u w:val="single"/>
        </w:rPr>
        <w:t xml:space="preserve">执行通用条款 </w:t>
      </w:r>
      <w:r>
        <w:rPr>
          <w:rFonts w:hint="eastAsia" w:ascii="宋体" w:hAnsi="宋体"/>
        </w:rPr>
        <w:t>。</w:t>
      </w:r>
    </w:p>
    <w:p>
      <w:pPr>
        <w:spacing w:line="488" w:lineRule="exact"/>
        <w:ind w:firstLine="480" w:firstLineChars="200"/>
        <w:rPr>
          <w:rFonts w:eastAsia="Times New Roman"/>
        </w:rPr>
      </w:pPr>
      <w:r>
        <w:rPr>
          <w:rFonts w:ascii="宋体" w:hAnsi="宋体"/>
        </w:rPr>
        <w:t xml:space="preserve">1.7 </w:t>
      </w:r>
      <w:r>
        <w:rPr>
          <w:rFonts w:hint="eastAsia" w:ascii="宋体" w:hAnsi="宋体"/>
        </w:rPr>
        <w:t>联络</w:t>
      </w:r>
    </w:p>
    <w:p>
      <w:pPr>
        <w:spacing w:line="488" w:lineRule="exact"/>
        <w:ind w:firstLine="480" w:firstLineChars="200"/>
        <w:rPr>
          <w:rFonts w:eastAsia="Times New Roman"/>
        </w:rPr>
      </w:pPr>
      <w:r>
        <w:rPr>
          <w:rFonts w:ascii="宋体" w:hAnsi="宋体"/>
        </w:rPr>
        <w:t>1.7.1</w:t>
      </w:r>
      <w:r>
        <w:rPr>
          <w:rFonts w:hint="eastAsia" w:ascii="宋体" w:hAnsi="宋体"/>
        </w:rPr>
        <w:t>发包人和承包人应当在</w:t>
      </w:r>
      <w:r>
        <w:rPr>
          <w:rFonts w:hint="eastAsia"/>
          <w:u w:val="single"/>
        </w:rPr>
        <w:t></w:t>
      </w:r>
      <w:r>
        <w:rPr>
          <w:rFonts w:ascii="宋体" w:hAnsi="宋体"/>
          <w:b/>
          <w:u w:val="single"/>
        </w:rPr>
        <w:t xml:space="preserve">7 </w:t>
      </w:r>
      <w:r>
        <w:rPr>
          <w:rFonts w:hint="eastAsia" w:ascii="宋体" w:hAnsi="宋体"/>
        </w:rPr>
        <w:t>天内将与合同有关的通知、批准、证明、证书、指示、指令、要求、请求、同意、意见、确定和决定等书面函件送达对方当事人。</w:t>
      </w:r>
    </w:p>
    <w:p>
      <w:pPr>
        <w:spacing w:line="488" w:lineRule="exact"/>
        <w:ind w:firstLine="480" w:firstLineChars="200"/>
        <w:rPr>
          <w:rFonts w:eastAsia="Times New Roman"/>
          <w:color w:val="000000" w:themeColor="text1"/>
          <w:u w:val="single"/>
        </w:rPr>
      </w:pPr>
      <w:r>
        <w:rPr>
          <w:rFonts w:ascii="宋体" w:hAnsi="宋体"/>
        </w:rPr>
        <w:t xml:space="preserve">1.7.2 </w:t>
      </w:r>
      <w:r>
        <w:rPr>
          <w:rFonts w:hint="eastAsia" w:ascii="宋体" w:hAnsi="宋体"/>
        </w:rPr>
        <w:t>发包人接收文件的地点</w:t>
      </w:r>
      <w:r>
        <w:rPr>
          <w:rFonts w:hint="eastAsia" w:ascii="宋体" w:hAnsi="宋体"/>
          <w:color w:val="000000" w:themeColor="text1"/>
        </w:rPr>
        <w:t>：</w:t>
      </w:r>
      <w:r>
        <w:rPr>
          <w:rFonts w:hint="eastAsia" w:ascii="宋体" w:hAnsi="宋体"/>
          <w:b/>
          <w:color w:val="000000" w:themeColor="text1"/>
          <w:u w:val="single"/>
        </w:rPr>
        <w:t xml:space="preserve">项目所在地发包人项目部  </w:t>
      </w:r>
    </w:p>
    <w:p>
      <w:pPr>
        <w:spacing w:line="488" w:lineRule="exact"/>
        <w:ind w:firstLine="480" w:firstLineChars="200"/>
        <w:rPr>
          <w:rFonts w:eastAsia="Times New Roman"/>
          <w:color w:val="000000" w:themeColor="text1"/>
        </w:rPr>
      </w:pPr>
      <w:r>
        <w:rPr>
          <w:rFonts w:hint="eastAsia" w:ascii="宋体" w:hAnsi="宋体"/>
          <w:color w:val="000000" w:themeColor="text1"/>
        </w:rPr>
        <w:t>发包人指定的接收人为：</w:t>
      </w:r>
      <w:r>
        <w:rPr>
          <w:rFonts w:hint="eastAsia"/>
          <w:color w:val="000000" w:themeColor="text1"/>
          <w:u w:val="single"/>
        </w:rPr>
        <w:t></w:t>
      </w:r>
      <w:r>
        <w:rPr>
          <w:rFonts w:hint="eastAsia" w:ascii="宋体" w:hAnsi="宋体"/>
          <w:b/>
          <w:color w:val="000000" w:themeColor="text1"/>
          <w:u w:val="single"/>
        </w:rPr>
        <w:t>发包人派驻现场代表</w:t>
      </w:r>
      <w:r>
        <w:rPr>
          <w:rFonts w:hint="eastAsia"/>
          <w:color w:val="000000" w:themeColor="text1"/>
          <w:u w:val="single"/>
        </w:rPr>
        <w:t></w:t>
      </w:r>
      <w:r>
        <w:rPr>
          <w:rFonts w:hint="eastAsia" w:ascii="宋体" w:hAnsi="宋体"/>
          <w:color w:val="000000" w:themeColor="text1"/>
          <w:u w:val="single"/>
        </w:rPr>
        <w:t></w:t>
      </w:r>
      <w:r>
        <w:rPr>
          <w:rFonts w:hint="eastAsia"/>
          <w:color w:val="000000" w:themeColor="text1"/>
          <w:u w:val="single"/>
        </w:rPr>
        <w:t></w:t>
      </w:r>
      <w:r>
        <w:rPr>
          <w:rFonts w:hint="eastAsia" w:ascii="宋体" w:hAnsi="宋体"/>
          <w:color w:val="000000" w:themeColor="text1"/>
        </w:rPr>
        <w:t>。</w:t>
      </w:r>
    </w:p>
    <w:p>
      <w:pPr>
        <w:spacing w:line="488" w:lineRule="exact"/>
        <w:ind w:firstLine="480" w:firstLineChars="200"/>
        <w:rPr>
          <w:rFonts w:eastAsia="Times New Roman"/>
          <w:color w:val="000000" w:themeColor="text1"/>
        </w:rPr>
      </w:pPr>
      <w:r>
        <w:rPr>
          <w:rFonts w:hint="eastAsia" w:ascii="宋体" w:hAnsi="宋体"/>
          <w:color w:val="000000" w:themeColor="text1"/>
        </w:rPr>
        <w:t>承包人接收文件的地点：</w:t>
      </w:r>
      <w:r>
        <w:rPr>
          <w:rFonts w:hint="eastAsia"/>
          <w:color w:val="000000" w:themeColor="text1"/>
          <w:u w:val="single"/>
        </w:rPr>
        <w:t></w:t>
      </w:r>
      <w:r>
        <w:rPr>
          <w:rFonts w:hint="eastAsia" w:ascii="宋体" w:hAnsi="宋体"/>
          <w:b/>
          <w:color w:val="000000" w:themeColor="text1"/>
          <w:u w:val="single"/>
        </w:rPr>
        <w:t>项目所在地承包人项目部</w:t>
      </w:r>
      <w:r>
        <w:rPr>
          <w:rFonts w:hint="eastAsia"/>
          <w:b/>
          <w:color w:val="000000" w:themeColor="text1"/>
          <w:u w:val="single"/>
        </w:rPr>
        <w:t></w:t>
      </w:r>
      <w:r>
        <w:rPr>
          <w:rFonts w:hint="eastAsia"/>
          <w:color w:val="000000" w:themeColor="text1"/>
          <w:u w:val="single"/>
        </w:rPr>
        <w:t></w:t>
      </w:r>
      <w:r>
        <w:rPr>
          <w:rFonts w:hint="eastAsia" w:ascii="宋体" w:hAnsi="宋体"/>
          <w:color w:val="000000" w:themeColor="text1"/>
          <w:u w:val="single"/>
        </w:rPr>
        <w:t>。</w:t>
      </w:r>
    </w:p>
    <w:p>
      <w:pPr>
        <w:spacing w:line="488" w:lineRule="exact"/>
        <w:ind w:firstLine="480" w:firstLineChars="200"/>
        <w:rPr>
          <w:rFonts w:eastAsia="Times New Roman"/>
          <w:color w:val="000000" w:themeColor="text1"/>
        </w:rPr>
      </w:pPr>
      <w:r>
        <w:rPr>
          <w:rFonts w:hint="eastAsia" w:ascii="宋体" w:hAnsi="宋体"/>
          <w:color w:val="000000" w:themeColor="text1"/>
        </w:rPr>
        <w:t>承包人指定的接收人为：</w:t>
      </w:r>
      <w:r>
        <w:rPr>
          <w:rFonts w:hint="eastAsia"/>
          <w:b/>
          <w:color w:val="000000" w:themeColor="text1"/>
          <w:u w:val="single"/>
        </w:rPr>
        <w:t></w:t>
      </w:r>
      <w:r>
        <w:rPr>
          <w:rFonts w:hint="eastAsia" w:ascii="宋体" w:hAnsi="宋体"/>
          <w:b/>
          <w:color w:val="000000" w:themeColor="text1"/>
          <w:u w:val="single"/>
        </w:rPr>
        <w:t>承包方项目经理</w:t>
      </w:r>
      <w:r>
        <w:rPr>
          <w:rFonts w:hint="eastAsia"/>
          <w:b/>
          <w:color w:val="000000" w:themeColor="text1"/>
          <w:u w:val="single"/>
        </w:rPr>
        <w:t></w:t>
      </w:r>
      <w:r>
        <w:rPr>
          <w:rFonts w:hint="eastAsia"/>
          <w:color w:val="000000" w:themeColor="text1"/>
          <w:u w:val="single"/>
        </w:rPr>
        <w:t></w:t>
      </w:r>
      <w:r>
        <w:rPr>
          <w:rFonts w:hint="eastAsia" w:ascii="宋体" w:hAnsi="宋体"/>
          <w:color w:val="000000" w:themeColor="text1"/>
        </w:rPr>
        <w:t>。</w:t>
      </w:r>
    </w:p>
    <w:p>
      <w:pPr>
        <w:spacing w:line="488" w:lineRule="exact"/>
        <w:ind w:firstLine="480" w:firstLineChars="200"/>
        <w:rPr>
          <w:rFonts w:eastAsia="Times New Roman"/>
        </w:rPr>
      </w:pPr>
      <w:r>
        <w:rPr>
          <w:rFonts w:ascii="宋体" w:hAnsi="宋体"/>
        </w:rPr>
        <w:t xml:space="preserve">1.10 </w:t>
      </w:r>
      <w:r>
        <w:rPr>
          <w:rFonts w:hint="eastAsia" w:ascii="宋体" w:hAnsi="宋体"/>
        </w:rPr>
        <w:t>交通运输</w:t>
      </w:r>
    </w:p>
    <w:p>
      <w:pPr>
        <w:spacing w:line="488" w:lineRule="exact"/>
        <w:ind w:firstLine="480" w:firstLineChars="200"/>
        <w:rPr>
          <w:rFonts w:eastAsia="Times New Roman"/>
        </w:rPr>
      </w:pPr>
      <w:r>
        <w:rPr>
          <w:rFonts w:ascii="宋体" w:hAnsi="宋体"/>
        </w:rPr>
        <w:t>1</w:t>
      </w:r>
      <w:bookmarkStart w:id="83" w:name="_Toc300934944"/>
      <w:bookmarkStart w:id="84" w:name="_Toc312677987"/>
      <w:bookmarkStart w:id="85" w:name="_Toc303539101"/>
      <w:bookmarkStart w:id="86" w:name="_Toc304295522"/>
      <w:bookmarkStart w:id="87" w:name="_Toc318581156"/>
      <w:r>
        <w:rPr>
          <w:rFonts w:ascii="宋体" w:hAnsi="宋体"/>
        </w:rPr>
        <w:t xml:space="preserve">.10.3 </w:t>
      </w:r>
      <w:r>
        <w:rPr>
          <w:rFonts w:hint="eastAsia" w:ascii="宋体" w:hAnsi="宋体"/>
        </w:rPr>
        <w:t>场内交通</w:t>
      </w:r>
    </w:p>
    <w:p>
      <w:pPr>
        <w:spacing w:line="488" w:lineRule="exact"/>
        <w:ind w:left="480" w:leftChars="200"/>
        <w:rPr>
          <w:rFonts w:ascii="宋体" w:hAnsi="宋体"/>
          <w:b/>
          <w:u w:val="single"/>
        </w:rPr>
      </w:pPr>
      <w:r>
        <w:rPr>
          <w:rFonts w:hint="eastAsia" w:ascii="宋体" w:hAnsi="宋体"/>
        </w:rPr>
        <w:t>关于发包人向承包人免费提供满足工程施工需要的场内道路和交通设施的约定：</w:t>
      </w:r>
      <w:r>
        <w:rPr>
          <w:rFonts w:hint="eastAsia" w:ascii="宋体" w:hAnsi="宋体"/>
          <w:b/>
          <w:u w:val="single"/>
        </w:rPr>
        <w:t>承包人负责办理通道的相关手续，以满足施工的运输要求。</w:t>
      </w:r>
      <w:bookmarkEnd w:id="83"/>
      <w:bookmarkEnd w:id="84"/>
      <w:bookmarkEnd w:id="85"/>
      <w:bookmarkEnd w:id="86"/>
      <w:bookmarkEnd w:id="87"/>
      <w:bookmarkStart w:id="88" w:name="_Toc318581157"/>
    </w:p>
    <w:bookmarkEnd w:id="88"/>
    <w:p>
      <w:pPr>
        <w:spacing w:line="488" w:lineRule="exact"/>
        <w:ind w:firstLine="480" w:firstLineChars="200"/>
        <w:rPr>
          <w:rFonts w:eastAsia="Times New Roman"/>
        </w:rPr>
      </w:pPr>
      <w:r>
        <w:rPr>
          <w:rFonts w:ascii="宋体" w:hAnsi="宋体"/>
        </w:rPr>
        <w:t xml:space="preserve">1.11 </w:t>
      </w:r>
      <w:r>
        <w:rPr>
          <w:rFonts w:hint="eastAsia" w:ascii="宋体" w:hAnsi="宋体"/>
        </w:rPr>
        <w:t>知识产权</w:t>
      </w:r>
    </w:p>
    <w:p>
      <w:pPr>
        <w:spacing w:line="488" w:lineRule="exact"/>
        <w:ind w:firstLine="480" w:firstLineChars="200"/>
        <w:rPr>
          <w:rFonts w:eastAsia="Times New Roman"/>
        </w:rPr>
      </w:pPr>
      <w:r>
        <w:rPr>
          <w:rFonts w:ascii="宋体" w:hAnsi="宋体"/>
        </w:rPr>
        <w:t xml:space="preserve">1.11.4 </w:t>
      </w:r>
      <w:r>
        <w:rPr>
          <w:rFonts w:hint="eastAsia" w:ascii="宋体" w:hAnsi="宋体"/>
        </w:rPr>
        <w:t>承包人在施工过程中所采用的专利、专有技术、技术秘密的使用费的承担方式：</w:t>
      </w:r>
      <w:r>
        <w:rPr>
          <w:rFonts w:hint="eastAsia" w:ascii="宋体" w:hAnsi="宋体"/>
          <w:b/>
          <w:u w:val="single"/>
        </w:rPr>
        <w:t>无。</w:t>
      </w:r>
    </w:p>
    <w:p>
      <w:pPr>
        <w:spacing w:after="120" w:line="488" w:lineRule="exact"/>
        <w:ind w:firstLine="480" w:firstLineChars="200"/>
        <w:rPr>
          <w:rFonts w:eastAsia="Times New Roman"/>
        </w:rPr>
      </w:pPr>
      <w:r>
        <w:rPr>
          <w:rFonts w:ascii="宋体" w:hAnsi="宋体"/>
        </w:rPr>
        <w:t>1.13</w:t>
      </w:r>
      <w:r>
        <w:rPr>
          <w:rFonts w:hint="eastAsia" w:ascii="宋体" w:hAnsi="宋体"/>
        </w:rPr>
        <w:t>工程量清单错误的修正</w:t>
      </w:r>
    </w:p>
    <w:p>
      <w:pPr>
        <w:spacing w:line="488" w:lineRule="exact"/>
        <w:ind w:firstLine="480" w:firstLineChars="200"/>
        <w:rPr>
          <w:rFonts w:hint="default" w:eastAsia="宋体"/>
          <w:u w:val="single"/>
          <w:lang w:val="en-US" w:eastAsia="zh-CN"/>
        </w:rPr>
      </w:pPr>
      <w:r>
        <w:rPr>
          <w:rFonts w:hint="eastAsia" w:ascii="宋体" w:hAnsi="宋体"/>
        </w:rPr>
        <w:t>出现工程量清单错误时，是否调整合同价格：</w:t>
      </w:r>
      <w:r>
        <w:rPr>
          <w:rFonts w:hint="eastAsia" w:ascii="宋体" w:hAnsi="宋体"/>
          <w:u w:val="single"/>
          <w:lang w:val="en-US" w:eastAsia="zh-CN"/>
        </w:rPr>
        <w:t xml:space="preserve">  /    </w:t>
      </w:r>
    </w:p>
    <w:p>
      <w:pPr>
        <w:spacing w:line="488" w:lineRule="exact"/>
        <w:ind w:firstLine="480" w:firstLineChars="200"/>
        <w:rPr>
          <w:rFonts w:eastAsia="Times New Roman"/>
        </w:rPr>
      </w:pPr>
      <w:bookmarkStart w:id="89" w:name="_Toc351203634"/>
      <w:r>
        <w:rPr>
          <w:rFonts w:ascii="宋体" w:hAnsi="宋体"/>
        </w:rPr>
        <w:t>2</w:t>
      </w:r>
      <w:bookmarkStart w:id="90" w:name="_Toc296347156"/>
      <w:bookmarkStart w:id="91" w:name="_Toc296503157"/>
      <w:bookmarkStart w:id="92" w:name="_Toc292559867"/>
      <w:bookmarkStart w:id="93" w:name="_Toc297120457"/>
      <w:bookmarkStart w:id="94" w:name="_Toc296891197"/>
      <w:bookmarkStart w:id="95" w:name="_Toc296890985"/>
      <w:bookmarkStart w:id="96" w:name="_Toc292559362"/>
      <w:bookmarkStart w:id="97" w:name="_Toc297048343"/>
      <w:bookmarkStart w:id="98" w:name="_Toc296944496"/>
      <w:bookmarkStart w:id="99" w:name="_Toc296346658"/>
      <w:r>
        <w:rPr>
          <w:rFonts w:ascii="宋体" w:hAnsi="宋体"/>
        </w:rPr>
        <w:t xml:space="preserve">. </w:t>
      </w:r>
      <w:r>
        <w:rPr>
          <w:rFonts w:hint="eastAsia" w:ascii="宋体" w:hAnsi="宋体"/>
        </w:rPr>
        <w:t>发包人</w:t>
      </w:r>
      <w:bookmarkEnd w:id="89"/>
    </w:p>
    <w:bookmarkEnd w:id="90"/>
    <w:bookmarkEnd w:id="91"/>
    <w:bookmarkEnd w:id="92"/>
    <w:bookmarkEnd w:id="93"/>
    <w:bookmarkEnd w:id="94"/>
    <w:bookmarkEnd w:id="95"/>
    <w:bookmarkEnd w:id="96"/>
    <w:bookmarkEnd w:id="97"/>
    <w:bookmarkEnd w:id="98"/>
    <w:bookmarkEnd w:id="99"/>
    <w:p>
      <w:pPr>
        <w:spacing w:line="488" w:lineRule="exact"/>
        <w:ind w:firstLine="480" w:firstLineChars="200"/>
        <w:rPr>
          <w:rFonts w:eastAsia="Times New Roman"/>
        </w:rPr>
      </w:pPr>
      <w:r>
        <w:rPr>
          <w:rFonts w:ascii="宋体" w:hAnsi="宋体"/>
        </w:rPr>
        <w:t xml:space="preserve">2.2 </w:t>
      </w:r>
      <w:r>
        <w:rPr>
          <w:rFonts w:hint="eastAsia" w:ascii="宋体" w:hAnsi="宋体"/>
        </w:rPr>
        <w:t>发包人代表</w:t>
      </w:r>
    </w:p>
    <w:p>
      <w:pPr>
        <w:spacing w:line="488" w:lineRule="exact"/>
        <w:ind w:firstLine="480" w:firstLineChars="200"/>
        <w:rPr>
          <w:rFonts w:eastAsia="Times New Roman"/>
        </w:rPr>
      </w:pPr>
      <w:r>
        <w:rPr>
          <w:rFonts w:hint="eastAsia" w:ascii="宋体" w:hAnsi="宋体"/>
        </w:rPr>
        <w:t>发包人代表：</w:t>
      </w:r>
    </w:p>
    <w:p>
      <w:pPr>
        <w:spacing w:line="488" w:lineRule="exact"/>
        <w:ind w:firstLine="480" w:firstLineChars="200"/>
        <w:rPr>
          <w:rFonts w:eastAsia="Times New Roman"/>
        </w:rPr>
      </w:pPr>
      <w:r>
        <w:rPr>
          <w:rFonts w:hint="eastAsia" w:ascii="宋体" w:hAnsi="宋体"/>
        </w:rPr>
        <w:t>姓名：</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身份证号：</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职务：</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联系电话：</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电子信箱：</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通信地址：</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ascii="宋体" w:hAnsi="宋体"/>
          <w:b/>
          <w:u w:val="single"/>
        </w:rPr>
      </w:pPr>
      <w:r>
        <w:rPr>
          <w:rFonts w:hint="eastAsia" w:ascii="宋体" w:hAnsi="宋体"/>
        </w:rPr>
        <w:t>发包人对发包人代表的授权范围如下：</w:t>
      </w:r>
      <w:r>
        <w:rPr>
          <w:rFonts w:hint="eastAsia" w:ascii="宋体" w:hAnsi="宋体"/>
          <w:b/>
          <w:u w:val="single"/>
        </w:rPr>
        <w:t>督促指导监理工程师行使职权，协调施工现场各方面的关系，协调工程质量、进度和安全文明施工中存在的问题，解决有关设计和技术签证、办理、签认现场经济技术签证，审核工程进度报表等。</w:t>
      </w:r>
    </w:p>
    <w:p>
      <w:pPr>
        <w:spacing w:line="488" w:lineRule="exact"/>
        <w:ind w:firstLine="480" w:firstLineChars="200"/>
        <w:rPr>
          <w:rFonts w:eastAsia="Times New Roman"/>
        </w:rPr>
      </w:pPr>
      <w:r>
        <w:rPr>
          <w:rFonts w:ascii="宋体" w:hAnsi="宋体"/>
        </w:rPr>
        <w:t xml:space="preserve">2.3 </w:t>
      </w:r>
      <w:r>
        <w:rPr>
          <w:rFonts w:hint="eastAsia" w:ascii="宋体" w:hAnsi="宋体"/>
        </w:rPr>
        <w:t>施工现场、施工条件和基础资料的提供</w:t>
      </w:r>
    </w:p>
    <w:p>
      <w:pPr>
        <w:spacing w:line="488" w:lineRule="exact"/>
        <w:ind w:firstLine="480" w:firstLineChars="200"/>
        <w:rPr>
          <w:rFonts w:eastAsia="Times New Roman"/>
        </w:rPr>
      </w:pPr>
      <w:r>
        <w:rPr>
          <w:rFonts w:ascii="宋体" w:hAnsi="宋体"/>
        </w:rPr>
        <w:t xml:space="preserve">2.3.1 </w:t>
      </w:r>
      <w:r>
        <w:rPr>
          <w:rFonts w:hint="eastAsia" w:ascii="宋体" w:hAnsi="宋体"/>
        </w:rPr>
        <w:t>提供施工现场</w:t>
      </w:r>
    </w:p>
    <w:p>
      <w:pPr>
        <w:spacing w:line="488" w:lineRule="exact"/>
        <w:ind w:firstLine="480" w:firstLineChars="200"/>
        <w:rPr>
          <w:rFonts w:eastAsia="Times New Roman"/>
          <w:b/>
          <w:u w:val="single"/>
        </w:rPr>
      </w:pPr>
      <w:r>
        <w:rPr>
          <w:rFonts w:hint="eastAsia" w:ascii="宋体" w:hAnsi="宋体"/>
        </w:rPr>
        <w:t>关于发包人移交施工现场的期限要求：</w:t>
      </w:r>
      <w:r>
        <w:rPr>
          <w:rFonts w:hint="eastAsia" w:ascii="宋体" w:hAnsi="宋体"/>
          <w:b/>
          <w:u w:val="single"/>
        </w:rPr>
        <w:t>开工前具备施工条件。</w:t>
      </w:r>
    </w:p>
    <w:p>
      <w:pPr>
        <w:spacing w:line="488" w:lineRule="exact"/>
        <w:ind w:firstLine="480" w:firstLineChars="200"/>
        <w:rPr>
          <w:rFonts w:eastAsia="Times New Roman"/>
        </w:rPr>
      </w:pPr>
      <w:r>
        <w:rPr>
          <w:rFonts w:ascii="宋体" w:hAnsi="宋体"/>
        </w:rPr>
        <w:t xml:space="preserve">2.3.2 </w:t>
      </w:r>
      <w:r>
        <w:rPr>
          <w:rFonts w:hint="eastAsia" w:ascii="宋体" w:hAnsi="宋体"/>
        </w:rPr>
        <w:t>提供施工条件</w:t>
      </w:r>
    </w:p>
    <w:p>
      <w:pPr>
        <w:spacing w:line="488" w:lineRule="exact"/>
        <w:ind w:firstLine="480" w:firstLineChars="200"/>
        <w:rPr>
          <w:rFonts w:eastAsia="Times New Roman"/>
          <w:b/>
          <w:u w:val="single"/>
        </w:rPr>
      </w:pPr>
      <w:r>
        <w:rPr>
          <w:rFonts w:hint="eastAsia" w:ascii="宋体" w:hAnsi="宋体"/>
        </w:rPr>
        <w:t>关于发包人应负责提供施工所需要的条件，包括</w:t>
      </w:r>
      <w:r>
        <w:rPr>
          <w:rFonts w:hint="eastAsia" w:ascii="宋体" w:hAnsi="宋体"/>
          <w:b/>
          <w:u w:val="single"/>
        </w:rPr>
        <w:t>：</w:t>
      </w:r>
      <w:r>
        <w:rPr>
          <w:rFonts w:ascii="宋体" w:hAnsi="宋体"/>
          <w:b/>
          <w:u w:val="single"/>
        </w:rPr>
        <w:t xml:space="preserve"> / </w:t>
      </w:r>
      <w:r>
        <w:rPr>
          <w:rFonts w:hint="eastAsia" w:ascii="宋体" w:hAnsi="宋体"/>
          <w:b/>
          <w:u w:val="single"/>
        </w:rPr>
        <w:t>。</w:t>
      </w:r>
    </w:p>
    <w:p>
      <w:pPr>
        <w:spacing w:line="488" w:lineRule="exact"/>
        <w:ind w:firstLine="480" w:firstLineChars="200"/>
        <w:rPr>
          <w:rFonts w:eastAsia="Times New Roman"/>
        </w:rPr>
      </w:pPr>
      <w:bookmarkStart w:id="100" w:name="_Toc351203635"/>
      <w:r>
        <w:rPr>
          <w:rFonts w:ascii="宋体" w:hAnsi="宋体"/>
        </w:rPr>
        <w:t>3</w:t>
      </w:r>
      <w:bookmarkStart w:id="101" w:name="_Toc296891198"/>
      <w:bookmarkStart w:id="102" w:name="_Toc296503158"/>
      <w:bookmarkStart w:id="103" w:name="_Toc296347157"/>
      <w:bookmarkStart w:id="104" w:name="_Toc292559868"/>
      <w:bookmarkStart w:id="105" w:name="_Toc296346659"/>
      <w:bookmarkStart w:id="106" w:name="_Toc297048344"/>
      <w:bookmarkStart w:id="107" w:name="_Toc296890986"/>
      <w:bookmarkStart w:id="108" w:name="_Toc296944497"/>
      <w:bookmarkStart w:id="109" w:name="_Toc292559363"/>
      <w:bookmarkStart w:id="110" w:name="_Toc297120458"/>
      <w:r>
        <w:rPr>
          <w:rFonts w:ascii="宋体" w:hAnsi="宋体"/>
        </w:rPr>
        <w:t xml:space="preserve">. </w:t>
      </w:r>
      <w:r>
        <w:rPr>
          <w:rFonts w:hint="eastAsia" w:ascii="宋体" w:hAnsi="宋体"/>
        </w:rPr>
        <w:t>承包人</w:t>
      </w:r>
      <w:bookmarkEnd w:id="100"/>
    </w:p>
    <w:bookmarkEnd w:id="101"/>
    <w:bookmarkEnd w:id="102"/>
    <w:bookmarkEnd w:id="103"/>
    <w:bookmarkEnd w:id="104"/>
    <w:bookmarkEnd w:id="105"/>
    <w:bookmarkEnd w:id="106"/>
    <w:bookmarkEnd w:id="107"/>
    <w:bookmarkEnd w:id="108"/>
    <w:bookmarkEnd w:id="109"/>
    <w:bookmarkEnd w:id="110"/>
    <w:p>
      <w:pPr>
        <w:spacing w:line="488" w:lineRule="exact"/>
        <w:ind w:firstLine="480" w:firstLineChars="200"/>
        <w:rPr>
          <w:rFonts w:eastAsia="Times New Roman"/>
        </w:rPr>
      </w:pPr>
      <w:r>
        <w:rPr>
          <w:rFonts w:ascii="宋体" w:hAnsi="宋体"/>
        </w:rPr>
        <w:t xml:space="preserve">3.1 </w:t>
      </w:r>
      <w:r>
        <w:rPr>
          <w:rFonts w:hint="eastAsia" w:ascii="宋体" w:hAnsi="宋体"/>
        </w:rPr>
        <w:t>承包人的一般义务</w:t>
      </w:r>
    </w:p>
    <w:p>
      <w:pPr>
        <w:spacing w:line="488" w:lineRule="exact"/>
        <w:ind w:firstLine="480" w:firstLineChars="200"/>
        <w:rPr>
          <w:rFonts w:eastAsia="Times New Roman"/>
          <w:b/>
          <w:u w:val="single"/>
        </w:rPr>
      </w:pPr>
      <w:r>
        <w:rPr>
          <w:rFonts w:hint="eastAsia" w:ascii="宋体" w:hAnsi="宋体"/>
        </w:rPr>
        <w:t>（</w:t>
      </w:r>
      <w:r>
        <w:rPr>
          <w:rFonts w:ascii="宋体" w:hAnsi="宋体"/>
        </w:rPr>
        <w:t>9</w:t>
      </w:r>
      <w:r>
        <w:rPr>
          <w:rFonts w:hint="eastAsia" w:ascii="宋体" w:hAnsi="宋体"/>
        </w:rPr>
        <w:t>）承包人提交的竣工资料的内容：</w:t>
      </w:r>
      <w:r>
        <w:rPr>
          <w:rFonts w:hint="eastAsia" w:ascii="宋体" w:hAnsi="宋体"/>
          <w:b/>
          <w:u w:val="single"/>
        </w:rPr>
        <w:t>承包人提交竣工付款申请、竣工结算报告及完整的结算资料、竣工图纸的时间与份数为竣工验收合格之日起</w:t>
      </w:r>
      <w:r>
        <w:rPr>
          <w:rFonts w:ascii="宋体" w:hAnsi="宋体"/>
          <w:b/>
          <w:u w:val="single"/>
        </w:rPr>
        <w:t>28</w:t>
      </w:r>
      <w:r>
        <w:rPr>
          <w:rFonts w:hint="eastAsia" w:ascii="宋体" w:hAnsi="宋体"/>
          <w:b/>
          <w:u w:val="single"/>
        </w:rPr>
        <w:t>天内，共</w:t>
      </w:r>
      <w:r>
        <w:rPr>
          <w:rFonts w:ascii="宋体" w:hAnsi="宋体"/>
          <w:b/>
          <w:u w:val="single"/>
        </w:rPr>
        <w:t>5</w:t>
      </w:r>
      <w:r>
        <w:rPr>
          <w:rFonts w:hint="eastAsia" w:ascii="宋体" w:hAnsi="宋体"/>
          <w:b/>
          <w:u w:val="single"/>
        </w:rPr>
        <w:t>份。</w:t>
      </w:r>
    </w:p>
    <w:p>
      <w:pPr>
        <w:widowControl/>
        <w:spacing w:line="488" w:lineRule="exact"/>
        <w:ind w:firstLine="480" w:firstLineChars="200"/>
        <w:rPr>
          <w:rFonts w:hint="eastAsia" w:eastAsia="宋体"/>
          <w:b/>
          <w:color w:val="FF0000"/>
          <w:u w:val="single"/>
          <w:lang w:val="en-US" w:eastAsia="zh-CN"/>
        </w:rPr>
      </w:pPr>
      <w:r>
        <w:rPr>
          <w:rFonts w:hint="eastAsia" w:ascii="宋体" w:hAnsi="宋体"/>
        </w:rPr>
        <w:t>承包人提交的竣工资料形式要求</w:t>
      </w:r>
      <w:r>
        <w:rPr>
          <w:rFonts w:hint="eastAsia" w:ascii="宋体" w:hAnsi="宋体"/>
          <w:b/>
          <w:u w:val="single"/>
        </w:rPr>
        <w:t>：</w:t>
      </w:r>
      <w:r>
        <w:rPr>
          <w:rFonts w:hint="eastAsia" w:ascii="宋体" w:hAnsi="宋体"/>
          <w:b/>
          <w:u w:val="single"/>
          <w:lang w:eastAsia="zh-CN"/>
        </w:rPr>
        <w:t>按中标后合同约定。</w:t>
      </w:r>
    </w:p>
    <w:p>
      <w:pPr>
        <w:spacing w:line="360" w:lineRule="auto"/>
        <w:ind w:firstLine="420"/>
        <w:rPr>
          <w:rFonts w:eastAsia="Times New Roman"/>
          <w:b/>
          <w:u w:val="single"/>
        </w:rPr>
      </w:pPr>
      <w:r>
        <w:rPr>
          <w:rFonts w:hint="eastAsia" w:ascii="宋体" w:hAnsi="宋体"/>
        </w:rPr>
        <w:t>（</w:t>
      </w:r>
      <w:r>
        <w:rPr>
          <w:rFonts w:ascii="宋体" w:hAnsi="宋体"/>
        </w:rPr>
        <w:t>10</w:t>
      </w:r>
      <w:r>
        <w:rPr>
          <w:rFonts w:hint="eastAsia" w:ascii="宋体" w:hAnsi="宋体"/>
        </w:rPr>
        <w:t>）承包人应必须履行的义务：</w:t>
      </w:r>
      <w:r>
        <w:rPr>
          <w:rFonts w:hint="eastAsia" w:ascii="宋体" w:hAnsi="宋体"/>
          <w:b/>
          <w:u w:val="single"/>
        </w:rPr>
        <w:t>（</w:t>
      </w:r>
      <w:r>
        <w:rPr>
          <w:rFonts w:ascii="宋体" w:hAnsi="宋体"/>
          <w:b/>
          <w:u w:val="single"/>
        </w:rPr>
        <w:t>1</w:t>
      </w:r>
      <w:r>
        <w:rPr>
          <w:rFonts w:hint="eastAsia" w:ascii="宋体" w:hAnsi="宋体"/>
          <w:b/>
          <w:u w:val="single"/>
        </w:rPr>
        <w:t>）在每月</w:t>
      </w:r>
      <w:r>
        <w:rPr>
          <w:rFonts w:ascii="宋体" w:hAnsi="宋体"/>
          <w:b/>
          <w:u w:val="single"/>
        </w:rPr>
        <w:t>20</w:t>
      </w:r>
      <w:r>
        <w:rPr>
          <w:rFonts w:hint="eastAsia" w:ascii="宋体" w:hAnsi="宋体"/>
          <w:b/>
          <w:u w:val="single"/>
        </w:rPr>
        <w:t>日向发包方提供下月施工计划及当月报表各三份，并有工程师签字。（</w:t>
      </w:r>
      <w:r>
        <w:rPr>
          <w:rFonts w:ascii="宋体" w:hAnsi="宋体"/>
          <w:b/>
          <w:u w:val="single"/>
        </w:rPr>
        <w:t>2</w:t>
      </w:r>
      <w:r>
        <w:rPr>
          <w:rFonts w:hint="eastAsia" w:ascii="宋体" w:hAnsi="宋体"/>
          <w:b/>
          <w:u w:val="single"/>
        </w:rPr>
        <w:t>）承担施工安全保卫工作及非夜间施工照明的责任和要求。（</w:t>
      </w:r>
      <w:r>
        <w:rPr>
          <w:rFonts w:hint="eastAsia" w:ascii="宋体" w:hAnsi="宋体"/>
          <w:b/>
          <w:u w:val="single"/>
          <w:lang w:val="en-US" w:eastAsia="zh-CN"/>
        </w:rPr>
        <w:t>3</w:t>
      </w:r>
      <w:r>
        <w:rPr>
          <w:rFonts w:hint="eastAsia" w:ascii="宋体" w:hAnsi="宋体"/>
          <w:b/>
          <w:u w:val="single"/>
        </w:rPr>
        <w:t>）需承包人办理的有关施工场地交通、环卫和施工噪音管理等手续，由承包人办理并支付相关费用。（</w:t>
      </w:r>
      <w:r>
        <w:rPr>
          <w:rFonts w:hint="eastAsia" w:ascii="宋体" w:hAnsi="宋体"/>
          <w:b/>
          <w:u w:val="single"/>
          <w:lang w:val="en-US" w:eastAsia="zh-CN"/>
        </w:rPr>
        <w:t>4</w:t>
      </w:r>
      <w:r>
        <w:rPr>
          <w:rFonts w:hint="eastAsia" w:ascii="宋体" w:hAnsi="宋体"/>
          <w:b/>
          <w:u w:val="single"/>
        </w:rPr>
        <w:t>）已完工程成品保护的特殊要求及承担的费用。（</w:t>
      </w:r>
      <w:r>
        <w:rPr>
          <w:rFonts w:hint="eastAsia" w:ascii="宋体" w:hAnsi="宋体"/>
          <w:b/>
          <w:u w:val="single"/>
          <w:lang w:val="en-US" w:eastAsia="zh-CN"/>
        </w:rPr>
        <w:t>5</w:t>
      </w:r>
      <w:r>
        <w:rPr>
          <w:rFonts w:hint="eastAsia" w:ascii="宋体" w:hAnsi="宋体"/>
          <w:b/>
          <w:u w:val="single"/>
        </w:rPr>
        <w:t>）施工场清洁卫生的要求：</w:t>
      </w:r>
      <w:r>
        <w:rPr>
          <w:rFonts w:ascii="宋体" w:hAnsi="宋体"/>
          <w:b/>
          <w:u w:val="single"/>
        </w:rPr>
        <w:t>_</w:t>
      </w:r>
      <w:r>
        <w:rPr>
          <w:rFonts w:hint="eastAsia" w:ascii="宋体" w:hAnsi="宋体"/>
          <w:b/>
          <w:u w:val="single"/>
        </w:rPr>
        <w:t>清除所有垃圾，保证施工场地清洁符合环境卫生管理的有关规定。</w:t>
      </w:r>
    </w:p>
    <w:p>
      <w:pPr>
        <w:spacing w:after="120" w:line="488" w:lineRule="exact"/>
        <w:ind w:firstLine="480" w:firstLineChars="200"/>
        <w:rPr>
          <w:rFonts w:eastAsia="Times New Roman"/>
        </w:rPr>
      </w:pPr>
      <w:r>
        <w:rPr>
          <w:rFonts w:ascii="宋体" w:hAnsi="宋体"/>
        </w:rPr>
        <w:t xml:space="preserve">3.2 </w:t>
      </w:r>
      <w:r>
        <w:rPr>
          <w:rFonts w:hint="eastAsia" w:ascii="宋体" w:hAnsi="宋体"/>
        </w:rPr>
        <w:t>项目经理</w:t>
      </w:r>
    </w:p>
    <w:p>
      <w:pPr>
        <w:spacing w:line="488" w:lineRule="exact"/>
        <w:ind w:firstLine="480" w:firstLineChars="200"/>
        <w:rPr>
          <w:rFonts w:eastAsia="Times New Roman"/>
        </w:rPr>
      </w:pPr>
      <w:r>
        <w:rPr>
          <w:rFonts w:ascii="宋体" w:hAnsi="宋体"/>
        </w:rPr>
        <w:t xml:space="preserve">3.2.1 </w:t>
      </w:r>
      <w:r>
        <w:rPr>
          <w:rFonts w:hint="eastAsia" w:ascii="宋体" w:hAnsi="宋体"/>
        </w:rPr>
        <w:t>项目经理：</w:t>
      </w:r>
    </w:p>
    <w:p>
      <w:pPr>
        <w:spacing w:line="488" w:lineRule="exact"/>
        <w:ind w:firstLine="480" w:firstLineChars="200"/>
        <w:rPr>
          <w:rFonts w:eastAsia="Times New Roman"/>
        </w:rPr>
      </w:pPr>
      <w:r>
        <w:rPr>
          <w:rFonts w:hint="eastAsia" w:ascii="宋体" w:hAnsi="宋体"/>
        </w:rPr>
        <w:t>姓名：</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身份证号：</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建造师执业资格等级：</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建造师注册证书号：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建造师执业印章号：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安全生产考核合格证书号：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联系电话：</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电子信箱：</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通信地址：</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b/>
          <w:u w:val="single"/>
        </w:rPr>
      </w:pPr>
      <w:r>
        <w:rPr>
          <w:rFonts w:hint="eastAsia" w:ascii="宋体" w:hAnsi="宋体"/>
        </w:rPr>
        <w:t>承包人对项目经理的授权范围如下：</w:t>
      </w:r>
      <w:r>
        <w:rPr>
          <w:rFonts w:hint="eastAsia" w:ascii="宋体" w:hAnsi="宋体"/>
          <w:b/>
          <w:u w:val="single"/>
        </w:rPr>
        <w:t>全权处理本项目的一切事务。</w:t>
      </w:r>
    </w:p>
    <w:p>
      <w:pPr>
        <w:spacing w:line="488" w:lineRule="exact"/>
        <w:ind w:firstLine="480" w:firstLineChars="200"/>
        <w:rPr>
          <w:rFonts w:eastAsia="Times New Roman"/>
          <w:b/>
          <w:bCs/>
        </w:rPr>
      </w:pPr>
      <w:r>
        <w:rPr>
          <w:rFonts w:hint="eastAsia" w:ascii="宋体" w:hAnsi="宋体"/>
        </w:rPr>
        <w:t>关于项目经理每月在施工现场的时间要求：</w:t>
      </w:r>
      <w:r>
        <w:rPr>
          <w:rFonts w:hint="eastAsia" w:ascii="宋体" w:hAnsi="宋体"/>
          <w:b/>
          <w:bCs/>
          <w:u w:val="single"/>
        </w:rPr>
        <w:t>现场管理（每天都要在现场）</w:t>
      </w:r>
      <w:r>
        <w:rPr>
          <w:rFonts w:hint="eastAsia" w:ascii="宋体" w:hAnsi="宋体"/>
          <w:b/>
          <w:bCs/>
        </w:rPr>
        <w:t>。</w:t>
      </w:r>
    </w:p>
    <w:p>
      <w:pPr>
        <w:spacing w:line="488" w:lineRule="exact"/>
        <w:ind w:firstLine="480" w:firstLineChars="200"/>
        <w:rPr>
          <w:rFonts w:eastAsia="Times New Roman"/>
          <w:b/>
          <w:u w:val="single"/>
        </w:rPr>
      </w:pPr>
      <w:r>
        <w:rPr>
          <w:rFonts w:hint="eastAsia" w:ascii="宋体" w:hAnsi="宋体"/>
        </w:rPr>
        <w:t>承包人未提交劳动合同，以及没有为项目经理缴纳社会保险证明的违约责任：</w:t>
      </w:r>
      <w:r>
        <w:rPr>
          <w:rFonts w:hint="eastAsia" w:ascii="宋体" w:hAnsi="宋体"/>
          <w:b/>
          <w:u w:val="single"/>
        </w:rPr>
        <w:t>处以</w:t>
      </w:r>
      <w:r>
        <w:rPr>
          <w:rFonts w:ascii="宋体" w:hAnsi="宋体"/>
          <w:b/>
          <w:u w:val="single"/>
        </w:rPr>
        <w:t>5000</w:t>
      </w:r>
      <w:r>
        <w:rPr>
          <w:rFonts w:hint="eastAsia" w:ascii="宋体" w:hAnsi="宋体"/>
          <w:b/>
          <w:u w:val="single"/>
        </w:rPr>
        <w:t>元罚款，责令限期提交劳动合同并补缴社会保险</w:t>
      </w:r>
      <w:r>
        <w:rPr>
          <w:rFonts w:hint="eastAsia"/>
          <w:b/>
          <w:u w:val="single"/>
        </w:rPr>
        <w:t></w:t>
      </w:r>
      <w:r>
        <w:rPr>
          <w:rFonts w:hint="eastAsia" w:ascii="宋体" w:hAnsi="宋体"/>
          <w:b/>
          <w:u w:val="single"/>
        </w:rPr>
        <w:t>。</w:t>
      </w:r>
    </w:p>
    <w:p>
      <w:pPr>
        <w:spacing w:line="488" w:lineRule="exact"/>
        <w:ind w:firstLine="480" w:firstLineChars="200"/>
        <w:rPr>
          <w:rFonts w:eastAsia="Times New Roman"/>
          <w:color w:val="000000" w:themeColor="text1"/>
          <w:u w:val="single"/>
        </w:rPr>
      </w:pPr>
      <w:r>
        <w:rPr>
          <w:rFonts w:hint="eastAsia" w:ascii="宋体" w:hAnsi="宋体"/>
        </w:rPr>
        <w:t>项目经理未经批准，擅自离开施工现场的违约责任</w:t>
      </w:r>
      <w:r>
        <w:rPr>
          <w:rFonts w:hint="eastAsia" w:ascii="宋体" w:hAnsi="宋体"/>
          <w:color w:val="000000" w:themeColor="text1"/>
        </w:rPr>
        <w:t>：</w:t>
      </w:r>
      <w:r>
        <w:rPr>
          <w:rFonts w:hint="eastAsia" w:ascii="宋体" w:hAnsi="宋体"/>
          <w:b/>
          <w:color w:val="000000" w:themeColor="text1"/>
          <w:u w:val="single"/>
        </w:rPr>
        <w:t>项目经理如不能达到承诺的到位时间，在当月的工程进度款中按</w:t>
      </w:r>
      <w:r>
        <w:rPr>
          <w:rFonts w:hint="eastAsia" w:ascii="宋体" w:hAnsi="宋体"/>
          <w:b/>
          <w:color w:val="000000" w:themeColor="text1"/>
          <w:u w:val="single"/>
          <w:lang w:val="en-US" w:eastAsia="zh-CN"/>
        </w:rPr>
        <w:t>800</w:t>
      </w:r>
      <w:r>
        <w:rPr>
          <w:rFonts w:hint="eastAsia" w:ascii="宋体" w:hAnsi="宋体"/>
          <w:b/>
          <w:color w:val="000000" w:themeColor="text1"/>
          <w:u w:val="single"/>
        </w:rPr>
        <w:t>元</w:t>
      </w:r>
      <w:r>
        <w:rPr>
          <w:rFonts w:ascii="宋体" w:hAnsi="宋体"/>
          <w:b/>
          <w:color w:val="000000" w:themeColor="text1"/>
          <w:u w:val="single"/>
        </w:rPr>
        <w:t>/</w:t>
      </w:r>
      <w:r>
        <w:rPr>
          <w:rFonts w:hint="eastAsia" w:ascii="宋体" w:hAnsi="宋体"/>
          <w:b/>
          <w:color w:val="000000" w:themeColor="text1"/>
          <w:u w:val="single"/>
        </w:rPr>
        <w:t>天扣罚。</w:t>
      </w:r>
    </w:p>
    <w:p>
      <w:pPr>
        <w:spacing w:line="488" w:lineRule="exact"/>
        <w:ind w:firstLine="480" w:firstLineChars="200"/>
        <w:rPr>
          <w:rFonts w:eastAsia="Times New Roman"/>
          <w:b/>
          <w:color w:val="000000" w:themeColor="text1"/>
          <w:u w:val="single"/>
        </w:rPr>
      </w:pPr>
      <w:r>
        <w:rPr>
          <w:rFonts w:ascii="宋体" w:hAnsi="宋体"/>
          <w:color w:val="000000" w:themeColor="text1"/>
        </w:rPr>
        <w:t xml:space="preserve">3.2.3 </w:t>
      </w:r>
      <w:r>
        <w:rPr>
          <w:rFonts w:hint="eastAsia" w:ascii="宋体" w:hAnsi="宋体"/>
          <w:color w:val="000000" w:themeColor="text1"/>
        </w:rPr>
        <w:t>承包人擅自更换项目经理的违约责任：</w:t>
      </w:r>
      <w:r>
        <w:rPr>
          <w:rFonts w:hint="eastAsia" w:ascii="宋体" w:hAnsi="宋体"/>
          <w:b/>
          <w:color w:val="000000" w:themeColor="text1"/>
          <w:u w:val="single"/>
        </w:rPr>
        <w:t>若擅自变更项目经理的承包人将承担</w:t>
      </w:r>
      <w:r>
        <w:rPr>
          <w:rFonts w:ascii="宋体" w:hAnsi="宋体"/>
          <w:b/>
          <w:color w:val="000000" w:themeColor="text1"/>
          <w:u w:val="single"/>
        </w:rPr>
        <w:t>1</w:t>
      </w:r>
      <w:r>
        <w:rPr>
          <w:rFonts w:hint="eastAsia" w:ascii="宋体" w:hAnsi="宋体"/>
          <w:b/>
          <w:color w:val="000000" w:themeColor="text1"/>
          <w:u w:val="single"/>
        </w:rPr>
        <w:t>万元的违约金，承包人承担上述违约给发包人造成的一切损失。</w:t>
      </w:r>
    </w:p>
    <w:p>
      <w:pPr>
        <w:spacing w:line="488" w:lineRule="exact"/>
        <w:ind w:firstLine="480" w:firstLineChars="200"/>
        <w:rPr>
          <w:rFonts w:eastAsia="Times New Roman"/>
          <w:b/>
          <w:color w:val="000000" w:themeColor="text1"/>
          <w:u w:val="single"/>
        </w:rPr>
      </w:pPr>
      <w:r>
        <w:rPr>
          <w:rFonts w:ascii="宋体" w:hAnsi="宋体"/>
          <w:color w:val="000000" w:themeColor="text1"/>
        </w:rPr>
        <w:t xml:space="preserve">3.2.4 </w:t>
      </w:r>
      <w:r>
        <w:rPr>
          <w:rFonts w:hint="eastAsia" w:ascii="宋体" w:hAnsi="宋体"/>
          <w:color w:val="000000" w:themeColor="text1"/>
        </w:rPr>
        <w:t>承包人无正当理由拒绝更换项目经理的违约责任：</w:t>
      </w:r>
      <w:r>
        <w:rPr>
          <w:rFonts w:hint="eastAsia" w:ascii="宋体" w:hAnsi="宋体"/>
          <w:b/>
          <w:color w:val="000000" w:themeColor="text1"/>
          <w:u w:val="single"/>
        </w:rPr>
        <w:t>处以</w:t>
      </w:r>
      <w:r>
        <w:rPr>
          <w:rFonts w:ascii="宋体" w:hAnsi="宋体"/>
          <w:b/>
          <w:color w:val="000000" w:themeColor="text1"/>
          <w:u w:val="single"/>
        </w:rPr>
        <w:t>1</w:t>
      </w:r>
      <w:r>
        <w:rPr>
          <w:rFonts w:hint="eastAsia" w:ascii="宋体" w:hAnsi="宋体"/>
          <w:b/>
          <w:color w:val="000000" w:themeColor="text1"/>
          <w:u w:val="single"/>
        </w:rPr>
        <w:t>万元罚款，承包人承担上述违约给发包人造成的一切损失。</w:t>
      </w:r>
    </w:p>
    <w:p>
      <w:pPr>
        <w:spacing w:after="120" w:line="488" w:lineRule="exact"/>
        <w:ind w:firstLine="480" w:firstLineChars="200"/>
        <w:rPr>
          <w:rFonts w:eastAsia="Times New Roman"/>
          <w:color w:val="000000" w:themeColor="text1"/>
        </w:rPr>
      </w:pPr>
      <w:r>
        <w:rPr>
          <w:rFonts w:ascii="宋体" w:hAnsi="宋体"/>
          <w:color w:val="000000" w:themeColor="text1"/>
        </w:rPr>
        <w:t xml:space="preserve">3.3 </w:t>
      </w:r>
      <w:r>
        <w:rPr>
          <w:rFonts w:hint="eastAsia" w:ascii="宋体" w:hAnsi="宋体"/>
          <w:color w:val="000000" w:themeColor="text1"/>
        </w:rPr>
        <w:t>承包人人员</w:t>
      </w:r>
    </w:p>
    <w:p>
      <w:pPr>
        <w:spacing w:line="400" w:lineRule="exact"/>
        <w:ind w:firstLine="480" w:firstLineChars="200"/>
        <w:rPr>
          <w:rFonts w:eastAsia="Times New Roman"/>
          <w:b/>
          <w:color w:val="000000" w:themeColor="text1"/>
          <w:u w:val="single"/>
        </w:rPr>
      </w:pPr>
      <w:r>
        <w:rPr>
          <w:rFonts w:ascii="宋体" w:hAnsi="宋体"/>
          <w:color w:val="000000" w:themeColor="text1"/>
        </w:rPr>
        <w:t xml:space="preserve">3.3.1 </w:t>
      </w:r>
      <w:r>
        <w:rPr>
          <w:rFonts w:hint="eastAsia" w:ascii="宋体" w:hAnsi="宋体"/>
          <w:color w:val="000000" w:themeColor="text1"/>
        </w:rPr>
        <w:t>承包人提交项目管理机构及施工现场管理人员安排报告的期限：</w:t>
      </w:r>
      <w:r>
        <w:rPr>
          <w:rFonts w:hint="eastAsia" w:ascii="宋体" w:hAnsi="宋体"/>
          <w:b/>
          <w:color w:val="000000" w:themeColor="text1"/>
          <w:u w:val="single"/>
        </w:rPr>
        <w:t>接到工程开工通知书</w:t>
      </w:r>
      <w:r>
        <w:rPr>
          <w:rFonts w:ascii="宋体" w:hAnsi="宋体"/>
          <w:b/>
          <w:color w:val="000000" w:themeColor="text1"/>
          <w:u w:val="single"/>
        </w:rPr>
        <w:t>3</w:t>
      </w:r>
      <w:r>
        <w:rPr>
          <w:rFonts w:hint="eastAsia" w:ascii="宋体" w:hAnsi="宋体"/>
          <w:b/>
          <w:color w:val="000000" w:themeColor="text1"/>
          <w:u w:val="single"/>
        </w:rPr>
        <w:t>天内。</w:t>
      </w:r>
    </w:p>
    <w:p>
      <w:pPr>
        <w:spacing w:line="400" w:lineRule="exact"/>
        <w:ind w:firstLine="480" w:firstLineChars="200"/>
        <w:rPr>
          <w:rFonts w:eastAsia="Times New Roman"/>
          <w:b/>
          <w:color w:val="000000" w:themeColor="text1"/>
          <w:u w:val="single"/>
        </w:rPr>
      </w:pPr>
      <w:r>
        <w:rPr>
          <w:rFonts w:ascii="宋体" w:hAnsi="宋体"/>
          <w:color w:val="000000" w:themeColor="text1"/>
        </w:rPr>
        <w:t xml:space="preserve">3.3.3 </w:t>
      </w:r>
      <w:r>
        <w:rPr>
          <w:rFonts w:hint="eastAsia" w:ascii="宋体" w:hAnsi="宋体"/>
          <w:color w:val="000000" w:themeColor="text1"/>
        </w:rPr>
        <w:t>承包人无正当理由拒绝撤换主要施工管理人员的违约责任：</w:t>
      </w:r>
      <w:r>
        <w:rPr>
          <w:rFonts w:hint="eastAsia" w:ascii="宋体" w:hAnsi="宋体"/>
          <w:b/>
          <w:color w:val="000000" w:themeColor="text1"/>
          <w:u w:val="single"/>
        </w:rPr>
        <w:t>处以</w:t>
      </w:r>
      <w:r>
        <w:rPr>
          <w:rFonts w:ascii="宋体" w:hAnsi="宋体"/>
          <w:b/>
          <w:color w:val="000000" w:themeColor="text1"/>
          <w:u w:val="single"/>
        </w:rPr>
        <w:t>5000</w:t>
      </w:r>
      <w:r>
        <w:rPr>
          <w:rFonts w:hint="eastAsia" w:ascii="宋体" w:hAnsi="宋体"/>
          <w:b/>
          <w:color w:val="000000" w:themeColor="text1"/>
          <w:u w:val="single"/>
        </w:rPr>
        <w:t>元罚款，承包人承担上述违约给发包人造成的一切损失。</w:t>
      </w:r>
    </w:p>
    <w:p>
      <w:pPr>
        <w:spacing w:line="400" w:lineRule="exact"/>
        <w:ind w:firstLine="480" w:firstLineChars="200"/>
        <w:rPr>
          <w:rFonts w:eastAsia="Times New Roman"/>
          <w:b/>
          <w:color w:val="000000" w:themeColor="text1"/>
          <w:u w:val="single"/>
        </w:rPr>
      </w:pPr>
      <w:r>
        <w:rPr>
          <w:rFonts w:ascii="宋体" w:hAnsi="宋体"/>
          <w:color w:val="000000" w:themeColor="text1"/>
        </w:rPr>
        <w:t xml:space="preserve">3.3.4 </w:t>
      </w:r>
      <w:r>
        <w:rPr>
          <w:rFonts w:hint="eastAsia" w:ascii="宋体" w:hAnsi="宋体"/>
          <w:color w:val="000000" w:themeColor="text1"/>
        </w:rPr>
        <w:t>承包人主要施工管理人员离开施工现场的批准要求：</w:t>
      </w:r>
      <w:r>
        <w:rPr>
          <w:rFonts w:hint="eastAsia" w:ascii="宋体" w:hAnsi="宋体"/>
          <w:b/>
          <w:color w:val="000000" w:themeColor="text1"/>
          <w:u w:val="single"/>
        </w:rPr>
        <w:t>由总监理工程师批准，发包人认可后方可离开。</w:t>
      </w:r>
    </w:p>
    <w:p>
      <w:pPr>
        <w:spacing w:line="400" w:lineRule="exact"/>
        <w:ind w:firstLine="480" w:firstLineChars="200"/>
        <w:rPr>
          <w:rFonts w:eastAsia="Times New Roman"/>
          <w:b/>
          <w:color w:val="000000" w:themeColor="text1"/>
          <w:u w:val="single"/>
        </w:rPr>
      </w:pPr>
      <w:r>
        <w:rPr>
          <w:rFonts w:ascii="宋体" w:hAnsi="宋体"/>
          <w:color w:val="000000" w:themeColor="text1"/>
        </w:rPr>
        <w:t>3.3.5</w:t>
      </w:r>
      <w:r>
        <w:rPr>
          <w:rFonts w:hint="eastAsia" w:ascii="宋体" w:hAnsi="宋体"/>
          <w:color w:val="000000" w:themeColor="text1"/>
        </w:rPr>
        <w:t>承包人擅自更换主要施工管理人员的违约责任：</w:t>
      </w:r>
      <w:r>
        <w:rPr>
          <w:rFonts w:hint="eastAsia" w:ascii="宋体" w:hAnsi="宋体"/>
          <w:b/>
          <w:color w:val="000000" w:themeColor="text1"/>
          <w:u w:val="single"/>
        </w:rPr>
        <w:t>未经发包人同意擅自更换主要施工管理人员，处以5000元罚款，承包人承担上述违约给发包人造成的一切损失。</w:t>
      </w:r>
    </w:p>
    <w:p>
      <w:pPr>
        <w:spacing w:line="488" w:lineRule="exact"/>
        <w:ind w:firstLine="480" w:firstLineChars="200"/>
        <w:rPr>
          <w:rFonts w:eastAsia="Times New Roman"/>
          <w:color w:val="000000" w:themeColor="text1"/>
        </w:rPr>
      </w:pPr>
      <w:r>
        <w:rPr>
          <w:rFonts w:hint="eastAsia" w:ascii="宋体" w:hAnsi="宋体"/>
          <w:color w:val="000000" w:themeColor="text1"/>
        </w:rPr>
        <w:t>承包人主要施工管理人员擅自离开施工现场的违约责任：</w:t>
      </w:r>
      <w:r>
        <w:rPr>
          <w:rFonts w:hint="eastAsia" w:ascii="宋体" w:hAnsi="宋体"/>
          <w:b/>
          <w:color w:val="000000" w:themeColor="text1"/>
          <w:u w:val="single"/>
        </w:rPr>
        <w:t>承包人主要施工管理人员擅自离开施工现场的在当月的工程进度款中按</w:t>
      </w:r>
      <w:r>
        <w:rPr>
          <w:rFonts w:hint="eastAsia" w:ascii="宋体" w:hAnsi="宋体"/>
          <w:b/>
          <w:color w:val="000000" w:themeColor="text1"/>
          <w:u w:val="single"/>
          <w:lang w:val="en-US" w:eastAsia="zh-CN"/>
        </w:rPr>
        <w:t>50</w:t>
      </w:r>
      <w:r>
        <w:rPr>
          <w:rFonts w:ascii="宋体" w:hAnsi="宋体"/>
          <w:b/>
          <w:color w:val="000000" w:themeColor="text1"/>
          <w:u w:val="single"/>
        </w:rPr>
        <w:t>0</w:t>
      </w:r>
      <w:r>
        <w:rPr>
          <w:rFonts w:hint="eastAsia" w:ascii="宋体" w:hAnsi="宋体"/>
          <w:b/>
          <w:color w:val="000000" w:themeColor="text1"/>
          <w:u w:val="single"/>
        </w:rPr>
        <w:t>元</w:t>
      </w:r>
      <w:r>
        <w:rPr>
          <w:rFonts w:ascii="宋体" w:hAnsi="宋体"/>
          <w:b/>
          <w:color w:val="000000" w:themeColor="text1"/>
          <w:u w:val="single"/>
        </w:rPr>
        <w:t>/</w:t>
      </w:r>
      <w:r>
        <w:rPr>
          <w:rFonts w:hint="eastAsia" w:ascii="宋体" w:hAnsi="宋体"/>
          <w:b/>
          <w:color w:val="000000" w:themeColor="text1"/>
          <w:u w:val="single"/>
        </w:rPr>
        <w:t>天扣罚</w:t>
      </w:r>
      <w:r>
        <w:rPr>
          <w:rFonts w:hint="eastAsia" w:ascii="宋体" w:hAnsi="宋体"/>
          <w:color w:val="000000" w:themeColor="text1"/>
        </w:rPr>
        <w:t>。</w:t>
      </w:r>
    </w:p>
    <w:p>
      <w:pPr>
        <w:spacing w:after="120" w:line="488" w:lineRule="exact"/>
        <w:ind w:firstLine="480" w:firstLineChars="200"/>
        <w:rPr>
          <w:rFonts w:eastAsia="Times New Roman"/>
        </w:rPr>
      </w:pPr>
      <w:r>
        <w:rPr>
          <w:rFonts w:ascii="宋体" w:hAnsi="宋体"/>
        </w:rPr>
        <w:t xml:space="preserve">3.7 </w:t>
      </w:r>
      <w:r>
        <w:rPr>
          <w:rFonts w:hint="eastAsia" w:ascii="宋体" w:hAnsi="宋体"/>
        </w:rPr>
        <w:t>履约担保</w:t>
      </w:r>
    </w:p>
    <w:p>
      <w:pPr>
        <w:spacing w:line="488" w:lineRule="exact"/>
        <w:ind w:firstLine="480" w:firstLineChars="200"/>
        <w:rPr>
          <w:rFonts w:eastAsia="Times New Roman"/>
        </w:rPr>
      </w:pPr>
      <w:r>
        <w:rPr>
          <w:rFonts w:hint="eastAsia" w:ascii="宋体" w:hAnsi="宋体"/>
        </w:rPr>
        <w:t>承包人是否提供履约担保：</w:t>
      </w:r>
      <w:r>
        <w:rPr>
          <w:rFonts w:hint="eastAsia" w:ascii="宋体" w:hAnsi="宋体"/>
          <w:b/>
          <w:u w:val="single"/>
        </w:rPr>
        <w:t>不提供</w:t>
      </w:r>
      <w:r>
        <w:rPr>
          <w:rFonts w:hint="eastAsia" w:ascii="宋体" w:hAnsi="宋体"/>
        </w:rPr>
        <w:t>。</w:t>
      </w:r>
    </w:p>
    <w:p>
      <w:pPr>
        <w:spacing w:line="488" w:lineRule="exact"/>
        <w:ind w:firstLine="480" w:firstLineChars="200"/>
        <w:rPr>
          <w:rFonts w:eastAsia="Times New Roman"/>
          <w:u w:val="single"/>
        </w:rPr>
      </w:pPr>
      <w:r>
        <w:rPr>
          <w:rFonts w:hint="eastAsia" w:ascii="宋体" w:hAnsi="宋体"/>
        </w:rPr>
        <w:t>承包人提供履约担保的形式、金额及期限的：</w:t>
      </w:r>
      <w:r>
        <w:rPr>
          <w:rFonts w:hint="eastAsia" w:ascii="宋体" w:hAnsi="宋体"/>
          <w:b/>
          <w:u w:val="single"/>
        </w:rPr>
        <w:t>无</w:t>
      </w:r>
    </w:p>
    <w:p>
      <w:pPr>
        <w:spacing w:line="488" w:lineRule="exact"/>
        <w:ind w:firstLine="480" w:firstLineChars="200"/>
        <w:rPr>
          <w:rFonts w:eastAsia="Times New Roman"/>
        </w:rPr>
      </w:pPr>
      <w:bookmarkStart w:id="111" w:name="_Toc267251418"/>
      <w:bookmarkStart w:id="112" w:name="_Toc351203637"/>
      <w:r>
        <w:rPr>
          <w:rFonts w:ascii="宋体" w:hAnsi="宋体"/>
        </w:rPr>
        <w:t>5</w:t>
      </w:r>
      <w:bookmarkEnd w:id="111"/>
      <w:bookmarkStart w:id="113" w:name="_Toc296890991"/>
      <w:bookmarkStart w:id="114" w:name="_Toc297048349"/>
      <w:bookmarkStart w:id="115" w:name="_Toc292559872"/>
      <w:bookmarkStart w:id="116" w:name="_Toc297120463"/>
      <w:bookmarkStart w:id="117" w:name="_Toc292559367"/>
      <w:bookmarkStart w:id="118" w:name="_Toc296891203"/>
      <w:bookmarkStart w:id="119" w:name="_Toc296347162"/>
      <w:bookmarkStart w:id="120" w:name="_Toc296944502"/>
      <w:bookmarkStart w:id="121" w:name="_Toc296346664"/>
      <w:bookmarkStart w:id="122" w:name="_Toc296503163"/>
      <w:r>
        <w:rPr>
          <w:rFonts w:ascii="宋体" w:hAnsi="宋体"/>
        </w:rPr>
        <w:t xml:space="preserve">. </w:t>
      </w:r>
      <w:r>
        <w:rPr>
          <w:rFonts w:hint="eastAsia" w:ascii="宋体" w:hAnsi="宋体"/>
        </w:rPr>
        <w:t>工程质量</w:t>
      </w:r>
      <w:bookmarkEnd w:id="112"/>
      <w:r>
        <w:rPr>
          <w:rFonts w:hint="eastAsia" w:ascii="宋体" w:hAnsi="宋体"/>
        </w:rPr>
        <w:t>银行</w:t>
      </w:r>
    </w:p>
    <w:p>
      <w:pPr>
        <w:spacing w:line="488" w:lineRule="exact"/>
        <w:ind w:firstLine="480" w:firstLineChars="200"/>
        <w:rPr>
          <w:rFonts w:eastAsia="Times New Roman"/>
        </w:rPr>
      </w:pPr>
      <w:r>
        <w:rPr>
          <w:rFonts w:ascii="宋体" w:hAnsi="宋体"/>
        </w:rPr>
        <w:t xml:space="preserve">5.1 </w:t>
      </w:r>
      <w:r>
        <w:rPr>
          <w:rFonts w:hint="eastAsia" w:ascii="宋体" w:hAnsi="宋体"/>
        </w:rPr>
        <w:t>质量要求</w:t>
      </w:r>
    </w:p>
    <w:p>
      <w:pPr>
        <w:spacing w:line="488" w:lineRule="exact"/>
        <w:ind w:firstLine="480" w:firstLineChars="200"/>
        <w:rPr>
          <w:rFonts w:hint="eastAsia" w:ascii="宋体" w:hAnsi="宋体" w:eastAsia="宋体" w:cs="Times New Roman"/>
          <w:color w:val="auto"/>
          <w:u w:val="single"/>
        </w:rPr>
      </w:pPr>
      <w:r>
        <w:rPr>
          <w:rFonts w:ascii="宋体" w:hAnsi="宋体"/>
        </w:rPr>
        <w:t>5</w:t>
      </w:r>
      <w:bookmarkStart w:id="123" w:name="_Toc304295527"/>
      <w:bookmarkStart w:id="124" w:name="_Toc297123496"/>
      <w:bookmarkStart w:id="125" w:name="_Toc303539106"/>
      <w:bookmarkStart w:id="126" w:name="_Toc300934949"/>
      <w:bookmarkStart w:id="127" w:name="_Toc318581164"/>
      <w:bookmarkStart w:id="128" w:name="_Toc312677997"/>
      <w:bookmarkStart w:id="129" w:name="_Toc297216155"/>
      <w:r>
        <w:rPr>
          <w:rFonts w:ascii="宋体" w:hAnsi="宋体"/>
        </w:rPr>
        <w:t xml:space="preserve">.1.1 </w:t>
      </w:r>
      <w:r>
        <w:rPr>
          <w:rFonts w:hint="eastAsia" w:ascii="宋体" w:hAnsi="宋体"/>
        </w:rPr>
        <w:t>特殊质量标准和要求：</w:t>
      </w:r>
      <w:r>
        <w:rPr>
          <w:rFonts w:hint="eastAsia"/>
          <w:color w:val="auto"/>
          <w:u w:val="single"/>
        </w:rPr>
        <w:t xml:space="preserve"> 执行国家有关施工验收规范、质量评定标准及民航、自治区相关标准及规定 </w:t>
      </w:r>
      <w:r>
        <w:rPr>
          <w:rFonts w:hint="eastAsia"/>
          <w:color w:val="auto"/>
          <w:u w:val="single"/>
          <w:lang w:eastAsia="zh-CN"/>
        </w:rPr>
        <w:t>。</w:t>
      </w:r>
      <w:r>
        <w:rPr>
          <w:rFonts w:hint="eastAsia" w:ascii="宋体" w:hAnsi="宋体"/>
          <w:color w:val="auto"/>
          <w:u w:val="single"/>
          <w:lang w:eastAsia="zh-CN"/>
        </w:rPr>
        <w:t>承包人</w:t>
      </w:r>
      <w:r>
        <w:rPr>
          <w:rFonts w:hint="eastAsia" w:ascii="宋体" w:hAnsi="宋体" w:eastAsia="宋体" w:cs="Times New Roman"/>
          <w:color w:val="auto"/>
          <w:u w:val="single"/>
          <w:lang w:val="en-US" w:eastAsia="zh-CN"/>
        </w:rPr>
        <w:t>提供的设备</w:t>
      </w:r>
      <w:r>
        <w:rPr>
          <w:rFonts w:hint="eastAsia" w:ascii="宋体" w:hAnsi="宋体" w:cs="Times New Roman"/>
          <w:color w:val="auto"/>
          <w:u w:val="single"/>
          <w:lang w:val="en-US" w:eastAsia="zh-CN"/>
        </w:rPr>
        <w:t>具有</w:t>
      </w:r>
      <w:r>
        <w:rPr>
          <w:rFonts w:hint="eastAsia" w:ascii="宋体" w:hAnsi="宋体" w:eastAsia="宋体" w:cs="Times New Roman"/>
          <w:color w:val="auto"/>
          <w:u w:val="single"/>
          <w:lang w:val="en-US" w:eastAsia="zh-CN"/>
        </w:rPr>
        <w:t>中国民航局《民用航空自动气象观测设备试验验证评估结论》</w:t>
      </w:r>
      <w:r>
        <w:rPr>
          <w:rFonts w:hint="eastAsia" w:ascii="宋体" w:hAnsi="宋体" w:cs="Times New Roman"/>
          <w:color w:val="auto"/>
          <w:u w:val="single"/>
          <w:lang w:val="en-US" w:eastAsia="zh-CN"/>
        </w:rPr>
        <w:t>气象观测站设备。</w:t>
      </w:r>
    </w:p>
    <w:p>
      <w:pPr>
        <w:spacing w:line="488" w:lineRule="exact"/>
        <w:ind w:firstLine="480" w:firstLineChars="200"/>
        <w:rPr>
          <w:rFonts w:hint="default" w:eastAsia="宋体"/>
          <w:color w:val="auto"/>
          <w:u w:val="single"/>
          <w:lang w:val="en-US" w:eastAsia="zh-CN"/>
        </w:rPr>
      </w:pPr>
      <w:r>
        <w:rPr>
          <w:rFonts w:hint="eastAsia" w:ascii="宋体" w:hAnsi="宋体"/>
          <w:color w:val="auto"/>
        </w:rPr>
        <w:t>关于工程奖项的约定：</w:t>
      </w:r>
      <w:r>
        <w:rPr>
          <w:rFonts w:hint="eastAsia" w:ascii="宋体" w:hAnsi="宋体"/>
          <w:color w:val="auto"/>
          <w:u w:val="single"/>
          <w:lang w:val="en-US" w:eastAsia="zh-CN"/>
        </w:rPr>
        <w:t xml:space="preserve">  /  </w:t>
      </w:r>
    </w:p>
    <w:p>
      <w:pPr>
        <w:spacing w:line="488" w:lineRule="exact"/>
        <w:ind w:firstLine="480" w:firstLineChars="200"/>
        <w:rPr>
          <w:rFonts w:eastAsia="Times New Roman"/>
        </w:rPr>
      </w:pPr>
      <w:r>
        <w:rPr>
          <w:rFonts w:ascii="宋体" w:hAnsi="宋体"/>
        </w:rPr>
        <w:t xml:space="preserve">5.3 </w:t>
      </w:r>
      <w:r>
        <w:rPr>
          <w:rFonts w:hint="eastAsia" w:ascii="宋体" w:hAnsi="宋体"/>
        </w:rPr>
        <w:t>隐蔽工程检查</w:t>
      </w:r>
    </w:p>
    <w:p>
      <w:pPr>
        <w:spacing w:line="488" w:lineRule="exact"/>
        <w:ind w:firstLine="480" w:firstLineChars="200"/>
        <w:rPr>
          <w:rFonts w:eastAsia="Times New Roman"/>
          <w:b/>
          <w:u w:val="single"/>
        </w:rPr>
      </w:pPr>
      <w:r>
        <w:rPr>
          <w:rFonts w:ascii="宋体" w:hAnsi="宋体"/>
        </w:rPr>
        <w:t>5.3.2</w:t>
      </w:r>
      <w:r>
        <w:rPr>
          <w:rFonts w:hint="eastAsia" w:ascii="宋体" w:hAnsi="宋体"/>
        </w:rPr>
        <w:t>承包人提前通知监理人隐蔽工程检查的期限的约定：</w:t>
      </w:r>
      <w:r>
        <w:rPr>
          <w:rFonts w:hint="eastAsia" w:ascii="宋体" w:hAnsi="宋体"/>
          <w:b/>
          <w:u w:val="single"/>
        </w:rPr>
        <w:t>共同检查前</w:t>
      </w:r>
      <w:r>
        <w:rPr>
          <w:rFonts w:ascii="宋体" w:hAnsi="宋体"/>
          <w:b/>
          <w:u w:val="single"/>
        </w:rPr>
        <w:t>48</w:t>
      </w:r>
      <w:r>
        <w:rPr>
          <w:rFonts w:hint="eastAsia" w:ascii="宋体" w:hAnsi="宋体"/>
          <w:b/>
          <w:u w:val="single"/>
        </w:rPr>
        <w:t>小时书面通知监理人。</w:t>
      </w:r>
    </w:p>
    <w:p>
      <w:pPr>
        <w:spacing w:line="488" w:lineRule="exact"/>
        <w:ind w:firstLine="480" w:firstLineChars="200"/>
        <w:rPr>
          <w:rFonts w:eastAsia="Times New Roman"/>
        </w:rPr>
      </w:pPr>
      <w:r>
        <w:rPr>
          <w:rFonts w:hint="eastAsia" w:ascii="宋体" w:hAnsi="宋体"/>
        </w:rPr>
        <w:t>监理人不能按时进行检查时，应提前</w:t>
      </w:r>
      <w:r>
        <w:rPr>
          <w:rFonts w:ascii="宋体" w:hAnsi="宋体"/>
          <w:b/>
          <w:u w:val="single"/>
        </w:rPr>
        <w:t xml:space="preserve">24 </w:t>
      </w:r>
      <w:r>
        <w:rPr>
          <w:rFonts w:hint="eastAsia" w:ascii="宋体" w:hAnsi="宋体"/>
        </w:rPr>
        <w:t>小时提交书面延期要求。</w:t>
      </w:r>
    </w:p>
    <w:p>
      <w:pPr>
        <w:spacing w:line="488" w:lineRule="exact"/>
        <w:ind w:firstLine="480" w:firstLineChars="200"/>
        <w:rPr>
          <w:rFonts w:eastAsia="Times New Roman"/>
        </w:rPr>
      </w:pPr>
      <w:r>
        <w:rPr>
          <w:rFonts w:hint="eastAsia" w:ascii="宋体" w:hAnsi="宋体"/>
        </w:rPr>
        <w:t>关于延期最长不得超过：</w:t>
      </w:r>
      <w:r>
        <w:rPr>
          <w:rFonts w:ascii="宋体" w:hAnsi="宋体"/>
          <w:b/>
          <w:u w:val="single"/>
        </w:rPr>
        <w:t>48</w:t>
      </w:r>
      <w:r>
        <w:rPr>
          <w:rFonts w:hint="eastAsia" w:ascii="宋体" w:hAnsi="宋体"/>
          <w:b/>
          <w:u w:val="single"/>
        </w:rPr>
        <w:t>小时。</w:t>
      </w:r>
    </w:p>
    <w:p>
      <w:pPr>
        <w:spacing w:line="488" w:lineRule="exact"/>
        <w:ind w:firstLine="480" w:firstLineChars="200"/>
        <w:rPr>
          <w:rFonts w:eastAsia="Times New Roman"/>
        </w:rPr>
      </w:pPr>
      <w:bookmarkStart w:id="130" w:name="_Toc351203638"/>
      <w:r>
        <w:rPr>
          <w:rFonts w:ascii="宋体" w:hAnsi="宋体"/>
        </w:rPr>
        <w:t xml:space="preserve">6. </w:t>
      </w:r>
      <w:r>
        <w:rPr>
          <w:rFonts w:hint="eastAsia" w:ascii="宋体" w:hAnsi="宋体"/>
        </w:rPr>
        <w:t>安全文明施工与环境保护</w:t>
      </w:r>
      <w:bookmarkEnd w:id="130"/>
    </w:p>
    <w:p>
      <w:pPr>
        <w:spacing w:after="120" w:line="488" w:lineRule="exact"/>
        <w:ind w:firstLine="480" w:firstLineChars="200"/>
        <w:rPr>
          <w:rFonts w:eastAsia="Times New Roman"/>
        </w:rPr>
      </w:pPr>
      <w:r>
        <w:rPr>
          <w:rFonts w:ascii="宋体" w:hAnsi="宋体"/>
        </w:rPr>
        <w:t>6.1</w:t>
      </w:r>
      <w:r>
        <w:rPr>
          <w:rFonts w:hint="eastAsia" w:ascii="宋体" w:hAnsi="宋体"/>
        </w:rPr>
        <w:t>安全文明施工</w:t>
      </w:r>
    </w:p>
    <w:p>
      <w:pPr>
        <w:spacing w:line="400" w:lineRule="exact"/>
        <w:ind w:firstLine="480" w:firstLineChars="200"/>
        <w:rPr>
          <w:rFonts w:eastAsia="Times New Roman"/>
          <w:b/>
          <w:u w:val="single"/>
        </w:rPr>
      </w:pPr>
      <w:r>
        <w:rPr>
          <w:rFonts w:ascii="宋体" w:hAnsi="宋体"/>
        </w:rPr>
        <w:t xml:space="preserve">6.1.1 </w:t>
      </w:r>
      <w:r>
        <w:rPr>
          <w:rFonts w:hint="eastAsia" w:ascii="宋体" w:hAnsi="宋体"/>
        </w:rPr>
        <w:t>项目安全生产的达标目标及相应事项的约定：</w:t>
      </w:r>
      <w:r>
        <w:rPr>
          <w:rFonts w:hint="eastAsia" w:ascii="宋体" w:hAnsi="宋体"/>
          <w:b/>
          <w:u w:val="single"/>
        </w:rPr>
        <w:t>要求达到《建筑施工安全检查标准》（</w:t>
      </w:r>
      <w:r>
        <w:rPr>
          <w:rFonts w:ascii="宋体" w:hAnsi="宋体"/>
          <w:b/>
          <w:u w:val="single"/>
        </w:rPr>
        <w:t>JGJ59-2011</w:t>
      </w:r>
      <w:r>
        <w:rPr>
          <w:rFonts w:hint="eastAsia" w:ascii="宋体" w:hAnsi="宋体"/>
          <w:b/>
          <w:u w:val="single"/>
        </w:rPr>
        <w:t>）标准。</w:t>
      </w:r>
    </w:p>
    <w:p>
      <w:pPr>
        <w:spacing w:line="488" w:lineRule="exact"/>
        <w:ind w:firstLine="480" w:firstLineChars="200"/>
        <w:rPr>
          <w:rFonts w:eastAsia="Times New Roman"/>
        </w:rPr>
      </w:pPr>
      <w:r>
        <w:rPr>
          <w:rFonts w:ascii="宋体" w:hAnsi="宋体"/>
        </w:rPr>
        <w:t xml:space="preserve">6.1.4 </w:t>
      </w:r>
      <w:r>
        <w:rPr>
          <w:rFonts w:hint="eastAsia" w:ascii="宋体" w:hAnsi="宋体"/>
        </w:rPr>
        <w:t>关于治安保卫的特别约定：</w:t>
      </w:r>
      <w:r>
        <w:rPr>
          <w:rFonts w:hint="eastAsia" w:ascii="宋体" w:hAnsi="宋体"/>
          <w:b/>
          <w:u w:val="single"/>
        </w:rPr>
        <w:t>执行通用条款。</w:t>
      </w:r>
    </w:p>
    <w:p>
      <w:pPr>
        <w:spacing w:line="400" w:lineRule="exact"/>
        <w:ind w:firstLine="480" w:firstLineChars="200"/>
        <w:rPr>
          <w:rFonts w:eastAsia="Times New Roman"/>
        </w:rPr>
      </w:pPr>
      <w:r>
        <w:rPr>
          <w:rFonts w:hint="eastAsia" w:ascii="宋体" w:hAnsi="宋体"/>
        </w:rPr>
        <w:t>关于编制施工场地治安管理计划的约定：</w:t>
      </w:r>
      <w:r>
        <w:rPr>
          <w:rFonts w:hint="eastAsia" w:ascii="宋体" w:hAnsi="宋体"/>
          <w:b/>
          <w:u w:val="single"/>
        </w:rPr>
        <w:t>开工前提供施工场地治安管理计划。</w:t>
      </w:r>
    </w:p>
    <w:p>
      <w:pPr>
        <w:spacing w:line="488" w:lineRule="exact"/>
        <w:ind w:firstLine="480" w:firstLineChars="200"/>
        <w:rPr>
          <w:rFonts w:eastAsia="Times New Roman"/>
        </w:rPr>
      </w:pPr>
      <w:r>
        <w:rPr>
          <w:rFonts w:ascii="宋体" w:hAnsi="宋体"/>
        </w:rPr>
        <w:t xml:space="preserve">6.1.5 </w:t>
      </w:r>
      <w:r>
        <w:rPr>
          <w:rFonts w:hint="eastAsia" w:ascii="宋体" w:hAnsi="宋体"/>
        </w:rPr>
        <w:t>文明施工</w:t>
      </w:r>
    </w:p>
    <w:p>
      <w:pPr>
        <w:spacing w:line="400" w:lineRule="exact"/>
        <w:ind w:left="137" w:leftChars="57" w:firstLine="360" w:firstLineChars="150"/>
        <w:rPr>
          <w:rFonts w:eastAsia="Times New Roman"/>
          <w:u w:val="single"/>
        </w:rPr>
      </w:pPr>
      <w:r>
        <w:rPr>
          <w:rFonts w:hint="eastAsia" w:ascii="宋体" w:hAnsi="宋体"/>
        </w:rPr>
        <w:t>合同当事人对文明施工的要求：</w:t>
      </w:r>
      <w:r>
        <w:rPr>
          <w:rFonts w:hint="eastAsia" w:ascii="宋体" w:hAnsi="宋体"/>
          <w:b/>
          <w:u w:val="single"/>
        </w:rPr>
        <w:t>达到《建筑施工现场环境与卫生标准》（</w:t>
      </w:r>
      <w:r>
        <w:rPr>
          <w:rFonts w:ascii="宋体" w:hAnsi="宋体"/>
          <w:b/>
          <w:u w:val="single"/>
        </w:rPr>
        <w:t>JGJ146-2004</w:t>
      </w:r>
      <w:r>
        <w:rPr>
          <w:rFonts w:hint="eastAsia" w:ascii="宋体" w:hAnsi="宋体"/>
          <w:b/>
          <w:u w:val="single"/>
        </w:rPr>
        <w:t>）。</w:t>
      </w:r>
    </w:p>
    <w:p>
      <w:pPr>
        <w:spacing w:line="488" w:lineRule="exact"/>
        <w:ind w:firstLine="480" w:firstLineChars="200"/>
        <w:rPr>
          <w:rFonts w:eastAsia="Times New Roman"/>
        </w:rPr>
      </w:pPr>
      <w:r>
        <w:rPr>
          <w:rFonts w:ascii="宋体" w:hAnsi="宋体"/>
        </w:rPr>
        <w:t xml:space="preserve">6.1.6 </w:t>
      </w:r>
      <w:r>
        <w:rPr>
          <w:rFonts w:hint="eastAsia" w:ascii="宋体" w:hAnsi="宋体"/>
        </w:rPr>
        <w:t>关于安全文明施工费支付比例和支付期限的约定：</w:t>
      </w:r>
      <w:r>
        <w:rPr>
          <w:rFonts w:hint="eastAsia" w:ascii="宋体" w:hAnsi="宋体"/>
          <w:b/>
          <w:u w:val="single"/>
        </w:rPr>
        <w:t>执行通用条款。</w:t>
      </w:r>
    </w:p>
    <w:bookmarkEnd w:id="123"/>
    <w:bookmarkEnd w:id="124"/>
    <w:bookmarkEnd w:id="125"/>
    <w:bookmarkEnd w:id="126"/>
    <w:bookmarkEnd w:id="127"/>
    <w:bookmarkEnd w:id="128"/>
    <w:bookmarkEnd w:id="129"/>
    <w:p>
      <w:pPr>
        <w:spacing w:line="488" w:lineRule="exact"/>
        <w:ind w:firstLine="480" w:firstLineChars="200"/>
        <w:rPr>
          <w:rFonts w:eastAsia="Times New Roman"/>
        </w:rPr>
      </w:pPr>
      <w:bookmarkStart w:id="131" w:name="_Toc351203639"/>
      <w:r>
        <w:rPr>
          <w:rFonts w:ascii="宋体" w:hAnsi="宋体"/>
        </w:rPr>
        <w:t xml:space="preserve">7. </w:t>
      </w:r>
      <w:r>
        <w:rPr>
          <w:rFonts w:hint="eastAsia" w:ascii="宋体" w:hAnsi="宋体"/>
        </w:rPr>
        <w:t>工期和进度</w:t>
      </w:r>
      <w:bookmarkEnd w:id="131"/>
    </w:p>
    <w:p>
      <w:pPr>
        <w:spacing w:after="120" w:line="488" w:lineRule="exact"/>
        <w:ind w:firstLine="480" w:firstLineChars="200"/>
        <w:rPr>
          <w:rFonts w:eastAsia="Times New Roman"/>
        </w:rPr>
      </w:pPr>
      <w:r>
        <w:rPr>
          <w:rFonts w:ascii="宋体" w:hAnsi="宋体"/>
        </w:rPr>
        <w:t xml:space="preserve">7.1 </w:t>
      </w:r>
      <w:r>
        <w:rPr>
          <w:rFonts w:hint="eastAsia" w:ascii="宋体" w:hAnsi="宋体"/>
        </w:rPr>
        <w:t>施工组织设计</w:t>
      </w:r>
    </w:p>
    <w:p>
      <w:pPr>
        <w:spacing w:line="400" w:lineRule="exact"/>
        <w:ind w:firstLine="480" w:firstLineChars="200"/>
        <w:rPr>
          <w:rFonts w:eastAsia="Times New Roman"/>
          <w:b/>
          <w:u w:val="single"/>
        </w:rPr>
      </w:pPr>
      <w:r>
        <w:rPr>
          <w:rFonts w:ascii="宋体" w:hAnsi="宋体"/>
        </w:rPr>
        <w:t xml:space="preserve">7.1.1 </w:t>
      </w:r>
      <w:r>
        <w:rPr>
          <w:rFonts w:hint="eastAsia" w:ascii="宋体" w:hAnsi="宋体"/>
        </w:rPr>
        <w:t>合同当事人约定的施工组织设计应包括的其他内容：</w:t>
      </w:r>
      <w:r>
        <w:rPr>
          <w:rFonts w:hint="eastAsia" w:ascii="宋体" w:hAnsi="宋体"/>
          <w:b/>
          <w:u w:val="single"/>
        </w:rPr>
        <w:t>按磋商文件约定，磋商文件无约定的按通用条款或双方另行约定。</w:t>
      </w:r>
    </w:p>
    <w:p>
      <w:pPr>
        <w:spacing w:line="488" w:lineRule="exact"/>
        <w:ind w:firstLine="480" w:firstLineChars="200"/>
        <w:rPr>
          <w:rFonts w:eastAsia="Times New Roman"/>
        </w:rPr>
      </w:pPr>
      <w:r>
        <w:rPr>
          <w:rFonts w:ascii="宋体" w:hAnsi="宋体"/>
        </w:rPr>
        <w:t xml:space="preserve">7.1.2 </w:t>
      </w:r>
      <w:r>
        <w:rPr>
          <w:rFonts w:hint="eastAsia" w:ascii="宋体" w:hAnsi="宋体"/>
        </w:rPr>
        <w:t>施工组织设计的提交和修改</w:t>
      </w:r>
    </w:p>
    <w:p>
      <w:pPr>
        <w:spacing w:line="488" w:lineRule="exact"/>
        <w:ind w:firstLine="480" w:firstLineChars="200"/>
        <w:rPr>
          <w:rFonts w:eastAsia="Times New Roman"/>
          <w:b/>
          <w:u w:val="single"/>
        </w:rPr>
      </w:pPr>
      <w:r>
        <w:rPr>
          <w:rFonts w:hint="eastAsia" w:ascii="宋体" w:hAnsi="宋体"/>
        </w:rPr>
        <w:t>承包人提交详细施工组织设计的期限的约定</w:t>
      </w:r>
      <w:r>
        <w:rPr>
          <w:rFonts w:hint="eastAsia" w:ascii="宋体" w:hAnsi="宋体"/>
          <w:b/>
        </w:rPr>
        <w:t>：</w:t>
      </w:r>
      <w:r>
        <w:rPr>
          <w:rFonts w:hint="eastAsia" w:ascii="宋体" w:hAnsi="宋体"/>
          <w:b/>
          <w:u w:val="single"/>
        </w:rPr>
        <w:t>开工日期前</w:t>
      </w:r>
      <w:r>
        <w:rPr>
          <w:rFonts w:ascii="宋体" w:hAnsi="宋体"/>
          <w:b/>
          <w:u w:val="single"/>
        </w:rPr>
        <w:t>7</w:t>
      </w:r>
      <w:r>
        <w:rPr>
          <w:rFonts w:hint="eastAsia" w:ascii="宋体" w:hAnsi="宋体"/>
          <w:b/>
          <w:u w:val="single"/>
        </w:rPr>
        <w:t>天。</w:t>
      </w:r>
    </w:p>
    <w:p>
      <w:pPr>
        <w:spacing w:line="488" w:lineRule="exact"/>
        <w:ind w:firstLine="480" w:firstLineChars="200"/>
        <w:rPr>
          <w:rFonts w:eastAsia="Times New Roman"/>
          <w:b/>
          <w:u w:val="single"/>
        </w:rPr>
      </w:pPr>
      <w:r>
        <w:rPr>
          <w:rFonts w:hint="eastAsia" w:ascii="宋体" w:hAnsi="宋体"/>
        </w:rPr>
        <w:t>发包人和监理人在收到详细的施工组织设计后确认或提出修改意见的期限：</w:t>
      </w:r>
      <w:r>
        <w:rPr>
          <w:rFonts w:hint="eastAsia" w:ascii="宋体" w:hAnsi="宋体"/>
          <w:b/>
          <w:u w:val="single"/>
        </w:rPr>
        <w:t>收到后</w:t>
      </w:r>
      <w:r>
        <w:rPr>
          <w:rFonts w:ascii="宋体" w:hAnsi="宋体"/>
          <w:b/>
          <w:u w:val="single"/>
        </w:rPr>
        <w:t>7</w:t>
      </w:r>
      <w:r>
        <w:rPr>
          <w:rFonts w:hint="eastAsia" w:ascii="宋体" w:hAnsi="宋体"/>
          <w:b/>
          <w:u w:val="single"/>
        </w:rPr>
        <w:t>天内。</w:t>
      </w:r>
    </w:p>
    <w:p>
      <w:pPr>
        <w:spacing w:after="120" w:line="488" w:lineRule="exact"/>
        <w:ind w:firstLine="480" w:firstLineChars="200"/>
        <w:rPr>
          <w:rFonts w:eastAsia="Times New Roman"/>
        </w:rPr>
      </w:pPr>
      <w:r>
        <w:rPr>
          <w:rFonts w:ascii="宋体" w:hAnsi="宋体"/>
        </w:rPr>
        <w:t>7</w:t>
      </w:r>
      <w:bookmarkStart w:id="132" w:name="_Toc300934966"/>
      <w:bookmarkStart w:id="133" w:name="_Toc304295541"/>
      <w:bookmarkStart w:id="134" w:name="_Toc303539123"/>
      <w:bookmarkStart w:id="135" w:name="_Toc297216173"/>
      <w:bookmarkStart w:id="136" w:name="_Toc312678005"/>
      <w:bookmarkStart w:id="137" w:name="_Toc312677479"/>
      <w:bookmarkStart w:id="138" w:name="_Toc297123514"/>
      <w:r>
        <w:rPr>
          <w:rFonts w:ascii="宋体" w:hAnsi="宋体"/>
        </w:rPr>
        <w:t xml:space="preserve">.2 </w:t>
      </w:r>
      <w:r>
        <w:rPr>
          <w:rFonts w:hint="eastAsia" w:ascii="宋体" w:hAnsi="宋体"/>
        </w:rPr>
        <w:t>施工进度计划</w:t>
      </w:r>
    </w:p>
    <w:p>
      <w:pPr>
        <w:spacing w:line="488" w:lineRule="exact"/>
        <w:ind w:firstLine="480" w:firstLineChars="200"/>
        <w:rPr>
          <w:rFonts w:eastAsia="Times New Roman"/>
        </w:rPr>
      </w:pPr>
      <w:r>
        <w:rPr>
          <w:rFonts w:ascii="宋体" w:hAnsi="宋体"/>
        </w:rPr>
        <w:t xml:space="preserve">7.2.2 </w:t>
      </w:r>
      <w:r>
        <w:rPr>
          <w:rFonts w:hint="eastAsia" w:ascii="宋体" w:hAnsi="宋体"/>
        </w:rPr>
        <w:t>施工进度计划的修订</w:t>
      </w:r>
    </w:p>
    <w:p>
      <w:pPr>
        <w:spacing w:line="400" w:lineRule="exact"/>
        <w:ind w:left="547" w:leftChars="228"/>
        <w:rPr>
          <w:rFonts w:ascii="宋体" w:eastAsia="Times New Roman"/>
          <w:b/>
          <w:u w:val="single"/>
        </w:rPr>
      </w:pPr>
      <w:r>
        <w:rPr>
          <w:rFonts w:hint="eastAsia" w:ascii="宋体" w:hAnsi="宋体"/>
        </w:rPr>
        <w:t>发包人和监理人在收到修订的施工进度计划后确认或提出修改意见的期限：</w:t>
      </w:r>
      <w:r>
        <w:rPr>
          <w:rFonts w:hint="eastAsia" w:ascii="宋体" w:hAnsi="宋体"/>
          <w:b/>
          <w:u w:val="single"/>
        </w:rPr>
        <w:t>收到</w:t>
      </w:r>
    </w:p>
    <w:p>
      <w:pPr>
        <w:spacing w:line="400" w:lineRule="exact"/>
        <w:rPr>
          <w:rFonts w:eastAsia="Times New Roman"/>
          <w:b/>
          <w:u w:val="single"/>
        </w:rPr>
      </w:pPr>
      <w:r>
        <w:rPr>
          <w:rFonts w:hint="eastAsia" w:ascii="宋体" w:hAnsi="宋体"/>
          <w:b/>
          <w:u w:val="single"/>
        </w:rPr>
        <w:t>后</w:t>
      </w:r>
      <w:r>
        <w:rPr>
          <w:rFonts w:ascii="宋体" w:hAnsi="宋体"/>
          <w:b/>
          <w:u w:val="single"/>
        </w:rPr>
        <w:t>7</w:t>
      </w:r>
      <w:r>
        <w:rPr>
          <w:rFonts w:hint="eastAsia" w:ascii="宋体" w:hAnsi="宋体"/>
          <w:b/>
          <w:u w:val="single"/>
        </w:rPr>
        <w:t>天内。</w:t>
      </w:r>
    </w:p>
    <w:bookmarkEnd w:id="132"/>
    <w:bookmarkEnd w:id="133"/>
    <w:bookmarkEnd w:id="134"/>
    <w:bookmarkEnd w:id="135"/>
    <w:bookmarkEnd w:id="136"/>
    <w:bookmarkEnd w:id="137"/>
    <w:bookmarkEnd w:id="138"/>
    <w:p>
      <w:pPr>
        <w:spacing w:after="120" w:line="488" w:lineRule="exact"/>
        <w:ind w:firstLine="480" w:firstLineChars="200"/>
        <w:rPr>
          <w:rFonts w:eastAsia="Times New Roman"/>
        </w:rPr>
      </w:pPr>
      <w:r>
        <w:rPr>
          <w:rFonts w:ascii="宋体" w:hAnsi="宋体"/>
        </w:rPr>
        <w:t xml:space="preserve">7.4 </w:t>
      </w:r>
      <w:r>
        <w:rPr>
          <w:rFonts w:hint="eastAsia" w:ascii="宋体" w:hAnsi="宋体"/>
        </w:rPr>
        <w:t>测量放线</w:t>
      </w:r>
    </w:p>
    <w:p>
      <w:pPr>
        <w:widowControl w:val="0"/>
        <w:wordWrap/>
        <w:autoSpaceDE w:val="0"/>
        <w:autoSpaceDN w:val="0"/>
        <w:adjustRightInd w:val="0"/>
        <w:snapToGrid/>
        <w:spacing w:line="360" w:lineRule="auto"/>
        <w:ind w:firstLine="480" w:firstLineChars="200"/>
        <w:textAlignment w:val="auto"/>
        <w:rPr>
          <w:rFonts w:eastAsia="Times New Roman"/>
          <w:u w:val="single"/>
        </w:rPr>
      </w:pPr>
      <w:r>
        <w:rPr>
          <w:rFonts w:ascii="宋体" w:hAnsi="宋体"/>
        </w:rPr>
        <w:t>7.4.1</w:t>
      </w:r>
      <w:r>
        <w:rPr>
          <w:rFonts w:hint="eastAsia" w:ascii="宋体" w:hAnsi="宋体"/>
        </w:rPr>
        <w:t>发包人通过监理人向承包人提供测量基准点、基准线和水准点及其书面资料的期限：</w:t>
      </w:r>
      <w:r>
        <w:rPr>
          <w:rFonts w:hint="eastAsia" w:ascii="宋体" w:hAnsi="宋体"/>
          <w:b/>
          <w:u w:val="single"/>
        </w:rPr>
        <w:t>无</w:t>
      </w:r>
      <w:r>
        <w:rPr>
          <w:rFonts w:hint="eastAsia" w:ascii="宋体" w:hAnsi="宋体"/>
          <w:b/>
        </w:rPr>
        <w:t>。</w:t>
      </w:r>
    </w:p>
    <w:p>
      <w:pPr>
        <w:widowControl w:val="0"/>
        <w:wordWrap/>
        <w:autoSpaceDE w:val="0"/>
        <w:autoSpaceDN w:val="0"/>
        <w:adjustRightInd w:val="0"/>
        <w:snapToGrid/>
        <w:spacing w:after="120" w:line="360" w:lineRule="auto"/>
        <w:ind w:firstLine="480" w:firstLineChars="200"/>
        <w:textAlignment w:val="auto"/>
        <w:rPr>
          <w:rFonts w:eastAsia="Times New Roman"/>
        </w:rPr>
      </w:pPr>
      <w:r>
        <w:rPr>
          <w:rFonts w:ascii="宋体" w:hAnsi="宋体"/>
        </w:rPr>
        <w:t>7</w:t>
      </w:r>
      <w:bookmarkStart w:id="139" w:name="_Toc297123516"/>
      <w:bookmarkStart w:id="140" w:name="_Toc304295546"/>
      <w:bookmarkStart w:id="141" w:name="_Toc312678010"/>
      <w:bookmarkStart w:id="142" w:name="_Toc297216175"/>
      <w:bookmarkStart w:id="143" w:name="_Toc303539125"/>
      <w:bookmarkStart w:id="144" w:name="_Toc300934968"/>
      <w:bookmarkStart w:id="145" w:name="_Toc312677484"/>
      <w:r>
        <w:rPr>
          <w:rFonts w:ascii="宋体" w:hAnsi="宋体"/>
        </w:rPr>
        <w:t xml:space="preserve">.5 </w:t>
      </w:r>
      <w:r>
        <w:rPr>
          <w:rFonts w:hint="eastAsia" w:ascii="宋体" w:hAnsi="宋体"/>
        </w:rPr>
        <w:t>工期延误</w:t>
      </w:r>
    </w:p>
    <w:bookmarkEnd w:id="139"/>
    <w:bookmarkEnd w:id="140"/>
    <w:bookmarkEnd w:id="141"/>
    <w:bookmarkEnd w:id="142"/>
    <w:bookmarkEnd w:id="143"/>
    <w:bookmarkEnd w:id="144"/>
    <w:bookmarkEnd w:id="145"/>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 xml:space="preserve">7.5.1 </w:t>
      </w:r>
      <w:r>
        <w:rPr>
          <w:rFonts w:hint="eastAsia" w:ascii="宋体" w:hAnsi="宋体"/>
        </w:rPr>
        <w:t>因发包人原因导致工期延误</w:t>
      </w:r>
    </w:p>
    <w:p>
      <w:pPr>
        <w:widowControl w:val="0"/>
        <w:wordWrap/>
        <w:autoSpaceDE w:val="0"/>
        <w:autoSpaceDN w:val="0"/>
        <w:adjustRightInd w:val="0"/>
        <w:snapToGrid/>
        <w:spacing w:line="360" w:lineRule="auto"/>
        <w:ind w:firstLine="240" w:firstLineChars="100"/>
        <w:textAlignment w:val="auto"/>
        <w:rPr>
          <w:rFonts w:eastAsia="Times New Roman"/>
          <w:b/>
          <w:u w:val="single"/>
        </w:rPr>
      </w:pPr>
      <w:r>
        <w:rPr>
          <w:rFonts w:hint="eastAsia" w:ascii="宋体" w:hAnsi="宋体"/>
        </w:rPr>
        <w:t>（</w:t>
      </w:r>
      <w:r>
        <w:rPr>
          <w:rFonts w:ascii="宋体" w:hAnsi="宋体"/>
        </w:rPr>
        <w:t>7</w:t>
      </w:r>
      <w:r>
        <w:rPr>
          <w:rFonts w:hint="eastAsia" w:ascii="宋体" w:hAnsi="宋体"/>
        </w:rPr>
        <w:t>）因发包人原因导致工期延误的其他情形：</w:t>
      </w:r>
      <w:r>
        <w:rPr>
          <w:rFonts w:hint="eastAsia" w:ascii="宋体" w:hAnsi="宋体"/>
          <w:b/>
          <w:u w:val="single"/>
        </w:rPr>
        <w:t>①发包人未能按合同约定支付工程款并确实影响施工进度；②重大设计变更而影响施工进度；③政策处理问题影响施工进度；④不可抗力，此延误工期须在发现后</w:t>
      </w:r>
      <w:r>
        <w:rPr>
          <w:rFonts w:ascii="宋体" w:hAnsi="宋体"/>
          <w:b/>
          <w:u w:val="single"/>
        </w:rPr>
        <w:t>7</w:t>
      </w:r>
      <w:r>
        <w:rPr>
          <w:rFonts w:hint="eastAsia" w:ascii="宋体" w:hAnsi="宋体"/>
          <w:b/>
          <w:u w:val="single"/>
        </w:rPr>
        <w:t>天内办理签证，逾期不予认可。</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7</w:t>
      </w:r>
      <w:bookmarkStart w:id="146" w:name="_Toc312677486"/>
      <w:bookmarkStart w:id="147" w:name="_Toc318581169"/>
      <w:bookmarkStart w:id="148" w:name="_Toc312678012"/>
      <w:bookmarkStart w:id="149" w:name="_Toc304295548"/>
      <w:bookmarkStart w:id="150" w:name="_Toc297123518"/>
      <w:bookmarkStart w:id="151" w:name="_Toc297216177"/>
      <w:bookmarkStart w:id="152" w:name="_Toc303539127"/>
      <w:bookmarkStart w:id="153" w:name="_Toc300934970"/>
      <w:r>
        <w:rPr>
          <w:rFonts w:ascii="宋体" w:hAnsi="宋体"/>
        </w:rPr>
        <w:t xml:space="preserve">.5.2 </w:t>
      </w:r>
      <w:r>
        <w:rPr>
          <w:rFonts w:hint="eastAsia" w:ascii="宋体" w:hAnsi="宋体"/>
        </w:rPr>
        <w:t>因承包人原因导致工期延误</w:t>
      </w:r>
    </w:p>
    <w:bookmarkEnd w:id="146"/>
    <w:bookmarkEnd w:id="147"/>
    <w:bookmarkEnd w:id="148"/>
    <w:p>
      <w:pPr>
        <w:widowControl w:val="0"/>
        <w:wordWrap/>
        <w:autoSpaceDE w:val="0"/>
        <w:autoSpaceDN w:val="0"/>
        <w:adjustRightInd w:val="0"/>
        <w:snapToGrid/>
        <w:spacing w:line="360" w:lineRule="auto"/>
        <w:ind w:firstLine="480" w:firstLineChars="200"/>
        <w:textAlignment w:val="auto"/>
        <w:rPr>
          <w:rFonts w:eastAsia="Times New Roman"/>
          <w:b/>
          <w:color w:val="000000" w:themeColor="text1"/>
          <w:u w:val="single"/>
        </w:rPr>
      </w:pPr>
      <w:r>
        <w:rPr>
          <w:rFonts w:hint="eastAsia" w:ascii="宋体" w:hAnsi="宋体"/>
        </w:rPr>
        <w:t>因</w:t>
      </w:r>
      <w:bookmarkStart w:id="154" w:name="_Toc312677487"/>
      <w:bookmarkStart w:id="155" w:name="_Toc312678013"/>
      <w:bookmarkStart w:id="156" w:name="_Toc318581170"/>
      <w:r>
        <w:rPr>
          <w:rFonts w:hint="eastAsia" w:ascii="宋体" w:hAnsi="宋体"/>
        </w:rPr>
        <w:t>承包人原因造成工期延误，</w:t>
      </w:r>
      <w:r>
        <w:rPr>
          <w:rFonts w:hint="eastAsia" w:ascii="宋体" w:hAnsi="宋体"/>
          <w:color w:val="000000" w:themeColor="text1"/>
        </w:rPr>
        <w:t>逾期竣工违约金的计算方法为：</w:t>
      </w:r>
      <w:r>
        <w:rPr>
          <w:rFonts w:hint="eastAsia" w:ascii="宋体" w:hAnsi="宋体"/>
          <w:b/>
          <w:color w:val="000000" w:themeColor="text1"/>
          <w:u w:val="single"/>
        </w:rPr>
        <w:t>工期每延误一天，按总价</w:t>
      </w:r>
      <w:r>
        <w:rPr>
          <w:rFonts w:hint="eastAsia" w:ascii="宋体" w:hAnsi="宋体"/>
          <w:b/>
          <w:color w:val="000000" w:themeColor="text1"/>
          <w:u w:val="single"/>
          <w:lang w:val="en-US" w:eastAsia="zh-CN"/>
        </w:rPr>
        <w:t>5</w:t>
      </w:r>
      <w:r>
        <w:rPr>
          <w:rFonts w:hint="eastAsia" w:ascii="宋体" w:hAnsi="宋体"/>
          <w:b/>
          <w:color w:val="000000" w:themeColor="text1"/>
          <w:u w:val="single"/>
        </w:rPr>
        <w:t>‰支付违约金。</w:t>
      </w:r>
      <w:bookmarkEnd w:id="149"/>
      <w:bookmarkEnd w:id="150"/>
      <w:bookmarkEnd w:id="151"/>
      <w:bookmarkEnd w:id="152"/>
      <w:bookmarkEnd w:id="153"/>
      <w:bookmarkEnd w:id="154"/>
      <w:bookmarkEnd w:id="155"/>
    </w:p>
    <w:bookmarkEnd w:id="156"/>
    <w:p>
      <w:pPr>
        <w:widowControl w:val="0"/>
        <w:wordWrap/>
        <w:autoSpaceDE w:val="0"/>
        <w:autoSpaceDN w:val="0"/>
        <w:adjustRightInd w:val="0"/>
        <w:snapToGrid/>
        <w:spacing w:line="360" w:lineRule="auto"/>
        <w:ind w:firstLine="480" w:firstLineChars="200"/>
        <w:textAlignment w:val="auto"/>
        <w:rPr>
          <w:rFonts w:eastAsia="Times New Roman"/>
          <w:color w:val="000000" w:themeColor="text1"/>
        </w:rPr>
      </w:pPr>
      <w:r>
        <w:rPr>
          <w:rFonts w:hint="eastAsia" w:ascii="宋体" w:hAnsi="宋体"/>
          <w:color w:val="000000" w:themeColor="text1"/>
        </w:rPr>
        <w:t>因承包人原因造成工期延误，逾</w:t>
      </w:r>
      <w:bookmarkStart w:id="157" w:name="_Toc318581171"/>
      <w:bookmarkStart w:id="158" w:name="_Toc312678014"/>
      <w:r>
        <w:rPr>
          <w:rFonts w:hint="eastAsia" w:ascii="宋体" w:hAnsi="宋体"/>
          <w:color w:val="000000" w:themeColor="text1"/>
        </w:rPr>
        <w:t>期竣工违约金的上限：</w:t>
      </w:r>
      <w:r>
        <w:rPr>
          <w:rFonts w:hint="eastAsia" w:ascii="宋体" w:hAnsi="宋体"/>
          <w:b/>
          <w:color w:val="000000" w:themeColor="text1"/>
          <w:u w:val="single"/>
        </w:rPr>
        <w:t>最高不超过合同总价的</w:t>
      </w:r>
      <w:r>
        <w:rPr>
          <w:rFonts w:ascii="宋体" w:hAnsi="宋体"/>
          <w:b/>
          <w:color w:val="000000" w:themeColor="text1"/>
          <w:u w:val="single"/>
        </w:rPr>
        <w:t xml:space="preserve">10%  </w:t>
      </w:r>
      <w:r>
        <w:rPr>
          <w:rFonts w:hint="eastAsia" w:ascii="宋体" w:hAnsi="宋体"/>
          <w:color w:val="000000" w:themeColor="text1"/>
        </w:rPr>
        <w:t>。</w:t>
      </w:r>
    </w:p>
    <w:bookmarkEnd w:id="157"/>
    <w:bookmarkEnd w:id="158"/>
    <w:p>
      <w:pPr>
        <w:spacing w:after="120" w:line="488" w:lineRule="exact"/>
        <w:ind w:firstLine="480" w:firstLineChars="200"/>
        <w:rPr>
          <w:rFonts w:eastAsia="Times New Roman"/>
          <w:color w:val="000000" w:themeColor="text1"/>
        </w:rPr>
      </w:pPr>
      <w:r>
        <w:rPr>
          <w:rFonts w:ascii="宋体" w:hAnsi="宋体"/>
          <w:color w:val="000000" w:themeColor="text1"/>
        </w:rPr>
        <w:t>7</w:t>
      </w:r>
      <w:bookmarkStart w:id="159" w:name="_Toc312678015"/>
      <w:bookmarkStart w:id="160" w:name="_Toc297216178"/>
      <w:bookmarkStart w:id="161" w:name="_Toc303539128"/>
      <w:bookmarkStart w:id="162" w:name="_Toc304295549"/>
      <w:bookmarkStart w:id="163" w:name="_Toc300934971"/>
      <w:bookmarkStart w:id="164" w:name="_Toc297123519"/>
      <w:r>
        <w:rPr>
          <w:rFonts w:ascii="宋体" w:hAnsi="宋体"/>
          <w:color w:val="000000" w:themeColor="text1"/>
        </w:rPr>
        <w:t xml:space="preserve">.6 </w:t>
      </w:r>
      <w:r>
        <w:rPr>
          <w:rFonts w:hint="eastAsia" w:ascii="宋体" w:hAnsi="宋体"/>
          <w:color w:val="000000" w:themeColor="text1"/>
        </w:rPr>
        <w:t>不</w:t>
      </w:r>
      <w:bookmarkEnd w:id="159"/>
      <w:bookmarkEnd w:id="160"/>
      <w:bookmarkEnd w:id="161"/>
      <w:bookmarkEnd w:id="162"/>
      <w:bookmarkEnd w:id="163"/>
      <w:bookmarkEnd w:id="164"/>
      <w:r>
        <w:rPr>
          <w:rFonts w:hint="eastAsia" w:ascii="宋体" w:hAnsi="宋体"/>
          <w:color w:val="000000" w:themeColor="text1"/>
        </w:rPr>
        <w:t>利物质条件</w:t>
      </w:r>
    </w:p>
    <w:p>
      <w:pPr>
        <w:spacing w:line="488" w:lineRule="exact"/>
        <w:ind w:firstLine="480" w:firstLineChars="200"/>
        <w:rPr>
          <w:rFonts w:eastAsia="Times New Roman"/>
        </w:rPr>
      </w:pPr>
      <w:bookmarkStart w:id="165" w:name="_Toc304295550"/>
      <w:bookmarkStart w:id="166" w:name="_Toc297123520"/>
      <w:bookmarkStart w:id="167" w:name="_Toc297216179"/>
      <w:bookmarkStart w:id="168" w:name="_Toc303539129"/>
      <w:bookmarkStart w:id="169" w:name="_Toc318581172"/>
      <w:bookmarkStart w:id="170" w:name="_Toc312678016"/>
      <w:bookmarkStart w:id="171" w:name="_Toc300934972"/>
      <w:r>
        <w:rPr>
          <w:rFonts w:hint="eastAsia" w:ascii="宋体" w:hAnsi="宋体"/>
        </w:rPr>
        <w:t>不利物质条件的其他情形和有关约定：</w:t>
      </w:r>
      <w:r>
        <w:rPr>
          <w:rFonts w:hint="eastAsia" w:ascii="宋体" w:hAnsi="宋体"/>
          <w:b/>
          <w:u w:val="single"/>
        </w:rPr>
        <w:t>无</w:t>
      </w:r>
      <w:r>
        <w:rPr>
          <w:rFonts w:hint="eastAsia" w:ascii="宋体" w:hAnsi="宋体"/>
        </w:rPr>
        <w:t>。</w:t>
      </w:r>
    </w:p>
    <w:bookmarkEnd w:id="165"/>
    <w:bookmarkEnd w:id="166"/>
    <w:bookmarkEnd w:id="167"/>
    <w:bookmarkEnd w:id="168"/>
    <w:bookmarkEnd w:id="169"/>
    <w:bookmarkEnd w:id="170"/>
    <w:bookmarkEnd w:id="171"/>
    <w:p>
      <w:pPr>
        <w:spacing w:line="488" w:lineRule="exact"/>
        <w:ind w:firstLine="480" w:firstLineChars="200"/>
        <w:rPr>
          <w:rFonts w:eastAsia="Times New Roman"/>
        </w:rPr>
      </w:pPr>
      <w:r>
        <w:rPr>
          <w:rFonts w:ascii="宋体" w:hAnsi="宋体"/>
        </w:rPr>
        <w:t xml:space="preserve">7.9 </w:t>
      </w:r>
      <w:r>
        <w:rPr>
          <w:rFonts w:hint="eastAsia" w:ascii="宋体" w:hAnsi="宋体"/>
        </w:rPr>
        <w:t>提前竣工的奖励</w:t>
      </w:r>
    </w:p>
    <w:p>
      <w:pPr>
        <w:spacing w:line="488" w:lineRule="exact"/>
        <w:ind w:firstLine="480" w:firstLineChars="200"/>
        <w:rPr>
          <w:rFonts w:eastAsia="Times New Roman"/>
        </w:rPr>
      </w:pPr>
      <w:r>
        <w:rPr>
          <w:rFonts w:ascii="宋体" w:hAnsi="宋体"/>
        </w:rPr>
        <w:t>7.9.2</w:t>
      </w:r>
      <w:r>
        <w:rPr>
          <w:rFonts w:hint="eastAsia" w:ascii="宋体" w:hAnsi="宋体"/>
        </w:rPr>
        <w:t>提前竣工的奖励：</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bookmarkStart w:id="172" w:name="_Toc351203640"/>
      <w:r>
        <w:rPr>
          <w:rFonts w:ascii="宋体" w:hAnsi="宋体"/>
        </w:rPr>
        <w:t xml:space="preserve">8. </w:t>
      </w:r>
      <w:r>
        <w:rPr>
          <w:rFonts w:hint="eastAsia" w:ascii="宋体" w:hAnsi="宋体"/>
        </w:rPr>
        <w:t>材料与设备</w:t>
      </w:r>
      <w:bookmarkEnd w:id="172"/>
    </w:p>
    <w:bookmarkEnd w:id="113"/>
    <w:bookmarkEnd w:id="114"/>
    <w:bookmarkEnd w:id="115"/>
    <w:bookmarkEnd w:id="116"/>
    <w:bookmarkEnd w:id="117"/>
    <w:bookmarkEnd w:id="118"/>
    <w:bookmarkEnd w:id="119"/>
    <w:bookmarkEnd w:id="120"/>
    <w:bookmarkEnd w:id="121"/>
    <w:bookmarkEnd w:id="122"/>
    <w:p>
      <w:pPr>
        <w:spacing w:after="120" w:line="488" w:lineRule="exact"/>
        <w:ind w:firstLine="480" w:firstLineChars="200"/>
        <w:rPr>
          <w:rFonts w:eastAsia="Times New Roman"/>
        </w:rPr>
      </w:pPr>
      <w:r>
        <w:rPr>
          <w:rFonts w:ascii="宋体" w:hAnsi="宋体"/>
        </w:rPr>
        <w:t>8</w:t>
      </w:r>
      <w:bookmarkStart w:id="173" w:name="_Toc296346668"/>
      <w:bookmarkStart w:id="174" w:name="_Toc297048353"/>
      <w:bookmarkStart w:id="175" w:name="_Toc280868654"/>
      <w:bookmarkStart w:id="176" w:name="_Toc303539136"/>
      <w:bookmarkStart w:id="177" w:name="_Toc304295556"/>
      <w:bookmarkStart w:id="178" w:name="_Toc296944506"/>
      <w:bookmarkStart w:id="179" w:name="_Toc292559372"/>
      <w:bookmarkStart w:id="180" w:name="_Toc297120467"/>
      <w:bookmarkStart w:id="181" w:name="_Toc292559877"/>
      <w:bookmarkStart w:id="182" w:name="_Toc300934979"/>
      <w:bookmarkStart w:id="183" w:name="_Toc297123527"/>
      <w:bookmarkStart w:id="184" w:name="_Toc296891207"/>
      <w:bookmarkStart w:id="185" w:name="_Toc296503167"/>
      <w:bookmarkStart w:id="186" w:name="_Toc312677493"/>
      <w:bookmarkStart w:id="187" w:name="_Toc312678019"/>
      <w:bookmarkStart w:id="188" w:name="_Toc296890995"/>
      <w:bookmarkStart w:id="189" w:name="_Toc297216186"/>
      <w:bookmarkStart w:id="190" w:name="_Toc296347166"/>
      <w:bookmarkStart w:id="191" w:name="_Toc267251424"/>
      <w:bookmarkStart w:id="192" w:name="_Toc280868655"/>
      <w:bookmarkStart w:id="193" w:name="_Toc280868656"/>
      <w:r>
        <w:rPr>
          <w:rFonts w:ascii="宋体" w:hAnsi="宋体"/>
        </w:rPr>
        <w:t>.4</w:t>
      </w:r>
      <w:r>
        <w:rPr>
          <w:rFonts w:hint="eastAsia" w:ascii="宋体" w:hAnsi="宋体"/>
        </w:rPr>
        <w:t>材料与工程设备的保管与使用</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Pr>
        <w:spacing w:line="488" w:lineRule="exact"/>
        <w:ind w:firstLine="480" w:firstLineChars="200"/>
        <w:rPr>
          <w:rFonts w:eastAsia="Times New Roman"/>
        </w:rPr>
      </w:pPr>
      <w:r>
        <w:rPr>
          <w:rFonts w:ascii="宋体" w:hAnsi="宋体"/>
        </w:rPr>
        <w:t>8</w:t>
      </w:r>
      <w:bookmarkStart w:id="194" w:name="_Toc292559373"/>
      <w:bookmarkStart w:id="195" w:name="_Toc292559878"/>
      <w:bookmarkStart w:id="196" w:name="_Toc318581173"/>
      <w:bookmarkStart w:id="197" w:name="_Toc297048354"/>
      <w:bookmarkStart w:id="198" w:name="_Toc296347167"/>
      <w:bookmarkStart w:id="199" w:name="_Toc303539137"/>
      <w:bookmarkStart w:id="200" w:name="_Toc296503168"/>
      <w:bookmarkStart w:id="201" w:name="_Toc312677494"/>
      <w:bookmarkStart w:id="202" w:name="_Toc296891208"/>
      <w:bookmarkStart w:id="203" w:name="_Toc296944507"/>
      <w:bookmarkStart w:id="204" w:name="_Toc304295557"/>
      <w:bookmarkStart w:id="205" w:name="_Toc297120468"/>
      <w:bookmarkStart w:id="206" w:name="_Toc296890996"/>
      <w:bookmarkStart w:id="207" w:name="_Toc312678020"/>
      <w:bookmarkStart w:id="208" w:name="_Toc297123528"/>
      <w:bookmarkStart w:id="209" w:name="_Toc296346669"/>
      <w:bookmarkStart w:id="210" w:name="_Toc297216187"/>
      <w:bookmarkStart w:id="211" w:name="_Toc300934980"/>
      <w:r>
        <w:rPr>
          <w:rFonts w:ascii="宋体" w:hAnsi="宋体"/>
        </w:rPr>
        <w:t>.4.1</w:t>
      </w:r>
      <w:r>
        <w:rPr>
          <w:rFonts w:hint="eastAsia" w:ascii="宋体" w:hAnsi="宋体"/>
        </w:rPr>
        <w:t>发包人供应的材料设备的保管费用的承担：</w:t>
      </w:r>
      <w:r>
        <w:rPr>
          <w:rFonts w:hint="eastAsia" w:ascii="宋体" w:hAnsi="宋体"/>
          <w:b/>
          <w:u w:val="single"/>
        </w:rPr>
        <w:t>由承包人承担</w:t>
      </w:r>
      <w:r>
        <w:rPr>
          <w:rFonts w:hint="eastAsia" w:ascii="宋体" w:hAnsi="宋体"/>
        </w:rPr>
        <w:t>。</w:t>
      </w:r>
      <w:bookmarkEnd w:id="194"/>
      <w:bookmarkEnd w:id="195"/>
    </w:p>
    <w:p>
      <w:pPr>
        <w:spacing w:line="488" w:lineRule="exact"/>
        <w:ind w:firstLine="480" w:firstLineChars="200"/>
        <w:rPr>
          <w:rFonts w:eastAsia="Times New Roman"/>
        </w:rPr>
      </w:pPr>
      <w:r>
        <w:rPr>
          <w:rFonts w:ascii="宋体" w:hAnsi="宋体"/>
        </w:rPr>
        <w:t xml:space="preserve">8.6 </w:t>
      </w:r>
      <w:r>
        <w:rPr>
          <w:rFonts w:hint="eastAsia" w:ascii="宋体" w:hAnsi="宋体"/>
        </w:rPr>
        <w:t>样品</w:t>
      </w:r>
    </w:p>
    <w:p>
      <w:pPr>
        <w:spacing w:line="488" w:lineRule="exact"/>
        <w:ind w:firstLine="480" w:firstLineChars="200"/>
        <w:rPr>
          <w:rFonts w:eastAsia="Times New Roman"/>
        </w:rPr>
      </w:pPr>
      <w:r>
        <w:rPr>
          <w:rFonts w:ascii="宋体" w:hAnsi="宋体"/>
        </w:rPr>
        <w:t xml:space="preserve">8.6.1 </w:t>
      </w:r>
      <w:r>
        <w:rPr>
          <w:rFonts w:hint="eastAsia" w:ascii="宋体" w:hAnsi="宋体"/>
        </w:rPr>
        <w:t>样品的报送与封存</w:t>
      </w:r>
    </w:p>
    <w:p>
      <w:pPr>
        <w:spacing w:line="488" w:lineRule="exact"/>
        <w:ind w:firstLine="480" w:firstLineChars="200"/>
        <w:rPr>
          <w:rFonts w:eastAsia="Times New Roman"/>
          <w:b/>
          <w:u w:val="single"/>
        </w:rPr>
      </w:pPr>
      <w:r>
        <w:rPr>
          <w:rFonts w:hint="eastAsia" w:ascii="宋体" w:hAnsi="宋体"/>
        </w:rPr>
        <w:t>需要承包人报送样品的材料或工程设备，样品的种类、名称、规格、数量要求：</w:t>
      </w:r>
      <w:r>
        <w:rPr>
          <w:rFonts w:hint="eastAsia" w:ascii="宋体" w:hAnsi="宋体"/>
          <w:b/>
          <w:u w:val="single"/>
        </w:rPr>
        <w:t>按管理部门要求和发包人需求确定</w:t>
      </w:r>
    </w:p>
    <w:p>
      <w:pPr>
        <w:spacing w:line="488" w:lineRule="exact"/>
        <w:ind w:firstLine="480" w:firstLineChars="200"/>
        <w:rPr>
          <w:rFonts w:eastAsia="Times New Roman"/>
        </w:rPr>
      </w:pPr>
      <w:r>
        <w:rPr>
          <w:rFonts w:ascii="宋体" w:hAnsi="宋体"/>
        </w:rPr>
        <w:t xml:space="preserve">8.8 </w:t>
      </w:r>
      <w:r>
        <w:rPr>
          <w:rFonts w:hint="eastAsia" w:ascii="宋体" w:hAnsi="宋体"/>
        </w:rPr>
        <w:t>施工设备和临时设施</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 xml:space="preserve">8.8.1 </w:t>
      </w:r>
      <w:r>
        <w:rPr>
          <w:rFonts w:hint="eastAsia" w:ascii="宋体" w:hAnsi="宋体"/>
        </w:rPr>
        <w:t>承包人提供的施工设备和临时设施</w:t>
      </w:r>
    </w:p>
    <w:p>
      <w:pPr>
        <w:widowControl w:val="0"/>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关于修建临时设施费用承担的约定：</w:t>
      </w:r>
      <w:r>
        <w:rPr>
          <w:rFonts w:hint="eastAsia" w:ascii="宋体" w:hAnsi="宋体"/>
          <w:b/>
          <w:u w:val="single"/>
        </w:rPr>
        <w:t>由承包人承担</w:t>
      </w:r>
      <w:r>
        <w:rPr>
          <w:rFonts w:hint="eastAsia" w:ascii="宋体" w:hAnsi="宋体"/>
        </w:rPr>
        <w:t>。</w:t>
      </w:r>
    </w:p>
    <w:bookmarkEnd w:id="191"/>
    <w:bookmarkEnd w:id="192"/>
    <w:bookmarkEnd w:id="19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Pr>
        <w:widowControl w:val="0"/>
        <w:wordWrap/>
        <w:autoSpaceDE w:val="0"/>
        <w:autoSpaceDN w:val="0"/>
        <w:adjustRightInd w:val="0"/>
        <w:snapToGrid/>
        <w:spacing w:line="360" w:lineRule="auto"/>
        <w:ind w:firstLine="480" w:firstLineChars="200"/>
        <w:textAlignment w:val="auto"/>
        <w:rPr>
          <w:rFonts w:eastAsia="Times New Roman"/>
        </w:rPr>
      </w:pPr>
      <w:bookmarkStart w:id="212" w:name="_Toc296891001"/>
      <w:bookmarkStart w:id="213" w:name="_Toc267251428"/>
      <w:bookmarkStart w:id="214" w:name="_Toc296347172"/>
      <w:bookmarkStart w:id="215" w:name="_Toc292559883"/>
      <w:bookmarkStart w:id="216" w:name="_Toc296944512"/>
      <w:bookmarkStart w:id="217" w:name="_Toc297048359"/>
      <w:bookmarkStart w:id="218" w:name="_Toc296891213"/>
      <w:bookmarkStart w:id="219" w:name="_Toc296346674"/>
      <w:bookmarkStart w:id="220" w:name="_Toc297120473"/>
      <w:bookmarkStart w:id="221" w:name="_Toc296503173"/>
      <w:bookmarkStart w:id="222" w:name="_Toc267251427"/>
      <w:bookmarkStart w:id="223" w:name="_Toc292559378"/>
      <w:bookmarkStart w:id="224" w:name="_Toc351203642"/>
      <w:r>
        <w:rPr>
          <w:rFonts w:ascii="宋体" w:hAnsi="宋体"/>
        </w:rPr>
        <w:t>1</w:t>
      </w:r>
      <w:bookmarkEnd w:id="212"/>
      <w:bookmarkEnd w:id="213"/>
      <w:bookmarkEnd w:id="214"/>
      <w:bookmarkEnd w:id="215"/>
      <w:bookmarkEnd w:id="216"/>
      <w:bookmarkEnd w:id="217"/>
      <w:bookmarkEnd w:id="218"/>
      <w:bookmarkEnd w:id="219"/>
      <w:bookmarkEnd w:id="220"/>
      <w:bookmarkEnd w:id="221"/>
      <w:bookmarkEnd w:id="222"/>
      <w:bookmarkEnd w:id="223"/>
      <w:bookmarkStart w:id="225" w:name="_Toc297120493"/>
      <w:bookmarkStart w:id="226" w:name="_Toc296891233"/>
      <w:bookmarkStart w:id="227" w:name="_Toc297216199"/>
      <w:bookmarkStart w:id="228" w:name="_Toc304295566"/>
      <w:bookmarkStart w:id="229" w:name="_Toc303539146"/>
      <w:bookmarkStart w:id="230" w:name="_Toc300934989"/>
      <w:bookmarkStart w:id="231" w:name="_Toc297048379"/>
      <w:bookmarkStart w:id="232" w:name="_Toc296891021"/>
      <w:bookmarkStart w:id="233" w:name="_Toc296944532"/>
      <w:bookmarkStart w:id="234" w:name="_Toc292559903"/>
      <w:bookmarkStart w:id="235" w:name="_Toc292559398"/>
      <w:bookmarkStart w:id="236" w:name="_Toc296346694"/>
      <w:bookmarkStart w:id="237" w:name="_Toc296347192"/>
      <w:bookmarkStart w:id="238" w:name="_Toc296503193"/>
      <w:bookmarkStart w:id="239" w:name="_Toc297123540"/>
      <w:bookmarkStart w:id="240" w:name="_Toc312678025"/>
      <w:bookmarkStart w:id="241" w:name="_Toc312677499"/>
      <w:bookmarkStart w:id="242" w:name="_Toc267251437"/>
      <w:bookmarkStart w:id="243" w:name="_Toc267251439"/>
      <w:bookmarkStart w:id="244" w:name="_Toc267251435"/>
      <w:bookmarkStart w:id="245" w:name="_Toc267251441"/>
      <w:bookmarkStart w:id="246" w:name="_Toc267251433"/>
      <w:bookmarkStart w:id="247" w:name="_Toc267251440"/>
      <w:bookmarkStart w:id="248" w:name="_Toc267251442"/>
      <w:r>
        <w:rPr>
          <w:rFonts w:ascii="宋体" w:hAnsi="宋体"/>
        </w:rPr>
        <w:t xml:space="preserve">0. </w:t>
      </w:r>
      <w:r>
        <w:rPr>
          <w:rFonts w:hint="eastAsia" w:ascii="宋体" w:hAnsi="宋体"/>
        </w:rPr>
        <w:t>变更</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bookmarkEnd w:id="240"/>
    <w:bookmarkEnd w:id="241"/>
    <w:p>
      <w:pPr>
        <w:widowControl w:val="0"/>
        <w:wordWrap/>
        <w:autoSpaceDE w:val="0"/>
        <w:autoSpaceDN w:val="0"/>
        <w:adjustRightInd w:val="0"/>
        <w:snapToGrid/>
        <w:spacing w:after="120" w:line="360" w:lineRule="auto"/>
        <w:ind w:firstLine="480" w:firstLineChars="200"/>
        <w:textAlignment w:val="auto"/>
        <w:rPr>
          <w:rFonts w:eastAsia="Times New Roman"/>
        </w:rPr>
      </w:pPr>
      <w:r>
        <w:rPr>
          <w:rFonts w:ascii="宋体" w:hAnsi="宋体"/>
        </w:rPr>
        <w:t>1</w:t>
      </w:r>
      <w:bookmarkStart w:id="249" w:name="_Toc300934990"/>
      <w:bookmarkStart w:id="250" w:name="_Toc312677500"/>
      <w:bookmarkStart w:id="251" w:name="_Toc296891234"/>
      <w:bookmarkStart w:id="252" w:name="_Toc297120494"/>
      <w:bookmarkStart w:id="253" w:name="_Toc296891022"/>
      <w:bookmarkStart w:id="254" w:name="_Toc304295567"/>
      <w:bookmarkStart w:id="255" w:name="_Toc296346695"/>
      <w:bookmarkStart w:id="256" w:name="_Toc297123541"/>
      <w:bookmarkStart w:id="257" w:name="_Toc296347193"/>
      <w:bookmarkStart w:id="258" w:name="_Toc296944533"/>
      <w:bookmarkStart w:id="259" w:name="_Toc292559904"/>
      <w:bookmarkStart w:id="260" w:name="_Toc296503194"/>
      <w:bookmarkStart w:id="261" w:name="_Toc303539147"/>
      <w:bookmarkStart w:id="262" w:name="_Toc292559399"/>
      <w:bookmarkStart w:id="263" w:name="_Toc297216200"/>
      <w:bookmarkStart w:id="264" w:name="_Toc312678026"/>
      <w:bookmarkStart w:id="265" w:name="_Toc297048380"/>
      <w:r>
        <w:rPr>
          <w:rFonts w:ascii="宋体" w:hAnsi="宋体"/>
        </w:rPr>
        <w:t>0.1</w:t>
      </w:r>
      <w:r>
        <w:rPr>
          <w:rFonts w:hint="eastAsia" w:ascii="宋体" w:hAnsi="宋体"/>
        </w:rPr>
        <w:t>变更的范围</w:t>
      </w:r>
    </w:p>
    <w:p>
      <w:pPr>
        <w:widowControl w:val="0"/>
        <w:tabs>
          <w:tab w:val="left" w:pos="435"/>
        </w:tabs>
        <w:wordWrap/>
        <w:autoSpaceDE w:val="0"/>
        <w:autoSpaceDN w:val="0"/>
        <w:adjustRightInd w:val="0"/>
        <w:snapToGrid/>
        <w:spacing w:line="360" w:lineRule="auto"/>
        <w:ind w:firstLine="540" w:firstLineChars="225"/>
        <w:textAlignment w:val="auto"/>
        <w:rPr>
          <w:rFonts w:eastAsia="Times New Roman"/>
          <w:b/>
          <w:u w:val="single"/>
        </w:rPr>
      </w:pPr>
      <w:r>
        <w:rPr>
          <w:rFonts w:hint="eastAsia" w:ascii="宋体" w:hAnsi="宋体"/>
        </w:rPr>
        <w:t>关于变更的范围的约定：</w:t>
      </w:r>
      <w:r>
        <w:rPr>
          <w:rFonts w:hint="eastAsia" w:ascii="宋体" w:hAnsi="宋体"/>
          <w:b/>
          <w:u w:val="single"/>
        </w:rPr>
        <w:t>按通用条款执行（</w:t>
      </w:r>
      <w:r>
        <w:rPr>
          <w:rFonts w:ascii="宋体" w:hAnsi="宋体"/>
          <w:b/>
          <w:u w:val="single"/>
        </w:rPr>
        <w:t>1</w:t>
      </w:r>
      <w:r>
        <w:rPr>
          <w:rFonts w:hint="eastAsia" w:ascii="宋体" w:hAnsi="宋体"/>
          <w:b/>
          <w:u w:val="single"/>
        </w:rPr>
        <w:t>）增加或减少合同中任何工作，或追加额外的工作；（</w:t>
      </w:r>
      <w:r>
        <w:rPr>
          <w:rFonts w:ascii="宋体" w:hAnsi="宋体"/>
          <w:b/>
          <w:u w:val="single"/>
        </w:rPr>
        <w:t>2</w:t>
      </w:r>
      <w:r>
        <w:rPr>
          <w:rFonts w:hint="eastAsia" w:ascii="宋体" w:hAnsi="宋体"/>
          <w:b/>
          <w:u w:val="single"/>
        </w:rPr>
        <w:t>）取消合同中任何工作，但由他人实施的工作除外；（</w:t>
      </w:r>
      <w:r>
        <w:rPr>
          <w:rFonts w:ascii="宋体" w:hAnsi="宋体"/>
          <w:b/>
          <w:u w:val="single"/>
        </w:rPr>
        <w:t>3</w:t>
      </w:r>
      <w:r>
        <w:rPr>
          <w:rFonts w:hint="eastAsia" w:ascii="宋体" w:hAnsi="宋体"/>
          <w:b/>
          <w:u w:val="single"/>
        </w:rPr>
        <w:t>）改变合同中任何工作的质量标准或其他特性；（</w:t>
      </w:r>
      <w:r>
        <w:rPr>
          <w:rFonts w:ascii="宋体" w:hAnsi="宋体"/>
          <w:b/>
          <w:u w:val="single"/>
        </w:rPr>
        <w:t>4</w:t>
      </w:r>
      <w:r>
        <w:rPr>
          <w:rFonts w:hint="eastAsia" w:ascii="宋体" w:hAnsi="宋体"/>
          <w:b/>
          <w:u w:val="single"/>
        </w:rPr>
        <w:t>）改变工程的基线、标高、位置和尺寸；（</w:t>
      </w:r>
      <w:r>
        <w:rPr>
          <w:rFonts w:ascii="宋体" w:hAnsi="宋体"/>
          <w:b/>
          <w:u w:val="single"/>
        </w:rPr>
        <w:t>5</w:t>
      </w:r>
      <w:r>
        <w:rPr>
          <w:rFonts w:hint="eastAsia" w:ascii="宋体" w:hAnsi="宋体"/>
          <w:b/>
          <w:u w:val="single"/>
        </w:rPr>
        <w:t>）改变工程的时间安排或实施顺序。</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 xml:space="preserve">10.4 </w:t>
      </w:r>
      <w:r>
        <w:rPr>
          <w:rFonts w:hint="eastAsia" w:ascii="宋体" w:hAnsi="宋体"/>
        </w:rPr>
        <w:t>变更估价</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 xml:space="preserve">10.4.1 </w:t>
      </w:r>
      <w:r>
        <w:rPr>
          <w:rFonts w:hint="eastAsia" w:ascii="宋体" w:hAnsi="宋体"/>
        </w:rPr>
        <w:t>变更估价原则</w:t>
      </w:r>
    </w:p>
    <w:p>
      <w:pPr>
        <w:widowControl w:val="0"/>
        <w:wordWrap/>
        <w:autoSpaceDE w:val="0"/>
        <w:autoSpaceDN w:val="0"/>
        <w:adjustRightInd w:val="0"/>
        <w:snapToGrid/>
        <w:spacing w:line="360" w:lineRule="auto"/>
        <w:ind w:firstLine="480" w:firstLineChars="200"/>
        <w:textAlignment w:val="auto"/>
        <w:rPr>
          <w:rFonts w:eastAsia="Times New Roman"/>
          <w:b/>
          <w:u w:val="single"/>
        </w:rPr>
      </w:pPr>
      <w:r>
        <w:rPr>
          <w:rFonts w:hint="eastAsia" w:ascii="宋体" w:hAnsi="宋体"/>
        </w:rPr>
        <w:t>关于变更估价的约定</w:t>
      </w:r>
      <w:r>
        <w:rPr>
          <w:rFonts w:ascii="宋体" w:hAnsi="宋体"/>
        </w:rPr>
        <w:t>:</w:t>
      </w:r>
      <w:r>
        <w:rPr>
          <w:rFonts w:hint="eastAsia" w:ascii="宋体" w:hAnsi="宋体"/>
          <w:b/>
          <w:u w:val="single"/>
        </w:rPr>
        <w:t>按通用条款执行</w:t>
      </w:r>
      <w:r>
        <w:rPr>
          <w:rFonts w:ascii="宋体" w:hAnsi="宋体"/>
        </w:rPr>
        <w:t xml:space="preserve"> </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1</w:t>
      </w:r>
      <w:bookmarkStart w:id="266" w:name="_Toc297216207"/>
      <w:bookmarkStart w:id="267" w:name="_Toc296347198"/>
      <w:bookmarkStart w:id="268" w:name="_Toc296346700"/>
      <w:bookmarkStart w:id="269" w:name="_Toc297048385"/>
      <w:bookmarkStart w:id="270" w:name="_Toc297123548"/>
      <w:bookmarkStart w:id="271" w:name="_Toc292559909"/>
      <w:bookmarkStart w:id="272" w:name="_Toc312678033"/>
      <w:bookmarkStart w:id="273" w:name="_Toc296891027"/>
      <w:bookmarkStart w:id="274" w:name="_Toc296891239"/>
      <w:bookmarkStart w:id="275" w:name="_Toc292559404"/>
      <w:bookmarkStart w:id="276" w:name="_Toc296503199"/>
      <w:bookmarkStart w:id="277" w:name="_Toc300934997"/>
      <w:bookmarkStart w:id="278" w:name="_Toc296944538"/>
      <w:bookmarkStart w:id="279" w:name="_Toc303539154"/>
      <w:bookmarkStart w:id="280" w:name="_Toc304295574"/>
      <w:bookmarkStart w:id="281" w:name="_Toc297120499"/>
      <w:bookmarkStart w:id="282" w:name="_Toc312677507"/>
      <w:r>
        <w:rPr>
          <w:rFonts w:ascii="宋体" w:hAnsi="宋体"/>
        </w:rPr>
        <w:t xml:space="preserve">0.7 </w:t>
      </w:r>
      <w:r>
        <w:rPr>
          <w:rFonts w:hint="eastAsia" w:ascii="宋体" w:hAnsi="宋体"/>
        </w:rPr>
        <w:t>暂估价</w:t>
      </w:r>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Pr>
        <w:widowControl w:val="0"/>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暂</w:t>
      </w:r>
      <w:bookmarkStart w:id="283" w:name="_Toc312677508"/>
      <w:bookmarkStart w:id="284" w:name="_Toc318581176"/>
      <w:bookmarkStart w:id="285" w:name="_Toc312678034"/>
      <w:r>
        <w:rPr>
          <w:rFonts w:hint="eastAsia" w:ascii="宋体" w:hAnsi="宋体"/>
        </w:rPr>
        <w:t>估价材料和工程设备的明细详见附件</w:t>
      </w:r>
      <w:r>
        <w:rPr>
          <w:rFonts w:ascii="宋体" w:hAnsi="宋体"/>
        </w:rPr>
        <w:t>11</w:t>
      </w:r>
      <w:r>
        <w:rPr>
          <w:rFonts w:hint="eastAsia" w:ascii="宋体" w:hAnsi="宋体"/>
        </w:rPr>
        <w:t>：《暂估价一览表》。</w:t>
      </w:r>
    </w:p>
    <w:bookmarkEnd w:id="283"/>
    <w:bookmarkEnd w:id="284"/>
    <w:bookmarkEnd w:id="285"/>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1</w:t>
      </w:r>
      <w:bookmarkStart w:id="286" w:name="_Toc312677509"/>
      <w:bookmarkStart w:id="287" w:name="_Toc312678035"/>
      <w:bookmarkStart w:id="288" w:name="_Toc318581177"/>
      <w:r>
        <w:rPr>
          <w:rFonts w:ascii="宋体" w:hAnsi="宋体"/>
        </w:rPr>
        <w:t xml:space="preserve">0.7.1 </w:t>
      </w:r>
      <w:r>
        <w:rPr>
          <w:rFonts w:hint="eastAsia" w:ascii="宋体" w:hAnsi="宋体"/>
        </w:rPr>
        <w:t>依法必须招标的暂估价项目</w:t>
      </w:r>
    </w:p>
    <w:bookmarkEnd w:id="286"/>
    <w:bookmarkEnd w:id="287"/>
    <w:bookmarkEnd w:id="288"/>
    <w:p>
      <w:pPr>
        <w:widowControl w:val="0"/>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对于依法必须招标的暂估价项目的确认和批准采取第</w:t>
      </w:r>
      <w:r>
        <w:rPr>
          <w:rFonts w:ascii="宋体" w:hAnsi="宋体"/>
          <w:u w:val="single"/>
        </w:rPr>
        <w:t>/</w:t>
      </w:r>
      <w:r>
        <w:rPr>
          <w:rFonts w:hint="eastAsia" w:ascii="宋体" w:hAnsi="宋体"/>
        </w:rPr>
        <w:t>种方式确定。</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 xml:space="preserve">10.7.2 </w:t>
      </w:r>
      <w:r>
        <w:rPr>
          <w:rFonts w:hint="eastAsia" w:ascii="宋体" w:hAnsi="宋体"/>
        </w:rPr>
        <w:t>不属于依法必须招标的暂估价项目</w:t>
      </w:r>
    </w:p>
    <w:p>
      <w:pPr>
        <w:widowControl w:val="0"/>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对于不属于依法必须招标的暂估价项目的确认和批准采取第</w:t>
      </w:r>
      <w:r>
        <w:rPr>
          <w:rFonts w:ascii="宋体" w:hAnsi="宋体"/>
          <w:u w:val="single"/>
        </w:rPr>
        <w:t xml:space="preserve">  /</w:t>
      </w:r>
      <w:r>
        <w:rPr>
          <w:rFonts w:hint="eastAsia" w:ascii="宋体" w:hAnsi="宋体"/>
        </w:rPr>
        <w:t>种方式确定。</w:t>
      </w:r>
    </w:p>
    <w:p>
      <w:pPr>
        <w:widowControl w:val="0"/>
        <w:wordWrap/>
        <w:autoSpaceDE w:val="0"/>
        <w:autoSpaceDN w:val="0"/>
        <w:adjustRightInd w:val="0"/>
        <w:snapToGrid/>
        <w:spacing w:after="120" w:line="360" w:lineRule="auto"/>
        <w:ind w:firstLine="480" w:firstLineChars="200"/>
        <w:textAlignment w:val="auto"/>
        <w:rPr>
          <w:rFonts w:eastAsia="Times New Roman"/>
        </w:rPr>
      </w:pPr>
      <w:r>
        <w:rPr>
          <w:rFonts w:ascii="宋体" w:hAnsi="宋体"/>
        </w:rPr>
        <w:t xml:space="preserve">10.8 </w:t>
      </w:r>
      <w:r>
        <w:rPr>
          <w:rFonts w:hint="eastAsia" w:ascii="宋体" w:hAnsi="宋体"/>
        </w:rPr>
        <w:t>暂列金额</w:t>
      </w:r>
    </w:p>
    <w:p>
      <w:pPr>
        <w:widowControl w:val="0"/>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合同当事人关于暂列金额使用的约定：</w:t>
      </w:r>
      <w:r>
        <w:rPr>
          <w:rFonts w:hint="eastAsia" w:ascii="宋体" w:hAnsi="宋体"/>
          <w:b/>
          <w:u w:val="single"/>
        </w:rPr>
        <w:t>执行通用条款</w:t>
      </w:r>
      <w:r>
        <w:rPr>
          <w:rFonts w:hint="eastAsia" w:ascii="宋体" w:hAnsi="宋体"/>
        </w:rPr>
        <w:t>。</w:t>
      </w:r>
    </w:p>
    <w:p>
      <w:pPr>
        <w:spacing w:line="488" w:lineRule="exact"/>
        <w:ind w:firstLine="480" w:firstLineChars="200"/>
        <w:rPr>
          <w:rFonts w:eastAsia="Times New Roman"/>
        </w:rPr>
      </w:pPr>
      <w:bookmarkStart w:id="289" w:name="_Toc351203643"/>
      <w:r>
        <w:rPr>
          <w:rFonts w:ascii="宋体" w:hAnsi="宋体"/>
        </w:rPr>
        <w:t xml:space="preserve">11. </w:t>
      </w:r>
      <w:r>
        <w:rPr>
          <w:rFonts w:hint="eastAsia" w:ascii="宋体" w:hAnsi="宋体"/>
        </w:rPr>
        <w:t>价格调整</w:t>
      </w:r>
      <w:bookmarkEnd w:id="289"/>
    </w:p>
    <w:p>
      <w:pPr>
        <w:spacing w:after="120" w:line="488" w:lineRule="exact"/>
        <w:ind w:firstLine="480" w:firstLineChars="200"/>
        <w:rPr>
          <w:rFonts w:eastAsia="Times New Roman"/>
        </w:rPr>
      </w:pPr>
      <w:bookmarkStart w:id="290" w:name="_Toc296891241"/>
      <w:bookmarkStart w:id="291" w:name="_Toc300935000"/>
      <w:bookmarkStart w:id="292" w:name="_Toc296347200"/>
      <w:bookmarkStart w:id="293" w:name="_Toc292559911"/>
      <w:bookmarkStart w:id="294" w:name="_Toc292559406"/>
      <w:bookmarkStart w:id="295" w:name="_Toc296944540"/>
      <w:bookmarkStart w:id="296" w:name="_Toc297120501"/>
      <w:bookmarkStart w:id="297" w:name="_Toc296891029"/>
      <w:bookmarkStart w:id="298" w:name="_Toc312678039"/>
      <w:bookmarkStart w:id="299" w:name="_Toc297216209"/>
      <w:bookmarkStart w:id="300" w:name="_Toc297048387"/>
      <w:bookmarkStart w:id="301" w:name="_Toc296346702"/>
      <w:bookmarkStart w:id="302" w:name="_Toc297123550"/>
      <w:bookmarkStart w:id="303" w:name="_Toc303539157"/>
      <w:bookmarkStart w:id="304" w:name="_Toc304295577"/>
      <w:bookmarkStart w:id="305" w:name="_Toc296503201"/>
      <w:r>
        <w:rPr>
          <w:rFonts w:ascii="宋体" w:hAnsi="宋体"/>
        </w:rPr>
        <w:t xml:space="preserve">11.1 </w:t>
      </w:r>
      <w:r>
        <w:rPr>
          <w:rFonts w:hint="eastAsia" w:ascii="宋体" w:hAnsi="宋体"/>
        </w:rPr>
        <w:t>市场价格波动引起的调整</w:t>
      </w:r>
    </w:p>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Pr>
        <w:spacing w:line="488" w:lineRule="exact"/>
        <w:ind w:firstLine="480" w:firstLineChars="200"/>
        <w:rPr>
          <w:rFonts w:eastAsia="Times New Roman"/>
        </w:rPr>
      </w:pPr>
      <w:r>
        <w:rPr>
          <w:rFonts w:hint="eastAsia" w:ascii="宋体" w:hAnsi="宋体"/>
        </w:rPr>
        <w:t>市场价格波动是否调整合同价格的约定：</w:t>
      </w:r>
      <w:r>
        <w:rPr>
          <w:rFonts w:hint="eastAsia" w:ascii="宋体" w:hAnsi="宋体"/>
          <w:b/>
          <w:u w:val="single"/>
        </w:rPr>
        <w:t xml:space="preserve">不调整  </w:t>
      </w:r>
      <w:r>
        <w:rPr>
          <w:rFonts w:hint="eastAsia" w:ascii="宋体" w:hAnsi="宋体"/>
        </w:rPr>
        <w:t>。</w:t>
      </w:r>
    </w:p>
    <w:p>
      <w:pPr>
        <w:spacing w:line="488" w:lineRule="exact"/>
        <w:ind w:firstLine="480" w:firstLineChars="200"/>
        <w:rPr>
          <w:rFonts w:eastAsia="Times New Roman"/>
        </w:rPr>
      </w:pPr>
      <w:r>
        <w:rPr>
          <w:rFonts w:hint="eastAsia" w:ascii="宋体" w:hAnsi="宋体"/>
        </w:rPr>
        <w:t>因市场价格波动调整合同价格，采用以下第</w:t>
      </w:r>
      <w:r>
        <w:rPr>
          <w:rFonts w:ascii="宋体" w:hAnsi="宋体"/>
          <w:b/>
          <w:u w:val="single"/>
        </w:rPr>
        <w:t xml:space="preserve">/ </w:t>
      </w:r>
      <w:r>
        <w:rPr>
          <w:rFonts w:hint="eastAsia" w:ascii="宋体" w:hAnsi="宋体"/>
        </w:rPr>
        <w:t>种方式对合同价格进行调整：</w:t>
      </w:r>
    </w:p>
    <w:p>
      <w:pPr>
        <w:spacing w:line="488" w:lineRule="exact"/>
        <w:ind w:firstLine="480" w:firstLineChars="200"/>
        <w:rPr>
          <w:rFonts w:eastAsia="Times New Roman"/>
        </w:rPr>
      </w:pPr>
      <w:r>
        <w:rPr>
          <w:rFonts w:hint="eastAsia" w:ascii="宋体" w:hAnsi="宋体"/>
        </w:rPr>
        <w:t>第</w:t>
      </w:r>
      <w:r>
        <w:rPr>
          <w:rFonts w:ascii="宋体" w:hAnsi="宋体"/>
        </w:rPr>
        <w:t>1</w:t>
      </w:r>
      <w:r>
        <w:rPr>
          <w:rFonts w:hint="eastAsia" w:ascii="宋体" w:hAnsi="宋体"/>
        </w:rPr>
        <w:t>种方式：采用价格指数进行价格调整。</w:t>
      </w:r>
    </w:p>
    <w:p>
      <w:pPr>
        <w:spacing w:line="488" w:lineRule="exact"/>
        <w:ind w:firstLine="480" w:firstLineChars="200"/>
        <w:rPr>
          <w:rFonts w:eastAsia="Times New Roman"/>
          <w:u w:val="single"/>
        </w:rPr>
      </w:pPr>
      <w:r>
        <w:rPr>
          <w:rFonts w:hint="eastAsia" w:ascii="宋体" w:hAnsi="宋体"/>
        </w:rPr>
        <w:t>关于各可调因子、定值和变值权重，以及基本价格指数及其来源的约定</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hint="eastAsia" w:ascii="宋体" w:hAnsi="宋体"/>
        </w:rPr>
        <w:t>第</w:t>
      </w:r>
      <w:r>
        <w:rPr>
          <w:rFonts w:ascii="宋体" w:hAnsi="宋体"/>
        </w:rPr>
        <w:t>2</w:t>
      </w:r>
      <w:r>
        <w:rPr>
          <w:rFonts w:hint="eastAsia" w:ascii="宋体" w:hAnsi="宋体"/>
        </w:rPr>
        <w:t>种方式：采用造价信息进行价格调整。</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）关于基准价格的约定：</w:t>
      </w:r>
      <w:r>
        <w:rPr>
          <w:rFonts w:ascii="宋体" w:hAnsi="宋体"/>
          <w:b/>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专用合同条款①承包人在已标价工程量清单或预算书中载明的材料单价低于基准价格的：专用合同条款合同履行期间材料单价涨幅以基准价格为基础超过</w:t>
      </w:r>
      <w:r>
        <w:rPr>
          <w:rFonts w:ascii="宋体" w:hAnsi="宋体"/>
          <w:b/>
          <w:u w:val="single"/>
        </w:rPr>
        <w:t>/</w:t>
      </w:r>
      <w:r>
        <w:rPr>
          <w:rFonts w:hint="eastAsia" w:ascii="宋体" w:hAnsi="宋体"/>
        </w:rPr>
        <w:t>或材料单价跌幅以已标价工程量清单或预算书中载明材料单价为基础超过</w:t>
      </w:r>
      <w:r>
        <w:rPr>
          <w:rFonts w:ascii="宋体" w:hAnsi="宋体"/>
          <w:b/>
          <w:u w:val="single"/>
        </w:rPr>
        <w:t>/</w:t>
      </w:r>
      <w:r>
        <w:rPr>
          <w:rFonts w:hint="eastAsia" w:ascii="宋体" w:hAnsi="宋体"/>
        </w:rPr>
        <w:t>时，其超过部分据实调整。</w:t>
      </w:r>
    </w:p>
    <w:p>
      <w:pPr>
        <w:spacing w:line="488" w:lineRule="exact"/>
        <w:ind w:firstLine="480" w:firstLineChars="200"/>
        <w:rPr>
          <w:rFonts w:eastAsia="Times New Roman"/>
        </w:rPr>
      </w:pPr>
      <w:r>
        <w:rPr>
          <w:rFonts w:hint="eastAsia" w:ascii="宋体" w:hAnsi="宋体"/>
        </w:rPr>
        <w:t>②承包人在已标价工程量清单或预算书中载明的材料单价高于基准价格的：专用合同条款合同履行期间材料单价跌幅以基准价格为基础超过</w:t>
      </w:r>
      <w:r>
        <w:rPr>
          <w:rFonts w:ascii="宋体" w:hAnsi="宋体"/>
          <w:b/>
          <w:u w:val="single"/>
        </w:rPr>
        <w:t>/</w:t>
      </w:r>
      <w:r>
        <w:rPr>
          <w:rFonts w:hint="eastAsia" w:ascii="宋体" w:hAnsi="宋体"/>
        </w:rPr>
        <w:t>时，材料单价涨幅以已标价工程量清单或预算书中载明材料单价为基础超过</w:t>
      </w:r>
      <w:r>
        <w:rPr>
          <w:rFonts w:ascii="宋体" w:hAnsi="宋体"/>
          <w:b/>
          <w:u w:val="single"/>
        </w:rPr>
        <w:t>/</w:t>
      </w:r>
      <w:r>
        <w:rPr>
          <w:rFonts w:hint="eastAsia" w:ascii="宋体" w:hAnsi="宋体"/>
        </w:rPr>
        <w:t>时，其超过部分据实调整。</w:t>
      </w:r>
    </w:p>
    <w:p>
      <w:pPr>
        <w:spacing w:line="488" w:lineRule="exact"/>
        <w:ind w:firstLine="645"/>
        <w:rPr>
          <w:rFonts w:eastAsia="Times New Roman"/>
        </w:rPr>
      </w:pPr>
      <w:r>
        <w:rPr>
          <w:rFonts w:hint="eastAsia" w:ascii="宋体" w:hAnsi="宋体"/>
        </w:rPr>
        <w:t>③承包人在已标价工程量清单或预算书中载明的材料单价等于基准单价的：专用合同条款合同履行期间材料单价涨跌幅以基准单价为基础超过</w:t>
      </w:r>
      <w:r>
        <w:rPr>
          <w:rFonts w:hint="eastAsia"/>
        </w:rPr>
        <w:t>±</w:t>
      </w:r>
      <w:r>
        <w:rPr>
          <w:rFonts w:ascii="宋体" w:hAnsi="宋体"/>
          <w:b/>
          <w:u w:val="single"/>
        </w:rPr>
        <w:t>/</w:t>
      </w:r>
      <w:r>
        <w:rPr>
          <w:rFonts w:hint="eastAsia" w:ascii="宋体" w:hAnsi="宋体"/>
        </w:rPr>
        <w:t>时，其超过部分据实调整。</w:t>
      </w:r>
    </w:p>
    <w:p>
      <w:pPr>
        <w:spacing w:line="480" w:lineRule="exact"/>
        <w:ind w:firstLine="480" w:firstLineChars="200"/>
        <w:rPr>
          <w:rFonts w:hint="default" w:eastAsia="宋体"/>
          <w:b/>
          <w:bCs/>
          <w:lang w:val="en-US" w:eastAsia="zh-CN"/>
        </w:rPr>
      </w:pPr>
      <w:r>
        <w:rPr>
          <w:rFonts w:hint="eastAsia" w:ascii="宋体" w:hAnsi="宋体"/>
        </w:rPr>
        <w:t>第</w:t>
      </w:r>
      <w:r>
        <w:rPr>
          <w:rFonts w:ascii="宋体" w:hAnsi="宋体"/>
        </w:rPr>
        <w:t>3</w:t>
      </w:r>
      <w:r>
        <w:rPr>
          <w:rFonts w:hint="eastAsia" w:ascii="宋体" w:hAnsi="宋体"/>
        </w:rPr>
        <w:t>种方式：其他价格调整方式</w:t>
      </w:r>
      <w:r>
        <w:rPr>
          <w:rFonts w:hint="eastAsia" w:ascii="宋体" w:hAnsi="宋体"/>
          <w:u w:val="single"/>
        </w:rPr>
        <w:t>：</w:t>
      </w:r>
      <w:r>
        <w:rPr>
          <w:rFonts w:hint="eastAsia" w:ascii="宋体" w:hAnsi="宋体"/>
          <w:b/>
          <w:bCs/>
          <w:u w:val="single"/>
        </w:rPr>
        <w:t>无</w:t>
      </w:r>
      <w:r>
        <w:rPr>
          <w:rFonts w:hint="eastAsia" w:ascii="宋体" w:hAnsi="宋体"/>
          <w:b/>
          <w:bCs/>
          <w:u w:val="single"/>
          <w:lang w:val="en-US" w:eastAsia="zh-CN"/>
        </w:rPr>
        <w:t xml:space="preserve">  </w:t>
      </w:r>
    </w:p>
    <w:p>
      <w:pPr>
        <w:spacing w:line="480" w:lineRule="exact"/>
        <w:ind w:firstLine="480" w:firstLineChars="200"/>
        <w:rPr>
          <w:rFonts w:eastAsia="Times New Roman"/>
        </w:rPr>
      </w:pPr>
      <w:r>
        <w:rPr>
          <w:rFonts w:ascii="宋体" w:hAnsi="宋体"/>
        </w:rPr>
        <w:t>11.2</w:t>
      </w:r>
      <w:r>
        <w:rPr>
          <w:rFonts w:hint="eastAsia" w:ascii="宋体" w:hAnsi="宋体"/>
        </w:rPr>
        <w:t>双方约定合同价款的其他调整因素：</w:t>
      </w:r>
      <w:r>
        <w:rPr>
          <w:rFonts w:hint="eastAsia" w:ascii="宋体" w:hAnsi="宋体"/>
          <w:b/>
          <w:bCs/>
          <w:u w:val="single"/>
        </w:rPr>
        <w:t>无</w:t>
      </w:r>
      <w:r>
        <w:rPr>
          <w:rFonts w:hint="eastAsia" w:ascii="宋体" w:hAnsi="宋体"/>
          <w:b/>
          <w:bCs/>
          <w:u w:val="single"/>
          <w:lang w:val="en-US" w:eastAsia="zh-CN"/>
        </w:rPr>
        <w:t xml:space="preserve"> </w:t>
      </w:r>
      <w:r>
        <w:rPr>
          <w:rFonts w:hint="eastAsia" w:ascii="宋体" w:hAnsi="宋体"/>
        </w:rPr>
        <w:t>。</w:t>
      </w:r>
    </w:p>
    <w:bookmarkEnd w:id="242"/>
    <w:bookmarkEnd w:id="243"/>
    <w:bookmarkEnd w:id="244"/>
    <w:bookmarkEnd w:id="245"/>
    <w:bookmarkEnd w:id="246"/>
    <w:bookmarkEnd w:id="247"/>
    <w:p>
      <w:pPr>
        <w:spacing w:line="480" w:lineRule="exact"/>
        <w:ind w:firstLine="480" w:firstLineChars="200"/>
        <w:rPr>
          <w:rFonts w:eastAsia="Times New Roman"/>
        </w:rPr>
      </w:pPr>
      <w:bookmarkStart w:id="306" w:name="_Toc296346706"/>
      <w:bookmarkStart w:id="307" w:name="_Toc292559410"/>
      <w:bookmarkStart w:id="308" w:name="_Toc297120505"/>
      <w:bookmarkStart w:id="309" w:name="_Toc296347204"/>
      <w:bookmarkStart w:id="310" w:name="_Toc296944544"/>
      <w:bookmarkStart w:id="311" w:name="_Toc296891033"/>
      <w:bookmarkStart w:id="312" w:name="_Toc296503205"/>
      <w:bookmarkStart w:id="313" w:name="_Toc292559915"/>
      <w:bookmarkStart w:id="314" w:name="_Toc296891245"/>
      <w:bookmarkStart w:id="315" w:name="_Toc297048391"/>
      <w:bookmarkStart w:id="316" w:name="_Toc351203644"/>
      <w:bookmarkStart w:id="317" w:name="_Toc303539159"/>
      <w:bookmarkStart w:id="318" w:name="_Toc304295579"/>
      <w:bookmarkStart w:id="319" w:name="_Toc297216211"/>
      <w:bookmarkStart w:id="320" w:name="_Toc300935002"/>
      <w:bookmarkStart w:id="321" w:name="_Toc312678040"/>
      <w:bookmarkStart w:id="322" w:name="_Toc297123552"/>
      <w:r>
        <w:rPr>
          <w:rFonts w:ascii="宋体" w:hAnsi="宋体"/>
        </w:rPr>
        <w:t xml:space="preserve">12. </w:t>
      </w:r>
      <w:bookmarkEnd w:id="306"/>
      <w:bookmarkEnd w:id="307"/>
      <w:bookmarkEnd w:id="308"/>
      <w:bookmarkEnd w:id="309"/>
      <w:bookmarkEnd w:id="310"/>
      <w:bookmarkEnd w:id="311"/>
      <w:bookmarkEnd w:id="312"/>
      <w:bookmarkEnd w:id="313"/>
      <w:bookmarkEnd w:id="314"/>
      <w:bookmarkEnd w:id="315"/>
      <w:r>
        <w:rPr>
          <w:rFonts w:hint="eastAsia" w:ascii="宋体" w:hAnsi="宋体"/>
        </w:rPr>
        <w:t>合同价格、计量与支付</w:t>
      </w:r>
      <w:bookmarkEnd w:id="316"/>
    </w:p>
    <w:bookmarkEnd w:id="317"/>
    <w:bookmarkEnd w:id="318"/>
    <w:bookmarkEnd w:id="319"/>
    <w:bookmarkEnd w:id="320"/>
    <w:bookmarkEnd w:id="321"/>
    <w:bookmarkEnd w:id="322"/>
    <w:p>
      <w:pPr>
        <w:spacing w:line="480" w:lineRule="exact"/>
        <w:ind w:firstLine="480" w:firstLineChars="200"/>
        <w:rPr>
          <w:rFonts w:ascii="宋体" w:eastAsia="Times New Roman"/>
        </w:rPr>
      </w:pPr>
      <w:bookmarkStart w:id="323" w:name="_Toc267251461"/>
      <w:bookmarkStart w:id="324" w:name="_Toc292559916"/>
      <w:bookmarkStart w:id="325" w:name="_Toc292559411"/>
      <w:bookmarkStart w:id="326" w:name="_Toc296891246"/>
      <w:bookmarkStart w:id="327" w:name="_Toc297120506"/>
      <w:bookmarkStart w:id="328" w:name="_Toc296347205"/>
      <w:bookmarkStart w:id="329" w:name="_Toc296944545"/>
      <w:bookmarkStart w:id="330" w:name="_Toc296503206"/>
      <w:bookmarkStart w:id="331" w:name="_Toc296346707"/>
      <w:bookmarkStart w:id="332" w:name="_Toc296891034"/>
      <w:bookmarkStart w:id="333" w:name="_Toc297048392"/>
      <w:bookmarkStart w:id="334" w:name="_Toc297123553"/>
      <w:bookmarkStart w:id="335" w:name="_Toc297216212"/>
      <w:bookmarkStart w:id="336" w:name="_Toc300935003"/>
      <w:bookmarkStart w:id="337" w:name="_Toc312678041"/>
      <w:bookmarkStart w:id="338" w:name="_Toc304295580"/>
      <w:bookmarkStart w:id="339" w:name="_Toc303539160"/>
      <w:r>
        <w:rPr>
          <w:rFonts w:ascii="宋体" w:hAnsi="宋体"/>
        </w:rPr>
        <w:t xml:space="preserve">12.1 </w:t>
      </w:r>
      <w:r>
        <w:rPr>
          <w:rFonts w:hint="eastAsia" w:ascii="宋体" w:hAnsi="宋体"/>
        </w:rPr>
        <w:t>合</w:t>
      </w:r>
      <w:bookmarkEnd w:id="323"/>
      <w:bookmarkEnd w:id="324"/>
      <w:bookmarkEnd w:id="325"/>
      <w:r>
        <w:rPr>
          <w:rFonts w:hint="eastAsia" w:ascii="宋体" w:hAnsi="宋体"/>
        </w:rPr>
        <w:t>同价</w:t>
      </w:r>
      <w:bookmarkEnd w:id="326"/>
      <w:bookmarkEnd w:id="327"/>
      <w:bookmarkEnd w:id="328"/>
      <w:bookmarkEnd w:id="329"/>
      <w:bookmarkEnd w:id="330"/>
      <w:bookmarkEnd w:id="331"/>
      <w:bookmarkEnd w:id="332"/>
      <w:bookmarkEnd w:id="333"/>
      <w:r>
        <w:rPr>
          <w:rFonts w:hint="eastAsia" w:ascii="宋体" w:hAnsi="宋体"/>
        </w:rPr>
        <w:t>格形式</w:t>
      </w:r>
    </w:p>
    <w:bookmarkEnd w:id="334"/>
    <w:bookmarkEnd w:id="335"/>
    <w:bookmarkEnd w:id="336"/>
    <w:bookmarkEnd w:id="337"/>
    <w:bookmarkEnd w:id="338"/>
    <w:bookmarkEnd w:id="339"/>
    <w:p>
      <w:pPr>
        <w:spacing w:line="480" w:lineRule="exact"/>
        <w:ind w:firstLine="480" w:firstLineChars="200"/>
        <w:rPr>
          <w:rFonts w:ascii="宋体" w:eastAsia="Times New Roman"/>
        </w:rPr>
      </w:pPr>
      <w:r>
        <w:rPr>
          <w:rFonts w:ascii="宋体" w:hAnsi="宋体"/>
        </w:rPr>
        <w:t>1</w:t>
      </w:r>
      <w:r>
        <w:rPr>
          <w:rFonts w:hint="eastAsia" w:ascii="宋体" w:hAnsi="宋体"/>
        </w:rPr>
        <w:t>、单价合同。</w:t>
      </w:r>
    </w:p>
    <w:p>
      <w:pPr>
        <w:spacing w:before="240" w:line="320" w:lineRule="exact"/>
        <w:ind w:firstLine="360" w:firstLineChars="150"/>
        <w:rPr>
          <w:rFonts w:ascii="宋体" w:eastAsia="Times New Roman"/>
          <w:b/>
          <w:u w:val="single"/>
        </w:rPr>
      </w:pPr>
      <w:r>
        <w:rPr>
          <w:rFonts w:hint="eastAsia" w:ascii="宋体" w:hAnsi="宋体"/>
        </w:rPr>
        <w:t>综合单价包含的风险范围：</w:t>
      </w:r>
      <w:r>
        <w:rPr>
          <w:rFonts w:ascii="宋体" w:hAnsi="宋体"/>
          <w:b/>
          <w:u w:val="single"/>
        </w:rPr>
        <w:t>/</w:t>
      </w:r>
    </w:p>
    <w:p>
      <w:pPr>
        <w:spacing w:line="480" w:lineRule="exact"/>
        <w:ind w:firstLine="360" w:firstLineChars="150"/>
        <w:rPr>
          <w:rFonts w:ascii="宋体"/>
          <w:b/>
          <w:u w:val="single"/>
        </w:rPr>
      </w:pPr>
      <w:r>
        <w:rPr>
          <w:rFonts w:hint="eastAsia" w:ascii="宋体" w:hAnsi="宋体"/>
        </w:rPr>
        <w:t>风险费用的计算方法：</w:t>
      </w:r>
      <w:r>
        <w:rPr>
          <w:rFonts w:ascii="宋体" w:hAnsi="宋体"/>
          <w:b/>
          <w:u w:val="single"/>
        </w:rPr>
        <w:t xml:space="preserve">/ </w:t>
      </w:r>
    </w:p>
    <w:p>
      <w:pPr>
        <w:spacing w:line="488" w:lineRule="exact"/>
        <w:ind w:firstLine="480" w:firstLineChars="200"/>
        <w:rPr>
          <w:rFonts w:hint="eastAsia" w:ascii="宋体" w:hAnsi="宋体" w:eastAsia="宋体"/>
          <w:b/>
          <w:u w:val="single"/>
          <w:lang w:val="en-US" w:eastAsia="zh-CN"/>
        </w:rPr>
      </w:pPr>
      <w:r>
        <w:rPr>
          <w:rFonts w:hint="eastAsia" w:ascii="宋体" w:hAnsi="宋体"/>
        </w:rPr>
        <w:t>风险范围以外合同价格的调整方法：</w:t>
      </w:r>
      <w:r>
        <w:rPr>
          <w:rFonts w:hint="eastAsia" w:ascii="宋体" w:hAnsi="宋体"/>
          <w:u w:val="single"/>
          <w:lang w:val="en-US" w:eastAsia="zh-CN"/>
        </w:rPr>
        <w:t xml:space="preserve"> </w:t>
      </w:r>
      <w:r>
        <w:rPr>
          <w:rFonts w:ascii="宋体" w:hAnsi="宋体"/>
          <w:b/>
          <w:u w:val="single"/>
        </w:rPr>
        <w:t>/</w:t>
      </w:r>
      <w:r>
        <w:rPr>
          <w:rFonts w:hint="eastAsia" w:ascii="宋体" w:hAnsi="宋体"/>
          <w:b/>
          <w:u w:val="single"/>
          <w:lang w:val="en-US" w:eastAsia="zh-CN"/>
        </w:rPr>
        <w:t xml:space="preserve"> </w:t>
      </w:r>
    </w:p>
    <w:p>
      <w:pPr>
        <w:spacing w:line="488" w:lineRule="exact"/>
        <w:ind w:firstLine="480" w:firstLineChars="200"/>
        <w:rPr>
          <w:rFonts w:eastAsia="Times New Roman"/>
        </w:rPr>
      </w:pPr>
      <w:r>
        <w:rPr>
          <w:rFonts w:ascii="宋体" w:hAnsi="宋体"/>
        </w:rPr>
        <w:t>2</w:t>
      </w:r>
      <w:r>
        <w:rPr>
          <w:rFonts w:hint="eastAsia" w:ascii="宋体" w:hAnsi="宋体"/>
        </w:rPr>
        <w:t>、总价合同。</w:t>
      </w:r>
    </w:p>
    <w:p>
      <w:pPr>
        <w:spacing w:line="488" w:lineRule="exact"/>
        <w:ind w:firstLine="480" w:firstLineChars="200"/>
        <w:rPr>
          <w:rFonts w:eastAsia="Times New Roman"/>
          <w:b/>
          <w:bCs/>
          <w:color w:val="000000" w:themeColor="text1"/>
          <w:u w:val="single"/>
        </w:rPr>
      </w:pPr>
      <w:r>
        <w:rPr>
          <w:rFonts w:hint="eastAsia" w:ascii="宋体" w:hAnsi="宋体"/>
          <w:color w:val="000000" w:themeColor="text1"/>
        </w:rPr>
        <w:t>总价包含的风险范围</w:t>
      </w:r>
      <w:r>
        <w:rPr>
          <w:rFonts w:hint="eastAsia" w:ascii="宋体" w:hAnsi="宋体"/>
          <w:color w:val="000000" w:themeColor="text1"/>
          <w:lang w:eastAsia="zh-CN"/>
        </w:rPr>
        <w:t>：</w:t>
      </w:r>
      <w:r>
        <w:rPr>
          <w:rFonts w:hint="eastAsia" w:ascii="宋体" w:hAnsi="宋体"/>
          <w:b/>
          <w:bCs/>
          <w:color w:val="000000" w:themeColor="text1"/>
          <w:u w:val="single"/>
          <w:lang w:eastAsia="zh-CN"/>
        </w:rPr>
        <w:t>承包人</w:t>
      </w:r>
      <w:r>
        <w:rPr>
          <w:rFonts w:hint="eastAsia" w:ascii="宋体" w:hAnsi="宋体"/>
          <w:b/>
          <w:bCs/>
          <w:color w:val="000000" w:themeColor="text1"/>
          <w:u w:val="single"/>
        </w:rPr>
        <w:t>的投标报价已包括本招标范围内的全部内</w:t>
      </w:r>
      <w:r>
        <w:rPr>
          <w:rFonts w:hint="eastAsia" w:ascii="宋体" w:hAnsi="宋体"/>
          <w:b/>
          <w:bCs/>
          <w:color w:val="000000" w:themeColor="text1"/>
          <w:u w:val="single"/>
          <w:lang w:eastAsia="zh-CN"/>
        </w:rPr>
        <w:t>容，在合同实施期间不做任何调整</w:t>
      </w:r>
      <w:r>
        <w:rPr>
          <w:rFonts w:hint="eastAsia" w:ascii="宋体" w:hAnsi="宋体"/>
          <w:b/>
          <w:bCs/>
          <w:color w:val="000000" w:themeColor="text1"/>
          <w:u w:val="single"/>
        </w:rPr>
        <w:t>。</w:t>
      </w:r>
    </w:p>
    <w:p>
      <w:pPr>
        <w:spacing w:line="488" w:lineRule="exact"/>
        <w:ind w:firstLine="480" w:firstLineChars="200"/>
        <w:rPr>
          <w:rFonts w:eastAsia="Times New Roman"/>
        </w:rPr>
      </w:pPr>
      <w:r>
        <w:rPr>
          <w:rFonts w:hint="eastAsia" w:ascii="宋体" w:hAnsi="宋体"/>
        </w:rPr>
        <w:t>风险费用的计算方法：</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w:t>
      </w:r>
    </w:p>
    <w:p>
      <w:pPr>
        <w:spacing w:line="488" w:lineRule="exact"/>
        <w:ind w:firstLine="480" w:firstLineChars="200"/>
        <w:rPr>
          <w:rFonts w:eastAsia="Times New Roman"/>
        </w:rPr>
      </w:pPr>
      <w:r>
        <w:rPr>
          <w:rFonts w:hint="eastAsia" w:ascii="宋体" w:hAnsi="宋体"/>
        </w:rPr>
        <w:t>风险范围以外合同价格的调整方法：</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3</w:t>
      </w:r>
      <w:r>
        <w:rPr>
          <w:rFonts w:hint="eastAsia" w:ascii="宋体" w:hAnsi="宋体"/>
        </w:rPr>
        <w:t>、其他价格方式：</w:t>
      </w:r>
      <w:r>
        <w:rPr>
          <w:rFonts w:ascii="宋体" w:hAnsi="宋体"/>
          <w:u w:val="single"/>
        </w:rPr>
        <w:t xml:space="preserve">          /         </w:t>
      </w:r>
      <w:r>
        <w:rPr>
          <w:rFonts w:hint="eastAsia" w:ascii="宋体" w:hAnsi="宋体"/>
        </w:rPr>
        <w:t>。</w:t>
      </w:r>
    </w:p>
    <w:p>
      <w:pPr>
        <w:spacing w:after="120" w:line="488" w:lineRule="exact"/>
        <w:ind w:firstLine="480" w:firstLineChars="200"/>
        <w:rPr>
          <w:rFonts w:eastAsia="Times New Roman"/>
        </w:rPr>
      </w:pPr>
      <w:bookmarkStart w:id="340" w:name="_Toc297216213"/>
      <w:bookmarkStart w:id="341" w:name="_Toc297123554"/>
      <w:bookmarkStart w:id="342" w:name="_Toc304295581"/>
      <w:bookmarkStart w:id="343" w:name="_Toc312678042"/>
      <w:bookmarkStart w:id="344" w:name="_Toc303539161"/>
      <w:bookmarkStart w:id="345" w:name="_Toc300935004"/>
      <w:bookmarkStart w:id="346" w:name="_Toc292559412"/>
      <w:bookmarkStart w:id="347" w:name="_Toc296891247"/>
      <w:bookmarkStart w:id="348" w:name="_Toc297120507"/>
      <w:bookmarkStart w:id="349" w:name="_Toc296891035"/>
      <w:bookmarkStart w:id="350" w:name="_Toc297048393"/>
      <w:bookmarkStart w:id="351" w:name="_Toc292559917"/>
      <w:bookmarkStart w:id="352" w:name="_Toc296347206"/>
      <w:bookmarkStart w:id="353" w:name="_Toc296944546"/>
      <w:bookmarkStart w:id="354" w:name="_Toc296346708"/>
      <w:bookmarkStart w:id="355" w:name="_Toc296503207"/>
      <w:r>
        <w:rPr>
          <w:rFonts w:ascii="宋体" w:hAnsi="宋体"/>
        </w:rPr>
        <w:t xml:space="preserve">12.2 </w:t>
      </w:r>
      <w:r>
        <w:rPr>
          <w:rFonts w:hint="eastAsia" w:ascii="宋体" w:hAnsi="宋体"/>
        </w:rPr>
        <w:t>预付款</w:t>
      </w:r>
    </w:p>
    <w:bookmarkEnd w:id="340"/>
    <w:bookmarkEnd w:id="341"/>
    <w:bookmarkEnd w:id="342"/>
    <w:bookmarkEnd w:id="343"/>
    <w:bookmarkEnd w:id="344"/>
    <w:bookmarkEnd w:id="345"/>
    <w:p>
      <w:pPr>
        <w:spacing w:line="488" w:lineRule="exact"/>
        <w:ind w:firstLine="480" w:firstLineChars="200"/>
        <w:rPr>
          <w:rFonts w:eastAsia="Times New Roman"/>
        </w:rPr>
      </w:pPr>
      <w:r>
        <w:rPr>
          <w:rFonts w:ascii="宋体" w:hAnsi="宋体"/>
        </w:rPr>
        <w:t xml:space="preserve">12.2.1 </w:t>
      </w:r>
      <w:r>
        <w:rPr>
          <w:rFonts w:hint="eastAsia" w:ascii="宋体" w:hAnsi="宋体"/>
        </w:rPr>
        <w:t>预付款的支付</w:t>
      </w:r>
    </w:p>
    <w:p>
      <w:pPr>
        <w:spacing w:line="360" w:lineRule="auto"/>
        <w:ind w:firstLine="420"/>
        <w:rPr>
          <w:rFonts w:hint="eastAsia" w:eastAsia="宋体"/>
          <w:b/>
          <w:bCs/>
          <w:color w:val="auto"/>
          <w:u w:val="single"/>
          <w:lang w:val="en-US" w:eastAsia="zh-CN"/>
        </w:rPr>
      </w:pPr>
      <w:r>
        <w:rPr>
          <w:rFonts w:hint="eastAsia" w:ascii="宋体" w:hAnsi="宋体"/>
          <w:color w:val="auto"/>
        </w:rPr>
        <w:t>预付款支付比例或金额：</w:t>
      </w:r>
      <w:r>
        <w:rPr>
          <w:rFonts w:hint="eastAsia" w:ascii="宋体" w:hAnsi="宋体" w:eastAsia="宋体" w:cs="BRGEKD+ËÎÌå"/>
          <w:b/>
          <w:bCs/>
          <w:color w:val="auto"/>
          <w:spacing w:val="1"/>
          <w:u w:val="single"/>
        </w:rPr>
        <w:t xml:space="preserve"> </w:t>
      </w:r>
      <w:r>
        <w:rPr>
          <w:rFonts w:hint="eastAsia" w:ascii="宋体" w:hAnsi="宋体" w:eastAsia="宋体" w:cs="Times New Roman"/>
          <w:b/>
          <w:bCs/>
          <w:color w:val="auto"/>
          <w:u w:val="single"/>
          <w:lang w:val="en-US" w:eastAsia="zh-CN"/>
        </w:rPr>
        <w:t>合同总价的</w:t>
      </w:r>
      <w:r>
        <w:rPr>
          <w:rFonts w:hint="cs" w:ascii="宋体" w:hAnsi="宋体" w:eastAsia="宋体" w:cs="Times New Roman"/>
          <w:b/>
          <w:bCs/>
          <w:color w:val="auto"/>
          <w:u w:val="single"/>
          <w:cs/>
          <w:lang w:val="en-US" w:eastAsia="zh-CN"/>
        </w:rPr>
        <w:t>30%</w:t>
      </w:r>
      <w:r>
        <w:rPr>
          <w:rFonts w:hint="eastAsia" w:ascii="宋体" w:hAnsi="宋体" w:eastAsia="宋体" w:cs="BRGEKD+ËÎÌå"/>
          <w:b/>
          <w:bCs/>
          <w:color w:val="auto"/>
          <w:spacing w:val="1"/>
          <w:u w:val="single"/>
        </w:rPr>
        <w:t xml:space="preserve"> </w:t>
      </w:r>
      <w:r>
        <w:rPr>
          <w:rFonts w:hint="eastAsia" w:ascii="宋体" w:hAnsi="宋体" w:eastAsia="宋体" w:cs="BRGEKD+ËÎÌå"/>
          <w:b/>
          <w:bCs/>
          <w:color w:val="auto"/>
          <w:spacing w:val="1"/>
          <w:u w:val="single"/>
          <w:lang w:val="en-US" w:eastAsia="zh-CN"/>
        </w:rPr>
        <w:t xml:space="preserve"> </w:t>
      </w:r>
    </w:p>
    <w:bookmarkEnd w:id="346"/>
    <w:bookmarkEnd w:id="347"/>
    <w:bookmarkEnd w:id="348"/>
    <w:bookmarkEnd w:id="349"/>
    <w:bookmarkEnd w:id="350"/>
    <w:bookmarkEnd w:id="351"/>
    <w:bookmarkEnd w:id="352"/>
    <w:bookmarkEnd w:id="353"/>
    <w:bookmarkEnd w:id="354"/>
    <w:bookmarkEnd w:id="355"/>
    <w:p>
      <w:pPr>
        <w:spacing w:after="120" w:line="488" w:lineRule="exact"/>
        <w:ind w:firstLine="480" w:firstLineChars="200"/>
        <w:rPr>
          <w:rFonts w:eastAsia="Times New Roman"/>
          <w:color w:val="auto"/>
        </w:rPr>
      </w:pPr>
      <w:r>
        <w:rPr>
          <w:rFonts w:ascii="宋体" w:hAnsi="宋体"/>
          <w:color w:val="auto"/>
        </w:rPr>
        <w:t xml:space="preserve">12.3 </w:t>
      </w:r>
      <w:r>
        <w:rPr>
          <w:rFonts w:hint="eastAsia" w:ascii="宋体" w:hAnsi="宋体"/>
          <w:color w:val="auto"/>
        </w:rPr>
        <w:t>工程进度款支付</w:t>
      </w:r>
    </w:p>
    <w:p>
      <w:pPr>
        <w:spacing w:line="488" w:lineRule="exact"/>
        <w:ind w:firstLine="480" w:firstLineChars="200"/>
        <w:rPr>
          <w:rFonts w:eastAsia="Times New Roman"/>
          <w:color w:val="auto"/>
        </w:rPr>
      </w:pPr>
      <w:bookmarkStart w:id="356" w:name="_Toc292559921"/>
      <w:bookmarkStart w:id="357" w:name="_Toc296346712"/>
      <w:bookmarkStart w:id="358" w:name="_Toc297120511"/>
      <w:bookmarkStart w:id="359" w:name="_Toc292559416"/>
      <w:bookmarkStart w:id="360" w:name="_Toc296891251"/>
      <w:bookmarkStart w:id="361" w:name="_Toc296944550"/>
      <w:bookmarkStart w:id="362" w:name="_Toc297216215"/>
      <w:bookmarkStart w:id="363" w:name="_Toc297048397"/>
      <w:bookmarkStart w:id="364" w:name="_Toc300935006"/>
      <w:bookmarkStart w:id="365" w:name="_Toc296891039"/>
      <w:bookmarkStart w:id="366" w:name="_Toc296503211"/>
      <w:bookmarkStart w:id="367" w:name="_Toc297123556"/>
      <w:bookmarkStart w:id="368" w:name="_Toc303539163"/>
      <w:bookmarkStart w:id="369" w:name="_Toc296347210"/>
      <w:r>
        <w:rPr>
          <w:rFonts w:ascii="宋体" w:hAnsi="宋体"/>
          <w:color w:val="auto"/>
        </w:rPr>
        <w:t xml:space="preserve">12.3.1 </w:t>
      </w:r>
      <w:r>
        <w:rPr>
          <w:rFonts w:hint="eastAsia" w:ascii="宋体" w:hAnsi="宋体"/>
          <w:color w:val="auto"/>
        </w:rPr>
        <w:t>付款周期</w:t>
      </w:r>
    </w:p>
    <w:p>
      <w:pPr>
        <w:spacing w:line="488" w:lineRule="exact"/>
        <w:ind w:firstLine="480" w:firstLineChars="200"/>
        <w:rPr>
          <w:rFonts w:eastAsia="Times New Roman"/>
          <w:color w:val="auto"/>
          <w:u w:val="single"/>
        </w:rPr>
      </w:pPr>
      <w:r>
        <w:rPr>
          <w:rFonts w:hint="eastAsia" w:ascii="宋体" w:hAnsi="宋体"/>
          <w:color w:val="auto"/>
        </w:rPr>
        <w:t>关于付款周期的约定：</w:t>
      </w:r>
      <w:r>
        <w:rPr>
          <w:rFonts w:hint="eastAsia" w:ascii="宋体" w:hAnsi="宋体"/>
          <w:color w:val="auto"/>
          <w:u w:val="single"/>
        </w:rPr>
        <w:t>无。</w:t>
      </w:r>
    </w:p>
    <w:bookmarkEnd w:id="248"/>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spacing w:line="488" w:lineRule="exact"/>
        <w:ind w:firstLine="480" w:firstLineChars="200"/>
        <w:rPr>
          <w:rFonts w:hint="eastAsia" w:ascii="宋体" w:hAnsi="宋体" w:eastAsia="宋体" w:cs="Times New Roman"/>
          <w:b/>
          <w:bCs/>
          <w:color w:val="auto"/>
          <w:u w:val="single"/>
          <w:lang w:val="en-US" w:eastAsia="zh-CN"/>
        </w:rPr>
      </w:pPr>
      <w:bookmarkStart w:id="370" w:name="_Toc351203645"/>
      <w:bookmarkStart w:id="371" w:name="_Toc304295593"/>
      <w:bookmarkStart w:id="372" w:name="_Toc303539172"/>
      <w:bookmarkStart w:id="373" w:name="_Toc296944558"/>
      <w:bookmarkStart w:id="374" w:name="_Toc312678053"/>
      <w:bookmarkStart w:id="375" w:name="_Toc292559424"/>
      <w:bookmarkStart w:id="376" w:name="_Toc297048405"/>
      <w:bookmarkStart w:id="377" w:name="_Toc297120519"/>
      <w:bookmarkStart w:id="378" w:name="_Toc300935015"/>
      <w:bookmarkStart w:id="379" w:name="_Toc297216223"/>
      <w:bookmarkStart w:id="380" w:name="_Toc297123564"/>
      <w:bookmarkStart w:id="381" w:name="_Toc296891259"/>
      <w:bookmarkStart w:id="382" w:name="_Toc292559929"/>
      <w:bookmarkStart w:id="383" w:name="_Toc296347218"/>
      <w:bookmarkStart w:id="384" w:name="_Toc296503219"/>
      <w:bookmarkStart w:id="385" w:name="_Toc296891047"/>
      <w:bookmarkStart w:id="386" w:name="_Toc296346720"/>
      <w:r>
        <w:rPr>
          <w:rFonts w:ascii="宋体" w:hAnsi="宋体"/>
          <w:color w:val="auto"/>
        </w:rPr>
        <w:t xml:space="preserve">12.4 </w:t>
      </w:r>
      <w:r>
        <w:rPr>
          <w:rFonts w:hint="eastAsia" w:ascii="宋体" w:hAnsi="宋体"/>
          <w:color w:val="auto"/>
        </w:rPr>
        <w:t>付款方式：</w:t>
      </w:r>
      <w:r>
        <w:rPr>
          <w:rFonts w:hint="eastAsia" w:ascii="宋体" w:hAnsi="宋体" w:eastAsia="宋体" w:cs="Times New Roman"/>
          <w:b/>
          <w:bCs/>
          <w:color w:val="auto"/>
          <w:u w:val="single"/>
          <w:lang w:val="en-US" w:eastAsia="zh-CN"/>
        </w:rPr>
        <w:t>合同签订后支付合同总价</w:t>
      </w:r>
      <w:r>
        <w:rPr>
          <w:rFonts w:hint="cs" w:ascii="宋体" w:hAnsi="宋体" w:eastAsia="宋体" w:cs="Times New Roman"/>
          <w:b/>
          <w:bCs/>
          <w:color w:val="auto"/>
          <w:u w:val="single"/>
          <w:cs/>
          <w:lang w:val="en-US" w:eastAsia="zh-CN"/>
        </w:rPr>
        <w:t>30%</w:t>
      </w:r>
      <w:r>
        <w:rPr>
          <w:rFonts w:hint="eastAsia" w:ascii="宋体" w:hAnsi="宋体" w:eastAsia="宋体" w:cs="Times New Roman"/>
          <w:b/>
          <w:bCs/>
          <w:color w:val="auto"/>
          <w:u w:val="single"/>
          <w:lang w:val="en-US" w:eastAsia="zh-CN"/>
        </w:rPr>
        <w:t>的工程预付款，货到交货地点通过初验、安装、调试、培训、验收合格后，支付至合同价款的80</w:t>
      </w:r>
      <w:r>
        <w:rPr>
          <w:rFonts w:hint="cs" w:ascii="宋体" w:hAnsi="宋体" w:eastAsia="宋体" w:cs="Times New Roman"/>
          <w:b/>
          <w:bCs/>
          <w:color w:val="auto"/>
          <w:u w:val="single"/>
          <w:cs/>
          <w:lang w:val="en-US" w:eastAsia="zh-CN"/>
        </w:rPr>
        <w:t>%</w:t>
      </w:r>
      <w:r>
        <w:rPr>
          <w:rFonts w:hint="eastAsia" w:ascii="宋体" w:hAnsi="宋体" w:eastAsia="宋体" w:cs="Times New Roman"/>
          <w:b/>
          <w:bCs/>
          <w:color w:val="auto"/>
          <w:u w:val="single"/>
          <w:lang w:val="en-US" w:eastAsia="zh-CN"/>
        </w:rPr>
        <w:t>，完成气候分析及论证报告支付至合同价款的100%。最终付款方式按中标后合同约定。</w:t>
      </w:r>
    </w:p>
    <w:p>
      <w:pPr>
        <w:spacing w:line="488" w:lineRule="exact"/>
        <w:ind w:firstLine="480" w:firstLineChars="200"/>
        <w:rPr>
          <w:rFonts w:eastAsia="Times New Roman"/>
        </w:rPr>
      </w:pPr>
      <w:r>
        <w:rPr>
          <w:rFonts w:ascii="宋体" w:hAnsi="宋体"/>
        </w:rPr>
        <w:t xml:space="preserve">13. </w:t>
      </w:r>
      <w:r>
        <w:rPr>
          <w:rFonts w:hint="eastAsia" w:ascii="宋体" w:hAnsi="宋体"/>
        </w:rPr>
        <w:t>验收和工程试车</w:t>
      </w:r>
      <w:bookmarkEnd w:id="370"/>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Pr>
        <w:spacing w:after="120" w:line="488" w:lineRule="exact"/>
        <w:ind w:firstLine="480" w:firstLineChars="200"/>
        <w:rPr>
          <w:rFonts w:eastAsia="Times New Roman"/>
        </w:rPr>
      </w:pPr>
      <w:r>
        <w:rPr>
          <w:rFonts w:ascii="宋体" w:hAnsi="宋体"/>
        </w:rPr>
        <w:t xml:space="preserve">13.1 </w:t>
      </w:r>
      <w:r>
        <w:rPr>
          <w:rFonts w:hint="eastAsia" w:ascii="宋体" w:hAnsi="宋体"/>
        </w:rPr>
        <w:t>分部分项工程验收</w:t>
      </w:r>
    </w:p>
    <w:p>
      <w:pPr>
        <w:spacing w:line="488" w:lineRule="exact"/>
        <w:ind w:firstLine="480" w:firstLineChars="200"/>
        <w:rPr>
          <w:rFonts w:eastAsia="Times New Roman"/>
        </w:rPr>
      </w:pPr>
      <w:r>
        <w:rPr>
          <w:rFonts w:ascii="宋体" w:hAnsi="宋体"/>
        </w:rPr>
        <w:t>13.1.2</w:t>
      </w:r>
      <w:r>
        <w:rPr>
          <w:rFonts w:hint="eastAsia" w:ascii="宋体" w:hAnsi="宋体"/>
        </w:rPr>
        <w:t>监理人不能按时进行验收时，应提前</w:t>
      </w:r>
      <w:r>
        <w:rPr>
          <w:rFonts w:ascii="宋体" w:hAnsi="宋体"/>
          <w:b/>
          <w:u w:val="single"/>
        </w:rPr>
        <w:t xml:space="preserve"> 24  </w:t>
      </w:r>
      <w:r>
        <w:rPr>
          <w:rFonts w:hint="eastAsia" w:ascii="宋体" w:hAnsi="宋体"/>
        </w:rPr>
        <w:t>小时提交书面延期要求。</w:t>
      </w:r>
    </w:p>
    <w:p>
      <w:pPr>
        <w:spacing w:line="488" w:lineRule="exact"/>
        <w:ind w:firstLine="480" w:firstLineChars="200"/>
        <w:rPr>
          <w:rFonts w:eastAsia="Times New Roman"/>
          <w:b/>
        </w:rPr>
      </w:pPr>
      <w:r>
        <w:rPr>
          <w:rFonts w:hint="eastAsia" w:ascii="宋体" w:hAnsi="宋体"/>
        </w:rPr>
        <w:t>关于延期最长不得超过：</w:t>
      </w:r>
      <w:r>
        <w:rPr>
          <w:rFonts w:ascii="宋体" w:hAnsi="宋体"/>
          <w:b/>
          <w:u w:val="single"/>
        </w:rPr>
        <w:t xml:space="preserve">  48  </w:t>
      </w:r>
      <w:r>
        <w:rPr>
          <w:rFonts w:hint="eastAsia" w:ascii="宋体" w:hAnsi="宋体"/>
        </w:rPr>
        <w:t>小时。</w:t>
      </w:r>
    </w:p>
    <w:p>
      <w:pPr>
        <w:spacing w:after="120" w:line="488" w:lineRule="exact"/>
        <w:ind w:firstLine="480" w:firstLineChars="200"/>
        <w:rPr>
          <w:rFonts w:eastAsia="Times New Roman"/>
        </w:rPr>
      </w:pPr>
      <w:bookmarkStart w:id="387" w:name="_Toc312678056"/>
      <w:bookmarkStart w:id="388" w:name="_Toc296347222"/>
      <w:bookmarkStart w:id="389" w:name="_Toc303539173"/>
      <w:bookmarkStart w:id="390" w:name="_Toc300935016"/>
      <w:bookmarkStart w:id="391" w:name="_Toc297048409"/>
      <w:bookmarkStart w:id="392" w:name="_Toc297123565"/>
      <w:bookmarkStart w:id="393" w:name="_Toc297120523"/>
      <w:bookmarkStart w:id="394" w:name="_Toc292559428"/>
      <w:bookmarkStart w:id="395" w:name="_Toc296944562"/>
      <w:bookmarkStart w:id="396" w:name="_Toc296346724"/>
      <w:bookmarkStart w:id="397" w:name="_Toc304295596"/>
      <w:bookmarkStart w:id="398" w:name="_Toc296891263"/>
      <w:bookmarkStart w:id="399" w:name="_Toc296891051"/>
      <w:bookmarkStart w:id="400" w:name="_Toc292559933"/>
      <w:bookmarkStart w:id="401" w:name="_Toc296503223"/>
      <w:bookmarkStart w:id="402" w:name="_Toc297216224"/>
      <w:bookmarkStart w:id="403" w:name="_Toc267251472"/>
      <w:bookmarkStart w:id="404" w:name="_Toc267251476"/>
      <w:bookmarkStart w:id="405" w:name="_Toc267251470"/>
      <w:bookmarkStart w:id="406" w:name="_Toc267251474"/>
      <w:bookmarkStart w:id="407" w:name="_Toc267251475"/>
      <w:bookmarkStart w:id="408" w:name="_Toc267251473"/>
      <w:bookmarkStart w:id="409" w:name="_Toc267251471"/>
      <w:r>
        <w:rPr>
          <w:rFonts w:ascii="宋体" w:hAnsi="宋体"/>
        </w:rPr>
        <w:t xml:space="preserve">13.2 </w:t>
      </w:r>
      <w:r>
        <w:rPr>
          <w:rFonts w:hint="eastAsia" w:ascii="宋体" w:hAnsi="宋体"/>
        </w:rPr>
        <w:t>竣工验收</w:t>
      </w:r>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Pr>
        <w:spacing w:line="488" w:lineRule="exact"/>
        <w:ind w:firstLine="480" w:firstLineChars="200"/>
        <w:rPr>
          <w:rFonts w:eastAsia="Times New Roman"/>
        </w:rPr>
      </w:pPr>
      <w:bookmarkStart w:id="410" w:name="_Toc280868704"/>
      <w:bookmarkStart w:id="411" w:name="_Toc280868705"/>
      <w:bookmarkStart w:id="412" w:name="_Toc280868706"/>
      <w:bookmarkStart w:id="413" w:name="_Toc280868707"/>
      <w:bookmarkStart w:id="414" w:name="_Toc280868708"/>
      <w:bookmarkStart w:id="415" w:name="_Toc280868709"/>
      <w:r>
        <w:rPr>
          <w:rFonts w:ascii="宋体" w:hAnsi="宋体"/>
        </w:rPr>
        <w:t>13.2.2</w:t>
      </w:r>
      <w:r>
        <w:rPr>
          <w:rFonts w:hint="eastAsia" w:ascii="宋体" w:hAnsi="宋体"/>
        </w:rPr>
        <w:t>竣工验收程序</w:t>
      </w:r>
    </w:p>
    <w:bookmarkEnd w:id="410"/>
    <w:p>
      <w:pPr>
        <w:spacing w:line="488" w:lineRule="exact"/>
        <w:ind w:firstLine="480" w:firstLineChars="200"/>
        <w:rPr>
          <w:rFonts w:eastAsia="Times New Roman"/>
        </w:rPr>
      </w:pPr>
      <w:r>
        <w:rPr>
          <w:rFonts w:hint="eastAsia" w:ascii="宋体" w:hAnsi="宋体"/>
        </w:rPr>
        <w:t>关于竣工验收程序的约定：</w:t>
      </w:r>
      <w:r>
        <w:rPr>
          <w:rFonts w:hint="eastAsia" w:ascii="宋体" w:hAnsi="宋体"/>
          <w:b/>
          <w:u w:val="single"/>
        </w:rPr>
        <w:t>执行通用条款</w:t>
      </w:r>
      <w:r>
        <w:rPr>
          <w:rFonts w:hint="eastAsia" w:ascii="宋体" w:hAnsi="宋体"/>
        </w:rPr>
        <w:t>。</w:t>
      </w:r>
    </w:p>
    <w:p>
      <w:pPr>
        <w:spacing w:line="488" w:lineRule="exact"/>
        <w:ind w:firstLine="480" w:firstLineChars="200"/>
        <w:rPr>
          <w:rFonts w:eastAsia="Times New Roman"/>
          <w:b/>
          <w:u w:val="single"/>
        </w:rPr>
      </w:pPr>
      <w:r>
        <w:rPr>
          <w:rFonts w:hint="eastAsia" w:ascii="宋体" w:hAnsi="宋体"/>
        </w:rPr>
        <w:t>发包人不按照本项约定组织竣工验收、颁发工程接收证书的违约金的计算方法：</w:t>
      </w:r>
      <w:r>
        <w:rPr>
          <w:rFonts w:hint="eastAsia" w:ascii="宋体" w:hAnsi="宋体"/>
          <w:b/>
          <w:u w:val="single"/>
        </w:rPr>
        <w:t>执行通用条款。</w:t>
      </w:r>
    </w:p>
    <w:bookmarkEnd w:id="411"/>
    <w:p>
      <w:pPr>
        <w:spacing w:line="488" w:lineRule="exact"/>
        <w:ind w:firstLine="480" w:firstLineChars="200"/>
        <w:rPr>
          <w:rFonts w:eastAsia="Times New Roman"/>
        </w:rPr>
      </w:pPr>
      <w:r>
        <w:rPr>
          <w:rFonts w:ascii="宋体" w:hAnsi="宋体"/>
        </w:rPr>
        <w:t>13.2.5</w:t>
      </w:r>
      <w:r>
        <w:rPr>
          <w:rFonts w:hint="eastAsia" w:ascii="宋体" w:hAnsi="宋体"/>
        </w:rPr>
        <w:t>移交、接收全部与部分工程</w:t>
      </w:r>
    </w:p>
    <w:bookmarkEnd w:id="412"/>
    <w:p>
      <w:pPr>
        <w:spacing w:line="488" w:lineRule="exact"/>
        <w:ind w:firstLine="480" w:firstLineChars="200"/>
        <w:rPr>
          <w:rFonts w:eastAsia="Times New Roman"/>
          <w:b/>
          <w:u w:val="single"/>
        </w:rPr>
      </w:pPr>
      <w:r>
        <w:rPr>
          <w:rFonts w:hint="eastAsia" w:ascii="宋体" w:hAnsi="宋体"/>
        </w:rPr>
        <w:t>承包人向发包人移交工程的期限：</w:t>
      </w:r>
      <w:r>
        <w:rPr>
          <w:rFonts w:hint="eastAsia" w:ascii="宋体" w:hAnsi="宋体"/>
          <w:b/>
          <w:u w:val="single"/>
        </w:rPr>
        <w:t>颁发工程接收证书后</w:t>
      </w:r>
      <w:r>
        <w:rPr>
          <w:rFonts w:ascii="宋体" w:hAnsi="宋体"/>
          <w:b/>
          <w:u w:val="single"/>
        </w:rPr>
        <w:t>7</w:t>
      </w:r>
      <w:r>
        <w:rPr>
          <w:rFonts w:hint="eastAsia" w:ascii="宋体" w:hAnsi="宋体"/>
          <w:b/>
          <w:u w:val="single"/>
        </w:rPr>
        <w:t>天内。</w:t>
      </w:r>
    </w:p>
    <w:p>
      <w:pPr>
        <w:spacing w:before="240"/>
        <w:ind w:firstLine="480" w:firstLineChars="200"/>
        <w:rPr>
          <w:rFonts w:eastAsia="Times New Roman"/>
          <w:b/>
        </w:rPr>
      </w:pPr>
      <w:r>
        <w:rPr>
          <w:rFonts w:hint="eastAsia" w:ascii="宋体" w:hAnsi="宋体"/>
        </w:rPr>
        <w:t>发包人未按本合同约定接收全部或部分工程的，违约金的计算方法为：</w:t>
      </w:r>
      <w:r>
        <w:rPr>
          <w:rFonts w:hint="eastAsia" w:ascii="宋体" w:hAnsi="宋体"/>
          <w:b/>
          <w:u w:val="single"/>
        </w:rPr>
        <w:t>按通用条款。</w:t>
      </w:r>
    </w:p>
    <w:bookmarkEnd w:id="413"/>
    <w:p>
      <w:pPr>
        <w:spacing w:before="240"/>
        <w:ind w:firstLine="480" w:firstLineChars="200"/>
        <w:rPr>
          <w:rFonts w:eastAsia="Times New Roman"/>
          <w:b/>
          <w:u w:val="single"/>
        </w:rPr>
      </w:pPr>
      <w:r>
        <w:rPr>
          <w:rFonts w:hint="eastAsia" w:ascii="宋体" w:hAnsi="宋体"/>
        </w:rPr>
        <w:t>承包人未按时移交工程的，违约金的计算方法为：</w:t>
      </w:r>
      <w:r>
        <w:rPr>
          <w:rFonts w:hint="eastAsia" w:ascii="宋体" w:hAnsi="宋体"/>
          <w:b/>
          <w:u w:val="single"/>
        </w:rPr>
        <w:t>按通用条款。</w:t>
      </w:r>
    </w:p>
    <w:bookmarkEnd w:id="414"/>
    <w:p>
      <w:pPr>
        <w:spacing w:line="488" w:lineRule="exact"/>
        <w:ind w:firstLine="480" w:firstLineChars="200"/>
        <w:rPr>
          <w:rFonts w:eastAsia="Times New Roman"/>
        </w:rPr>
      </w:pPr>
      <w:r>
        <w:rPr>
          <w:rFonts w:ascii="宋体" w:hAnsi="宋体"/>
        </w:rPr>
        <w:t xml:space="preserve">13.6 </w:t>
      </w:r>
      <w:r>
        <w:rPr>
          <w:rFonts w:hint="eastAsia" w:ascii="宋体" w:hAnsi="宋体"/>
        </w:rPr>
        <w:t>竣工退场</w:t>
      </w:r>
    </w:p>
    <w:p>
      <w:pPr>
        <w:spacing w:line="488" w:lineRule="exact"/>
        <w:ind w:firstLine="480" w:firstLineChars="200"/>
        <w:rPr>
          <w:rFonts w:eastAsia="Times New Roman"/>
        </w:rPr>
      </w:pPr>
      <w:r>
        <w:rPr>
          <w:rFonts w:ascii="宋体" w:hAnsi="宋体"/>
        </w:rPr>
        <w:t xml:space="preserve">13.6.1 </w:t>
      </w:r>
      <w:r>
        <w:rPr>
          <w:rFonts w:hint="eastAsia" w:ascii="宋体" w:hAnsi="宋体"/>
        </w:rPr>
        <w:t>竣工退场</w:t>
      </w:r>
    </w:p>
    <w:p>
      <w:pPr>
        <w:spacing w:line="488" w:lineRule="exact"/>
        <w:ind w:firstLine="480" w:firstLineChars="200"/>
        <w:rPr>
          <w:rFonts w:eastAsia="Times New Roman"/>
          <w:b/>
          <w:u w:val="single"/>
        </w:rPr>
      </w:pPr>
      <w:r>
        <w:rPr>
          <w:rFonts w:hint="eastAsia" w:ascii="宋体" w:hAnsi="宋体"/>
        </w:rPr>
        <w:t>承包人完成竣工退场的期限：</w:t>
      </w:r>
      <w:r>
        <w:rPr>
          <w:rFonts w:hint="eastAsia" w:ascii="宋体" w:hAnsi="宋体"/>
          <w:b/>
          <w:u w:val="single"/>
        </w:rPr>
        <w:t>工程接受证书颁发后</w:t>
      </w:r>
      <w:r>
        <w:rPr>
          <w:rFonts w:ascii="宋体" w:hAnsi="宋体"/>
          <w:b/>
          <w:u w:val="single"/>
        </w:rPr>
        <w:t>7</w:t>
      </w:r>
      <w:r>
        <w:rPr>
          <w:rFonts w:hint="eastAsia" w:ascii="宋体" w:hAnsi="宋体"/>
          <w:b/>
          <w:u w:val="single"/>
        </w:rPr>
        <w:t>天内。</w:t>
      </w:r>
    </w:p>
    <w:p>
      <w:pPr>
        <w:spacing w:line="488" w:lineRule="exact"/>
        <w:ind w:firstLine="480" w:firstLineChars="200"/>
        <w:rPr>
          <w:rFonts w:eastAsia="Times New Roman"/>
        </w:rPr>
      </w:pPr>
      <w:bookmarkStart w:id="416" w:name="_Toc351203646"/>
      <w:r>
        <w:rPr>
          <w:rFonts w:ascii="宋体" w:hAnsi="宋体"/>
        </w:rPr>
        <w:t xml:space="preserve">14. </w:t>
      </w:r>
      <w:r>
        <w:rPr>
          <w:rFonts w:hint="eastAsia" w:ascii="宋体" w:hAnsi="宋体"/>
        </w:rPr>
        <w:t>竣工结算</w:t>
      </w:r>
      <w:bookmarkEnd w:id="416"/>
    </w:p>
    <w:p>
      <w:pPr>
        <w:spacing w:after="120" w:line="488" w:lineRule="exact"/>
        <w:ind w:firstLine="480" w:firstLineChars="200"/>
        <w:rPr>
          <w:rFonts w:eastAsia="Times New Roman"/>
        </w:rPr>
      </w:pPr>
      <w:r>
        <w:rPr>
          <w:rFonts w:ascii="宋体" w:hAnsi="宋体"/>
        </w:rPr>
        <w:t xml:space="preserve">14.1 </w:t>
      </w:r>
      <w:r>
        <w:rPr>
          <w:rFonts w:hint="eastAsia" w:ascii="宋体" w:hAnsi="宋体"/>
        </w:rPr>
        <w:t>竣工结算申请</w:t>
      </w:r>
    </w:p>
    <w:p>
      <w:pPr>
        <w:spacing w:line="360" w:lineRule="auto"/>
        <w:ind w:firstLine="480" w:firstLineChars="200"/>
        <w:rPr>
          <w:rFonts w:eastAsia="Times New Roman"/>
        </w:rPr>
      </w:pPr>
      <w:r>
        <w:rPr>
          <w:rFonts w:hint="eastAsia" w:ascii="宋体" w:hAnsi="宋体"/>
        </w:rPr>
        <w:t>承包人提交竣工结算申请单的期限：</w:t>
      </w:r>
      <w:r>
        <w:rPr>
          <w:rFonts w:hint="eastAsia" w:ascii="宋体" w:hAnsi="宋体"/>
          <w:b/>
          <w:u w:val="single"/>
        </w:rPr>
        <w:t>执行通用条款</w:t>
      </w:r>
      <w:r>
        <w:rPr>
          <w:rFonts w:hint="eastAsia" w:ascii="宋体" w:hAnsi="宋体"/>
        </w:rPr>
        <w:t>。</w:t>
      </w:r>
    </w:p>
    <w:p>
      <w:pPr>
        <w:spacing w:line="360" w:lineRule="auto"/>
        <w:ind w:firstLine="348" w:firstLineChars="145"/>
        <w:rPr>
          <w:rFonts w:eastAsia="Times New Roman"/>
          <w:u w:val="single"/>
        </w:rPr>
      </w:pPr>
      <w:r>
        <w:rPr>
          <w:rFonts w:hint="eastAsia" w:ascii="宋体" w:hAnsi="宋体"/>
        </w:rPr>
        <w:t>竣工结算申请单应包括的内容：</w:t>
      </w:r>
      <w:r>
        <w:rPr>
          <w:rFonts w:hint="eastAsia" w:ascii="宋体" w:hAnsi="宋体"/>
          <w:b/>
          <w:u w:val="single"/>
        </w:rPr>
        <w:t>执行通用条款</w:t>
      </w:r>
    </w:p>
    <w:bookmarkEnd w:id="403"/>
    <w:bookmarkEnd w:id="404"/>
    <w:bookmarkEnd w:id="405"/>
    <w:bookmarkEnd w:id="406"/>
    <w:bookmarkEnd w:id="407"/>
    <w:bookmarkEnd w:id="408"/>
    <w:bookmarkEnd w:id="409"/>
    <w:bookmarkEnd w:id="415"/>
    <w:p>
      <w:pPr>
        <w:spacing w:line="488" w:lineRule="exact"/>
        <w:ind w:firstLine="480" w:firstLineChars="200"/>
        <w:rPr>
          <w:rFonts w:eastAsia="Times New Roman"/>
        </w:rPr>
      </w:pPr>
      <w:bookmarkStart w:id="417" w:name="_Toc351203647"/>
      <w:bookmarkStart w:id="418" w:name="_Toc267251483"/>
      <w:bookmarkStart w:id="419" w:name="_Toc267251484"/>
      <w:bookmarkStart w:id="420" w:name="_Toc267251482"/>
      <w:bookmarkStart w:id="421" w:name="_Toc267251485"/>
      <w:bookmarkStart w:id="422" w:name="_Toc267251489"/>
      <w:bookmarkStart w:id="423" w:name="_Toc267251488"/>
      <w:bookmarkStart w:id="424" w:name="_Toc267251490"/>
      <w:bookmarkStart w:id="425" w:name="_Toc267251486"/>
      <w:bookmarkStart w:id="426" w:name="_Toc267251501"/>
      <w:bookmarkStart w:id="427" w:name="_Toc267251495"/>
      <w:bookmarkStart w:id="428" w:name="_Toc267251491"/>
      <w:bookmarkStart w:id="429" w:name="_Toc267251503"/>
      <w:bookmarkStart w:id="430" w:name="_Toc267251496"/>
      <w:bookmarkStart w:id="431" w:name="_Toc267251502"/>
      <w:bookmarkStart w:id="432" w:name="_Toc267251498"/>
      <w:bookmarkStart w:id="433" w:name="_Toc267251494"/>
      <w:bookmarkStart w:id="434" w:name="_Toc267251492"/>
      <w:bookmarkStart w:id="435" w:name="_Toc267251493"/>
      <w:bookmarkStart w:id="436" w:name="_Toc267251499"/>
      <w:bookmarkStart w:id="437" w:name="_Toc267251497"/>
      <w:bookmarkStart w:id="438" w:name="_Toc267251506"/>
      <w:bookmarkStart w:id="439" w:name="_Toc267251504"/>
      <w:bookmarkStart w:id="440" w:name="_Toc267251507"/>
      <w:bookmarkStart w:id="441" w:name="_Toc267251508"/>
      <w:bookmarkStart w:id="442" w:name="_Toc267251514"/>
      <w:bookmarkStart w:id="443" w:name="_Toc267251509"/>
      <w:bookmarkStart w:id="444" w:name="_Toc267251510"/>
      <w:bookmarkStart w:id="445" w:name="_Toc267251513"/>
      <w:bookmarkStart w:id="446" w:name="_Toc267251511"/>
      <w:bookmarkStart w:id="447" w:name="_Toc267251515"/>
      <w:r>
        <w:rPr>
          <w:rFonts w:ascii="宋体" w:hAnsi="宋体"/>
        </w:rPr>
        <w:t xml:space="preserve">15. </w:t>
      </w:r>
      <w:r>
        <w:rPr>
          <w:rFonts w:hint="eastAsia" w:ascii="宋体" w:hAnsi="宋体"/>
        </w:rPr>
        <w:t>缺陷责任期与保修</w:t>
      </w:r>
      <w:bookmarkEnd w:id="417"/>
    </w:p>
    <w:p>
      <w:pPr>
        <w:spacing w:after="120" w:line="488" w:lineRule="exact"/>
        <w:ind w:firstLine="480" w:firstLineChars="200"/>
        <w:rPr>
          <w:rFonts w:eastAsia="Times New Roman"/>
        </w:rPr>
      </w:pPr>
      <w:r>
        <w:rPr>
          <w:rFonts w:ascii="宋体" w:hAnsi="宋体"/>
        </w:rPr>
        <w:t>15.2</w:t>
      </w:r>
      <w:r>
        <w:rPr>
          <w:rFonts w:hint="eastAsia" w:ascii="宋体" w:hAnsi="宋体"/>
        </w:rPr>
        <w:t>缺陷责任期</w:t>
      </w:r>
      <w:bookmarkEnd w:id="418"/>
    </w:p>
    <w:p>
      <w:pPr>
        <w:spacing w:line="488" w:lineRule="exact"/>
        <w:ind w:firstLine="480" w:firstLineChars="200"/>
        <w:rPr>
          <w:rFonts w:eastAsia="Times New Roman"/>
          <w:color w:val="FF0000"/>
        </w:rPr>
      </w:pPr>
      <w:r>
        <w:rPr>
          <w:rFonts w:hint="eastAsia" w:ascii="宋体" w:hAnsi="宋体"/>
        </w:rPr>
        <w:t>缺陷责任期的具体期</w:t>
      </w:r>
      <w:r>
        <w:rPr>
          <w:rFonts w:hint="eastAsia" w:ascii="宋体" w:hAnsi="宋体"/>
          <w:color w:val="auto"/>
        </w:rPr>
        <w:t>限</w:t>
      </w:r>
      <w:r>
        <w:rPr>
          <w:rFonts w:hint="eastAsia" w:ascii="宋体" w:hAnsi="宋体"/>
          <w:b/>
          <w:color w:val="auto"/>
          <w:u w:val="single"/>
        </w:rPr>
        <w:t>：</w:t>
      </w:r>
      <w:r>
        <w:rPr>
          <w:rFonts w:hint="eastAsia" w:ascii="宋体" w:hAnsi="宋体"/>
          <w:b/>
          <w:color w:val="auto"/>
          <w:u w:val="single"/>
          <w:lang w:val="en-US" w:eastAsia="zh-CN"/>
        </w:rPr>
        <w:t>24</w:t>
      </w:r>
      <w:r>
        <w:rPr>
          <w:rFonts w:hint="eastAsia" w:ascii="宋体" w:hAnsi="宋体"/>
          <w:b/>
          <w:color w:val="auto"/>
          <w:u w:val="single"/>
        </w:rPr>
        <w:t>个月。</w:t>
      </w:r>
    </w:p>
    <w:p>
      <w:pPr>
        <w:spacing w:line="488" w:lineRule="exact"/>
        <w:ind w:firstLine="480" w:firstLineChars="200"/>
        <w:rPr>
          <w:rFonts w:eastAsia="Times New Roman"/>
        </w:rPr>
      </w:pPr>
      <w:r>
        <w:rPr>
          <w:rFonts w:ascii="宋体" w:hAnsi="宋体"/>
        </w:rPr>
        <w:t xml:space="preserve">15.3 </w:t>
      </w:r>
      <w:r>
        <w:rPr>
          <w:rFonts w:hint="eastAsia" w:ascii="宋体" w:hAnsi="宋体"/>
        </w:rPr>
        <w:t>质量保证金</w:t>
      </w:r>
    </w:p>
    <w:p>
      <w:pPr>
        <w:spacing w:line="488" w:lineRule="exact"/>
        <w:ind w:firstLine="480" w:firstLineChars="200"/>
        <w:rPr>
          <w:rFonts w:eastAsia="Times New Roman"/>
        </w:rPr>
      </w:pPr>
      <w:r>
        <w:rPr>
          <w:rFonts w:hint="eastAsia" w:ascii="宋体" w:hAnsi="宋体"/>
        </w:rPr>
        <w:t>关于是否扣留质量保证金的约定：</w:t>
      </w:r>
      <w:r>
        <w:rPr>
          <w:rFonts w:hint="eastAsia" w:ascii="宋体" w:hAnsi="宋体"/>
          <w:b/>
          <w:u w:val="single"/>
        </w:rPr>
        <w:t xml:space="preserve">     </w:t>
      </w:r>
      <w:r>
        <w:rPr>
          <w:rFonts w:hint="eastAsia" w:ascii="宋体" w:hAnsi="宋体"/>
        </w:rPr>
        <w:t>。</w:t>
      </w:r>
    </w:p>
    <w:p>
      <w:pPr>
        <w:spacing w:line="488" w:lineRule="exact"/>
        <w:ind w:firstLine="480" w:firstLineChars="200"/>
        <w:rPr>
          <w:rFonts w:eastAsia="Times New Roman"/>
        </w:rPr>
      </w:pPr>
      <w:r>
        <w:rPr>
          <w:rFonts w:ascii="宋体" w:hAnsi="宋体"/>
        </w:rPr>
        <w:t xml:space="preserve">15.3.1 </w:t>
      </w:r>
      <w:r>
        <w:rPr>
          <w:rFonts w:hint="eastAsia" w:ascii="宋体" w:hAnsi="宋体"/>
        </w:rPr>
        <w:t>承包人提供质量保证金的方式</w:t>
      </w:r>
    </w:p>
    <w:p>
      <w:pPr>
        <w:spacing w:line="488" w:lineRule="exact"/>
        <w:ind w:firstLine="480" w:firstLineChars="200"/>
        <w:rPr>
          <w:rFonts w:eastAsia="Times New Roman"/>
        </w:rPr>
      </w:pPr>
      <w:r>
        <w:rPr>
          <w:rFonts w:hint="eastAsia" w:ascii="宋体" w:hAnsi="宋体"/>
        </w:rPr>
        <w:t>质量保证金采用以下第</w:t>
      </w:r>
      <w:r>
        <w:rPr>
          <w:rFonts w:hint="eastAsia" w:ascii="宋体" w:hAnsi="宋体"/>
          <w:u w:val="single"/>
        </w:rPr>
        <w:t>（</w:t>
      </w:r>
      <w:r>
        <w:rPr>
          <w:rFonts w:ascii="宋体" w:hAnsi="宋体"/>
          <w:u w:val="single"/>
        </w:rPr>
        <w:t>2</w:t>
      </w:r>
      <w:r>
        <w:rPr>
          <w:rFonts w:hint="eastAsia" w:ascii="宋体" w:hAnsi="宋体"/>
          <w:u w:val="single"/>
        </w:rPr>
        <w:t>）</w:t>
      </w:r>
      <w:r>
        <w:rPr>
          <w:rFonts w:hint="eastAsia" w:ascii="宋体" w:hAnsi="宋体"/>
        </w:rPr>
        <w:t>种方式：</w:t>
      </w:r>
    </w:p>
    <w:p>
      <w:pPr>
        <w:spacing w:line="488" w:lineRule="exact"/>
        <w:ind w:firstLine="480" w:firstLineChars="200"/>
        <w:rPr>
          <w:rFonts w:ascii="宋体" w:hAnsi="宋体"/>
        </w:rPr>
      </w:pPr>
      <w:r>
        <w:rPr>
          <w:rFonts w:hint="eastAsia" w:ascii="宋体" w:hAnsi="宋体"/>
        </w:rPr>
        <w:t>（</w:t>
      </w:r>
      <w:r>
        <w:rPr>
          <w:rFonts w:ascii="宋体" w:hAnsi="宋体"/>
        </w:rPr>
        <w:t>1</w:t>
      </w:r>
      <w:r>
        <w:rPr>
          <w:rFonts w:hint="eastAsia" w:ascii="宋体" w:hAnsi="宋体"/>
        </w:rPr>
        <w:t>）质量保证金保函，保证金额为：</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w:t>
      </w:r>
      <w:r>
        <w:rPr>
          <w:rFonts w:hint="eastAsia" w:ascii="宋体" w:hAnsi="宋体"/>
          <w:b/>
          <w:u w:val="single"/>
        </w:rPr>
        <w:t xml:space="preserve"> </w:t>
      </w:r>
      <w:r>
        <w:rPr>
          <w:rFonts w:hint="eastAsia" w:ascii="宋体" w:hAnsi="宋体"/>
          <w:b/>
          <w:u w:val="single"/>
          <w:lang w:val="en-US" w:eastAsia="zh-CN"/>
        </w:rPr>
        <w:t>3</w:t>
      </w:r>
      <w:r>
        <w:rPr>
          <w:rFonts w:hint="eastAsia" w:ascii="宋体" w:hAnsi="宋体"/>
          <w:b/>
          <w:u w:val="single"/>
        </w:rPr>
        <w:t xml:space="preserve"> </w:t>
      </w:r>
      <w:r>
        <w:rPr>
          <w:rFonts w:ascii="宋体" w:hAnsi="宋体"/>
          <w:b/>
        </w:rPr>
        <w:t>%</w:t>
      </w:r>
      <w:r>
        <w:rPr>
          <w:rFonts w:hint="eastAsia" w:ascii="宋体" w:hAnsi="宋体"/>
        </w:rPr>
        <w:t>的工程款；</w:t>
      </w:r>
    </w:p>
    <w:p>
      <w:pPr>
        <w:spacing w:line="488" w:lineRule="exact"/>
        <w:ind w:firstLine="480" w:firstLineChars="200"/>
        <w:rPr>
          <w:rFonts w:eastAsia="Times New Roman"/>
        </w:rPr>
      </w:pPr>
      <w:r>
        <w:rPr>
          <w:rFonts w:hint="eastAsia" w:ascii="宋体" w:hAnsi="宋体"/>
        </w:rPr>
        <w:t>（</w:t>
      </w:r>
      <w:r>
        <w:rPr>
          <w:rFonts w:ascii="宋体" w:hAnsi="宋体"/>
        </w:rPr>
        <w:t>3</w:t>
      </w:r>
      <w:r>
        <w:rPr>
          <w:rFonts w:hint="eastAsia" w:ascii="宋体" w:hAnsi="宋体"/>
        </w:rPr>
        <w:t>）其他方式</w:t>
      </w:r>
      <w:r>
        <w:rPr>
          <w:rFonts w:ascii="宋体" w:hAnsi="宋体"/>
        </w:rPr>
        <w:t>:</w:t>
      </w:r>
      <w:r>
        <w:rPr>
          <w:rFonts w:ascii="宋体" w:hAnsi="宋体"/>
          <w:u w:val="single"/>
        </w:rPr>
        <w:t xml:space="preserve">            /                           </w:t>
      </w:r>
      <w:r>
        <w:rPr>
          <w:rFonts w:hint="eastAsia" w:ascii="宋体" w:hAnsi="宋体"/>
        </w:rPr>
        <w:t>。</w:t>
      </w:r>
    </w:p>
    <w:p>
      <w:pPr>
        <w:spacing w:line="488" w:lineRule="exact"/>
        <w:ind w:firstLine="480" w:firstLineChars="200"/>
        <w:rPr>
          <w:rFonts w:ascii="宋体" w:hAnsi="宋体"/>
        </w:rPr>
      </w:pPr>
      <w:r>
        <w:rPr>
          <w:rFonts w:ascii="宋体" w:hAnsi="宋体"/>
        </w:rPr>
        <w:t xml:space="preserve">15.3.2 </w:t>
      </w:r>
      <w:r>
        <w:rPr>
          <w:rFonts w:hint="eastAsia" w:ascii="宋体" w:hAnsi="宋体"/>
        </w:rPr>
        <w:t>质量保证金的扣留</w:t>
      </w:r>
    </w:p>
    <w:p>
      <w:pPr>
        <w:spacing w:line="488" w:lineRule="exact"/>
        <w:ind w:firstLine="480" w:firstLineChars="200"/>
        <w:rPr>
          <w:rFonts w:eastAsia="Times New Roman"/>
        </w:rPr>
      </w:pPr>
      <w:r>
        <w:rPr>
          <w:rFonts w:hint="eastAsia" w:ascii="宋体" w:hAnsi="宋体"/>
        </w:rPr>
        <w:t>质量保证金的扣留采取以下第</w:t>
      </w:r>
      <w:r>
        <w:rPr>
          <w:rFonts w:hint="eastAsia" w:ascii="宋体" w:hAnsi="宋体"/>
          <w:u w:val="single"/>
        </w:rPr>
        <w:t>（</w:t>
      </w:r>
      <w:r>
        <w:rPr>
          <w:rFonts w:ascii="宋体" w:hAnsi="宋体"/>
          <w:u w:val="single"/>
        </w:rPr>
        <w:t>2</w:t>
      </w:r>
      <w:r>
        <w:rPr>
          <w:rFonts w:hint="eastAsia" w:ascii="宋体" w:hAnsi="宋体"/>
          <w:u w:val="single"/>
        </w:rPr>
        <w:t>）</w:t>
      </w:r>
      <w:r>
        <w:rPr>
          <w:rFonts w:hint="eastAsia" w:ascii="宋体" w:hAnsi="宋体"/>
        </w:rPr>
        <w:t>种方式：</w:t>
      </w:r>
    </w:p>
    <w:p>
      <w:pPr>
        <w:spacing w:line="488" w:lineRule="exact"/>
        <w:ind w:firstLine="480" w:firstLineChars="200"/>
        <w:rPr>
          <w:rFonts w:eastAsia="Times New Roman"/>
        </w:rPr>
      </w:pPr>
      <w:r>
        <w:rPr>
          <w:rFonts w:hint="eastAsia" w:ascii="宋体" w:hAnsi="宋体"/>
        </w:rPr>
        <w:t>（</w:t>
      </w:r>
      <w:r>
        <w:rPr>
          <w:rFonts w:ascii="宋体" w:hAnsi="宋体"/>
        </w:rPr>
        <w:t>1</w:t>
      </w:r>
      <w:r>
        <w:rPr>
          <w:rFonts w:hint="eastAsia" w:ascii="宋体" w:hAnsi="宋体"/>
        </w:rPr>
        <w:t>）在支付工程进度款时逐次扣留，在此情形下，质量保证金的计算基数不包括预付款的支付、扣回以及价格调整的金额；</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）工程竣工结算时一次性扣留质量保证金；</w:t>
      </w:r>
    </w:p>
    <w:p>
      <w:pPr>
        <w:spacing w:line="488" w:lineRule="exact"/>
        <w:ind w:firstLine="480" w:firstLineChars="200"/>
        <w:rPr>
          <w:rFonts w:eastAsia="Times New Roman"/>
        </w:rPr>
      </w:pPr>
      <w:r>
        <w:rPr>
          <w:rFonts w:hint="eastAsia" w:ascii="宋体" w:hAnsi="宋体"/>
        </w:rPr>
        <w:t>（</w:t>
      </w:r>
      <w:r>
        <w:rPr>
          <w:rFonts w:ascii="宋体" w:hAnsi="宋体"/>
        </w:rPr>
        <w:t>3</w:t>
      </w:r>
      <w:r>
        <w:rPr>
          <w:rFonts w:hint="eastAsia" w:ascii="宋体" w:hAnsi="宋体"/>
        </w:rPr>
        <w:t>）其他扣留方式</w:t>
      </w:r>
      <w:r>
        <w:rPr>
          <w:rFonts w:ascii="宋体" w:hAnsi="宋体"/>
        </w:rPr>
        <w:t>:</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hint="eastAsia" w:ascii="宋体" w:hAnsi="宋体"/>
        </w:rPr>
        <w:t>关于质量保证金的补充约定：</w:t>
      </w:r>
      <w:r>
        <w:rPr>
          <w:rFonts w:hint="eastAsia" w:ascii="宋体" w:hAnsi="宋体"/>
          <w:b/>
          <w:u w:val="single"/>
        </w:rPr>
        <w:t>无</w:t>
      </w:r>
      <w:r>
        <w:rPr>
          <w:rFonts w:hint="eastAsia" w:ascii="宋体" w:hAnsi="宋体"/>
        </w:rPr>
        <w:t>。</w:t>
      </w:r>
    </w:p>
    <w:bookmarkEnd w:id="419"/>
    <w:bookmarkEnd w:id="420"/>
    <w:p>
      <w:pPr>
        <w:spacing w:after="120" w:line="488" w:lineRule="exact"/>
        <w:ind w:firstLine="480" w:firstLineChars="200"/>
        <w:rPr>
          <w:rFonts w:eastAsia="Times New Roman"/>
        </w:rPr>
      </w:pPr>
      <w:r>
        <w:rPr>
          <w:rFonts w:ascii="宋体" w:hAnsi="宋体"/>
        </w:rPr>
        <w:t>15.4</w:t>
      </w:r>
      <w:r>
        <w:rPr>
          <w:rFonts w:hint="eastAsia" w:ascii="宋体" w:hAnsi="宋体"/>
        </w:rPr>
        <w:t>保修</w:t>
      </w:r>
    </w:p>
    <w:bookmarkEnd w:id="421"/>
    <w:p>
      <w:pPr>
        <w:spacing w:line="488" w:lineRule="exact"/>
        <w:ind w:firstLine="468" w:firstLineChars="195"/>
        <w:rPr>
          <w:rFonts w:eastAsia="Times New Roman"/>
        </w:rPr>
      </w:pPr>
      <w:r>
        <w:rPr>
          <w:rFonts w:ascii="宋体" w:hAnsi="宋体"/>
        </w:rPr>
        <w:t xml:space="preserve">15.4.1 </w:t>
      </w:r>
      <w:r>
        <w:rPr>
          <w:rFonts w:hint="eastAsia" w:ascii="宋体" w:hAnsi="宋体"/>
        </w:rPr>
        <w:t>保修责任</w:t>
      </w:r>
    </w:p>
    <w:p>
      <w:pPr>
        <w:spacing w:line="488" w:lineRule="exact"/>
        <w:ind w:firstLine="468" w:firstLineChars="195"/>
        <w:rPr>
          <w:rFonts w:eastAsia="Times New Roman"/>
          <w:u w:val="single"/>
        </w:rPr>
      </w:pPr>
      <w:r>
        <w:rPr>
          <w:rFonts w:hint="eastAsia" w:ascii="宋体" w:hAnsi="宋体"/>
        </w:rPr>
        <w:t>工程保修期为：</w:t>
      </w:r>
      <w:r>
        <w:rPr>
          <w:rFonts w:hint="eastAsia" w:ascii="宋体" w:hAnsi="宋体"/>
          <w:b/>
          <w:u w:val="single"/>
        </w:rPr>
        <w:t>按照国家、自治区现行规定执行</w:t>
      </w:r>
    </w:p>
    <w:p>
      <w:pPr>
        <w:spacing w:line="488" w:lineRule="exact"/>
        <w:ind w:firstLine="468" w:firstLineChars="195"/>
        <w:rPr>
          <w:rFonts w:eastAsia="Times New Roman"/>
        </w:rPr>
      </w:pPr>
      <w:r>
        <w:rPr>
          <w:rFonts w:ascii="宋体" w:hAnsi="宋体"/>
        </w:rPr>
        <w:t xml:space="preserve">15.4.3 </w:t>
      </w:r>
      <w:r>
        <w:rPr>
          <w:rFonts w:hint="eastAsia" w:ascii="宋体" w:hAnsi="宋体"/>
        </w:rPr>
        <w:t>修复通知</w:t>
      </w:r>
    </w:p>
    <w:p>
      <w:pPr>
        <w:spacing w:line="488" w:lineRule="exact"/>
        <w:ind w:firstLine="468" w:firstLineChars="195"/>
        <w:rPr>
          <w:rFonts w:eastAsia="Times New Roman"/>
        </w:rPr>
      </w:pPr>
      <w:r>
        <w:rPr>
          <w:rFonts w:hint="eastAsia" w:ascii="宋体" w:hAnsi="宋体"/>
        </w:rPr>
        <w:t>承包人收到保修通知并到达工程现场的合理时间：</w:t>
      </w:r>
      <w:r>
        <w:rPr>
          <w:rFonts w:ascii="宋体" w:hAnsi="宋体"/>
          <w:b/>
          <w:u w:val="single"/>
        </w:rPr>
        <w:t>12</w:t>
      </w:r>
      <w:r>
        <w:rPr>
          <w:rFonts w:hint="eastAsia" w:ascii="宋体" w:hAnsi="宋体"/>
          <w:b/>
          <w:u w:val="single"/>
        </w:rPr>
        <w:t>小时内</w:t>
      </w:r>
      <w:r>
        <w:rPr>
          <w:rFonts w:hint="eastAsia" w:ascii="宋体" w:hAnsi="宋体"/>
          <w:u w:val="single"/>
        </w:rPr>
        <w:t>。</w:t>
      </w:r>
    </w:p>
    <w:bookmarkEnd w:id="422"/>
    <w:bookmarkEnd w:id="423"/>
    <w:bookmarkEnd w:id="424"/>
    <w:bookmarkEnd w:id="425"/>
    <w:p>
      <w:pPr>
        <w:spacing w:line="488" w:lineRule="exact"/>
        <w:ind w:firstLine="480" w:firstLineChars="200"/>
        <w:rPr>
          <w:rFonts w:eastAsia="Times New Roman"/>
        </w:rPr>
      </w:pPr>
      <w:bookmarkStart w:id="448" w:name="_Toc351203648"/>
      <w:bookmarkStart w:id="449" w:name="_Toc280868717"/>
      <w:bookmarkStart w:id="450" w:name="_Toc280868718"/>
      <w:r>
        <w:rPr>
          <w:rFonts w:ascii="宋体" w:hAnsi="宋体"/>
        </w:rPr>
        <w:t xml:space="preserve">16. </w:t>
      </w:r>
      <w:r>
        <w:rPr>
          <w:rFonts w:hint="eastAsia" w:ascii="宋体" w:hAnsi="宋体"/>
        </w:rPr>
        <w:t>违约</w:t>
      </w:r>
      <w:bookmarkEnd w:id="448"/>
    </w:p>
    <w:p>
      <w:pPr>
        <w:spacing w:line="488" w:lineRule="exact"/>
        <w:ind w:firstLine="480" w:firstLineChars="200"/>
        <w:rPr>
          <w:rFonts w:eastAsia="Times New Roman"/>
        </w:rPr>
      </w:pPr>
      <w:r>
        <w:rPr>
          <w:rFonts w:ascii="宋体" w:hAnsi="宋体"/>
        </w:rPr>
        <w:t xml:space="preserve">16.1 </w:t>
      </w:r>
      <w:r>
        <w:rPr>
          <w:rFonts w:hint="eastAsia" w:ascii="宋体" w:hAnsi="宋体"/>
        </w:rPr>
        <w:t>发包人违约</w:t>
      </w:r>
    </w:p>
    <w:p>
      <w:pPr>
        <w:spacing w:line="488" w:lineRule="exact"/>
        <w:ind w:firstLine="480" w:firstLineChars="200"/>
        <w:rPr>
          <w:rFonts w:eastAsia="Times New Roman"/>
        </w:rPr>
      </w:pPr>
      <w:r>
        <w:rPr>
          <w:rFonts w:ascii="宋体" w:hAnsi="宋体"/>
        </w:rPr>
        <w:t>16.1.1</w:t>
      </w:r>
      <w:r>
        <w:rPr>
          <w:rFonts w:hint="eastAsia" w:ascii="宋体" w:hAnsi="宋体"/>
        </w:rPr>
        <w:t>发包人违约的情形</w:t>
      </w:r>
    </w:p>
    <w:p>
      <w:pPr>
        <w:spacing w:line="488" w:lineRule="exact"/>
        <w:ind w:firstLine="480" w:firstLineChars="200"/>
        <w:rPr>
          <w:rFonts w:eastAsia="Times New Roman"/>
        </w:rPr>
      </w:pPr>
      <w:r>
        <w:rPr>
          <w:rFonts w:hint="eastAsia" w:ascii="宋体" w:hAnsi="宋体"/>
        </w:rPr>
        <w:t>发包人违约的其他情形：</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 xml:space="preserve">16.1.2 </w:t>
      </w:r>
      <w:r>
        <w:rPr>
          <w:rFonts w:hint="eastAsia" w:ascii="宋体" w:hAnsi="宋体"/>
        </w:rPr>
        <w:t>发包人违约的责任</w:t>
      </w:r>
    </w:p>
    <w:p>
      <w:pPr>
        <w:widowControl w:val="0"/>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发包人违约责任的承担方式和计算方法：</w:t>
      </w:r>
    </w:p>
    <w:p>
      <w:pPr>
        <w:widowControl w:val="0"/>
        <w:wordWrap/>
        <w:autoSpaceDE w:val="0"/>
        <w:autoSpaceDN w:val="0"/>
        <w:adjustRightInd w:val="0"/>
        <w:snapToGrid/>
        <w:spacing w:before="240" w:line="360" w:lineRule="auto"/>
        <w:ind w:firstLine="240" w:firstLineChars="100"/>
        <w:textAlignment w:val="auto"/>
        <w:rPr>
          <w:rFonts w:ascii="宋体" w:eastAsia="Times New Roman"/>
          <w:b/>
          <w:u w:val="single"/>
        </w:rPr>
      </w:pPr>
      <w:r>
        <w:rPr>
          <w:rFonts w:hint="eastAsia" w:ascii="宋体" w:hAnsi="宋体"/>
        </w:rPr>
        <w:t>（</w:t>
      </w:r>
      <w:r>
        <w:rPr>
          <w:rFonts w:ascii="宋体" w:hAnsi="宋体"/>
        </w:rPr>
        <w:t>1</w:t>
      </w:r>
      <w:r>
        <w:rPr>
          <w:rFonts w:hint="eastAsia" w:ascii="宋体" w:hAnsi="宋体"/>
        </w:rPr>
        <w:t>）因发包人原因未能在计划开工日期前</w:t>
      </w:r>
      <w:r>
        <w:rPr>
          <w:rFonts w:ascii="宋体" w:hAnsi="宋体"/>
        </w:rPr>
        <w:t>7</w:t>
      </w:r>
      <w:r>
        <w:rPr>
          <w:rFonts w:hint="eastAsia" w:ascii="宋体" w:hAnsi="宋体"/>
        </w:rPr>
        <w:t>天内下达开工通知的违约责任：</w:t>
      </w:r>
      <w:r>
        <w:rPr>
          <w:rFonts w:hint="eastAsia" w:ascii="宋体" w:hAnsi="宋体"/>
          <w:b/>
          <w:u w:val="single"/>
        </w:rPr>
        <w:t>按合同约定。</w:t>
      </w:r>
    </w:p>
    <w:p>
      <w:pPr>
        <w:widowControl w:val="0"/>
        <w:wordWrap/>
        <w:autoSpaceDE w:val="0"/>
        <w:autoSpaceDN w:val="0"/>
        <w:adjustRightInd w:val="0"/>
        <w:snapToGrid/>
        <w:spacing w:before="240" w:line="360" w:lineRule="auto"/>
        <w:ind w:firstLine="240" w:firstLineChars="100"/>
        <w:textAlignment w:val="auto"/>
        <w:rPr>
          <w:rFonts w:eastAsia="Times New Roman"/>
          <w:u w:val="single"/>
        </w:rPr>
      </w:pPr>
      <w:r>
        <w:rPr>
          <w:rFonts w:hint="eastAsia" w:ascii="宋体" w:hAnsi="宋体"/>
        </w:rPr>
        <w:t>（</w:t>
      </w:r>
      <w:r>
        <w:rPr>
          <w:rFonts w:ascii="宋体" w:hAnsi="宋体"/>
        </w:rPr>
        <w:t>2</w:t>
      </w:r>
      <w:r>
        <w:rPr>
          <w:rFonts w:hint="eastAsia" w:ascii="宋体" w:hAnsi="宋体"/>
        </w:rPr>
        <w:t>）因发包人原因未能按合同约定支付合同价款的违约责任：</w:t>
      </w:r>
      <w:r>
        <w:rPr>
          <w:rFonts w:hint="eastAsia" w:ascii="宋体" w:hAnsi="宋体"/>
          <w:b/>
          <w:u w:val="single"/>
        </w:rPr>
        <w:t>按合同约定</w:t>
      </w:r>
      <w:r>
        <w:rPr>
          <w:rFonts w:hint="eastAsia" w:ascii="宋体" w:hAnsi="宋体"/>
        </w:rPr>
        <w:t>。</w:t>
      </w:r>
    </w:p>
    <w:p>
      <w:pPr>
        <w:widowControl w:val="0"/>
        <w:wordWrap/>
        <w:autoSpaceDE w:val="0"/>
        <w:autoSpaceDN w:val="0"/>
        <w:adjustRightInd w:val="0"/>
        <w:snapToGrid/>
        <w:spacing w:before="240" w:line="360" w:lineRule="auto"/>
        <w:ind w:firstLine="240" w:firstLineChars="100"/>
        <w:textAlignment w:val="auto"/>
        <w:rPr>
          <w:rFonts w:eastAsia="Times New Roman"/>
          <w:u w:val="single"/>
        </w:rPr>
      </w:pPr>
      <w:r>
        <w:rPr>
          <w:rFonts w:hint="eastAsia" w:ascii="宋体" w:hAnsi="宋体"/>
        </w:rPr>
        <w:t>（</w:t>
      </w:r>
      <w:r>
        <w:rPr>
          <w:rFonts w:ascii="宋体" w:hAnsi="宋体"/>
        </w:rPr>
        <w:t>3</w:t>
      </w:r>
      <w:r>
        <w:rPr>
          <w:rFonts w:hint="eastAsia" w:ascii="宋体" w:hAnsi="宋体"/>
        </w:rPr>
        <w:t>）发包人违反第</w:t>
      </w:r>
      <w:r>
        <w:rPr>
          <w:rFonts w:ascii="宋体" w:hAnsi="宋体"/>
        </w:rPr>
        <w:t>10.1</w:t>
      </w:r>
      <w:r>
        <w:rPr>
          <w:rFonts w:hint="eastAsia" w:ascii="宋体" w:hAnsi="宋体"/>
        </w:rPr>
        <w:t>款〔变更的范围〕第（</w:t>
      </w:r>
      <w:r>
        <w:rPr>
          <w:rFonts w:ascii="宋体" w:hAnsi="宋体"/>
        </w:rPr>
        <w:t>2</w:t>
      </w:r>
      <w:r>
        <w:rPr>
          <w:rFonts w:hint="eastAsia" w:ascii="宋体" w:hAnsi="宋体"/>
        </w:rPr>
        <w:t>）项约定，自行实施被取消的工作或转由他人实施的违约责任：</w:t>
      </w:r>
      <w:r>
        <w:rPr>
          <w:rFonts w:hint="eastAsia" w:ascii="宋体" w:hAnsi="宋体"/>
          <w:b/>
          <w:u w:val="single"/>
        </w:rPr>
        <w:t>按合同约定</w:t>
      </w:r>
      <w:r>
        <w:rPr>
          <w:rFonts w:hint="eastAsia" w:ascii="宋体" w:hAnsi="宋体"/>
        </w:rPr>
        <w:t>。</w:t>
      </w:r>
    </w:p>
    <w:p>
      <w:pPr>
        <w:widowControl w:val="0"/>
        <w:wordWrap/>
        <w:autoSpaceDE w:val="0"/>
        <w:autoSpaceDN w:val="0"/>
        <w:adjustRightInd w:val="0"/>
        <w:snapToGrid/>
        <w:spacing w:before="240" w:line="360" w:lineRule="auto"/>
        <w:ind w:firstLine="240" w:firstLineChars="100"/>
        <w:textAlignment w:val="auto"/>
        <w:rPr>
          <w:rFonts w:eastAsia="Times New Roman"/>
          <w:u w:val="single"/>
        </w:rPr>
      </w:pPr>
      <w:r>
        <w:rPr>
          <w:rFonts w:hint="eastAsia" w:ascii="宋体" w:hAnsi="宋体"/>
        </w:rPr>
        <w:t>（</w:t>
      </w:r>
      <w:r>
        <w:rPr>
          <w:rFonts w:ascii="宋体" w:hAnsi="宋体"/>
        </w:rPr>
        <w:t>4</w:t>
      </w:r>
      <w:r>
        <w:rPr>
          <w:rFonts w:hint="eastAsia" w:ascii="宋体" w:hAnsi="宋体"/>
        </w:rPr>
        <w:t>）发包人提供的材料、工程设备的规格、数量或质量不符合合同约定，或因发包人原因导致交货日期延误或交货地点变更等情况的违约责任：</w:t>
      </w:r>
      <w:r>
        <w:rPr>
          <w:rFonts w:hint="eastAsia" w:ascii="宋体" w:hAnsi="宋体"/>
          <w:b/>
          <w:u w:val="single"/>
        </w:rPr>
        <w:t>按合同约定</w:t>
      </w:r>
      <w:r>
        <w:rPr>
          <w:rFonts w:hint="eastAsia" w:ascii="宋体" w:hAnsi="宋体"/>
        </w:rPr>
        <w:t>。</w:t>
      </w:r>
    </w:p>
    <w:p>
      <w:pPr>
        <w:widowControl w:val="0"/>
        <w:wordWrap/>
        <w:autoSpaceDE w:val="0"/>
        <w:autoSpaceDN w:val="0"/>
        <w:adjustRightInd w:val="0"/>
        <w:snapToGrid/>
        <w:spacing w:before="240" w:line="360" w:lineRule="auto"/>
        <w:ind w:firstLine="240" w:firstLineChars="100"/>
        <w:textAlignment w:val="auto"/>
        <w:rPr>
          <w:rFonts w:eastAsia="Times New Roman"/>
          <w:u w:val="single"/>
        </w:rPr>
      </w:pPr>
      <w:r>
        <w:rPr>
          <w:rFonts w:hint="eastAsia" w:ascii="宋体" w:hAnsi="宋体"/>
        </w:rPr>
        <w:t>（</w:t>
      </w:r>
      <w:r>
        <w:rPr>
          <w:rFonts w:ascii="宋体" w:hAnsi="宋体"/>
        </w:rPr>
        <w:t>5</w:t>
      </w:r>
      <w:r>
        <w:rPr>
          <w:rFonts w:hint="eastAsia" w:ascii="宋体" w:hAnsi="宋体"/>
        </w:rPr>
        <w:t>）因发包人违反合同约定造成暂停施工的违约责任：</w:t>
      </w:r>
      <w:r>
        <w:rPr>
          <w:rFonts w:hint="eastAsia" w:ascii="宋体" w:hAnsi="宋体"/>
          <w:b/>
          <w:u w:val="single"/>
        </w:rPr>
        <w:t>按合同约定</w:t>
      </w:r>
      <w:r>
        <w:rPr>
          <w:rFonts w:hint="eastAsia" w:ascii="宋体" w:hAnsi="宋体"/>
        </w:rPr>
        <w:t>。</w:t>
      </w:r>
    </w:p>
    <w:p>
      <w:pPr>
        <w:widowControl w:val="0"/>
        <w:wordWrap/>
        <w:autoSpaceDE w:val="0"/>
        <w:autoSpaceDN w:val="0"/>
        <w:adjustRightInd w:val="0"/>
        <w:snapToGrid/>
        <w:spacing w:before="240" w:line="360" w:lineRule="auto"/>
        <w:ind w:firstLine="240" w:firstLineChars="100"/>
        <w:textAlignment w:val="auto"/>
        <w:rPr>
          <w:rFonts w:eastAsia="Times New Roman"/>
          <w:u w:val="single"/>
        </w:rPr>
      </w:pPr>
      <w:r>
        <w:rPr>
          <w:rFonts w:hint="eastAsia" w:ascii="宋体" w:hAnsi="宋体"/>
        </w:rPr>
        <w:t>（</w:t>
      </w:r>
      <w:r>
        <w:rPr>
          <w:rFonts w:ascii="宋体" w:hAnsi="宋体"/>
        </w:rPr>
        <w:t>6</w:t>
      </w:r>
      <w:r>
        <w:rPr>
          <w:rFonts w:hint="eastAsia" w:ascii="宋体" w:hAnsi="宋体"/>
        </w:rPr>
        <w:t>）发包人无正当理由没有在约定期限内发出复工指示，导致承包人无法复工的违约责任：</w:t>
      </w:r>
      <w:r>
        <w:rPr>
          <w:rFonts w:hint="eastAsia" w:ascii="宋体" w:hAnsi="宋体"/>
          <w:b/>
          <w:u w:val="single"/>
        </w:rPr>
        <w:t>按合同约定</w:t>
      </w:r>
      <w:r>
        <w:rPr>
          <w:rFonts w:hint="eastAsia" w:ascii="宋体" w:hAnsi="宋体"/>
        </w:rPr>
        <w:t>。</w:t>
      </w:r>
    </w:p>
    <w:p>
      <w:pPr>
        <w:widowControl w:val="0"/>
        <w:wordWrap/>
        <w:autoSpaceDE w:val="0"/>
        <w:autoSpaceDN w:val="0"/>
        <w:adjustRightInd w:val="0"/>
        <w:snapToGrid/>
        <w:spacing w:line="360" w:lineRule="auto"/>
        <w:ind w:firstLine="240" w:firstLineChars="100"/>
        <w:textAlignment w:val="auto"/>
        <w:rPr>
          <w:rFonts w:eastAsia="Times New Roman"/>
        </w:rPr>
      </w:pPr>
      <w:r>
        <w:rPr>
          <w:rFonts w:hint="eastAsia" w:ascii="宋体" w:hAnsi="宋体"/>
        </w:rPr>
        <w:t>（</w:t>
      </w:r>
      <w:r>
        <w:rPr>
          <w:rFonts w:ascii="宋体" w:hAnsi="宋体"/>
        </w:rPr>
        <w:t>7</w:t>
      </w:r>
      <w:r>
        <w:rPr>
          <w:rFonts w:hint="eastAsia" w:ascii="宋体" w:hAnsi="宋体"/>
        </w:rPr>
        <w:t>）其他：</w:t>
      </w:r>
      <w:r>
        <w:rPr>
          <w:rFonts w:hint="eastAsia" w:ascii="宋体" w:hAnsi="宋体"/>
          <w:b/>
          <w:u w:val="single"/>
        </w:rPr>
        <w:t>无</w:t>
      </w:r>
      <w:r>
        <w:rPr>
          <w:rFonts w:hint="eastAsia" w:ascii="宋体" w:hAnsi="宋体"/>
        </w:rPr>
        <w:t>。</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 xml:space="preserve">16.1.3 </w:t>
      </w:r>
      <w:r>
        <w:rPr>
          <w:rFonts w:hint="eastAsia" w:ascii="宋体" w:hAnsi="宋体"/>
        </w:rPr>
        <w:t>因发包人违约解除合同</w:t>
      </w:r>
    </w:p>
    <w:p>
      <w:pPr>
        <w:widowControl w:val="0"/>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承包人按</w:t>
      </w:r>
      <w:r>
        <w:rPr>
          <w:rFonts w:ascii="宋体" w:hAnsi="宋体"/>
        </w:rPr>
        <w:t>16.1.1</w:t>
      </w:r>
      <w:r>
        <w:rPr>
          <w:rFonts w:hint="eastAsia" w:ascii="宋体" w:hAnsi="宋体"/>
        </w:rPr>
        <w:t>项〔发包人违约的情形〕约定暂停施工满</w:t>
      </w:r>
      <w:r>
        <w:rPr>
          <w:rFonts w:ascii="宋体" w:hAnsi="宋体"/>
          <w:u w:val="single"/>
        </w:rPr>
        <w:t xml:space="preserve"> 60</w:t>
      </w:r>
      <w:r>
        <w:rPr>
          <w:rFonts w:hint="eastAsia" w:ascii="宋体" w:hAnsi="宋体"/>
        </w:rPr>
        <w:t>天后发包人仍不纠正其违约行为并致使合同目的不能实现的，承包人有权解除合同。</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 xml:space="preserve">16.2 </w:t>
      </w:r>
      <w:r>
        <w:rPr>
          <w:rFonts w:hint="eastAsia" w:ascii="宋体" w:hAnsi="宋体"/>
        </w:rPr>
        <w:t>承包人违约</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 xml:space="preserve">16.2.1 </w:t>
      </w:r>
      <w:r>
        <w:rPr>
          <w:rFonts w:hint="eastAsia" w:ascii="宋体" w:hAnsi="宋体"/>
        </w:rPr>
        <w:t>承包人违约的情形</w:t>
      </w:r>
    </w:p>
    <w:p>
      <w:pPr>
        <w:widowControl w:val="0"/>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承包人违约的其他情形：</w:t>
      </w:r>
      <w:r>
        <w:rPr>
          <w:rFonts w:hint="eastAsia" w:ascii="宋体" w:hAnsi="宋体"/>
          <w:b/>
          <w:u w:val="single"/>
        </w:rPr>
        <w:t>双方另行确定。</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16.2.2</w:t>
      </w:r>
      <w:r>
        <w:rPr>
          <w:rFonts w:hint="eastAsia" w:ascii="宋体" w:hAnsi="宋体"/>
        </w:rPr>
        <w:t>承包人违约的责任</w:t>
      </w:r>
    </w:p>
    <w:p>
      <w:pPr>
        <w:widowControl w:val="0"/>
        <w:wordWrap/>
        <w:autoSpaceDE w:val="0"/>
        <w:autoSpaceDN w:val="0"/>
        <w:adjustRightInd w:val="0"/>
        <w:snapToGrid/>
        <w:spacing w:before="240" w:line="360" w:lineRule="auto"/>
        <w:ind w:firstLine="480" w:firstLineChars="200"/>
        <w:textAlignment w:val="auto"/>
        <w:rPr>
          <w:rFonts w:eastAsia="Times New Roman"/>
          <w:b/>
          <w:u w:val="single"/>
        </w:rPr>
      </w:pPr>
      <w:r>
        <w:rPr>
          <w:rFonts w:hint="eastAsia" w:ascii="宋体" w:hAnsi="宋体"/>
        </w:rPr>
        <w:t>承包人违约责任的承担方式和计算方法：</w:t>
      </w:r>
      <w:r>
        <w:rPr>
          <w:rFonts w:hint="eastAsia" w:ascii="宋体" w:hAnsi="宋体"/>
          <w:b/>
          <w:u w:val="single"/>
        </w:rPr>
        <w:t>由承包人承担全部费用并承担相关法律责任。</w:t>
      </w:r>
    </w:p>
    <w:p>
      <w:pPr>
        <w:widowControl w:val="0"/>
        <w:wordWrap/>
        <w:autoSpaceDE w:val="0"/>
        <w:autoSpaceDN w:val="0"/>
        <w:adjustRightInd w:val="0"/>
        <w:snapToGrid/>
        <w:spacing w:line="360" w:lineRule="auto"/>
        <w:ind w:firstLine="480" w:firstLineChars="200"/>
        <w:textAlignment w:val="auto"/>
        <w:rPr>
          <w:rFonts w:eastAsia="Times New Roman"/>
        </w:rPr>
      </w:pPr>
      <w:r>
        <w:rPr>
          <w:rFonts w:ascii="宋体" w:hAnsi="宋体"/>
        </w:rPr>
        <w:t xml:space="preserve">16.2.3 </w:t>
      </w:r>
      <w:r>
        <w:rPr>
          <w:rFonts w:hint="eastAsia" w:ascii="宋体" w:hAnsi="宋体"/>
        </w:rPr>
        <w:t>因承包人违约解除合同</w:t>
      </w:r>
    </w:p>
    <w:p>
      <w:pPr>
        <w:widowControl w:val="0"/>
        <w:wordWrap/>
        <w:autoSpaceDE w:val="0"/>
        <w:autoSpaceDN w:val="0"/>
        <w:adjustRightInd w:val="0"/>
        <w:snapToGrid/>
        <w:spacing w:before="120" w:after="120" w:line="360" w:lineRule="auto"/>
        <w:ind w:firstLine="480" w:firstLineChars="200"/>
        <w:textAlignment w:val="auto"/>
        <w:rPr>
          <w:rFonts w:eastAsia="Times New Roman"/>
        </w:rPr>
      </w:pPr>
      <w:r>
        <w:rPr>
          <w:rFonts w:hint="eastAsia" w:ascii="宋体" w:hAnsi="宋体"/>
        </w:rPr>
        <w:t>关于承包人违约解除合同的特别约定：</w:t>
      </w:r>
      <w:r>
        <w:rPr>
          <w:rFonts w:hint="eastAsia" w:ascii="宋体" w:hAnsi="宋体"/>
          <w:b/>
          <w:u w:val="single"/>
        </w:rPr>
        <w:t>执行通用条款</w:t>
      </w:r>
      <w:r>
        <w:rPr>
          <w:rFonts w:hint="eastAsia" w:ascii="宋体" w:hAnsi="宋体"/>
        </w:rPr>
        <w:t>。</w:t>
      </w:r>
    </w:p>
    <w:p>
      <w:pPr>
        <w:widowControl w:val="0"/>
        <w:wordWrap/>
        <w:autoSpaceDE w:val="0"/>
        <w:autoSpaceDN w:val="0"/>
        <w:adjustRightInd w:val="0"/>
        <w:snapToGrid/>
        <w:spacing w:before="120" w:after="120" w:line="360" w:lineRule="auto"/>
        <w:ind w:firstLine="480" w:firstLineChars="200"/>
        <w:textAlignment w:val="auto"/>
        <w:rPr>
          <w:rFonts w:eastAsia="Times New Roman"/>
        </w:rPr>
      </w:pPr>
      <w:r>
        <w:rPr>
          <w:rFonts w:hint="eastAsia" w:ascii="宋体" w:hAnsi="宋体"/>
        </w:rPr>
        <w:t>发包人继续使用承包人在施工现场的材料、设备、临时工程、承包人文件和由承包人或以其名义编制的其他文件的费用承担方式：</w:t>
      </w:r>
      <w:r>
        <w:rPr>
          <w:rFonts w:hint="eastAsia" w:ascii="宋体" w:hAnsi="宋体"/>
          <w:b/>
          <w:u w:val="single"/>
        </w:rPr>
        <w:t>双方另行确定</w:t>
      </w:r>
      <w:r>
        <w:rPr>
          <w:rFonts w:hint="eastAsia" w:ascii="宋体" w:hAnsi="宋体"/>
        </w:rPr>
        <w:t>。</w:t>
      </w:r>
    </w:p>
    <w:p>
      <w:pPr>
        <w:widowControl w:val="0"/>
        <w:wordWrap/>
        <w:autoSpaceDE w:val="0"/>
        <w:autoSpaceDN w:val="0"/>
        <w:adjustRightInd w:val="0"/>
        <w:snapToGrid/>
        <w:spacing w:line="360" w:lineRule="auto"/>
        <w:ind w:firstLine="480" w:firstLineChars="200"/>
        <w:textAlignment w:val="auto"/>
        <w:rPr>
          <w:rFonts w:ascii="宋体" w:hAnsi="宋体"/>
        </w:rPr>
      </w:pPr>
      <w:bookmarkStart w:id="451" w:name="_Toc351203649"/>
      <w:r>
        <w:rPr>
          <w:rFonts w:ascii="宋体" w:hAnsi="宋体"/>
        </w:rPr>
        <w:t xml:space="preserve">17. </w:t>
      </w:r>
      <w:r>
        <w:rPr>
          <w:rFonts w:hint="eastAsia" w:ascii="宋体" w:hAnsi="宋体"/>
        </w:rPr>
        <w:t>不可抗力</w:t>
      </w:r>
      <w:bookmarkEnd w:id="449"/>
      <w:bookmarkEnd w:id="451"/>
    </w:p>
    <w:p>
      <w:pPr>
        <w:widowControl w:val="0"/>
        <w:wordWrap/>
        <w:autoSpaceDE w:val="0"/>
        <w:autoSpaceDN w:val="0"/>
        <w:adjustRightInd w:val="0"/>
        <w:snapToGrid/>
        <w:spacing w:after="120" w:line="360" w:lineRule="auto"/>
        <w:ind w:firstLine="480" w:firstLineChars="200"/>
        <w:textAlignment w:val="auto"/>
        <w:rPr>
          <w:rFonts w:eastAsia="Times New Roman"/>
        </w:rPr>
      </w:pPr>
      <w:r>
        <w:rPr>
          <w:rFonts w:ascii="宋体" w:hAnsi="宋体"/>
        </w:rPr>
        <w:t xml:space="preserve">17.1 </w:t>
      </w:r>
      <w:r>
        <w:rPr>
          <w:rFonts w:hint="eastAsia" w:ascii="宋体" w:hAnsi="宋体"/>
        </w:rPr>
        <w:t>不可抗力的确认</w:t>
      </w:r>
    </w:p>
    <w:p>
      <w:pPr>
        <w:widowControl w:val="0"/>
        <w:wordWrap/>
        <w:autoSpaceDE w:val="0"/>
        <w:autoSpaceDN w:val="0"/>
        <w:adjustRightInd w:val="0"/>
        <w:snapToGrid/>
        <w:spacing w:before="240" w:line="360" w:lineRule="auto"/>
        <w:ind w:firstLine="540" w:firstLineChars="225"/>
        <w:textAlignment w:val="auto"/>
        <w:rPr>
          <w:rFonts w:eastAsia="Times New Roman"/>
          <w:b/>
          <w:u w:val="single"/>
        </w:rPr>
      </w:pPr>
      <w:r>
        <w:rPr>
          <w:rFonts w:hint="eastAsia" w:ascii="宋体" w:hAnsi="宋体"/>
        </w:rPr>
        <w:t>除通用合同条款约定的不可抗力事件之外，视为不可抗力的其他情形：</w:t>
      </w:r>
      <w:r>
        <w:rPr>
          <w:rFonts w:hint="eastAsia" w:ascii="宋体" w:hAnsi="宋体"/>
          <w:b/>
          <w:u w:val="single"/>
        </w:rPr>
        <w:t>双方另行确定。</w:t>
      </w:r>
    </w:p>
    <w:p>
      <w:pPr>
        <w:spacing w:line="488" w:lineRule="exact"/>
        <w:ind w:firstLine="480" w:firstLineChars="200"/>
        <w:rPr>
          <w:rFonts w:eastAsia="Times New Roman"/>
        </w:rPr>
      </w:pPr>
      <w:r>
        <w:rPr>
          <w:rFonts w:ascii="宋体" w:hAnsi="宋体"/>
        </w:rPr>
        <w:t xml:space="preserve">17.4 </w:t>
      </w:r>
      <w:r>
        <w:rPr>
          <w:rFonts w:hint="eastAsia" w:ascii="宋体" w:hAnsi="宋体"/>
        </w:rPr>
        <w:t>因不可抗力解除合同</w:t>
      </w:r>
    </w:p>
    <w:p>
      <w:pPr>
        <w:spacing w:line="488" w:lineRule="exact"/>
        <w:ind w:firstLine="480" w:firstLineChars="200"/>
        <w:rPr>
          <w:rFonts w:eastAsia="Times New Roman"/>
        </w:rPr>
      </w:pPr>
      <w:r>
        <w:rPr>
          <w:rFonts w:hint="eastAsia" w:ascii="宋体" w:hAnsi="宋体"/>
        </w:rPr>
        <w:t>合同解除后，发包人应在商定或确定发包人应支付款项后</w:t>
      </w:r>
      <w:r>
        <w:rPr>
          <w:rFonts w:ascii="宋体" w:hAnsi="宋体"/>
          <w:b/>
          <w:u w:val="single"/>
        </w:rPr>
        <w:t xml:space="preserve"> 28</w:t>
      </w:r>
      <w:r>
        <w:rPr>
          <w:rFonts w:hint="eastAsia" w:ascii="宋体" w:hAnsi="宋体"/>
        </w:rPr>
        <w:t>天内完成款项的支付。</w:t>
      </w:r>
    </w:p>
    <w:p>
      <w:pPr>
        <w:spacing w:line="488" w:lineRule="exact"/>
        <w:ind w:firstLine="480" w:firstLineChars="200"/>
        <w:rPr>
          <w:rFonts w:eastAsia="Times New Roman"/>
        </w:rPr>
      </w:pPr>
      <w:bookmarkStart w:id="452" w:name="_Toc351203650"/>
      <w:r>
        <w:rPr>
          <w:rFonts w:ascii="宋体" w:hAnsi="宋体"/>
        </w:rPr>
        <w:t xml:space="preserve">18. </w:t>
      </w:r>
      <w:r>
        <w:rPr>
          <w:rFonts w:hint="eastAsia" w:ascii="宋体" w:hAnsi="宋体"/>
        </w:rPr>
        <w:t>保险</w:t>
      </w:r>
      <w:bookmarkEnd w:id="452"/>
    </w:p>
    <w:bookmarkEnd w:id="450"/>
    <w:p>
      <w:pPr>
        <w:spacing w:after="120" w:line="488" w:lineRule="exact"/>
        <w:ind w:firstLine="480" w:firstLineChars="200"/>
        <w:rPr>
          <w:rFonts w:eastAsia="Times New Roman"/>
        </w:rPr>
      </w:pPr>
      <w:r>
        <w:rPr>
          <w:rFonts w:ascii="宋体" w:hAnsi="宋体"/>
        </w:rPr>
        <w:t xml:space="preserve">18.1 </w:t>
      </w:r>
      <w:r>
        <w:rPr>
          <w:rFonts w:hint="eastAsia" w:ascii="宋体" w:hAnsi="宋体"/>
        </w:rPr>
        <w:t>工程保险</w:t>
      </w:r>
    </w:p>
    <w:p>
      <w:pPr>
        <w:spacing w:line="488" w:lineRule="exact"/>
        <w:ind w:firstLine="480" w:firstLineChars="200"/>
        <w:rPr>
          <w:rFonts w:eastAsia="Times New Roman"/>
        </w:rPr>
      </w:pPr>
      <w:r>
        <w:rPr>
          <w:rFonts w:hint="eastAsia" w:ascii="宋体" w:hAnsi="宋体"/>
        </w:rPr>
        <w:t>关于工程保险的特别约定：</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 xml:space="preserve">18.3 </w:t>
      </w:r>
      <w:r>
        <w:rPr>
          <w:rFonts w:hint="eastAsia" w:ascii="宋体" w:hAnsi="宋体"/>
        </w:rPr>
        <w:t>其他保险</w:t>
      </w:r>
    </w:p>
    <w:p>
      <w:pPr>
        <w:spacing w:line="488" w:lineRule="exact"/>
        <w:ind w:firstLine="480" w:firstLineChars="200"/>
        <w:rPr>
          <w:rFonts w:eastAsia="Times New Roman"/>
        </w:rPr>
      </w:pPr>
      <w:r>
        <w:rPr>
          <w:rFonts w:hint="eastAsia" w:ascii="宋体" w:hAnsi="宋体"/>
        </w:rPr>
        <w:t>关于其他保险的约定：</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承包人是否应为其施工设备等办理财产保险：</w:t>
      </w:r>
      <w:r>
        <w:rPr>
          <w:rFonts w:ascii="宋体" w:hAnsi="宋体"/>
          <w:u w:val="single"/>
        </w:rPr>
        <w:t xml:space="preserve">  /       </w:t>
      </w:r>
      <w:r>
        <w:rPr>
          <w:rFonts w:hint="eastAsia" w:ascii="宋体" w:hAnsi="宋体"/>
        </w:rPr>
        <w:t>。</w:t>
      </w:r>
    </w:p>
    <w:p>
      <w:pPr>
        <w:spacing w:after="120" w:line="488" w:lineRule="exact"/>
        <w:ind w:firstLine="480" w:firstLineChars="200"/>
        <w:rPr>
          <w:rFonts w:eastAsia="Times New Roman"/>
        </w:rPr>
      </w:pPr>
      <w:r>
        <w:rPr>
          <w:rFonts w:ascii="宋体" w:hAnsi="宋体"/>
        </w:rPr>
        <w:t xml:space="preserve">18.7 </w:t>
      </w:r>
      <w:r>
        <w:rPr>
          <w:rFonts w:hint="eastAsia" w:ascii="宋体" w:hAnsi="宋体"/>
        </w:rPr>
        <w:t>通知义务</w:t>
      </w:r>
    </w:p>
    <w:p>
      <w:pPr>
        <w:spacing w:line="488" w:lineRule="exact"/>
        <w:ind w:firstLine="480" w:firstLineChars="200"/>
        <w:rPr>
          <w:rFonts w:eastAsia="Times New Roman"/>
        </w:rPr>
      </w:pPr>
      <w:r>
        <w:rPr>
          <w:rFonts w:hint="eastAsia" w:ascii="宋体" w:hAnsi="宋体"/>
        </w:rPr>
        <w:t>关于变更保险合同时的通知义务的约定：</w:t>
      </w:r>
      <w:r>
        <w:rPr>
          <w:rFonts w:ascii="宋体" w:hAnsi="宋体"/>
          <w:u w:val="single"/>
        </w:rPr>
        <w:t xml:space="preserve">   /    </w:t>
      </w:r>
      <w:r>
        <w:rPr>
          <w:rFonts w:hint="eastAsia" w:ascii="宋体" w:hAnsi="宋体"/>
        </w:rPr>
        <w:t>。</w:t>
      </w:r>
    </w:p>
    <w:bookmarkEnd w:id="426"/>
    <w:bookmarkEnd w:id="427"/>
    <w:bookmarkEnd w:id="428"/>
    <w:bookmarkEnd w:id="429"/>
    <w:bookmarkEnd w:id="430"/>
    <w:bookmarkEnd w:id="431"/>
    <w:bookmarkEnd w:id="432"/>
    <w:bookmarkEnd w:id="433"/>
    <w:bookmarkEnd w:id="434"/>
    <w:bookmarkEnd w:id="435"/>
    <w:bookmarkEnd w:id="436"/>
    <w:bookmarkEnd w:id="437"/>
    <w:p>
      <w:pPr>
        <w:wordWrap/>
        <w:autoSpaceDE w:val="0"/>
        <w:autoSpaceDN w:val="0"/>
        <w:adjustRightInd w:val="0"/>
        <w:snapToGrid/>
        <w:spacing w:line="360" w:lineRule="auto"/>
        <w:ind w:firstLine="480" w:firstLineChars="200"/>
        <w:textAlignment w:val="auto"/>
        <w:rPr>
          <w:rFonts w:eastAsia="Times New Roman"/>
        </w:rPr>
      </w:pPr>
      <w:bookmarkStart w:id="453" w:name="_Toc351203651"/>
      <w:r>
        <w:rPr>
          <w:rFonts w:ascii="宋体" w:hAnsi="宋体"/>
        </w:rPr>
        <w:t xml:space="preserve">20. </w:t>
      </w:r>
      <w:r>
        <w:rPr>
          <w:rFonts w:hint="eastAsia" w:ascii="宋体" w:hAnsi="宋体"/>
        </w:rPr>
        <w:t>争议解决</w:t>
      </w:r>
      <w:bookmarkEnd w:id="453"/>
    </w:p>
    <w:bookmarkEnd w:id="438"/>
    <w:bookmarkEnd w:id="439"/>
    <w:bookmarkEnd w:id="440"/>
    <w:p>
      <w:pPr>
        <w:wordWrap/>
        <w:autoSpaceDE w:val="0"/>
        <w:autoSpaceDN w:val="0"/>
        <w:adjustRightInd w:val="0"/>
        <w:snapToGrid/>
        <w:spacing w:line="360" w:lineRule="auto"/>
        <w:ind w:firstLine="480" w:firstLineChars="200"/>
        <w:textAlignment w:val="auto"/>
        <w:rPr>
          <w:rFonts w:eastAsia="Times New Roman"/>
        </w:rPr>
      </w:pPr>
      <w:r>
        <w:rPr>
          <w:rFonts w:ascii="宋体" w:hAnsi="宋体"/>
        </w:rPr>
        <w:t>20.4</w:t>
      </w:r>
      <w:r>
        <w:rPr>
          <w:rFonts w:hint="eastAsia" w:ascii="宋体" w:hAnsi="宋体"/>
        </w:rPr>
        <w:t>仲裁或诉讼</w:t>
      </w:r>
      <w:bookmarkEnd w:id="441"/>
    </w:p>
    <w:p>
      <w:pPr>
        <w:wordWrap/>
        <w:autoSpaceDE w:val="0"/>
        <w:autoSpaceDN w:val="0"/>
        <w:adjustRightInd w:val="0"/>
        <w:snapToGrid/>
        <w:spacing w:after="120" w:line="360" w:lineRule="auto"/>
        <w:ind w:firstLine="480" w:firstLineChars="200"/>
        <w:textAlignment w:val="auto"/>
        <w:rPr>
          <w:rFonts w:eastAsia="Times New Roman"/>
        </w:rPr>
      </w:pPr>
      <w:r>
        <w:rPr>
          <w:rFonts w:hint="eastAsia" w:ascii="宋体" w:hAnsi="宋体"/>
        </w:rPr>
        <w:t>因合同及合同有关事项发生的争议，按下列第</w:t>
      </w:r>
      <w:r>
        <w:rPr>
          <w:rFonts w:ascii="宋体" w:hAnsi="宋体"/>
          <w:b/>
          <w:u w:val="single"/>
        </w:rPr>
        <w:t xml:space="preserve"> 2 </w:t>
      </w:r>
      <w:r>
        <w:rPr>
          <w:rFonts w:hint="eastAsia" w:ascii="宋体" w:hAnsi="宋体"/>
        </w:rPr>
        <w:t>种方式解决：</w:t>
      </w:r>
    </w:p>
    <w:p>
      <w:pPr>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w:t>
      </w:r>
      <w:r>
        <w:rPr>
          <w:rFonts w:ascii="宋体" w:hAnsi="宋体"/>
        </w:rPr>
        <w:t>1</w:t>
      </w:r>
      <w:r>
        <w:rPr>
          <w:rFonts w:hint="eastAsia" w:ascii="宋体" w:hAnsi="宋体"/>
        </w:rPr>
        <w:t>）向仲裁委员会申请仲裁；</w:t>
      </w:r>
    </w:p>
    <w:p>
      <w:pPr>
        <w:wordWrap/>
        <w:autoSpaceDE w:val="0"/>
        <w:autoSpaceDN w:val="0"/>
        <w:adjustRightInd w:val="0"/>
        <w:snapToGrid/>
        <w:spacing w:line="360" w:lineRule="auto"/>
        <w:ind w:firstLine="480" w:firstLineChars="200"/>
        <w:textAlignment w:val="auto"/>
        <w:rPr>
          <w:rFonts w:eastAsia="Times New Roman"/>
        </w:rPr>
      </w:pPr>
      <w:r>
        <w:rPr>
          <w:rFonts w:hint="eastAsia" w:ascii="宋体" w:hAnsi="宋体"/>
        </w:rPr>
        <w:t>（</w:t>
      </w:r>
      <w:r>
        <w:rPr>
          <w:rFonts w:ascii="宋体" w:hAnsi="宋体"/>
        </w:rPr>
        <w:t>2</w:t>
      </w:r>
      <w:r>
        <w:rPr>
          <w:rFonts w:hint="eastAsia" w:ascii="宋体" w:hAnsi="宋体"/>
        </w:rPr>
        <w:t>）向</w:t>
      </w:r>
      <w:r>
        <w:rPr>
          <w:rFonts w:hint="eastAsia" w:ascii="宋体" w:hAnsi="宋体"/>
          <w:b/>
          <w:u w:val="single"/>
        </w:rPr>
        <w:t>工程所在地</w:t>
      </w:r>
      <w:r>
        <w:rPr>
          <w:rFonts w:hint="eastAsia" w:ascii="宋体" w:hAnsi="宋体"/>
        </w:rPr>
        <w:t>人民法院起诉。</w:t>
      </w:r>
      <w:bookmarkEnd w:id="442"/>
      <w:bookmarkEnd w:id="443"/>
      <w:bookmarkEnd w:id="444"/>
      <w:bookmarkEnd w:id="445"/>
      <w:bookmarkEnd w:id="446"/>
      <w:bookmarkEnd w:id="447"/>
    </w:p>
    <w:p>
      <w:pPr>
        <w:widowControl/>
        <w:wordWrap/>
        <w:autoSpaceDE w:val="0"/>
        <w:autoSpaceDN w:val="0"/>
        <w:adjustRightInd w:val="0"/>
        <w:snapToGrid/>
        <w:spacing w:line="360" w:lineRule="auto"/>
        <w:ind w:firstLine="480" w:firstLineChars="200"/>
        <w:textAlignment w:val="auto"/>
        <w:rPr>
          <w:b w:val="0"/>
          <w:bCs/>
        </w:rPr>
      </w:pPr>
      <w:r>
        <w:rPr>
          <w:rFonts w:hint="eastAsia"/>
          <w:b w:val="0"/>
          <w:bCs/>
          <w:lang w:val="en-US" w:eastAsia="zh-CN"/>
        </w:rPr>
        <w:t xml:space="preserve">21.  </w:t>
      </w:r>
      <w:r>
        <w:rPr>
          <w:rFonts w:hint="eastAsia"/>
          <w:b w:val="0"/>
          <w:bCs/>
        </w:rPr>
        <w:t>附加条款：</w:t>
      </w:r>
    </w:p>
    <w:p>
      <w:pPr>
        <w:widowControl/>
        <w:numPr>
          <w:ilvl w:val="0"/>
          <w:numId w:val="0"/>
        </w:numPr>
        <w:wordWrap/>
        <w:autoSpaceDE w:val="0"/>
        <w:autoSpaceDN w:val="0"/>
        <w:adjustRightInd w:val="0"/>
        <w:snapToGrid/>
        <w:spacing w:line="360" w:lineRule="auto"/>
        <w:ind w:left="420" w:leftChars="0"/>
        <w:textAlignment w:val="auto"/>
        <w:rPr>
          <w:rFonts w:hint="eastAsia"/>
          <w:b/>
          <w:bCs/>
          <w:color w:val="auto"/>
          <w:u w:val="single"/>
        </w:rPr>
      </w:pPr>
      <w:r>
        <w:rPr>
          <w:rFonts w:hint="eastAsia"/>
          <w:b/>
          <w:bCs/>
          <w:color w:val="auto"/>
          <w:u w:val="single"/>
          <w:lang w:eastAsia="zh-CN"/>
        </w:rPr>
        <w:t>（</w:t>
      </w:r>
      <w:r>
        <w:rPr>
          <w:rFonts w:hint="eastAsia"/>
          <w:b/>
          <w:bCs/>
          <w:color w:val="auto"/>
          <w:u w:val="single"/>
          <w:lang w:val="en-US" w:eastAsia="zh-CN"/>
        </w:rPr>
        <w:t>1</w:t>
      </w:r>
      <w:r>
        <w:rPr>
          <w:rFonts w:hint="eastAsia"/>
          <w:b/>
          <w:bCs/>
          <w:color w:val="auto"/>
          <w:u w:val="single"/>
          <w:lang w:eastAsia="zh-CN"/>
        </w:rPr>
        <w:t>）</w:t>
      </w:r>
      <w:r>
        <w:rPr>
          <w:rFonts w:hint="eastAsia"/>
          <w:b/>
          <w:bCs/>
          <w:color w:val="auto"/>
          <w:u w:val="single"/>
        </w:rPr>
        <w:t>本合同所采购的气象自动观测站及前</w:t>
      </w:r>
      <w:r>
        <w:rPr>
          <w:rFonts w:hint="eastAsia"/>
          <w:b/>
          <w:bCs/>
          <w:color w:val="auto"/>
          <w:u w:val="single"/>
          <w:lang w:val="en-US" w:eastAsia="zh-CN"/>
        </w:rPr>
        <w:t>向</w:t>
      </w:r>
      <w:r>
        <w:rPr>
          <w:rFonts w:hint="eastAsia"/>
          <w:b/>
          <w:bCs/>
          <w:color w:val="auto"/>
          <w:u w:val="single"/>
        </w:rPr>
        <w:t>散射仪、云高仪必须符合民航管理局的要求，且承包人所编制的气象报告、提供的气象数据符合行业主管部门标准，否则此合同不生效。</w:t>
      </w:r>
    </w:p>
    <w:p>
      <w:pPr>
        <w:widowControl/>
        <w:numPr>
          <w:ilvl w:val="0"/>
          <w:numId w:val="0"/>
        </w:numPr>
        <w:wordWrap/>
        <w:autoSpaceDE w:val="0"/>
        <w:autoSpaceDN w:val="0"/>
        <w:adjustRightInd w:val="0"/>
        <w:snapToGrid/>
        <w:spacing w:line="360" w:lineRule="auto"/>
        <w:ind w:left="420" w:leftChars="0"/>
        <w:textAlignment w:val="auto"/>
        <w:rPr>
          <w:rFonts w:hint="eastAsia"/>
          <w:b/>
          <w:bCs/>
          <w:color w:val="auto"/>
          <w:u w:val="single"/>
        </w:rPr>
      </w:pPr>
      <w:r>
        <w:rPr>
          <w:rFonts w:hint="eastAsia"/>
          <w:b/>
          <w:bCs/>
          <w:color w:val="auto"/>
          <w:u w:val="single"/>
          <w:lang w:eastAsia="zh-CN"/>
        </w:rPr>
        <w:t>（</w:t>
      </w:r>
      <w:r>
        <w:rPr>
          <w:rFonts w:hint="eastAsia"/>
          <w:b/>
          <w:bCs/>
          <w:color w:val="auto"/>
          <w:u w:val="single"/>
          <w:lang w:val="en-US" w:eastAsia="zh-CN"/>
        </w:rPr>
        <w:t>2</w:t>
      </w:r>
      <w:r>
        <w:rPr>
          <w:rFonts w:hint="eastAsia"/>
          <w:b/>
          <w:bCs/>
          <w:color w:val="auto"/>
          <w:u w:val="single"/>
          <w:lang w:eastAsia="zh-CN"/>
        </w:rPr>
        <w:t>）</w:t>
      </w:r>
      <w:r>
        <w:rPr>
          <w:rFonts w:hint="eastAsia"/>
          <w:b/>
          <w:bCs/>
          <w:color w:val="auto"/>
          <w:u w:val="single"/>
        </w:rPr>
        <w:t>工程竣工承包方将所有设备移交至发包方后，所有设备的看护由发包方负责</w:t>
      </w:r>
      <w:r>
        <w:rPr>
          <w:rFonts w:hint="eastAsia"/>
          <w:b/>
          <w:bCs/>
          <w:color w:val="auto"/>
          <w:u w:val="single"/>
          <w:lang w:eastAsia="zh-CN"/>
        </w:rPr>
        <w:t>。（</w:t>
      </w:r>
      <w:r>
        <w:rPr>
          <w:rFonts w:hint="eastAsia"/>
          <w:b/>
          <w:bCs/>
          <w:color w:val="auto"/>
          <w:u w:val="single"/>
          <w:lang w:val="en-US" w:eastAsia="zh-CN"/>
        </w:rPr>
        <w:t>3</w:t>
      </w:r>
      <w:r>
        <w:rPr>
          <w:rFonts w:hint="eastAsia"/>
          <w:b/>
          <w:bCs/>
          <w:color w:val="auto"/>
          <w:u w:val="single"/>
          <w:lang w:eastAsia="zh-CN"/>
        </w:rPr>
        <w:t>）</w:t>
      </w:r>
      <w:r>
        <w:rPr>
          <w:rFonts w:hint="eastAsia"/>
          <w:b/>
          <w:bCs/>
          <w:color w:val="auto"/>
          <w:u w:val="single"/>
        </w:rPr>
        <w:t>承包人需提供正规发票或增值税专用发票。</w:t>
      </w:r>
      <w:r>
        <w:rPr>
          <w:rFonts w:hint="eastAsia"/>
          <w:b/>
          <w:bCs/>
          <w:color w:val="auto"/>
          <w:u w:val="single"/>
          <w:lang w:eastAsia="zh-CN"/>
        </w:rPr>
        <w:t>（</w:t>
      </w:r>
      <w:r>
        <w:rPr>
          <w:rFonts w:hint="eastAsia"/>
          <w:b/>
          <w:bCs/>
          <w:color w:val="auto"/>
          <w:u w:val="single"/>
          <w:lang w:val="en-US" w:eastAsia="zh-CN"/>
        </w:rPr>
        <w:t>4</w:t>
      </w:r>
      <w:r>
        <w:rPr>
          <w:rFonts w:hint="eastAsia"/>
          <w:b/>
          <w:bCs/>
          <w:color w:val="auto"/>
          <w:u w:val="single"/>
          <w:lang w:eastAsia="zh-CN"/>
        </w:rPr>
        <w:t>）新疆维吾尔自治区区外企业要求：区外投标企业若中标应按《关于进一步推动自治区建筑市场统一开放的通知》的规定，登录新疆建筑市场监管和诚信信息一体化平台（简称新疆工程建设云），网址（http://jsy.xjjs.gov.cn ） , 注册报送企业基本信息和人员信息。</w:t>
      </w:r>
      <w:r>
        <w:rPr>
          <w:rFonts w:hint="eastAsia"/>
          <w:b/>
          <w:bCs/>
          <w:color w:val="auto"/>
          <w:u w:val="single"/>
        </w:rPr>
        <w:t>否则此合同不生效。</w:t>
      </w:r>
    </w:p>
    <w:p>
      <w:pPr>
        <w:widowControl/>
        <w:numPr>
          <w:ilvl w:val="0"/>
          <w:numId w:val="0"/>
        </w:numPr>
        <w:wordWrap/>
        <w:autoSpaceDE w:val="0"/>
        <w:autoSpaceDN w:val="0"/>
        <w:adjustRightInd w:val="0"/>
        <w:snapToGrid/>
        <w:spacing w:line="360" w:lineRule="auto"/>
        <w:ind w:left="420" w:leftChars="0"/>
        <w:textAlignment w:val="auto"/>
        <w:rPr>
          <w:rFonts w:hint="eastAsia" w:eastAsia="宋体"/>
          <w:b/>
          <w:bCs/>
          <w:color w:val="auto"/>
          <w:u w:val="single"/>
          <w:lang w:eastAsia="zh-CN"/>
        </w:rPr>
      </w:pPr>
    </w:p>
    <w:p>
      <w:pPr>
        <w:wordWrap/>
        <w:autoSpaceDE w:val="0"/>
        <w:autoSpaceDN w:val="0"/>
        <w:adjustRightInd w:val="0"/>
        <w:snapToGrid/>
        <w:spacing w:line="360" w:lineRule="auto"/>
        <w:textAlignment w:val="auto"/>
        <w:rPr>
          <w:rFonts w:eastAsia="Times New Roman"/>
          <w:b/>
        </w:rPr>
      </w:pPr>
      <w:r>
        <w:rPr>
          <w:rFonts w:eastAsia="Times New Roman"/>
          <w:b/>
          <w:bCs/>
          <w:color w:val="FF0000"/>
          <w:u w:val="single"/>
        </w:rPr>
        <w:br w:type="page"/>
      </w:r>
      <w:bookmarkStart w:id="454" w:name="_Toc351203652"/>
      <w:r>
        <w:rPr>
          <w:rFonts w:hint="eastAsia" w:ascii="宋体" w:hAnsi="宋体"/>
          <w:b/>
        </w:rPr>
        <w:t>附件</w:t>
      </w:r>
      <w:bookmarkEnd w:id="454"/>
    </w:p>
    <w:p>
      <w:pPr>
        <w:spacing w:line="360" w:lineRule="auto"/>
        <w:ind w:firstLine="480" w:firstLineChars="200"/>
        <w:rPr>
          <w:rFonts w:eastAsia="Times New Roman"/>
        </w:rPr>
      </w:pPr>
      <w:r>
        <w:rPr>
          <w:rFonts w:hint="eastAsia" w:ascii="宋体" w:hAnsi="宋体"/>
        </w:rPr>
        <w:t>协议书附件：</w:t>
      </w:r>
    </w:p>
    <w:p>
      <w:pPr>
        <w:spacing w:line="360" w:lineRule="auto"/>
        <w:ind w:firstLine="480" w:firstLineChars="200"/>
        <w:rPr>
          <w:rFonts w:eastAsia="Times New Roman"/>
        </w:rPr>
      </w:pPr>
      <w:r>
        <w:rPr>
          <w:rFonts w:hint="eastAsia" w:ascii="宋体" w:hAnsi="宋体"/>
        </w:rPr>
        <w:t>附件</w:t>
      </w:r>
      <w:r>
        <w:rPr>
          <w:rFonts w:ascii="宋体" w:hAnsi="宋体"/>
        </w:rPr>
        <w:t>1</w:t>
      </w:r>
      <w:r>
        <w:rPr>
          <w:rFonts w:hint="eastAsia" w:ascii="宋体" w:hAnsi="宋体"/>
        </w:rPr>
        <w:t>：发包人供应材料设备一览表</w:t>
      </w:r>
    </w:p>
    <w:p>
      <w:pPr>
        <w:spacing w:line="360" w:lineRule="auto"/>
        <w:ind w:firstLine="480" w:firstLineChars="200"/>
        <w:rPr>
          <w:rFonts w:eastAsia="Times New Roman"/>
        </w:rPr>
      </w:pPr>
      <w:r>
        <w:rPr>
          <w:rFonts w:hint="eastAsia" w:ascii="宋体" w:hAnsi="宋体"/>
        </w:rPr>
        <w:t>附件</w:t>
      </w:r>
      <w:r>
        <w:rPr>
          <w:rFonts w:ascii="宋体" w:hAnsi="宋体"/>
        </w:rPr>
        <w:t>2</w:t>
      </w:r>
      <w:r>
        <w:rPr>
          <w:rFonts w:hint="eastAsia" w:ascii="宋体" w:hAnsi="宋体"/>
        </w:rPr>
        <w:t>：工程质量保修书</w:t>
      </w:r>
    </w:p>
    <w:p>
      <w:pPr>
        <w:spacing w:line="360" w:lineRule="auto"/>
        <w:ind w:firstLine="480" w:firstLineChars="200"/>
        <w:rPr>
          <w:rFonts w:eastAsia="Times New Roman"/>
        </w:rPr>
      </w:pPr>
      <w:r>
        <w:rPr>
          <w:rFonts w:hint="eastAsia" w:ascii="宋体" w:hAnsi="宋体"/>
        </w:rPr>
        <w:t>附件</w:t>
      </w:r>
      <w:r>
        <w:rPr>
          <w:rFonts w:ascii="宋体" w:hAnsi="宋体"/>
        </w:rPr>
        <w:t>3</w:t>
      </w:r>
      <w:r>
        <w:rPr>
          <w:rFonts w:hint="eastAsia" w:ascii="宋体" w:hAnsi="宋体"/>
        </w:rPr>
        <w:t>：主要建设工程文件目录</w:t>
      </w:r>
    </w:p>
    <w:p>
      <w:pPr>
        <w:spacing w:line="360" w:lineRule="auto"/>
        <w:ind w:firstLine="480" w:firstLineChars="200"/>
        <w:rPr>
          <w:rFonts w:eastAsia="Times New Roman"/>
        </w:rPr>
      </w:pPr>
      <w:r>
        <w:rPr>
          <w:rFonts w:hint="eastAsia" w:ascii="宋体" w:hAnsi="宋体"/>
        </w:rPr>
        <w:t>附件</w:t>
      </w:r>
      <w:r>
        <w:rPr>
          <w:rFonts w:ascii="宋体" w:hAnsi="宋体"/>
        </w:rPr>
        <w:t>4</w:t>
      </w:r>
      <w:r>
        <w:rPr>
          <w:rFonts w:hint="eastAsia" w:ascii="宋体" w:hAnsi="宋体"/>
        </w:rPr>
        <w:t>：承包人用于本工程施工的机械设备表</w:t>
      </w:r>
    </w:p>
    <w:p>
      <w:pPr>
        <w:spacing w:line="360" w:lineRule="auto"/>
        <w:ind w:firstLine="480" w:firstLineChars="200"/>
        <w:rPr>
          <w:rFonts w:eastAsia="Times New Roman"/>
        </w:rPr>
      </w:pPr>
      <w:r>
        <w:rPr>
          <w:rFonts w:hint="eastAsia" w:ascii="宋体" w:hAnsi="宋体"/>
        </w:rPr>
        <w:t>附件</w:t>
      </w:r>
      <w:r>
        <w:rPr>
          <w:rFonts w:ascii="宋体" w:hAnsi="宋体"/>
        </w:rPr>
        <w:t>5</w:t>
      </w:r>
      <w:r>
        <w:rPr>
          <w:rFonts w:hint="eastAsia" w:ascii="宋体" w:hAnsi="宋体"/>
        </w:rPr>
        <w:t>：承包人主要施工管理人员表</w:t>
      </w:r>
    </w:p>
    <w:p>
      <w:pPr>
        <w:spacing w:line="360" w:lineRule="auto"/>
        <w:ind w:firstLine="480" w:firstLineChars="200"/>
        <w:rPr>
          <w:rFonts w:eastAsia="Times New Roman"/>
        </w:rPr>
      </w:pPr>
      <w:r>
        <w:rPr>
          <w:rFonts w:hint="eastAsia" w:ascii="宋体" w:hAnsi="宋体"/>
        </w:rPr>
        <w:t>附件</w:t>
      </w:r>
      <w:r>
        <w:rPr>
          <w:rFonts w:ascii="宋体" w:hAnsi="宋体"/>
        </w:rPr>
        <w:t>6</w:t>
      </w:r>
      <w:r>
        <w:rPr>
          <w:rFonts w:hint="eastAsia" w:ascii="宋体" w:hAnsi="宋体"/>
        </w:rPr>
        <w:t>：分包人主要施工管理人员表</w:t>
      </w:r>
    </w:p>
    <w:p>
      <w:pPr>
        <w:spacing w:line="360" w:lineRule="auto"/>
        <w:ind w:firstLine="480" w:firstLineChars="200"/>
        <w:rPr>
          <w:rFonts w:eastAsia="Times New Roman"/>
        </w:rPr>
      </w:pPr>
      <w:r>
        <w:rPr>
          <w:rFonts w:hint="eastAsia" w:ascii="宋体" w:hAnsi="宋体"/>
        </w:rPr>
        <w:t>附件</w:t>
      </w:r>
      <w:r>
        <w:rPr>
          <w:rFonts w:ascii="宋体" w:hAnsi="宋体"/>
        </w:rPr>
        <w:t>7</w:t>
      </w:r>
      <w:r>
        <w:rPr>
          <w:rFonts w:hint="eastAsia" w:ascii="宋体" w:hAnsi="宋体"/>
        </w:rPr>
        <w:t>：暂估价一览表</w:t>
      </w: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sectPr>
          <w:headerReference r:id="rId8" w:type="first"/>
          <w:footerReference r:id="rId10" w:type="first"/>
          <w:headerReference r:id="rId7" w:type="default"/>
          <w:footerReference r:id="rId9" w:type="default"/>
          <w:pgSz w:w="11906" w:h="16838"/>
          <w:pgMar w:top="1418" w:right="1418" w:bottom="1418" w:left="1418" w:header="851" w:footer="992" w:gutter="0"/>
          <w:pgBorders>
            <w:top w:val="none" w:sz="0" w:space="0"/>
            <w:left w:val="none" w:sz="0" w:space="0"/>
            <w:bottom w:val="none" w:sz="0" w:space="0"/>
            <w:right w:val="none" w:sz="0" w:space="0"/>
          </w:pgBorders>
          <w:pgNumType w:start="24"/>
          <w:cols w:space="720" w:num="1"/>
          <w:titlePg/>
          <w:docGrid w:type="lines" w:linePitch="312" w:charSpace="0"/>
        </w:sectPr>
      </w:pPr>
    </w:p>
    <w:p>
      <w:pPr>
        <w:spacing w:line="360" w:lineRule="auto"/>
        <w:ind w:firstLine="482" w:firstLineChars="200"/>
        <w:rPr>
          <w:rFonts w:ascii="宋体" w:hAnsi="宋体"/>
          <w:b/>
        </w:rPr>
      </w:pPr>
    </w:p>
    <w:p>
      <w:pPr>
        <w:spacing w:line="360" w:lineRule="auto"/>
        <w:ind w:firstLine="482" w:firstLineChars="200"/>
        <w:rPr>
          <w:rFonts w:eastAsia="Times New Roman"/>
        </w:rPr>
      </w:pPr>
      <w:r>
        <w:rPr>
          <w:rFonts w:hint="eastAsia" w:ascii="宋体" w:hAnsi="宋体"/>
          <w:b/>
        </w:rPr>
        <w:t>附</w:t>
      </w:r>
      <w:bookmarkStart w:id="455" w:name="_Toc296891053"/>
      <w:bookmarkStart w:id="456" w:name="_Toc296944564"/>
      <w:bookmarkStart w:id="457" w:name="_Toc296347224"/>
      <w:bookmarkStart w:id="458" w:name="_Toc267261692"/>
      <w:bookmarkStart w:id="459" w:name="_Toc296503225"/>
      <w:bookmarkStart w:id="460" w:name="_Toc296891265"/>
      <w:bookmarkStart w:id="461" w:name="_Toc296346726"/>
      <w:r>
        <w:rPr>
          <w:rFonts w:hint="eastAsia" w:ascii="宋体" w:hAnsi="宋体"/>
          <w:b/>
        </w:rPr>
        <w:t>件</w:t>
      </w:r>
      <w:r>
        <w:rPr>
          <w:rFonts w:ascii="宋体" w:hAnsi="宋体"/>
          <w:b/>
        </w:rPr>
        <w:t>1</w:t>
      </w:r>
      <w:r>
        <w:rPr>
          <w:rFonts w:hint="eastAsia" w:ascii="宋体" w:hAnsi="宋体"/>
          <w:b/>
        </w:rPr>
        <w:t>：</w:t>
      </w:r>
      <w:bookmarkEnd w:id="455"/>
      <w:bookmarkEnd w:id="456"/>
      <w:bookmarkEnd w:id="457"/>
      <w:bookmarkEnd w:id="458"/>
      <w:bookmarkEnd w:id="459"/>
      <w:bookmarkEnd w:id="460"/>
      <w:bookmarkEnd w:id="461"/>
    </w:p>
    <w:p>
      <w:pPr>
        <w:spacing w:beforeLines="50" w:afterLines="50" w:line="440" w:lineRule="exact"/>
        <w:jc w:val="center"/>
        <w:rPr>
          <w:rFonts w:eastAsia="黑体"/>
          <w:sz w:val="30"/>
        </w:rPr>
      </w:pPr>
      <w:r>
        <w:rPr>
          <w:rFonts w:hint="eastAsia" w:eastAsia="黑体"/>
          <w:sz w:val="30"/>
        </w:rPr>
        <w:t>发包人供应材料设备一览表</w:t>
      </w:r>
    </w:p>
    <w:tbl>
      <w:tblPr>
        <w:tblStyle w:val="45"/>
        <w:tblW w:w="93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5"/>
        <w:gridCol w:w="1117"/>
        <w:gridCol w:w="1241"/>
        <w:gridCol w:w="822"/>
        <w:gridCol w:w="745"/>
        <w:gridCol w:w="914"/>
        <w:gridCol w:w="869"/>
        <w:gridCol w:w="745"/>
        <w:gridCol w:w="1301"/>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1" w:hRule="atLeast"/>
          <w:jc w:val="center"/>
        </w:trPr>
        <w:tc>
          <w:tcPr>
            <w:tcW w:w="745"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序号</w:t>
            </w:r>
          </w:p>
        </w:tc>
        <w:tc>
          <w:tcPr>
            <w:tcW w:w="1117"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材料、设备品种</w:t>
            </w:r>
          </w:p>
        </w:tc>
        <w:tc>
          <w:tcPr>
            <w:tcW w:w="1241"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规格型号</w:t>
            </w:r>
          </w:p>
        </w:tc>
        <w:tc>
          <w:tcPr>
            <w:tcW w:w="822"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单位</w:t>
            </w:r>
          </w:p>
        </w:tc>
        <w:tc>
          <w:tcPr>
            <w:tcW w:w="745"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数量</w:t>
            </w:r>
          </w:p>
        </w:tc>
        <w:tc>
          <w:tcPr>
            <w:tcW w:w="914"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单价（元）</w:t>
            </w:r>
          </w:p>
        </w:tc>
        <w:tc>
          <w:tcPr>
            <w:tcW w:w="869" w:type="dxa"/>
            <w:tcBorders>
              <w:top w:val="single" w:color="auto" w:sz="12" w:space="0"/>
              <w:bottom w:val="double" w:color="auto" w:sz="6" w:space="0"/>
            </w:tcBorders>
            <w:vAlign w:val="center"/>
          </w:tcPr>
          <w:p>
            <w:pPr>
              <w:pStyle w:val="18"/>
              <w:keepNext/>
              <w:spacing w:line="440" w:lineRule="exact"/>
              <w:ind w:left="72" w:leftChars="30" w:right="63" w:firstLine="120" w:firstLineChars="50"/>
              <w:rPr>
                <w:rFonts w:eastAsia="Times New Roman"/>
              </w:rPr>
            </w:pPr>
            <w:r>
              <w:rPr>
                <w:rFonts w:hint="eastAsia"/>
              </w:rPr>
              <w:t>质量</w:t>
            </w:r>
          </w:p>
          <w:p>
            <w:pPr>
              <w:pStyle w:val="18"/>
              <w:keepNext/>
              <w:spacing w:line="440" w:lineRule="exact"/>
              <w:ind w:left="72" w:leftChars="30" w:right="63" w:firstLine="120" w:firstLineChars="50"/>
              <w:rPr>
                <w:rFonts w:eastAsia="Times New Roman"/>
              </w:rPr>
            </w:pPr>
            <w:r>
              <w:rPr>
                <w:rFonts w:hint="eastAsia"/>
              </w:rPr>
              <w:t>等级</w:t>
            </w:r>
          </w:p>
        </w:tc>
        <w:tc>
          <w:tcPr>
            <w:tcW w:w="745"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供应时间</w:t>
            </w:r>
          </w:p>
        </w:tc>
        <w:tc>
          <w:tcPr>
            <w:tcW w:w="1301" w:type="dxa"/>
            <w:tcBorders>
              <w:top w:val="single" w:color="auto" w:sz="12" w:space="0"/>
              <w:bottom w:val="double" w:color="auto" w:sz="6" w:space="0"/>
            </w:tcBorders>
            <w:vAlign w:val="center"/>
          </w:tcPr>
          <w:p>
            <w:pPr>
              <w:pStyle w:val="18"/>
              <w:keepNext/>
              <w:spacing w:line="440" w:lineRule="exact"/>
              <w:ind w:left="72" w:leftChars="30" w:right="63" w:firstLine="120" w:firstLineChars="50"/>
              <w:rPr>
                <w:rFonts w:eastAsia="Times New Roman"/>
              </w:rPr>
            </w:pPr>
            <w:r>
              <w:rPr>
                <w:rFonts w:hint="eastAsia"/>
              </w:rPr>
              <w:t>送达地点</w:t>
            </w:r>
          </w:p>
        </w:tc>
        <w:tc>
          <w:tcPr>
            <w:tcW w:w="869"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tcBorders>
              <w:top w:val="double" w:color="auto" w:sz="6" w:space="0"/>
            </w:tcBorders>
            <w:vAlign w:val="center"/>
          </w:tcPr>
          <w:p>
            <w:pPr>
              <w:pStyle w:val="18"/>
              <w:keepNext/>
              <w:spacing w:line="440" w:lineRule="exact"/>
              <w:ind w:left="63" w:right="63"/>
              <w:rPr>
                <w:rFonts w:eastAsia="Times New Roman"/>
              </w:rPr>
            </w:pPr>
          </w:p>
        </w:tc>
        <w:tc>
          <w:tcPr>
            <w:tcW w:w="1117" w:type="dxa"/>
            <w:tcBorders>
              <w:top w:val="double" w:color="auto" w:sz="6" w:space="0"/>
            </w:tcBorders>
            <w:vAlign w:val="center"/>
          </w:tcPr>
          <w:p>
            <w:pPr>
              <w:pStyle w:val="18"/>
              <w:keepNext/>
              <w:spacing w:line="440" w:lineRule="exact"/>
              <w:ind w:left="63" w:right="63"/>
              <w:rPr>
                <w:rFonts w:eastAsia="Times New Roman"/>
              </w:rPr>
            </w:pPr>
          </w:p>
        </w:tc>
        <w:tc>
          <w:tcPr>
            <w:tcW w:w="1241" w:type="dxa"/>
            <w:tcBorders>
              <w:top w:val="double" w:color="auto" w:sz="6" w:space="0"/>
            </w:tcBorders>
            <w:vAlign w:val="center"/>
          </w:tcPr>
          <w:p>
            <w:pPr>
              <w:pStyle w:val="18"/>
              <w:keepNext/>
              <w:spacing w:line="440" w:lineRule="exact"/>
              <w:ind w:left="63" w:right="63"/>
              <w:rPr>
                <w:rFonts w:eastAsia="Times New Roman"/>
              </w:rPr>
            </w:pPr>
          </w:p>
        </w:tc>
        <w:tc>
          <w:tcPr>
            <w:tcW w:w="822" w:type="dxa"/>
            <w:tcBorders>
              <w:top w:val="double" w:color="auto" w:sz="6" w:space="0"/>
            </w:tcBorders>
            <w:vAlign w:val="center"/>
          </w:tcPr>
          <w:p>
            <w:pPr>
              <w:pStyle w:val="18"/>
              <w:keepNext/>
              <w:spacing w:line="440" w:lineRule="exact"/>
              <w:ind w:left="63" w:right="63"/>
              <w:rPr>
                <w:rFonts w:eastAsia="Times New Roman"/>
              </w:rPr>
            </w:pPr>
          </w:p>
        </w:tc>
        <w:tc>
          <w:tcPr>
            <w:tcW w:w="745" w:type="dxa"/>
            <w:tcBorders>
              <w:top w:val="double" w:color="auto" w:sz="6" w:space="0"/>
            </w:tcBorders>
            <w:vAlign w:val="center"/>
          </w:tcPr>
          <w:p>
            <w:pPr>
              <w:pStyle w:val="18"/>
              <w:keepNext/>
              <w:spacing w:line="440" w:lineRule="exact"/>
              <w:ind w:left="63" w:right="63"/>
              <w:rPr>
                <w:rFonts w:eastAsia="Times New Roman"/>
              </w:rPr>
            </w:pPr>
          </w:p>
        </w:tc>
        <w:tc>
          <w:tcPr>
            <w:tcW w:w="914" w:type="dxa"/>
            <w:tcBorders>
              <w:top w:val="double" w:color="auto" w:sz="6" w:space="0"/>
            </w:tcBorders>
            <w:vAlign w:val="center"/>
          </w:tcPr>
          <w:p>
            <w:pPr>
              <w:pStyle w:val="18"/>
              <w:keepNext/>
              <w:spacing w:line="440" w:lineRule="exact"/>
              <w:ind w:left="63" w:right="63"/>
              <w:rPr>
                <w:rFonts w:eastAsia="Times New Roman"/>
              </w:rPr>
            </w:pPr>
          </w:p>
        </w:tc>
        <w:tc>
          <w:tcPr>
            <w:tcW w:w="869" w:type="dxa"/>
            <w:tcBorders>
              <w:top w:val="double" w:color="auto" w:sz="6" w:space="0"/>
            </w:tcBorders>
            <w:vAlign w:val="center"/>
          </w:tcPr>
          <w:p>
            <w:pPr>
              <w:pStyle w:val="18"/>
              <w:keepNext/>
              <w:spacing w:line="440" w:lineRule="exact"/>
              <w:ind w:left="63" w:right="63"/>
              <w:rPr>
                <w:rFonts w:eastAsia="Times New Roman"/>
              </w:rPr>
            </w:pPr>
          </w:p>
        </w:tc>
        <w:tc>
          <w:tcPr>
            <w:tcW w:w="745" w:type="dxa"/>
            <w:tcBorders>
              <w:top w:val="double" w:color="auto" w:sz="6" w:space="0"/>
            </w:tcBorders>
            <w:vAlign w:val="center"/>
          </w:tcPr>
          <w:p>
            <w:pPr>
              <w:pStyle w:val="18"/>
              <w:keepNext/>
              <w:spacing w:line="440" w:lineRule="exact"/>
              <w:ind w:left="63" w:right="63"/>
              <w:rPr>
                <w:rFonts w:eastAsia="Times New Roman"/>
              </w:rPr>
            </w:pPr>
          </w:p>
        </w:tc>
        <w:tc>
          <w:tcPr>
            <w:tcW w:w="1301" w:type="dxa"/>
            <w:tcBorders>
              <w:top w:val="double" w:color="auto" w:sz="6" w:space="0"/>
            </w:tcBorders>
            <w:vAlign w:val="center"/>
          </w:tcPr>
          <w:p>
            <w:pPr>
              <w:pStyle w:val="18"/>
              <w:keepNext/>
              <w:spacing w:line="440" w:lineRule="exact"/>
              <w:ind w:left="63" w:right="63"/>
              <w:rPr>
                <w:rFonts w:eastAsia="Times New Roman"/>
              </w:rPr>
            </w:pPr>
          </w:p>
        </w:tc>
        <w:tc>
          <w:tcPr>
            <w:tcW w:w="869" w:type="dxa"/>
            <w:tcBorders>
              <w:top w:val="double" w:color="auto" w:sz="6" w:space="0"/>
            </w:tcBorders>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tcBorders>
              <w:top w:val="nil"/>
            </w:tcBorders>
            <w:vAlign w:val="center"/>
          </w:tcPr>
          <w:p>
            <w:pPr>
              <w:pStyle w:val="18"/>
              <w:keepNext/>
              <w:spacing w:line="440" w:lineRule="exact"/>
              <w:ind w:left="63" w:right="63"/>
              <w:rPr>
                <w:rFonts w:eastAsia="Times New Roman"/>
              </w:rPr>
            </w:pPr>
          </w:p>
        </w:tc>
        <w:tc>
          <w:tcPr>
            <w:tcW w:w="1117" w:type="dxa"/>
            <w:tcBorders>
              <w:top w:val="nil"/>
            </w:tcBorders>
            <w:vAlign w:val="center"/>
          </w:tcPr>
          <w:p>
            <w:pPr>
              <w:pStyle w:val="18"/>
              <w:keepNext/>
              <w:spacing w:line="440" w:lineRule="exact"/>
              <w:ind w:left="63" w:right="63"/>
              <w:rPr>
                <w:rFonts w:eastAsia="Times New Roman"/>
              </w:rPr>
            </w:pPr>
          </w:p>
        </w:tc>
        <w:tc>
          <w:tcPr>
            <w:tcW w:w="1241" w:type="dxa"/>
            <w:tcBorders>
              <w:top w:val="nil"/>
            </w:tcBorders>
            <w:vAlign w:val="center"/>
          </w:tcPr>
          <w:p>
            <w:pPr>
              <w:pStyle w:val="18"/>
              <w:keepNext/>
              <w:spacing w:line="440" w:lineRule="exact"/>
              <w:ind w:left="63" w:right="63"/>
              <w:rPr>
                <w:rFonts w:eastAsia="Times New Roman"/>
              </w:rPr>
            </w:pPr>
          </w:p>
        </w:tc>
        <w:tc>
          <w:tcPr>
            <w:tcW w:w="822" w:type="dxa"/>
            <w:tcBorders>
              <w:top w:val="nil"/>
            </w:tcBorders>
            <w:vAlign w:val="center"/>
          </w:tcPr>
          <w:p>
            <w:pPr>
              <w:pStyle w:val="18"/>
              <w:keepNext/>
              <w:spacing w:line="440" w:lineRule="exact"/>
              <w:ind w:left="63" w:right="63"/>
              <w:rPr>
                <w:rFonts w:eastAsia="Times New Roman"/>
              </w:rPr>
            </w:pPr>
          </w:p>
        </w:tc>
        <w:tc>
          <w:tcPr>
            <w:tcW w:w="745" w:type="dxa"/>
            <w:tcBorders>
              <w:top w:val="nil"/>
            </w:tcBorders>
            <w:vAlign w:val="center"/>
          </w:tcPr>
          <w:p>
            <w:pPr>
              <w:pStyle w:val="18"/>
              <w:keepNext/>
              <w:spacing w:line="440" w:lineRule="exact"/>
              <w:ind w:left="63" w:right="63"/>
              <w:rPr>
                <w:rFonts w:eastAsia="Times New Roman"/>
              </w:rPr>
            </w:pPr>
          </w:p>
        </w:tc>
        <w:tc>
          <w:tcPr>
            <w:tcW w:w="914" w:type="dxa"/>
            <w:tcBorders>
              <w:top w:val="nil"/>
            </w:tcBorders>
            <w:vAlign w:val="center"/>
          </w:tcPr>
          <w:p>
            <w:pPr>
              <w:pStyle w:val="18"/>
              <w:keepNext/>
              <w:spacing w:line="440" w:lineRule="exact"/>
              <w:ind w:left="63" w:right="63"/>
              <w:rPr>
                <w:rFonts w:eastAsia="Times New Roman"/>
              </w:rPr>
            </w:pPr>
          </w:p>
        </w:tc>
        <w:tc>
          <w:tcPr>
            <w:tcW w:w="869" w:type="dxa"/>
            <w:tcBorders>
              <w:top w:val="nil"/>
            </w:tcBorders>
            <w:vAlign w:val="center"/>
          </w:tcPr>
          <w:p>
            <w:pPr>
              <w:pStyle w:val="18"/>
              <w:keepNext/>
              <w:spacing w:line="440" w:lineRule="exact"/>
              <w:ind w:left="63" w:right="63"/>
              <w:rPr>
                <w:rFonts w:eastAsia="Times New Roman"/>
              </w:rPr>
            </w:pPr>
          </w:p>
        </w:tc>
        <w:tc>
          <w:tcPr>
            <w:tcW w:w="745" w:type="dxa"/>
            <w:tcBorders>
              <w:top w:val="nil"/>
            </w:tcBorders>
            <w:vAlign w:val="center"/>
          </w:tcPr>
          <w:p>
            <w:pPr>
              <w:pStyle w:val="18"/>
              <w:keepNext/>
              <w:spacing w:line="440" w:lineRule="exact"/>
              <w:ind w:left="63" w:right="63"/>
              <w:rPr>
                <w:rFonts w:eastAsia="Times New Roman"/>
              </w:rPr>
            </w:pPr>
          </w:p>
        </w:tc>
        <w:tc>
          <w:tcPr>
            <w:tcW w:w="1301" w:type="dxa"/>
            <w:tcBorders>
              <w:top w:val="nil"/>
            </w:tcBorders>
            <w:vAlign w:val="center"/>
          </w:tcPr>
          <w:p>
            <w:pPr>
              <w:pStyle w:val="18"/>
              <w:keepNext/>
              <w:spacing w:line="440" w:lineRule="exact"/>
              <w:ind w:left="63" w:right="63"/>
              <w:rPr>
                <w:rFonts w:eastAsia="Times New Roman"/>
              </w:rPr>
            </w:pPr>
          </w:p>
        </w:tc>
        <w:tc>
          <w:tcPr>
            <w:tcW w:w="869" w:type="dxa"/>
            <w:tcBorders>
              <w:top w:val="nil"/>
            </w:tcBorders>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pStyle w:val="18"/>
              <w:keepNext/>
              <w:spacing w:line="440" w:lineRule="exact"/>
              <w:ind w:left="63" w:right="63"/>
              <w:rPr>
                <w:rFonts w:eastAsia="Times New Roman"/>
              </w:rPr>
            </w:pPr>
          </w:p>
        </w:tc>
        <w:tc>
          <w:tcPr>
            <w:tcW w:w="1117" w:type="dxa"/>
            <w:vAlign w:val="center"/>
          </w:tcPr>
          <w:p>
            <w:pPr>
              <w:pStyle w:val="18"/>
              <w:keepNext/>
              <w:spacing w:line="440" w:lineRule="exact"/>
              <w:ind w:left="63" w:right="63"/>
              <w:rPr>
                <w:rFonts w:eastAsia="Times New Roman"/>
              </w:rPr>
            </w:pPr>
          </w:p>
        </w:tc>
        <w:tc>
          <w:tcPr>
            <w:tcW w:w="1241" w:type="dxa"/>
            <w:vAlign w:val="center"/>
          </w:tcPr>
          <w:p>
            <w:pPr>
              <w:pStyle w:val="18"/>
              <w:keepNext/>
              <w:spacing w:line="440" w:lineRule="exact"/>
              <w:ind w:left="63" w:right="63"/>
              <w:rPr>
                <w:rFonts w:eastAsia="Times New Roman"/>
              </w:rPr>
            </w:pPr>
          </w:p>
        </w:tc>
        <w:tc>
          <w:tcPr>
            <w:tcW w:w="822"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914"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1301"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pStyle w:val="18"/>
              <w:keepNext/>
              <w:spacing w:line="440" w:lineRule="exact"/>
              <w:ind w:left="63" w:right="63"/>
              <w:rPr>
                <w:rFonts w:eastAsia="Times New Roman"/>
              </w:rPr>
            </w:pPr>
          </w:p>
        </w:tc>
        <w:tc>
          <w:tcPr>
            <w:tcW w:w="1117" w:type="dxa"/>
            <w:vAlign w:val="center"/>
          </w:tcPr>
          <w:p>
            <w:pPr>
              <w:pStyle w:val="18"/>
              <w:keepNext/>
              <w:spacing w:line="440" w:lineRule="exact"/>
              <w:ind w:left="63" w:right="63"/>
              <w:rPr>
                <w:rFonts w:eastAsia="Times New Roman"/>
              </w:rPr>
            </w:pPr>
          </w:p>
        </w:tc>
        <w:tc>
          <w:tcPr>
            <w:tcW w:w="1241" w:type="dxa"/>
            <w:vAlign w:val="center"/>
          </w:tcPr>
          <w:p>
            <w:pPr>
              <w:pStyle w:val="18"/>
              <w:keepNext/>
              <w:spacing w:line="440" w:lineRule="exact"/>
              <w:ind w:left="63" w:right="63"/>
              <w:rPr>
                <w:rFonts w:eastAsia="Times New Roman"/>
              </w:rPr>
            </w:pPr>
          </w:p>
        </w:tc>
        <w:tc>
          <w:tcPr>
            <w:tcW w:w="822"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914"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1301"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pStyle w:val="18"/>
              <w:keepNext/>
              <w:spacing w:line="440" w:lineRule="exact"/>
              <w:ind w:left="63" w:right="63"/>
              <w:rPr>
                <w:rFonts w:eastAsia="Times New Roman"/>
              </w:rPr>
            </w:pPr>
          </w:p>
        </w:tc>
        <w:tc>
          <w:tcPr>
            <w:tcW w:w="1117" w:type="dxa"/>
            <w:vAlign w:val="center"/>
          </w:tcPr>
          <w:p>
            <w:pPr>
              <w:pStyle w:val="18"/>
              <w:keepNext/>
              <w:spacing w:line="440" w:lineRule="exact"/>
              <w:ind w:left="63" w:right="63"/>
              <w:rPr>
                <w:rFonts w:eastAsia="Times New Roman"/>
              </w:rPr>
            </w:pPr>
          </w:p>
        </w:tc>
        <w:tc>
          <w:tcPr>
            <w:tcW w:w="1241" w:type="dxa"/>
            <w:vAlign w:val="center"/>
          </w:tcPr>
          <w:p>
            <w:pPr>
              <w:pStyle w:val="18"/>
              <w:keepNext/>
              <w:spacing w:line="440" w:lineRule="exact"/>
              <w:ind w:left="63" w:right="63"/>
              <w:rPr>
                <w:rFonts w:eastAsia="Times New Roman"/>
              </w:rPr>
            </w:pPr>
          </w:p>
        </w:tc>
        <w:tc>
          <w:tcPr>
            <w:tcW w:w="822"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914"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1301"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pStyle w:val="18"/>
              <w:keepNext/>
              <w:spacing w:line="440" w:lineRule="exact"/>
              <w:ind w:left="63" w:right="63"/>
              <w:rPr>
                <w:rFonts w:eastAsia="Times New Roman"/>
              </w:rPr>
            </w:pPr>
          </w:p>
        </w:tc>
        <w:tc>
          <w:tcPr>
            <w:tcW w:w="1117" w:type="dxa"/>
            <w:vAlign w:val="center"/>
          </w:tcPr>
          <w:p>
            <w:pPr>
              <w:pStyle w:val="18"/>
              <w:keepNext/>
              <w:spacing w:line="440" w:lineRule="exact"/>
              <w:ind w:left="63" w:right="63"/>
              <w:rPr>
                <w:rFonts w:eastAsia="Times New Roman"/>
              </w:rPr>
            </w:pPr>
          </w:p>
        </w:tc>
        <w:tc>
          <w:tcPr>
            <w:tcW w:w="1241" w:type="dxa"/>
            <w:vAlign w:val="center"/>
          </w:tcPr>
          <w:p>
            <w:pPr>
              <w:pStyle w:val="18"/>
              <w:keepNext/>
              <w:spacing w:line="440" w:lineRule="exact"/>
              <w:ind w:left="63" w:right="63"/>
              <w:rPr>
                <w:rFonts w:eastAsia="Times New Roman"/>
              </w:rPr>
            </w:pPr>
          </w:p>
        </w:tc>
        <w:tc>
          <w:tcPr>
            <w:tcW w:w="822"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914"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1301"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pStyle w:val="18"/>
              <w:keepNext/>
              <w:spacing w:line="440" w:lineRule="exact"/>
              <w:ind w:left="63" w:right="63"/>
              <w:rPr>
                <w:rFonts w:eastAsia="Times New Roman"/>
              </w:rPr>
            </w:pPr>
          </w:p>
        </w:tc>
        <w:tc>
          <w:tcPr>
            <w:tcW w:w="1117" w:type="dxa"/>
            <w:vAlign w:val="center"/>
          </w:tcPr>
          <w:p>
            <w:pPr>
              <w:pStyle w:val="18"/>
              <w:keepNext/>
              <w:spacing w:line="440" w:lineRule="exact"/>
              <w:ind w:left="63" w:right="63"/>
              <w:rPr>
                <w:rFonts w:eastAsia="Times New Roman"/>
              </w:rPr>
            </w:pPr>
          </w:p>
        </w:tc>
        <w:tc>
          <w:tcPr>
            <w:tcW w:w="1241" w:type="dxa"/>
            <w:vAlign w:val="center"/>
          </w:tcPr>
          <w:p>
            <w:pPr>
              <w:pStyle w:val="18"/>
              <w:keepNext/>
              <w:spacing w:line="440" w:lineRule="exact"/>
              <w:ind w:left="63" w:right="63"/>
              <w:rPr>
                <w:rFonts w:eastAsia="Times New Roman"/>
              </w:rPr>
            </w:pPr>
          </w:p>
        </w:tc>
        <w:tc>
          <w:tcPr>
            <w:tcW w:w="822"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914"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1301"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pStyle w:val="18"/>
              <w:keepNext/>
              <w:spacing w:line="440" w:lineRule="exact"/>
              <w:ind w:left="63" w:right="63"/>
              <w:rPr>
                <w:rFonts w:eastAsia="Times New Roman"/>
              </w:rPr>
            </w:pPr>
          </w:p>
        </w:tc>
        <w:tc>
          <w:tcPr>
            <w:tcW w:w="1117" w:type="dxa"/>
            <w:vAlign w:val="center"/>
          </w:tcPr>
          <w:p>
            <w:pPr>
              <w:pStyle w:val="18"/>
              <w:keepNext/>
              <w:spacing w:line="440" w:lineRule="exact"/>
              <w:ind w:left="63" w:right="63"/>
              <w:rPr>
                <w:rFonts w:eastAsia="Times New Roman"/>
              </w:rPr>
            </w:pPr>
          </w:p>
        </w:tc>
        <w:tc>
          <w:tcPr>
            <w:tcW w:w="1241" w:type="dxa"/>
            <w:vAlign w:val="center"/>
          </w:tcPr>
          <w:p>
            <w:pPr>
              <w:pStyle w:val="18"/>
              <w:keepNext/>
              <w:spacing w:line="440" w:lineRule="exact"/>
              <w:ind w:left="63" w:right="63"/>
              <w:rPr>
                <w:rFonts w:eastAsia="Times New Roman"/>
              </w:rPr>
            </w:pPr>
          </w:p>
        </w:tc>
        <w:tc>
          <w:tcPr>
            <w:tcW w:w="822"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914"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1301"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jc w:val="center"/>
              <w:rPr>
                <w:rFonts w:eastAsia="仿宋_GB2312"/>
                <w:sz w:val="30"/>
              </w:rPr>
            </w:pPr>
          </w:p>
        </w:tc>
        <w:tc>
          <w:tcPr>
            <w:tcW w:w="1117" w:type="dxa"/>
            <w:vAlign w:val="center"/>
          </w:tcPr>
          <w:p>
            <w:pPr>
              <w:jc w:val="center"/>
              <w:rPr>
                <w:rFonts w:eastAsia="仿宋_GB2312"/>
                <w:sz w:val="30"/>
              </w:rPr>
            </w:pPr>
          </w:p>
        </w:tc>
        <w:tc>
          <w:tcPr>
            <w:tcW w:w="1241" w:type="dxa"/>
            <w:vAlign w:val="center"/>
          </w:tcPr>
          <w:p>
            <w:pPr>
              <w:jc w:val="center"/>
              <w:rPr>
                <w:rFonts w:eastAsia="仿宋_GB2312"/>
                <w:sz w:val="30"/>
              </w:rPr>
            </w:pPr>
          </w:p>
        </w:tc>
        <w:tc>
          <w:tcPr>
            <w:tcW w:w="822"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914" w:type="dxa"/>
            <w:vAlign w:val="center"/>
          </w:tcPr>
          <w:p>
            <w:pPr>
              <w:jc w:val="center"/>
              <w:rPr>
                <w:rFonts w:eastAsia="仿宋_GB2312"/>
                <w:sz w:val="30"/>
              </w:rPr>
            </w:pPr>
          </w:p>
        </w:tc>
        <w:tc>
          <w:tcPr>
            <w:tcW w:w="869"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1301" w:type="dxa"/>
            <w:vAlign w:val="center"/>
          </w:tcPr>
          <w:p>
            <w:pPr>
              <w:jc w:val="center"/>
              <w:rPr>
                <w:rFonts w:eastAsia="仿宋_GB2312"/>
                <w:sz w:val="30"/>
              </w:rPr>
            </w:pPr>
          </w:p>
        </w:tc>
        <w:tc>
          <w:tcPr>
            <w:tcW w:w="869"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pStyle w:val="18"/>
              <w:keepNext/>
              <w:spacing w:line="440" w:lineRule="exact"/>
              <w:ind w:left="63" w:right="63"/>
              <w:rPr>
                <w:rFonts w:eastAsia="Times New Roman"/>
              </w:rPr>
            </w:pPr>
          </w:p>
        </w:tc>
        <w:tc>
          <w:tcPr>
            <w:tcW w:w="1117" w:type="dxa"/>
            <w:vAlign w:val="center"/>
          </w:tcPr>
          <w:p>
            <w:pPr>
              <w:pStyle w:val="18"/>
              <w:keepNext/>
              <w:spacing w:line="440" w:lineRule="exact"/>
              <w:ind w:left="63" w:right="63"/>
              <w:rPr>
                <w:rFonts w:eastAsia="Times New Roman"/>
              </w:rPr>
            </w:pPr>
          </w:p>
        </w:tc>
        <w:tc>
          <w:tcPr>
            <w:tcW w:w="1241" w:type="dxa"/>
            <w:vAlign w:val="center"/>
          </w:tcPr>
          <w:p>
            <w:pPr>
              <w:pStyle w:val="18"/>
              <w:keepNext/>
              <w:spacing w:line="440" w:lineRule="exact"/>
              <w:ind w:left="63" w:right="63"/>
              <w:rPr>
                <w:rFonts w:eastAsia="Times New Roman"/>
              </w:rPr>
            </w:pPr>
          </w:p>
        </w:tc>
        <w:tc>
          <w:tcPr>
            <w:tcW w:w="822"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914"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c>
          <w:tcPr>
            <w:tcW w:w="745" w:type="dxa"/>
            <w:vAlign w:val="center"/>
          </w:tcPr>
          <w:p>
            <w:pPr>
              <w:pStyle w:val="18"/>
              <w:keepNext/>
              <w:spacing w:line="440" w:lineRule="exact"/>
              <w:ind w:left="63" w:right="63"/>
              <w:rPr>
                <w:rFonts w:eastAsia="Times New Roman"/>
              </w:rPr>
            </w:pPr>
          </w:p>
        </w:tc>
        <w:tc>
          <w:tcPr>
            <w:tcW w:w="1301" w:type="dxa"/>
            <w:vAlign w:val="center"/>
          </w:tcPr>
          <w:p>
            <w:pPr>
              <w:pStyle w:val="18"/>
              <w:keepNext/>
              <w:spacing w:line="440" w:lineRule="exact"/>
              <w:ind w:left="63" w:right="63"/>
              <w:rPr>
                <w:rFonts w:eastAsia="Times New Roman"/>
              </w:rPr>
            </w:pPr>
          </w:p>
        </w:tc>
        <w:tc>
          <w:tcPr>
            <w:tcW w:w="869"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jc w:val="center"/>
              <w:rPr>
                <w:rFonts w:eastAsia="仿宋_GB2312"/>
                <w:sz w:val="30"/>
              </w:rPr>
            </w:pPr>
          </w:p>
        </w:tc>
        <w:tc>
          <w:tcPr>
            <w:tcW w:w="1117" w:type="dxa"/>
            <w:vAlign w:val="center"/>
          </w:tcPr>
          <w:p>
            <w:pPr>
              <w:jc w:val="center"/>
              <w:rPr>
                <w:rFonts w:eastAsia="仿宋_GB2312"/>
                <w:sz w:val="30"/>
              </w:rPr>
            </w:pPr>
          </w:p>
        </w:tc>
        <w:tc>
          <w:tcPr>
            <w:tcW w:w="1241" w:type="dxa"/>
            <w:vAlign w:val="center"/>
          </w:tcPr>
          <w:p>
            <w:pPr>
              <w:jc w:val="center"/>
              <w:rPr>
                <w:rFonts w:eastAsia="仿宋_GB2312"/>
                <w:sz w:val="30"/>
              </w:rPr>
            </w:pPr>
          </w:p>
        </w:tc>
        <w:tc>
          <w:tcPr>
            <w:tcW w:w="822"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914" w:type="dxa"/>
            <w:vAlign w:val="center"/>
          </w:tcPr>
          <w:p>
            <w:pPr>
              <w:jc w:val="center"/>
              <w:rPr>
                <w:rFonts w:eastAsia="仿宋_GB2312"/>
                <w:sz w:val="30"/>
              </w:rPr>
            </w:pPr>
          </w:p>
        </w:tc>
        <w:tc>
          <w:tcPr>
            <w:tcW w:w="869"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1301" w:type="dxa"/>
            <w:vAlign w:val="center"/>
          </w:tcPr>
          <w:p>
            <w:pPr>
              <w:jc w:val="center"/>
              <w:rPr>
                <w:rFonts w:eastAsia="仿宋_GB2312"/>
                <w:sz w:val="30"/>
              </w:rPr>
            </w:pPr>
          </w:p>
        </w:tc>
        <w:tc>
          <w:tcPr>
            <w:tcW w:w="869"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jc w:val="center"/>
              <w:rPr>
                <w:rFonts w:eastAsia="仿宋_GB2312"/>
                <w:sz w:val="30"/>
              </w:rPr>
            </w:pPr>
          </w:p>
        </w:tc>
        <w:tc>
          <w:tcPr>
            <w:tcW w:w="1117" w:type="dxa"/>
            <w:vAlign w:val="center"/>
          </w:tcPr>
          <w:p>
            <w:pPr>
              <w:jc w:val="center"/>
              <w:rPr>
                <w:rFonts w:eastAsia="仿宋_GB2312"/>
                <w:sz w:val="30"/>
              </w:rPr>
            </w:pPr>
          </w:p>
        </w:tc>
        <w:tc>
          <w:tcPr>
            <w:tcW w:w="1241" w:type="dxa"/>
            <w:vAlign w:val="center"/>
          </w:tcPr>
          <w:p>
            <w:pPr>
              <w:jc w:val="center"/>
              <w:rPr>
                <w:rFonts w:eastAsia="仿宋_GB2312"/>
                <w:sz w:val="30"/>
              </w:rPr>
            </w:pPr>
          </w:p>
        </w:tc>
        <w:tc>
          <w:tcPr>
            <w:tcW w:w="822"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914" w:type="dxa"/>
            <w:vAlign w:val="center"/>
          </w:tcPr>
          <w:p>
            <w:pPr>
              <w:jc w:val="center"/>
              <w:rPr>
                <w:rFonts w:eastAsia="仿宋_GB2312"/>
                <w:sz w:val="30"/>
              </w:rPr>
            </w:pPr>
          </w:p>
        </w:tc>
        <w:tc>
          <w:tcPr>
            <w:tcW w:w="869"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1301" w:type="dxa"/>
            <w:vAlign w:val="center"/>
          </w:tcPr>
          <w:p>
            <w:pPr>
              <w:jc w:val="center"/>
              <w:rPr>
                <w:rFonts w:eastAsia="仿宋_GB2312"/>
                <w:sz w:val="30"/>
              </w:rPr>
            </w:pPr>
          </w:p>
        </w:tc>
        <w:tc>
          <w:tcPr>
            <w:tcW w:w="869"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jc w:val="center"/>
              <w:rPr>
                <w:rFonts w:eastAsia="仿宋_GB2312"/>
                <w:sz w:val="30"/>
              </w:rPr>
            </w:pPr>
          </w:p>
        </w:tc>
        <w:tc>
          <w:tcPr>
            <w:tcW w:w="1117" w:type="dxa"/>
            <w:vAlign w:val="center"/>
          </w:tcPr>
          <w:p>
            <w:pPr>
              <w:jc w:val="center"/>
              <w:rPr>
                <w:rFonts w:eastAsia="仿宋_GB2312"/>
                <w:sz w:val="30"/>
              </w:rPr>
            </w:pPr>
          </w:p>
        </w:tc>
        <w:tc>
          <w:tcPr>
            <w:tcW w:w="1241" w:type="dxa"/>
            <w:vAlign w:val="center"/>
          </w:tcPr>
          <w:p>
            <w:pPr>
              <w:jc w:val="center"/>
              <w:rPr>
                <w:rFonts w:eastAsia="仿宋_GB2312"/>
                <w:sz w:val="30"/>
              </w:rPr>
            </w:pPr>
          </w:p>
        </w:tc>
        <w:tc>
          <w:tcPr>
            <w:tcW w:w="822"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914" w:type="dxa"/>
            <w:vAlign w:val="center"/>
          </w:tcPr>
          <w:p>
            <w:pPr>
              <w:jc w:val="center"/>
              <w:rPr>
                <w:rFonts w:eastAsia="仿宋_GB2312"/>
                <w:sz w:val="30"/>
              </w:rPr>
            </w:pPr>
          </w:p>
        </w:tc>
        <w:tc>
          <w:tcPr>
            <w:tcW w:w="869"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1301" w:type="dxa"/>
            <w:vAlign w:val="center"/>
          </w:tcPr>
          <w:p>
            <w:pPr>
              <w:jc w:val="center"/>
              <w:rPr>
                <w:rFonts w:eastAsia="仿宋_GB2312"/>
                <w:sz w:val="30"/>
              </w:rPr>
            </w:pPr>
          </w:p>
        </w:tc>
        <w:tc>
          <w:tcPr>
            <w:tcW w:w="869"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jc w:val="center"/>
              <w:rPr>
                <w:rFonts w:eastAsia="仿宋_GB2312"/>
                <w:sz w:val="30"/>
              </w:rPr>
            </w:pPr>
          </w:p>
        </w:tc>
        <w:tc>
          <w:tcPr>
            <w:tcW w:w="1117" w:type="dxa"/>
            <w:vAlign w:val="center"/>
          </w:tcPr>
          <w:p>
            <w:pPr>
              <w:jc w:val="center"/>
              <w:rPr>
                <w:rFonts w:eastAsia="仿宋_GB2312"/>
                <w:sz w:val="30"/>
              </w:rPr>
            </w:pPr>
          </w:p>
        </w:tc>
        <w:tc>
          <w:tcPr>
            <w:tcW w:w="1241" w:type="dxa"/>
            <w:vAlign w:val="center"/>
          </w:tcPr>
          <w:p>
            <w:pPr>
              <w:jc w:val="center"/>
              <w:rPr>
                <w:rFonts w:eastAsia="仿宋_GB2312"/>
                <w:sz w:val="30"/>
              </w:rPr>
            </w:pPr>
          </w:p>
        </w:tc>
        <w:tc>
          <w:tcPr>
            <w:tcW w:w="822"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914" w:type="dxa"/>
            <w:vAlign w:val="center"/>
          </w:tcPr>
          <w:p>
            <w:pPr>
              <w:jc w:val="center"/>
              <w:rPr>
                <w:rFonts w:eastAsia="仿宋_GB2312"/>
                <w:sz w:val="30"/>
              </w:rPr>
            </w:pPr>
          </w:p>
        </w:tc>
        <w:tc>
          <w:tcPr>
            <w:tcW w:w="869"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1301" w:type="dxa"/>
            <w:vAlign w:val="center"/>
          </w:tcPr>
          <w:p>
            <w:pPr>
              <w:jc w:val="center"/>
              <w:rPr>
                <w:rFonts w:eastAsia="仿宋_GB2312"/>
                <w:sz w:val="30"/>
              </w:rPr>
            </w:pPr>
          </w:p>
        </w:tc>
        <w:tc>
          <w:tcPr>
            <w:tcW w:w="869"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jc w:val="center"/>
              <w:rPr>
                <w:rFonts w:eastAsia="仿宋_GB2312"/>
                <w:sz w:val="30"/>
              </w:rPr>
            </w:pPr>
          </w:p>
        </w:tc>
        <w:tc>
          <w:tcPr>
            <w:tcW w:w="1117" w:type="dxa"/>
            <w:vAlign w:val="center"/>
          </w:tcPr>
          <w:p>
            <w:pPr>
              <w:jc w:val="center"/>
              <w:rPr>
                <w:rFonts w:eastAsia="仿宋_GB2312"/>
                <w:sz w:val="30"/>
              </w:rPr>
            </w:pPr>
          </w:p>
        </w:tc>
        <w:tc>
          <w:tcPr>
            <w:tcW w:w="1241" w:type="dxa"/>
            <w:vAlign w:val="center"/>
          </w:tcPr>
          <w:p>
            <w:pPr>
              <w:jc w:val="center"/>
              <w:rPr>
                <w:rFonts w:eastAsia="仿宋_GB2312"/>
                <w:sz w:val="30"/>
              </w:rPr>
            </w:pPr>
          </w:p>
        </w:tc>
        <w:tc>
          <w:tcPr>
            <w:tcW w:w="822"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914" w:type="dxa"/>
            <w:vAlign w:val="center"/>
          </w:tcPr>
          <w:p>
            <w:pPr>
              <w:jc w:val="center"/>
              <w:rPr>
                <w:rFonts w:eastAsia="仿宋_GB2312"/>
                <w:sz w:val="30"/>
              </w:rPr>
            </w:pPr>
          </w:p>
        </w:tc>
        <w:tc>
          <w:tcPr>
            <w:tcW w:w="869"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1301" w:type="dxa"/>
            <w:vAlign w:val="center"/>
          </w:tcPr>
          <w:p>
            <w:pPr>
              <w:jc w:val="center"/>
              <w:rPr>
                <w:rFonts w:eastAsia="仿宋_GB2312"/>
                <w:sz w:val="30"/>
              </w:rPr>
            </w:pPr>
          </w:p>
        </w:tc>
        <w:tc>
          <w:tcPr>
            <w:tcW w:w="869"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745" w:type="dxa"/>
            <w:vAlign w:val="center"/>
          </w:tcPr>
          <w:p>
            <w:pPr>
              <w:jc w:val="center"/>
              <w:rPr>
                <w:rFonts w:eastAsia="仿宋_GB2312"/>
                <w:sz w:val="30"/>
              </w:rPr>
            </w:pPr>
          </w:p>
        </w:tc>
        <w:tc>
          <w:tcPr>
            <w:tcW w:w="1117" w:type="dxa"/>
            <w:vAlign w:val="center"/>
          </w:tcPr>
          <w:p>
            <w:pPr>
              <w:jc w:val="center"/>
              <w:rPr>
                <w:rFonts w:eastAsia="仿宋_GB2312"/>
                <w:sz w:val="30"/>
              </w:rPr>
            </w:pPr>
          </w:p>
        </w:tc>
        <w:tc>
          <w:tcPr>
            <w:tcW w:w="1241" w:type="dxa"/>
            <w:vAlign w:val="center"/>
          </w:tcPr>
          <w:p>
            <w:pPr>
              <w:jc w:val="center"/>
              <w:rPr>
                <w:rFonts w:eastAsia="仿宋_GB2312"/>
                <w:sz w:val="30"/>
              </w:rPr>
            </w:pPr>
          </w:p>
        </w:tc>
        <w:tc>
          <w:tcPr>
            <w:tcW w:w="822"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914" w:type="dxa"/>
            <w:vAlign w:val="center"/>
          </w:tcPr>
          <w:p>
            <w:pPr>
              <w:jc w:val="center"/>
              <w:rPr>
                <w:rFonts w:eastAsia="仿宋_GB2312"/>
                <w:sz w:val="30"/>
              </w:rPr>
            </w:pPr>
          </w:p>
        </w:tc>
        <w:tc>
          <w:tcPr>
            <w:tcW w:w="869" w:type="dxa"/>
            <w:vAlign w:val="center"/>
          </w:tcPr>
          <w:p>
            <w:pPr>
              <w:jc w:val="center"/>
              <w:rPr>
                <w:rFonts w:eastAsia="仿宋_GB2312"/>
                <w:sz w:val="30"/>
              </w:rPr>
            </w:pPr>
          </w:p>
        </w:tc>
        <w:tc>
          <w:tcPr>
            <w:tcW w:w="745" w:type="dxa"/>
            <w:vAlign w:val="center"/>
          </w:tcPr>
          <w:p>
            <w:pPr>
              <w:jc w:val="center"/>
              <w:rPr>
                <w:rFonts w:eastAsia="仿宋_GB2312"/>
                <w:sz w:val="30"/>
              </w:rPr>
            </w:pPr>
          </w:p>
        </w:tc>
        <w:tc>
          <w:tcPr>
            <w:tcW w:w="1301" w:type="dxa"/>
            <w:vAlign w:val="center"/>
          </w:tcPr>
          <w:p>
            <w:pPr>
              <w:jc w:val="center"/>
              <w:rPr>
                <w:rFonts w:eastAsia="仿宋_GB2312"/>
                <w:sz w:val="30"/>
              </w:rPr>
            </w:pPr>
          </w:p>
        </w:tc>
        <w:tc>
          <w:tcPr>
            <w:tcW w:w="869" w:type="dxa"/>
            <w:vAlign w:val="center"/>
          </w:tcPr>
          <w:p>
            <w:pPr>
              <w:jc w:val="center"/>
              <w:rPr>
                <w:rFonts w:eastAsia="仿宋_GB2312"/>
                <w:sz w:val="30"/>
              </w:rPr>
            </w:pPr>
          </w:p>
        </w:tc>
      </w:tr>
    </w:tbl>
    <w:p>
      <w:pPr>
        <w:spacing w:line="440" w:lineRule="exact"/>
        <w:rPr>
          <w:rFonts w:eastAsia="宋体"/>
        </w:rPr>
      </w:pPr>
    </w:p>
    <w:p>
      <w:pPr>
        <w:spacing w:line="440" w:lineRule="exact"/>
        <w:rPr>
          <w:rFonts w:eastAsia="宋体"/>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eastAsia="Times New Roman"/>
          <w:b/>
        </w:rPr>
      </w:pPr>
      <w:r>
        <w:rPr>
          <w:rFonts w:hint="eastAsia" w:ascii="宋体" w:hAnsi="宋体"/>
          <w:b/>
        </w:rPr>
        <w:t>附件</w:t>
      </w:r>
      <w:r>
        <w:rPr>
          <w:rFonts w:ascii="宋体" w:hAnsi="宋体"/>
          <w:b/>
        </w:rPr>
        <w:t>2</w:t>
      </w:r>
      <w:r>
        <w:rPr>
          <w:rFonts w:hint="eastAsia" w:ascii="宋体" w:hAnsi="宋体"/>
          <w:b/>
        </w:rPr>
        <w:t>：</w:t>
      </w:r>
    </w:p>
    <w:p>
      <w:pPr>
        <w:spacing w:beforeLines="50" w:afterLines="50" w:line="440" w:lineRule="exact"/>
        <w:jc w:val="center"/>
        <w:rPr>
          <w:rFonts w:eastAsia="Times New Roman"/>
        </w:rPr>
      </w:pPr>
      <w:r>
        <w:rPr>
          <w:rFonts w:hint="eastAsia" w:ascii="宋体" w:hAnsi="宋体"/>
        </w:rPr>
        <w:t>工程质量保修书</w:t>
      </w:r>
    </w:p>
    <w:p>
      <w:pPr>
        <w:widowControl/>
        <w:spacing w:line="360" w:lineRule="auto"/>
        <w:ind w:firstLine="420"/>
        <w:rPr>
          <w:rFonts w:hint="eastAsia" w:ascii="宋体" w:hAnsi="宋体"/>
          <w:b/>
        </w:rPr>
      </w:pPr>
      <w:r>
        <w:rPr>
          <w:rFonts w:hint="eastAsia" w:ascii="宋体" w:hAnsi="宋体"/>
        </w:rPr>
        <w:t>发包人</w:t>
      </w:r>
      <w:r>
        <w:rPr>
          <w:rFonts w:ascii="宋体" w:hAnsi="宋体"/>
        </w:rPr>
        <w:t>(</w:t>
      </w:r>
      <w:r>
        <w:rPr>
          <w:rFonts w:hint="eastAsia" w:ascii="宋体" w:hAnsi="宋体"/>
        </w:rPr>
        <w:t>全称</w:t>
      </w:r>
      <w:r>
        <w:rPr>
          <w:rFonts w:ascii="宋体" w:hAnsi="宋体"/>
        </w:rPr>
        <w:t>)</w:t>
      </w:r>
      <w:r>
        <w:rPr>
          <w:rFonts w:hint="eastAsia" w:ascii="宋体" w:hAnsi="宋体"/>
          <w:b/>
        </w:rPr>
        <w:t>：</w:t>
      </w:r>
    </w:p>
    <w:p>
      <w:pPr>
        <w:widowControl/>
        <w:spacing w:line="360" w:lineRule="auto"/>
        <w:ind w:firstLine="420"/>
        <w:rPr>
          <w:rFonts w:eastAsia="Times New Roman"/>
          <w:u w:val="single"/>
        </w:rPr>
      </w:pPr>
      <w:r>
        <w:rPr>
          <w:rFonts w:hint="eastAsia" w:ascii="宋体" w:hAnsi="宋体"/>
        </w:rPr>
        <w:t>承包人</w:t>
      </w:r>
      <w:r>
        <w:rPr>
          <w:rFonts w:ascii="宋体" w:hAnsi="宋体"/>
        </w:rPr>
        <w:t>(</w:t>
      </w:r>
      <w:r>
        <w:rPr>
          <w:rFonts w:hint="eastAsia" w:ascii="宋体" w:hAnsi="宋体"/>
        </w:rPr>
        <w:t>全称</w:t>
      </w:r>
      <w:r>
        <w:rPr>
          <w:rFonts w:ascii="宋体" w:hAnsi="宋体"/>
        </w:rPr>
        <w:t>)</w:t>
      </w:r>
      <w:r>
        <w:rPr>
          <w:rFonts w:hint="eastAsia" w:ascii="宋体" w:hAnsi="宋体"/>
        </w:rPr>
        <w:t>：</w:t>
      </w:r>
    </w:p>
    <w:p>
      <w:pPr>
        <w:spacing w:line="360" w:lineRule="auto"/>
        <w:ind w:firstLine="480" w:firstLineChars="200"/>
        <w:rPr>
          <w:rFonts w:ascii="宋体"/>
        </w:rPr>
      </w:pPr>
      <w:r>
        <w:rPr>
          <w:rFonts w:hint="eastAsia" w:ascii="宋体" w:hAnsi="宋体"/>
        </w:rPr>
        <w:t>发包人和承包人根据《中华人民共和国建筑法》和《建设工程质量管理条例》，经协商一致就</w:t>
      </w:r>
      <w:r>
        <w:rPr>
          <w:rFonts w:hint="eastAsia"/>
        </w:rPr>
        <w:t>本工程项目</w:t>
      </w:r>
      <w:r>
        <w:rPr>
          <w:rFonts w:hint="eastAsia" w:ascii="宋体" w:hAnsi="宋体"/>
        </w:rPr>
        <w:t>签订工程质量保修书。</w:t>
      </w:r>
    </w:p>
    <w:p>
      <w:pPr>
        <w:widowControl/>
        <w:spacing w:line="360" w:lineRule="auto"/>
        <w:ind w:firstLine="480" w:firstLineChars="200"/>
        <w:rPr>
          <w:rFonts w:eastAsia="Times New Roman"/>
        </w:rPr>
      </w:pPr>
      <w:r>
        <w:rPr>
          <w:rFonts w:hint="eastAsia" w:ascii="宋体" w:hAnsi="宋体"/>
        </w:rPr>
        <w:t>一、工程质量保修范围和内容</w:t>
      </w:r>
    </w:p>
    <w:p>
      <w:pPr>
        <w:spacing w:line="360" w:lineRule="auto"/>
        <w:ind w:firstLine="600"/>
        <w:rPr>
          <w:rFonts w:ascii="宋体" w:hAnsi="宋体" w:eastAsia="宋体" w:cs="宋体"/>
          <w:szCs w:val="21"/>
        </w:rPr>
      </w:pPr>
      <w:r>
        <w:rPr>
          <w:rFonts w:hint="eastAsia" w:ascii="宋体" w:hAnsi="宋体" w:eastAsia="宋体" w:cs="宋体"/>
          <w:szCs w:val="21"/>
        </w:rPr>
        <w:t>承包人在质量保修期内，按照有关法律规定和合同约定，承担工程质量保修责任。</w:t>
      </w:r>
    </w:p>
    <w:p>
      <w:pPr>
        <w:widowControl/>
        <w:spacing w:line="360" w:lineRule="auto"/>
        <w:ind w:firstLine="600" w:firstLineChars="250"/>
        <w:rPr>
          <w:rFonts w:hint="default" w:ascii="宋体" w:hAnsi="宋体" w:eastAsia="宋体"/>
          <w:u w:val="single"/>
          <w:lang w:val="en-US" w:eastAsia="zh-CN"/>
        </w:rPr>
      </w:pPr>
      <w:r>
        <w:rPr>
          <w:rFonts w:hint="eastAsia" w:ascii="宋体" w:hAnsi="宋体" w:eastAsia="宋体" w:cs="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szCs w:val="21"/>
          <w:u w:val="single"/>
          <w:lang w:val="en-US" w:eastAsia="zh-CN"/>
        </w:rPr>
        <w:t xml:space="preserve">                </w:t>
      </w:r>
    </w:p>
    <w:p>
      <w:pPr>
        <w:spacing w:line="360" w:lineRule="auto"/>
        <w:ind w:firstLine="600"/>
        <w:rPr>
          <w:rFonts w:ascii="宋体" w:hAnsi="宋体" w:eastAsia="宋体" w:cs="宋体"/>
          <w:szCs w:val="21"/>
        </w:rPr>
      </w:pPr>
      <w:r>
        <w:rPr>
          <w:rFonts w:hint="eastAsia" w:ascii="宋体" w:hAnsi="宋体" w:eastAsia="宋体" w:cs="宋体"/>
          <w:szCs w:val="21"/>
        </w:rPr>
        <w:t>二、质量保修期</w:t>
      </w:r>
    </w:p>
    <w:p>
      <w:pPr>
        <w:spacing w:line="360" w:lineRule="auto"/>
        <w:ind w:firstLine="600"/>
        <w:rPr>
          <w:rFonts w:ascii="宋体" w:hAnsi="宋体" w:eastAsia="宋体" w:cs="宋体"/>
          <w:szCs w:val="21"/>
        </w:rPr>
      </w:pPr>
      <w:r>
        <w:rPr>
          <w:rFonts w:hint="eastAsia" w:ascii="宋体" w:hAnsi="宋体" w:eastAsia="宋体" w:cs="宋体"/>
          <w:szCs w:val="21"/>
        </w:rPr>
        <w:t>根据《建设工程质量管理条例》及有关规定，工程的质量保修期如下：</w:t>
      </w:r>
    </w:p>
    <w:p>
      <w:pPr>
        <w:spacing w:line="360" w:lineRule="auto"/>
        <w:ind w:firstLine="600"/>
        <w:rPr>
          <w:rFonts w:ascii="宋体" w:hAnsi="宋体" w:eastAsia="宋体" w:cs="宋体"/>
          <w:szCs w:val="21"/>
        </w:rPr>
      </w:pPr>
      <w:r>
        <w:rPr>
          <w:rFonts w:hint="eastAsia" w:ascii="宋体" w:hAnsi="宋体" w:eastAsia="宋体" w:cs="宋体"/>
          <w:szCs w:val="21"/>
        </w:rPr>
        <w:t>1．地基基础工程和主体结构工程为设计文件规定的工程合理使用年限；</w:t>
      </w:r>
    </w:p>
    <w:p>
      <w:pPr>
        <w:spacing w:line="360" w:lineRule="auto"/>
        <w:ind w:firstLine="600"/>
        <w:rPr>
          <w:rFonts w:ascii="宋体" w:hAnsi="宋体" w:eastAsia="宋体" w:cs="宋体"/>
          <w:szCs w:val="21"/>
        </w:rPr>
      </w:pPr>
      <w:r>
        <w:rPr>
          <w:rFonts w:hint="eastAsia" w:ascii="宋体" w:hAnsi="宋体" w:eastAsia="宋体" w:cs="宋体"/>
          <w:szCs w:val="21"/>
        </w:rPr>
        <w:t>2．屋面防水工程、有防水要求的卫生间、房间和外墙面的防渗为5年；</w:t>
      </w:r>
    </w:p>
    <w:p>
      <w:pPr>
        <w:spacing w:line="360" w:lineRule="auto"/>
        <w:ind w:firstLine="600"/>
        <w:rPr>
          <w:rFonts w:ascii="宋体" w:hAnsi="宋体" w:eastAsia="宋体" w:cs="宋体"/>
          <w:szCs w:val="21"/>
        </w:rPr>
      </w:pPr>
      <w:r>
        <w:rPr>
          <w:rFonts w:hint="eastAsia" w:ascii="宋体" w:hAnsi="宋体" w:eastAsia="宋体" w:cs="宋体"/>
          <w:szCs w:val="21"/>
        </w:rPr>
        <w:t>3．装修工程为2年；</w:t>
      </w:r>
    </w:p>
    <w:p>
      <w:pPr>
        <w:spacing w:line="360" w:lineRule="auto"/>
        <w:ind w:firstLine="600"/>
        <w:rPr>
          <w:rFonts w:ascii="宋体" w:hAnsi="宋体" w:eastAsia="宋体" w:cs="宋体"/>
          <w:szCs w:val="21"/>
        </w:rPr>
      </w:pPr>
      <w:r>
        <w:rPr>
          <w:rFonts w:hint="eastAsia" w:ascii="宋体" w:hAnsi="宋体" w:eastAsia="宋体" w:cs="宋体"/>
          <w:szCs w:val="21"/>
        </w:rPr>
        <w:t>4．电气管线、给排水管道、设备安装工程为2年；</w:t>
      </w:r>
    </w:p>
    <w:p>
      <w:pPr>
        <w:spacing w:line="360" w:lineRule="auto"/>
        <w:ind w:firstLine="600"/>
        <w:rPr>
          <w:rFonts w:ascii="宋体" w:hAnsi="宋体" w:eastAsia="宋体" w:cs="宋体"/>
          <w:szCs w:val="21"/>
        </w:rPr>
      </w:pPr>
      <w:r>
        <w:rPr>
          <w:rFonts w:hint="eastAsia" w:ascii="宋体" w:hAnsi="宋体" w:eastAsia="宋体" w:cs="宋体"/>
          <w:szCs w:val="21"/>
        </w:rPr>
        <w:t>5．供热与供冷系统为2个采暖期、供冷期；</w:t>
      </w:r>
    </w:p>
    <w:p>
      <w:pPr>
        <w:spacing w:line="360" w:lineRule="auto"/>
        <w:ind w:firstLine="600"/>
        <w:rPr>
          <w:rFonts w:ascii="宋体" w:hAnsi="宋体" w:eastAsia="宋体" w:cs="宋体"/>
          <w:szCs w:val="21"/>
        </w:rPr>
      </w:pPr>
      <w:r>
        <w:rPr>
          <w:rFonts w:hint="eastAsia" w:ascii="宋体" w:hAnsi="宋体" w:eastAsia="宋体" w:cs="宋体"/>
          <w:szCs w:val="21"/>
        </w:rPr>
        <w:t>6．住宅小区内的给排水设施、道路等配套工程为2年；</w:t>
      </w:r>
    </w:p>
    <w:p>
      <w:pPr>
        <w:spacing w:line="360" w:lineRule="auto"/>
        <w:ind w:firstLine="600"/>
        <w:rPr>
          <w:rFonts w:ascii="宋体" w:hAnsi="宋体" w:eastAsia="宋体" w:cs="宋体"/>
          <w:szCs w:val="21"/>
        </w:rPr>
      </w:pPr>
      <w:r>
        <w:rPr>
          <w:rFonts w:hint="eastAsia" w:ascii="宋体" w:hAnsi="宋体" w:eastAsia="宋体" w:cs="宋体"/>
          <w:szCs w:val="21"/>
        </w:rPr>
        <w:t>7．其他项目保修期限约定如下：</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600"/>
        <w:rPr>
          <w:rFonts w:ascii="宋体" w:hAnsi="宋体" w:eastAsia="宋体" w:cs="宋体"/>
          <w:szCs w:val="21"/>
        </w:rPr>
      </w:pPr>
      <w:r>
        <w:rPr>
          <w:rFonts w:hint="eastAsia" w:ascii="宋体" w:hAnsi="宋体" w:eastAsia="宋体" w:cs="宋体"/>
          <w:szCs w:val="21"/>
        </w:rPr>
        <w:t>质量保修期自工程竣工验收合格之日起计算。</w:t>
      </w:r>
    </w:p>
    <w:p>
      <w:pPr>
        <w:spacing w:line="360" w:lineRule="auto"/>
        <w:ind w:firstLine="600"/>
        <w:rPr>
          <w:rFonts w:ascii="宋体" w:hAnsi="宋体" w:eastAsia="宋体" w:cs="宋体"/>
          <w:szCs w:val="21"/>
        </w:rPr>
      </w:pPr>
      <w:r>
        <w:rPr>
          <w:rFonts w:hint="eastAsia" w:ascii="宋体" w:hAnsi="宋体" w:eastAsia="宋体" w:cs="宋体"/>
          <w:szCs w:val="21"/>
        </w:rPr>
        <w:t>三、缺陷责任期</w:t>
      </w:r>
    </w:p>
    <w:p>
      <w:pPr>
        <w:spacing w:line="360" w:lineRule="auto"/>
        <w:ind w:firstLine="600"/>
        <w:rPr>
          <w:rFonts w:ascii="宋体" w:hAnsi="宋体" w:eastAsia="宋体" w:cs="宋体"/>
          <w:szCs w:val="21"/>
        </w:rPr>
      </w:pPr>
      <w:r>
        <w:rPr>
          <w:rFonts w:hint="eastAsia" w:ascii="宋体" w:hAnsi="宋体" w:eastAsia="宋体" w:cs="宋体"/>
          <w:szCs w:val="21"/>
        </w:rPr>
        <w:t>工程缺陷责任期为个</w:t>
      </w:r>
      <w:r>
        <w:rPr>
          <w:rFonts w:hint="eastAsia" w:ascii="宋体" w:hAnsi="宋体" w:eastAsia="宋体" w:cs="宋体"/>
          <w:szCs w:val="21"/>
          <w:u w:val="single"/>
        </w:rPr>
        <w:t xml:space="preserve">    </w:t>
      </w:r>
      <w:r>
        <w:rPr>
          <w:rFonts w:hint="eastAsia" w:ascii="宋体" w:hAnsi="宋体" w:eastAsia="宋体" w:cs="宋体"/>
          <w:szCs w:val="21"/>
        </w:rPr>
        <w:t>月，缺陷责任期自工程通过竣工验收之日起计算。单位/区段工程先于全部工程进行验收，单位/区段工程缺陷责任期自单位/区段工程验收合格之日起算。</w:t>
      </w:r>
    </w:p>
    <w:p>
      <w:pPr>
        <w:spacing w:line="360" w:lineRule="auto"/>
        <w:ind w:firstLine="600"/>
        <w:rPr>
          <w:rFonts w:ascii="宋体" w:hAnsi="宋体" w:eastAsia="宋体" w:cs="宋体"/>
          <w:szCs w:val="21"/>
        </w:rPr>
      </w:pPr>
      <w:r>
        <w:rPr>
          <w:rFonts w:hint="eastAsia" w:ascii="宋体" w:hAnsi="宋体" w:eastAsia="宋体" w:cs="宋体"/>
          <w:szCs w:val="21"/>
        </w:rPr>
        <w:t>缺陷责任期终止后，发包人应返还剩余的质量保证金。</w:t>
      </w:r>
    </w:p>
    <w:p>
      <w:pPr>
        <w:spacing w:line="360" w:lineRule="auto"/>
        <w:ind w:firstLine="600"/>
        <w:rPr>
          <w:rFonts w:ascii="宋体" w:hAnsi="宋体" w:eastAsia="宋体" w:cs="宋体"/>
          <w:szCs w:val="21"/>
        </w:rPr>
      </w:pPr>
      <w:r>
        <w:rPr>
          <w:rFonts w:hint="eastAsia" w:ascii="宋体" w:hAnsi="宋体" w:eastAsia="宋体" w:cs="宋体"/>
          <w:szCs w:val="21"/>
        </w:rPr>
        <w:t>四、质量保修责任</w:t>
      </w:r>
    </w:p>
    <w:p>
      <w:pPr>
        <w:spacing w:line="360" w:lineRule="auto"/>
        <w:ind w:firstLine="600"/>
        <w:rPr>
          <w:rFonts w:ascii="宋体" w:hAnsi="宋体" w:eastAsia="宋体" w:cs="宋体"/>
          <w:szCs w:val="21"/>
        </w:rPr>
      </w:pPr>
      <w:r>
        <w:rPr>
          <w:rFonts w:hint="eastAsia" w:ascii="宋体" w:hAnsi="宋体" w:eastAsia="宋体" w:cs="宋体"/>
          <w:szCs w:val="21"/>
        </w:rPr>
        <w:t>1．属于保修范围、内容的项目，承包人应当在接到保修通知之日起7天内派人保修。承包人不在约定期限内派人保修的，发包人可以委托他人修理。</w:t>
      </w:r>
    </w:p>
    <w:p>
      <w:pPr>
        <w:spacing w:line="360" w:lineRule="auto"/>
        <w:ind w:firstLine="600"/>
        <w:rPr>
          <w:rFonts w:ascii="宋体" w:hAnsi="宋体" w:eastAsia="宋体" w:cs="宋体"/>
          <w:szCs w:val="21"/>
        </w:rPr>
      </w:pPr>
      <w:r>
        <w:rPr>
          <w:rFonts w:hint="eastAsia" w:ascii="宋体" w:hAnsi="宋体" w:eastAsia="宋体" w:cs="宋体"/>
          <w:szCs w:val="21"/>
        </w:rPr>
        <w:t>2．发生紧急事故需抢修的，承包人在接到事故通知后，应当立即到达事故现场抢修。</w:t>
      </w:r>
    </w:p>
    <w:p>
      <w:pPr>
        <w:spacing w:line="360" w:lineRule="auto"/>
        <w:ind w:firstLine="600"/>
        <w:rPr>
          <w:rFonts w:ascii="宋体" w:hAnsi="宋体" w:eastAsia="宋体" w:cs="宋体"/>
          <w:szCs w:val="21"/>
        </w:rPr>
      </w:pPr>
      <w:r>
        <w:rPr>
          <w:rFonts w:hint="eastAsia" w:ascii="宋体" w:hAnsi="宋体" w:eastAsia="宋体" w:cs="宋体"/>
          <w:szCs w:val="21"/>
        </w:rPr>
        <w:t>3．对于涉及结构安全的质量问题，应当按照《建设工程质量管理条例》的规定，立即向地方建设行政主管部门和有关部门报告，采取安全防范措施，并由承包人提出保修方案，承包人将设计业务分包的，应由原设计分包人或具有相应资质等级的设计人提出保修方案，承包人实施保修。</w:t>
      </w:r>
    </w:p>
    <w:p>
      <w:pPr>
        <w:spacing w:line="360" w:lineRule="auto"/>
        <w:ind w:firstLine="600"/>
        <w:rPr>
          <w:rFonts w:ascii="宋体" w:hAnsi="宋体" w:eastAsia="宋体" w:cs="宋体"/>
          <w:szCs w:val="21"/>
        </w:rPr>
      </w:pPr>
      <w:r>
        <w:rPr>
          <w:rFonts w:hint="eastAsia" w:ascii="宋体" w:hAnsi="宋体" w:eastAsia="宋体" w:cs="宋体"/>
          <w:szCs w:val="21"/>
        </w:rPr>
        <w:t>4．质量保修完成后，由发包人组织验收。</w:t>
      </w:r>
    </w:p>
    <w:p>
      <w:pPr>
        <w:spacing w:line="360" w:lineRule="auto"/>
        <w:ind w:firstLine="600"/>
        <w:rPr>
          <w:rFonts w:ascii="宋体" w:hAnsi="宋体" w:eastAsia="宋体" w:cs="宋体"/>
          <w:szCs w:val="21"/>
        </w:rPr>
      </w:pPr>
      <w:r>
        <w:rPr>
          <w:rFonts w:hint="eastAsia" w:ascii="宋体" w:hAnsi="宋体" w:eastAsia="宋体" w:cs="宋体"/>
          <w:szCs w:val="21"/>
        </w:rPr>
        <w:t>五、保修费用</w:t>
      </w:r>
    </w:p>
    <w:p>
      <w:pPr>
        <w:spacing w:line="360" w:lineRule="auto"/>
        <w:ind w:firstLine="600"/>
        <w:rPr>
          <w:rFonts w:ascii="宋体" w:hAnsi="宋体" w:eastAsia="宋体" w:cs="宋体"/>
          <w:szCs w:val="21"/>
        </w:rPr>
      </w:pPr>
      <w:r>
        <w:rPr>
          <w:rFonts w:hint="eastAsia" w:ascii="宋体" w:hAnsi="宋体" w:eastAsia="宋体" w:cs="宋体"/>
          <w:szCs w:val="21"/>
        </w:rPr>
        <w:t>保修费用由造成质量缺陷的责任方承担。</w:t>
      </w:r>
    </w:p>
    <w:p>
      <w:pPr>
        <w:spacing w:line="360" w:lineRule="auto"/>
        <w:ind w:firstLine="600"/>
        <w:rPr>
          <w:rFonts w:ascii="宋体" w:hAnsi="宋体" w:eastAsia="宋体" w:cs="宋体"/>
          <w:szCs w:val="21"/>
          <w:u w:val="single"/>
        </w:rPr>
      </w:pPr>
      <w:r>
        <w:rPr>
          <w:rFonts w:hint="eastAsia" w:ascii="宋体" w:hAnsi="宋体" w:eastAsia="宋体" w:cs="宋体"/>
          <w:szCs w:val="21"/>
        </w:rPr>
        <w:t>六、双方约定的其他工程质量保修事项：。</w:t>
      </w:r>
    </w:p>
    <w:p>
      <w:pPr>
        <w:spacing w:line="360" w:lineRule="auto"/>
        <w:ind w:firstLine="600"/>
        <w:rPr>
          <w:rFonts w:ascii="宋体" w:hAnsi="宋体" w:eastAsia="宋体" w:cs="宋体"/>
          <w:szCs w:val="21"/>
        </w:rPr>
      </w:pPr>
      <w:r>
        <w:rPr>
          <w:rFonts w:hint="eastAsia" w:ascii="宋体" w:hAnsi="宋体" w:eastAsia="宋体" w:cs="宋体"/>
          <w:szCs w:val="21"/>
        </w:rPr>
        <w:t>工程质量保修书由发包人、承包人在工程竣工验收前共同签署，作为工程总承包合同附件，其有效期限至保修期满。</w:t>
      </w:r>
    </w:p>
    <w:p>
      <w:pPr>
        <w:spacing w:line="360" w:lineRule="auto"/>
        <w:ind w:firstLine="600"/>
        <w:rPr>
          <w:rFonts w:ascii="宋体" w:hAnsi="宋体" w:eastAsia="宋体" w:cs="宋体"/>
          <w:szCs w:val="21"/>
        </w:rPr>
      </w:pPr>
    </w:p>
    <w:p>
      <w:pPr>
        <w:spacing w:line="360" w:lineRule="auto"/>
        <w:ind w:firstLine="600"/>
        <w:rPr>
          <w:rFonts w:ascii="宋体" w:hAnsi="宋体" w:eastAsia="宋体" w:cs="宋体"/>
          <w:szCs w:val="21"/>
        </w:rPr>
      </w:pPr>
      <w:r>
        <w:rPr>
          <w:rFonts w:hint="eastAsia" w:ascii="宋体" w:hAnsi="宋体" w:eastAsia="宋体" w:cs="宋体"/>
          <w:szCs w:val="21"/>
        </w:rPr>
        <w:t xml:space="preserve">发包人(公章)：               承包人(公章)：          </w:t>
      </w:r>
    </w:p>
    <w:p>
      <w:pPr>
        <w:spacing w:line="360" w:lineRule="auto"/>
        <w:ind w:firstLine="600"/>
        <w:rPr>
          <w:rFonts w:ascii="宋体" w:hAnsi="宋体" w:eastAsia="宋体" w:cs="宋体"/>
          <w:szCs w:val="21"/>
        </w:rPr>
      </w:pPr>
      <w:r>
        <w:rPr>
          <w:rFonts w:hint="eastAsia" w:ascii="宋体" w:hAnsi="宋体" w:eastAsia="宋体" w:cs="宋体"/>
          <w:szCs w:val="21"/>
        </w:rPr>
        <w:t xml:space="preserve">地  址：                     地  址：       </w:t>
      </w:r>
    </w:p>
    <w:p>
      <w:pPr>
        <w:spacing w:line="360" w:lineRule="auto"/>
        <w:ind w:firstLine="600"/>
        <w:rPr>
          <w:rFonts w:ascii="宋体" w:hAnsi="宋体" w:eastAsia="宋体" w:cs="宋体"/>
          <w:szCs w:val="21"/>
        </w:rPr>
      </w:pPr>
      <w:r>
        <w:rPr>
          <w:rFonts w:hint="eastAsia" w:ascii="宋体" w:hAnsi="宋体" w:eastAsia="宋体" w:cs="宋体"/>
          <w:szCs w:val="21"/>
        </w:rPr>
        <w:t xml:space="preserve">法定代表人(签字)：           法定代表人(签字)：       </w:t>
      </w:r>
    </w:p>
    <w:p>
      <w:pPr>
        <w:spacing w:line="360" w:lineRule="auto"/>
        <w:ind w:firstLine="600"/>
        <w:rPr>
          <w:rFonts w:ascii="宋体" w:hAnsi="宋体" w:eastAsia="宋体" w:cs="宋体"/>
          <w:szCs w:val="21"/>
        </w:rPr>
      </w:pPr>
      <w:r>
        <w:rPr>
          <w:rFonts w:hint="eastAsia" w:ascii="宋体" w:hAnsi="宋体" w:eastAsia="宋体" w:cs="宋体"/>
          <w:szCs w:val="21"/>
        </w:rPr>
        <w:t xml:space="preserve">委托代理人(签字)：           委托代理人(签字)：       </w:t>
      </w:r>
    </w:p>
    <w:p>
      <w:pPr>
        <w:spacing w:line="360" w:lineRule="auto"/>
        <w:ind w:firstLine="600"/>
        <w:rPr>
          <w:rFonts w:ascii="宋体" w:hAnsi="宋体" w:eastAsia="宋体" w:cs="宋体"/>
          <w:szCs w:val="21"/>
        </w:rPr>
      </w:pPr>
      <w:r>
        <w:rPr>
          <w:rFonts w:hint="eastAsia" w:ascii="宋体" w:hAnsi="宋体" w:eastAsia="宋体" w:cs="宋体"/>
          <w:szCs w:val="21"/>
        </w:rPr>
        <w:t>电  话：                     电  话：</w:t>
      </w:r>
    </w:p>
    <w:p>
      <w:pPr>
        <w:spacing w:line="360" w:lineRule="auto"/>
        <w:ind w:firstLine="600"/>
        <w:rPr>
          <w:rFonts w:ascii="宋体" w:hAnsi="宋体" w:eastAsia="宋体" w:cs="宋体"/>
          <w:szCs w:val="21"/>
        </w:rPr>
      </w:pPr>
      <w:r>
        <w:rPr>
          <w:rFonts w:hint="eastAsia" w:ascii="宋体" w:hAnsi="宋体" w:eastAsia="宋体" w:cs="宋体"/>
          <w:szCs w:val="21"/>
        </w:rPr>
        <w:t xml:space="preserve">传  真：                     传  真：  </w:t>
      </w:r>
    </w:p>
    <w:p>
      <w:pPr>
        <w:spacing w:line="360" w:lineRule="auto"/>
        <w:ind w:firstLine="600"/>
        <w:rPr>
          <w:rFonts w:ascii="宋体" w:hAnsi="宋体" w:eastAsia="宋体" w:cs="宋体"/>
          <w:szCs w:val="21"/>
        </w:rPr>
      </w:pPr>
      <w:r>
        <w:rPr>
          <w:rFonts w:hint="eastAsia" w:ascii="宋体" w:hAnsi="宋体" w:eastAsia="宋体" w:cs="宋体"/>
          <w:szCs w:val="21"/>
        </w:rPr>
        <w:t>开户银行：                   开户银行：</w:t>
      </w:r>
    </w:p>
    <w:p>
      <w:pPr>
        <w:spacing w:line="360" w:lineRule="auto"/>
        <w:ind w:firstLine="600"/>
        <w:rPr>
          <w:rFonts w:ascii="宋体" w:hAnsi="宋体" w:eastAsia="宋体" w:cs="宋体"/>
          <w:szCs w:val="21"/>
        </w:rPr>
      </w:pPr>
      <w:r>
        <w:rPr>
          <w:rFonts w:hint="eastAsia" w:ascii="宋体" w:hAnsi="宋体" w:eastAsia="宋体" w:cs="宋体"/>
          <w:szCs w:val="21"/>
        </w:rPr>
        <w:t xml:space="preserve">账  号：                     账  号： </w:t>
      </w:r>
    </w:p>
    <w:p>
      <w:pPr>
        <w:spacing w:line="360" w:lineRule="auto"/>
        <w:ind w:firstLine="600"/>
        <w:rPr>
          <w:rFonts w:ascii="宋体" w:hAnsi="宋体" w:eastAsia="宋体" w:cs="宋体"/>
          <w:sz w:val="30"/>
          <w:szCs w:val="30"/>
        </w:rPr>
      </w:pPr>
      <w:r>
        <w:rPr>
          <w:rFonts w:hint="eastAsia" w:ascii="宋体" w:hAnsi="宋体" w:eastAsia="宋体" w:cs="宋体"/>
          <w:szCs w:val="21"/>
        </w:rPr>
        <w:t xml:space="preserve">邮政编码：                   邮政编码：  </w:t>
      </w:r>
    </w:p>
    <w:p>
      <w:pPr>
        <w:spacing w:line="360" w:lineRule="auto"/>
        <w:ind w:firstLine="602" w:firstLineChars="200"/>
        <w:rPr>
          <w:rFonts w:eastAsia="宋体"/>
          <w:b/>
          <w:sz w:val="30"/>
        </w:rPr>
      </w:pPr>
    </w:p>
    <w:p>
      <w:pPr>
        <w:widowControl/>
        <w:adjustRightInd/>
        <w:rPr>
          <w:rFonts w:ascii="宋体" w:hAnsi="宋体"/>
          <w:b/>
        </w:rPr>
      </w:pPr>
      <w:r>
        <w:rPr>
          <w:rFonts w:ascii="宋体" w:hAnsi="宋体"/>
          <w:b/>
        </w:rPr>
        <w:br w:type="page"/>
      </w:r>
    </w:p>
    <w:p>
      <w:pPr>
        <w:spacing w:line="360" w:lineRule="auto"/>
        <w:ind w:firstLine="482" w:firstLineChars="200"/>
        <w:rPr>
          <w:rFonts w:ascii="宋体" w:hAnsi="宋体"/>
          <w:b/>
        </w:rPr>
      </w:pPr>
    </w:p>
    <w:p>
      <w:pPr>
        <w:spacing w:line="360" w:lineRule="auto"/>
        <w:ind w:firstLine="482" w:firstLineChars="200"/>
        <w:rPr>
          <w:rFonts w:eastAsia="Times New Roman"/>
          <w:b/>
        </w:rPr>
      </w:pPr>
      <w:r>
        <w:rPr>
          <w:rFonts w:hint="eastAsia" w:ascii="宋体" w:hAnsi="宋体"/>
          <w:b/>
        </w:rPr>
        <w:t>附</w:t>
      </w:r>
      <w:bookmarkStart w:id="462" w:name="_Toc296891267"/>
      <w:bookmarkStart w:id="463" w:name="_Toc296346728"/>
      <w:bookmarkStart w:id="464" w:name="_Toc296347226"/>
      <w:bookmarkStart w:id="465" w:name="_Toc296503227"/>
      <w:bookmarkStart w:id="466" w:name="_Toc296891055"/>
      <w:bookmarkStart w:id="467" w:name="_Toc296944566"/>
      <w:bookmarkStart w:id="468" w:name="_Toc267261698"/>
      <w:r>
        <w:rPr>
          <w:rFonts w:hint="eastAsia" w:ascii="宋体" w:hAnsi="宋体"/>
          <w:b/>
        </w:rPr>
        <w:t>件</w:t>
      </w:r>
      <w:r>
        <w:rPr>
          <w:rFonts w:ascii="宋体" w:hAnsi="宋体"/>
          <w:b/>
        </w:rPr>
        <w:t>3</w:t>
      </w:r>
      <w:r>
        <w:rPr>
          <w:rFonts w:hint="eastAsia" w:ascii="宋体" w:hAnsi="宋体"/>
          <w:b/>
        </w:rPr>
        <w:t>：</w:t>
      </w:r>
    </w:p>
    <w:p>
      <w:pPr>
        <w:spacing w:beforeLines="50" w:afterLines="50" w:line="440" w:lineRule="exact"/>
        <w:jc w:val="center"/>
        <w:rPr>
          <w:rFonts w:eastAsia="Times New Roman"/>
        </w:rPr>
      </w:pPr>
      <w:r>
        <w:rPr>
          <w:rFonts w:hint="eastAsia" w:ascii="宋体" w:hAnsi="宋体"/>
        </w:rPr>
        <w:t>主要建设工程文件目录</w:t>
      </w:r>
    </w:p>
    <w:tbl>
      <w:tblPr>
        <w:tblStyle w:val="4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文件名称</w:t>
            </w:r>
          </w:p>
        </w:tc>
        <w:tc>
          <w:tcPr>
            <w:tcW w:w="1276"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套数</w:t>
            </w:r>
          </w:p>
        </w:tc>
        <w:tc>
          <w:tcPr>
            <w:tcW w:w="145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费用（元）</w:t>
            </w:r>
          </w:p>
        </w:tc>
        <w:tc>
          <w:tcPr>
            <w:tcW w:w="124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质量</w:t>
            </w:r>
          </w:p>
        </w:tc>
        <w:tc>
          <w:tcPr>
            <w:tcW w:w="1450" w:type="dxa"/>
            <w:tcBorders>
              <w:top w:val="single" w:color="auto" w:sz="12" w:space="0"/>
              <w:bottom w:val="double" w:color="auto" w:sz="6" w:space="0"/>
            </w:tcBorders>
            <w:vAlign w:val="center"/>
          </w:tcPr>
          <w:p>
            <w:pPr>
              <w:spacing w:line="440" w:lineRule="exact"/>
              <w:jc w:val="center"/>
              <w:rPr>
                <w:rFonts w:eastAsia="Times New Roman"/>
              </w:rPr>
            </w:pPr>
            <w:r>
              <w:rPr>
                <w:rFonts w:hint="eastAsia" w:ascii="宋体" w:hAnsi="宋体"/>
              </w:rPr>
              <w:t>移交时间</w:t>
            </w:r>
          </w:p>
        </w:tc>
        <w:tc>
          <w:tcPr>
            <w:tcW w:w="1667" w:type="dxa"/>
            <w:tcBorders>
              <w:top w:val="single" w:color="auto" w:sz="12" w:space="0"/>
              <w:bottom w:val="double" w:color="auto" w:sz="6" w:space="0"/>
            </w:tcBorders>
            <w:vAlign w:val="center"/>
          </w:tcPr>
          <w:p>
            <w:pPr>
              <w:spacing w:line="440" w:lineRule="exact"/>
              <w:jc w:val="center"/>
              <w:rPr>
                <w:rFonts w:eastAsia="Times New Roman"/>
              </w:rPr>
            </w:pPr>
            <w:r>
              <w:rPr>
                <w:rFonts w:hint="eastAsia" w:ascii="宋体" w:hAnsi="宋体"/>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pPr>
              <w:pStyle w:val="18"/>
              <w:keepNext/>
              <w:spacing w:line="440" w:lineRule="exact"/>
              <w:ind w:left="63" w:right="63"/>
              <w:rPr>
                <w:rFonts w:eastAsia="Times New Roman"/>
                <w:sz w:val="21"/>
              </w:rPr>
            </w:pPr>
          </w:p>
        </w:tc>
        <w:tc>
          <w:tcPr>
            <w:tcW w:w="1276" w:type="dxa"/>
            <w:tcBorders>
              <w:top w:val="double" w:color="auto" w:sz="6" w:space="0"/>
            </w:tcBorders>
            <w:vAlign w:val="center"/>
          </w:tcPr>
          <w:p>
            <w:pPr>
              <w:pStyle w:val="18"/>
              <w:keepNext/>
              <w:spacing w:line="440" w:lineRule="exact"/>
              <w:ind w:left="63" w:right="63"/>
              <w:rPr>
                <w:rFonts w:eastAsia="Times New Roman"/>
                <w:sz w:val="21"/>
              </w:rPr>
            </w:pPr>
          </w:p>
        </w:tc>
        <w:tc>
          <w:tcPr>
            <w:tcW w:w="1450" w:type="dxa"/>
            <w:tcBorders>
              <w:top w:val="double" w:color="auto" w:sz="6" w:space="0"/>
            </w:tcBorders>
            <w:vAlign w:val="center"/>
          </w:tcPr>
          <w:p>
            <w:pPr>
              <w:pStyle w:val="18"/>
              <w:keepNext/>
              <w:spacing w:line="440" w:lineRule="exact"/>
              <w:ind w:left="63" w:right="63"/>
              <w:rPr>
                <w:rFonts w:eastAsia="Times New Roman"/>
                <w:sz w:val="21"/>
              </w:rPr>
            </w:pPr>
          </w:p>
        </w:tc>
        <w:tc>
          <w:tcPr>
            <w:tcW w:w="1243" w:type="dxa"/>
            <w:tcBorders>
              <w:top w:val="double" w:color="auto" w:sz="6" w:space="0"/>
            </w:tcBorders>
            <w:vAlign w:val="center"/>
          </w:tcPr>
          <w:p>
            <w:pPr>
              <w:pStyle w:val="18"/>
              <w:keepNext/>
              <w:spacing w:line="440" w:lineRule="exact"/>
              <w:ind w:left="63" w:right="63"/>
              <w:rPr>
                <w:rFonts w:eastAsia="Times New Roman"/>
                <w:sz w:val="21"/>
              </w:rPr>
            </w:pPr>
          </w:p>
        </w:tc>
        <w:tc>
          <w:tcPr>
            <w:tcW w:w="1450" w:type="dxa"/>
            <w:tcBorders>
              <w:top w:val="double" w:color="auto" w:sz="6" w:space="0"/>
            </w:tcBorders>
            <w:vAlign w:val="center"/>
          </w:tcPr>
          <w:p>
            <w:pPr>
              <w:pStyle w:val="18"/>
              <w:keepNext/>
              <w:spacing w:line="440" w:lineRule="exact"/>
              <w:ind w:left="63" w:right="63"/>
              <w:rPr>
                <w:rFonts w:eastAsia="Times New Roman"/>
                <w:sz w:val="21"/>
              </w:rPr>
            </w:pPr>
          </w:p>
        </w:tc>
        <w:tc>
          <w:tcPr>
            <w:tcW w:w="1667" w:type="dxa"/>
            <w:tcBorders>
              <w:top w:val="double" w:color="auto" w:sz="6" w:space="0"/>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8"/>
              <w:keepNext/>
              <w:spacing w:line="440" w:lineRule="exact"/>
              <w:ind w:left="63" w:right="63"/>
              <w:rPr>
                <w:rFonts w:eastAsia="Times New Roman"/>
                <w:sz w:val="21"/>
              </w:rPr>
            </w:pPr>
          </w:p>
        </w:tc>
        <w:tc>
          <w:tcPr>
            <w:tcW w:w="1276" w:type="dxa"/>
            <w:tcBorders>
              <w:top w:val="nil"/>
            </w:tcBorders>
            <w:vAlign w:val="center"/>
          </w:tcPr>
          <w:p>
            <w:pPr>
              <w:pStyle w:val="18"/>
              <w:keepNext/>
              <w:spacing w:line="440" w:lineRule="exact"/>
              <w:ind w:left="63" w:right="63"/>
              <w:rPr>
                <w:rFonts w:eastAsia="Times New Roman"/>
                <w:sz w:val="21"/>
              </w:rPr>
            </w:pPr>
          </w:p>
        </w:tc>
        <w:tc>
          <w:tcPr>
            <w:tcW w:w="1450" w:type="dxa"/>
            <w:tcBorders>
              <w:top w:val="nil"/>
            </w:tcBorders>
            <w:vAlign w:val="center"/>
          </w:tcPr>
          <w:p>
            <w:pPr>
              <w:pStyle w:val="18"/>
              <w:keepNext/>
              <w:spacing w:line="440" w:lineRule="exact"/>
              <w:ind w:left="63" w:right="63"/>
              <w:rPr>
                <w:rFonts w:eastAsia="Times New Roman"/>
                <w:sz w:val="21"/>
              </w:rPr>
            </w:pPr>
          </w:p>
        </w:tc>
        <w:tc>
          <w:tcPr>
            <w:tcW w:w="1243" w:type="dxa"/>
            <w:tcBorders>
              <w:top w:val="nil"/>
            </w:tcBorders>
            <w:vAlign w:val="center"/>
          </w:tcPr>
          <w:p>
            <w:pPr>
              <w:pStyle w:val="18"/>
              <w:keepNext/>
              <w:spacing w:line="440" w:lineRule="exact"/>
              <w:ind w:left="63" w:right="63"/>
              <w:rPr>
                <w:rFonts w:eastAsia="Times New Roman"/>
                <w:sz w:val="21"/>
              </w:rPr>
            </w:pPr>
          </w:p>
        </w:tc>
        <w:tc>
          <w:tcPr>
            <w:tcW w:w="1450" w:type="dxa"/>
            <w:tcBorders>
              <w:top w:val="nil"/>
            </w:tcBorders>
            <w:vAlign w:val="center"/>
          </w:tcPr>
          <w:p>
            <w:pPr>
              <w:pStyle w:val="18"/>
              <w:keepNext/>
              <w:spacing w:line="440" w:lineRule="exact"/>
              <w:ind w:left="63" w:right="63"/>
              <w:rPr>
                <w:rFonts w:eastAsia="Times New Roman"/>
                <w:sz w:val="21"/>
              </w:rPr>
            </w:pPr>
          </w:p>
        </w:tc>
        <w:tc>
          <w:tcPr>
            <w:tcW w:w="1667" w:type="dxa"/>
            <w:tcBorders>
              <w:top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eastAsia="Times New Roman"/>
              </w:rPr>
            </w:pPr>
          </w:p>
        </w:tc>
        <w:tc>
          <w:tcPr>
            <w:tcW w:w="1276" w:type="dxa"/>
            <w:vAlign w:val="top"/>
          </w:tcPr>
          <w:p>
            <w:pPr>
              <w:rPr>
                <w:rFonts w:eastAsia="Times New Roman"/>
              </w:rPr>
            </w:pPr>
          </w:p>
        </w:tc>
        <w:tc>
          <w:tcPr>
            <w:tcW w:w="1450" w:type="dxa"/>
            <w:vAlign w:val="top"/>
          </w:tcPr>
          <w:p>
            <w:pPr>
              <w:rPr>
                <w:rFonts w:eastAsia="Times New Roman"/>
              </w:rPr>
            </w:pPr>
          </w:p>
        </w:tc>
        <w:tc>
          <w:tcPr>
            <w:tcW w:w="1243" w:type="dxa"/>
            <w:vAlign w:val="top"/>
          </w:tcPr>
          <w:p>
            <w:pPr>
              <w:rPr>
                <w:rFonts w:eastAsia="Times New Roman"/>
              </w:rPr>
            </w:pPr>
          </w:p>
        </w:tc>
        <w:tc>
          <w:tcPr>
            <w:tcW w:w="1450" w:type="dxa"/>
            <w:vAlign w:val="top"/>
          </w:tcPr>
          <w:p>
            <w:pPr>
              <w:rPr>
                <w:rFonts w:eastAsia="Times New Roman"/>
              </w:rPr>
            </w:pPr>
          </w:p>
        </w:tc>
        <w:tc>
          <w:tcPr>
            <w:tcW w:w="1667" w:type="dxa"/>
            <w:vAlign w:val="top"/>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eastAsia="Times New Roman"/>
              </w:rPr>
            </w:pPr>
          </w:p>
        </w:tc>
        <w:tc>
          <w:tcPr>
            <w:tcW w:w="1276" w:type="dxa"/>
            <w:vAlign w:val="top"/>
          </w:tcPr>
          <w:p>
            <w:pPr>
              <w:rPr>
                <w:rFonts w:eastAsia="Times New Roman"/>
              </w:rPr>
            </w:pPr>
          </w:p>
        </w:tc>
        <w:tc>
          <w:tcPr>
            <w:tcW w:w="1450" w:type="dxa"/>
            <w:vAlign w:val="top"/>
          </w:tcPr>
          <w:p>
            <w:pPr>
              <w:rPr>
                <w:rFonts w:eastAsia="Times New Roman"/>
              </w:rPr>
            </w:pPr>
          </w:p>
        </w:tc>
        <w:tc>
          <w:tcPr>
            <w:tcW w:w="1243" w:type="dxa"/>
            <w:vAlign w:val="top"/>
          </w:tcPr>
          <w:p>
            <w:pPr>
              <w:rPr>
                <w:rFonts w:eastAsia="Times New Roman"/>
              </w:rPr>
            </w:pPr>
          </w:p>
        </w:tc>
        <w:tc>
          <w:tcPr>
            <w:tcW w:w="1450" w:type="dxa"/>
            <w:vAlign w:val="top"/>
          </w:tcPr>
          <w:p>
            <w:pPr>
              <w:rPr>
                <w:rFonts w:eastAsia="Times New Roman"/>
              </w:rPr>
            </w:pPr>
          </w:p>
        </w:tc>
        <w:tc>
          <w:tcPr>
            <w:tcW w:w="1667" w:type="dxa"/>
            <w:vAlign w:val="top"/>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eastAsia="Times New Roman"/>
              </w:rPr>
            </w:pPr>
          </w:p>
        </w:tc>
        <w:tc>
          <w:tcPr>
            <w:tcW w:w="1276" w:type="dxa"/>
            <w:vAlign w:val="top"/>
          </w:tcPr>
          <w:p>
            <w:pPr>
              <w:rPr>
                <w:rFonts w:eastAsia="Times New Roman"/>
              </w:rPr>
            </w:pPr>
          </w:p>
        </w:tc>
        <w:tc>
          <w:tcPr>
            <w:tcW w:w="1450" w:type="dxa"/>
            <w:vAlign w:val="top"/>
          </w:tcPr>
          <w:p>
            <w:pPr>
              <w:rPr>
                <w:rFonts w:eastAsia="Times New Roman"/>
              </w:rPr>
            </w:pPr>
          </w:p>
        </w:tc>
        <w:tc>
          <w:tcPr>
            <w:tcW w:w="1243" w:type="dxa"/>
            <w:vAlign w:val="top"/>
          </w:tcPr>
          <w:p>
            <w:pPr>
              <w:rPr>
                <w:rFonts w:eastAsia="Times New Roman"/>
              </w:rPr>
            </w:pPr>
          </w:p>
        </w:tc>
        <w:tc>
          <w:tcPr>
            <w:tcW w:w="1450" w:type="dxa"/>
            <w:vAlign w:val="top"/>
          </w:tcPr>
          <w:p>
            <w:pPr>
              <w:rPr>
                <w:rFonts w:eastAsia="Times New Roman"/>
              </w:rPr>
            </w:pPr>
          </w:p>
        </w:tc>
        <w:tc>
          <w:tcPr>
            <w:tcW w:w="1667" w:type="dxa"/>
            <w:vAlign w:val="top"/>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eastAsia="Times New Roman"/>
              </w:rPr>
            </w:pPr>
          </w:p>
        </w:tc>
        <w:tc>
          <w:tcPr>
            <w:tcW w:w="1276" w:type="dxa"/>
            <w:vAlign w:val="top"/>
          </w:tcPr>
          <w:p>
            <w:pPr>
              <w:rPr>
                <w:rFonts w:eastAsia="Times New Roman"/>
              </w:rPr>
            </w:pPr>
          </w:p>
        </w:tc>
        <w:tc>
          <w:tcPr>
            <w:tcW w:w="1450" w:type="dxa"/>
            <w:vAlign w:val="top"/>
          </w:tcPr>
          <w:p>
            <w:pPr>
              <w:rPr>
                <w:rFonts w:eastAsia="Times New Roman"/>
              </w:rPr>
            </w:pPr>
          </w:p>
        </w:tc>
        <w:tc>
          <w:tcPr>
            <w:tcW w:w="1243" w:type="dxa"/>
            <w:vAlign w:val="top"/>
          </w:tcPr>
          <w:p>
            <w:pPr>
              <w:rPr>
                <w:rFonts w:eastAsia="Times New Roman"/>
              </w:rPr>
            </w:pPr>
          </w:p>
        </w:tc>
        <w:tc>
          <w:tcPr>
            <w:tcW w:w="1450" w:type="dxa"/>
            <w:vAlign w:val="top"/>
          </w:tcPr>
          <w:p>
            <w:pPr>
              <w:rPr>
                <w:rFonts w:eastAsia="Times New Roman"/>
              </w:rPr>
            </w:pPr>
          </w:p>
        </w:tc>
        <w:tc>
          <w:tcPr>
            <w:tcW w:w="1667" w:type="dxa"/>
            <w:vAlign w:val="top"/>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eastAsia="Times New Roman"/>
              </w:rPr>
            </w:pPr>
          </w:p>
        </w:tc>
        <w:tc>
          <w:tcPr>
            <w:tcW w:w="1276" w:type="dxa"/>
            <w:vAlign w:val="top"/>
          </w:tcPr>
          <w:p>
            <w:pPr>
              <w:rPr>
                <w:rFonts w:eastAsia="Times New Roman"/>
              </w:rPr>
            </w:pPr>
          </w:p>
        </w:tc>
        <w:tc>
          <w:tcPr>
            <w:tcW w:w="1450" w:type="dxa"/>
            <w:vAlign w:val="top"/>
          </w:tcPr>
          <w:p>
            <w:pPr>
              <w:rPr>
                <w:rFonts w:eastAsia="Times New Roman"/>
              </w:rPr>
            </w:pPr>
          </w:p>
        </w:tc>
        <w:tc>
          <w:tcPr>
            <w:tcW w:w="1243" w:type="dxa"/>
            <w:vAlign w:val="top"/>
          </w:tcPr>
          <w:p>
            <w:pPr>
              <w:rPr>
                <w:rFonts w:eastAsia="Times New Roman"/>
              </w:rPr>
            </w:pPr>
          </w:p>
        </w:tc>
        <w:tc>
          <w:tcPr>
            <w:tcW w:w="1450" w:type="dxa"/>
            <w:vAlign w:val="top"/>
          </w:tcPr>
          <w:p>
            <w:pPr>
              <w:rPr>
                <w:rFonts w:eastAsia="Times New Roman"/>
              </w:rPr>
            </w:pPr>
          </w:p>
        </w:tc>
        <w:tc>
          <w:tcPr>
            <w:tcW w:w="1667" w:type="dxa"/>
            <w:vAlign w:val="top"/>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eastAsia="Times New Roman"/>
              </w:rPr>
            </w:pPr>
          </w:p>
        </w:tc>
        <w:tc>
          <w:tcPr>
            <w:tcW w:w="1276" w:type="dxa"/>
            <w:vAlign w:val="top"/>
          </w:tcPr>
          <w:p>
            <w:pPr>
              <w:rPr>
                <w:rFonts w:eastAsia="Times New Roman"/>
              </w:rPr>
            </w:pPr>
          </w:p>
        </w:tc>
        <w:tc>
          <w:tcPr>
            <w:tcW w:w="1450" w:type="dxa"/>
            <w:vAlign w:val="top"/>
          </w:tcPr>
          <w:p>
            <w:pPr>
              <w:rPr>
                <w:rFonts w:eastAsia="Times New Roman"/>
              </w:rPr>
            </w:pPr>
          </w:p>
        </w:tc>
        <w:tc>
          <w:tcPr>
            <w:tcW w:w="1243" w:type="dxa"/>
            <w:vAlign w:val="top"/>
          </w:tcPr>
          <w:p>
            <w:pPr>
              <w:rPr>
                <w:rFonts w:eastAsia="Times New Roman"/>
              </w:rPr>
            </w:pPr>
          </w:p>
        </w:tc>
        <w:tc>
          <w:tcPr>
            <w:tcW w:w="1450" w:type="dxa"/>
            <w:vAlign w:val="top"/>
          </w:tcPr>
          <w:p>
            <w:pPr>
              <w:rPr>
                <w:rFonts w:eastAsia="Times New Roman"/>
              </w:rPr>
            </w:pPr>
          </w:p>
        </w:tc>
        <w:tc>
          <w:tcPr>
            <w:tcW w:w="1667" w:type="dxa"/>
            <w:vAlign w:val="top"/>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eastAsia="Times New Roman"/>
              </w:rPr>
            </w:pPr>
          </w:p>
        </w:tc>
        <w:tc>
          <w:tcPr>
            <w:tcW w:w="1276" w:type="dxa"/>
            <w:vAlign w:val="top"/>
          </w:tcPr>
          <w:p>
            <w:pPr>
              <w:rPr>
                <w:rFonts w:eastAsia="Times New Roman"/>
              </w:rPr>
            </w:pPr>
          </w:p>
        </w:tc>
        <w:tc>
          <w:tcPr>
            <w:tcW w:w="1450" w:type="dxa"/>
            <w:vAlign w:val="top"/>
          </w:tcPr>
          <w:p>
            <w:pPr>
              <w:rPr>
                <w:rFonts w:eastAsia="Times New Roman"/>
              </w:rPr>
            </w:pPr>
          </w:p>
        </w:tc>
        <w:tc>
          <w:tcPr>
            <w:tcW w:w="1243" w:type="dxa"/>
            <w:vAlign w:val="top"/>
          </w:tcPr>
          <w:p>
            <w:pPr>
              <w:rPr>
                <w:rFonts w:eastAsia="Times New Roman"/>
              </w:rPr>
            </w:pPr>
          </w:p>
        </w:tc>
        <w:tc>
          <w:tcPr>
            <w:tcW w:w="1450" w:type="dxa"/>
            <w:vAlign w:val="top"/>
          </w:tcPr>
          <w:p>
            <w:pPr>
              <w:rPr>
                <w:rFonts w:eastAsia="Times New Roman"/>
              </w:rPr>
            </w:pPr>
          </w:p>
        </w:tc>
        <w:tc>
          <w:tcPr>
            <w:tcW w:w="1667" w:type="dxa"/>
            <w:vAlign w:val="top"/>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eastAsia="Times New Roman"/>
              </w:rPr>
            </w:pPr>
          </w:p>
        </w:tc>
        <w:tc>
          <w:tcPr>
            <w:tcW w:w="1276" w:type="dxa"/>
            <w:vAlign w:val="top"/>
          </w:tcPr>
          <w:p>
            <w:pPr>
              <w:rPr>
                <w:rFonts w:eastAsia="Times New Roman"/>
              </w:rPr>
            </w:pPr>
          </w:p>
        </w:tc>
        <w:tc>
          <w:tcPr>
            <w:tcW w:w="1450" w:type="dxa"/>
            <w:vAlign w:val="top"/>
          </w:tcPr>
          <w:p>
            <w:pPr>
              <w:rPr>
                <w:rFonts w:eastAsia="Times New Roman"/>
              </w:rPr>
            </w:pPr>
          </w:p>
        </w:tc>
        <w:tc>
          <w:tcPr>
            <w:tcW w:w="1243" w:type="dxa"/>
            <w:vAlign w:val="top"/>
          </w:tcPr>
          <w:p>
            <w:pPr>
              <w:rPr>
                <w:rFonts w:eastAsia="Times New Roman"/>
              </w:rPr>
            </w:pPr>
          </w:p>
        </w:tc>
        <w:tc>
          <w:tcPr>
            <w:tcW w:w="1450" w:type="dxa"/>
            <w:vAlign w:val="top"/>
          </w:tcPr>
          <w:p>
            <w:pPr>
              <w:rPr>
                <w:rFonts w:eastAsia="Times New Roman"/>
              </w:rPr>
            </w:pPr>
          </w:p>
        </w:tc>
        <w:tc>
          <w:tcPr>
            <w:tcW w:w="1667" w:type="dxa"/>
            <w:vAlign w:val="top"/>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pPr>
              <w:rPr>
                <w:rFonts w:eastAsia="Times New Roman"/>
              </w:rPr>
            </w:pPr>
          </w:p>
        </w:tc>
        <w:tc>
          <w:tcPr>
            <w:tcW w:w="1276" w:type="dxa"/>
            <w:vAlign w:val="top"/>
          </w:tcPr>
          <w:p>
            <w:pPr>
              <w:rPr>
                <w:rFonts w:eastAsia="Times New Roman"/>
              </w:rPr>
            </w:pPr>
          </w:p>
        </w:tc>
        <w:tc>
          <w:tcPr>
            <w:tcW w:w="1450" w:type="dxa"/>
            <w:vAlign w:val="top"/>
          </w:tcPr>
          <w:p>
            <w:pPr>
              <w:rPr>
                <w:rFonts w:eastAsia="Times New Roman"/>
              </w:rPr>
            </w:pPr>
          </w:p>
        </w:tc>
        <w:tc>
          <w:tcPr>
            <w:tcW w:w="1243" w:type="dxa"/>
            <w:vAlign w:val="top"/>
          </w:tcPr>
          <w:p>
            <w:pPr>
              <w:rPr>
                <w:rFonts w:eastAsia="Times New Roman"/>
              </w:rPr>
            </w:pPr>
          </w:p>
        </w:tc>
        <w:tc>
          <w:tcPr>
            <w:tcW w:w="1450" w:type="dxa"/>
            <w:vAlign w:val="top"/>
          </w:tcPr>
          <w:p>
            <w:pPr>
              <w:rPr>
                <w:rFonts w:eastAsia="Times New Roman"/>
              </w:rPr>
            </w:pPr>
          </w:p>
        </w:tc>
        <w:tc>
          <w:tcPr>
            <w:tcW w:w="1667" w:type="dxa"/>
            <w:vAlign w:val="top"/>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vAlign w:val="top"/>
          </w:tcPr>
          <w:p>
            <w:pPr>
              <w:rPr>
                <w:rFonts w:eastAsia="Times New Roman"/>
              </w:rPr>
            </w:pPr>
          </w:p>
        </w:tc>
        <w:tc>
          <w:tcPr>
            <w:tcW w:w="1276" w:type="dxa"/>
            <w:tcBorders>
              <w:bottom w:val="single" w:color="auto" w:sz="12" w:space="0"/>
            </w:tcBorders>
            <w:vAlign w:val="top"/>
          </w:tcPr>
          <w:p>
            <w:pPr>
              <w:rPr>
                <w:rFonts w:eastAsia="Times New Roman"/>
              </w:rPr>
            </w:pPr>
          </w:p>
        </w:tc>
        <w:tc>
          <w:tcPr>
            <w:tcW w:w="1450" w:type="dxa"/>
            <w:tcBorders>
              <w:bottom w:val="single" w:color="auto" w:sz="12" w:space="0"/>
            </w:tcBorders>
            <w:vAlign w:val="top"/>
          </w:tcPr>
          <w:p>
            <w:pPr>
              <w:rPr>
                <w:rFonts w:eastAsia="Times New Roman"/>
              </w:rPr>
            </w:pPr>
          </w:p>
        </w:tc>
        <w:tc>
          <w:tcPr>
            <w:tcW w:w="1243" w:type="dxa"/>
            <w:tcBorders>
              <w:bottom w:val="single" w:color="auto" w:sz="12" w:space="0"/>
            </w:tcBorders>
            <w:vAlign w:val="top"/>
          </w:tcPr>
          <w:p>
            <w:pPr>
              <w:rPr>
                <w:rFonts w:eastAsia="Times New Roman"/>
              </w:rPr>
            </w:pPr>
          </w:p>
        </w:tc>
        <w:tc>
          <w:tcPr>
            <w:tcW w:w="1450" w:type="dxa"/>
            <w:tcBorders>
              <w:bottom w:val="single" w:color="auto" w:sz="12" w:space="0"/>
            </w:tcBorders>
            <w:vAlign w:val="top"/>
          </w:tcPr>
          <w:p>
            <w:pPr>
              <w:rPr>
                <w:rFonts w:eastAsia="Times New Roman"/>
              </w:rPr>
            </w:pPr>
          </w:p>
        </w:tc>
        <w:tc>
          <w:tcPr>
            <w:tcW w:w="1667" w:type="dxa"/>
            <w:tcBorders>
              <w:bottom w:val="single" w:color="auto" w:sz="12" w:space="0"/>
            </w:tcBorders>
            <w:vAlign w:val="top"/>
          </w:tcPr>
          <w:p>
            <w:pPr>
              <w:rPr>
                <w:rFonts w:eastAsia="Times New Roman"/>
              </w:rPr>
            </w:pPr>
          </w:p>
        </w:tc>
      </w:tr>
      <w:bookmarkEnd w:id="462"/>
      <w:bookmarkEnd w:id="463"/>
      <w:bookmarkEnd w:id="464"/>
      <w:bookmarkEnd w:id="465"/>
      <w:bookmarkEnd w:id="466"/>
      <w:bookmarkEnd w:id="467"/>
      <w:bookmarkEnd w:id="468"/>
    </w:tbl>
    <w:p>
      <w:pPr>
        <w:spacing w:line="360" w:lineRule="auto"/>
        <w:rPr>
          <w:rFonts w:eastAsia="Times New Roman"/>
          <w:b/>
        </w:rPr>
      </w:pPr>
    </w:p>
    <w:p>
      <w:pPr>
        <w:spacing w:line="360" w:lineRule="auto"/>
        <w:rPr>
          <w:rFonts w:eastAsia="Times New Roman"/>
          <w:b/>
        </w:rPr>
      </w:pPr>
    </w:p>
    <w:p>
      <w:pPr>
        <w:spacing w:line="360" w:lineRule="auto"/>
        <w:ind w:firstLine="236" w:firstLineChars="98"/>
        <w:rPr>
          <w:rFonts w:hint="eastAsia" w:ascii="宋体" w:hAnsi="宋体"/>
          <w:b/>
        </w:rPr>
      </w:pPr>
    </w:p>
    <w:p>
      <w:pPr>
        <w:spacing w:line="360" w:lineRule="auto"/>
        <w:ind w:firstLine="236" w:firstLineChars="98"/>
        <w:rPr>
          <w:rFonts w:hint="eastAsia" w:ascii="宋体" w:hAnsi="宋体"/>
          <w:b/>
        </w:rPr>
      </w:pPr>
    </w:p>
    <w:p>
      <w:pPr>
        <w:spacing w:line="360" w:lineRule="auto"/>
        <w:ind w:firstLine="236" w:firstLineChars="98"/>
        <w:rPr>
          <w:rFonts w:eastAsia="Times New Roman"/>
          <w:b/>
        </w:rPr>
      </w:pPr>
      <w:r>
        <w:rPr>
          <w:rFonts w:hint="eastAsia" w:ascii="宋体" w:hAnsi="宋体"/>
          <w:b/>
        </w:rPr>
        <w:t>附件</w:t>
      </w:r>
      <w:r>
        <w:rPr>
          <w:rFonts w:ascii="宋体" w:hAnsi="宋体"/>
          <w:b/>
        </w:rPr>
        <w:t>4</w:t>
      </w:r>
      <w:r>
        <w:rPr>
          <w:rFonts w:hint="eastAsia" w:ascii="宋体" w:hAnsi="宋体"/>
          <w:b/>
        </w:rPr>
        <w:t>：</w:t>
      </w:r>
    </w:p>
    <w:p>
      <w:pPr>
        <w:spacing w:line="440" w:lineRule="exact"/>
        <w:jc w:val="center"/>
        <w:rPr>
          <w:rFonts w:eastAsia="Times New Roman"/>
        </w:rPr>
      </w:pPr>
      <w:r>
        <w:rPr>
          <w:rFonts w:hint="eastAsia" w:ascii="宋体" w:hAnsi="宋体"/>
        </w:rPr>
        <w:t>承包人用于本工程施工的机械设备表</w:t>
      </w:r>
    </w:p>
    <w:tbl>
      <w:tblPr>
        <w:tblStyle w:val="45"/>
        <w:tblW w:w="90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67"/>
        <w:gridCol w:w="1302"/>
        <w:gridCol w:w="781"/>
        <w:gridCol w:w="972"/>
        <w:gridCol w:w="808"/>
        <w:gridCol w:w="937"/>
        <w:gridCol w:w="1359"/>
        <w:gridCol w:w="937"/>
        <w:gridCol w:w="8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2" w:hRule="atLeast"/>
          <w:jc w:val="center"/>
        </w:trPr>
        <w:tc>
          <w:tcPr>
            <w:tcW w:w="1067"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30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机械或设备名称</w:t>
            </w:r>
          </w:p>
        </w:tc>
        <w:tc>
          <w:tcPr>
            <w:tcW w:w="78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规格型号</w:t>
            </w:r>
          </w:p>
        </w:tc>
        <w:tc>
          <w:tcPr>
            <w:tcW w:w="97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数量</w:t>
            </w:r>
          </w:p>
        </w:tc>
        <w:tc>
          <w:tcPr>
            <w:tcW w:w="80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产地</w:t>
            </w:r>
          </w:p>
        </w:tc>
        <w:tc>
          <w:tcPr>
            <w:tcW w:w="937"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制造年份</w:t>
            </w:r>
          </w:p>
        </w:tc>
        <w:tc>
          <w:tcPr>
            <w:tcW w:w="1359" w:type="dxa"/>
            <w:tcBorders>
              <w:top w:val="single" w:color="auto" w:sz="12" w:space="0"/>
              <w:bottom w:val="double" w:color="auto" w:sz="6" w:space="0"/>
            </w:tcBorders>
            <w:vAlign w:val="center"/>
          </w:tcPr>
          <w:p>
            <w:pPr>
              <w:pStyle w:val="18"/>
              <w:keepNext/>
              <w:spacing w:line="440" w:lineRule="exact"/>
              <w:ind w:left="63" w:right="63"/>
              <w:jc w:val="center"/>
              <w:rPr>
                <w:sz w:val="21"/>
              </w:rPr>
            </w:pPr>
            <w:r>
              <w:rPr>
                <w:rFonts w:hint="eastAsia"/>
                <w:sz w:val="21"/>
              </w:rPr>
              <w:t>额定功率</w:t>
            </w:r>
            <w:r>
              <w:rPr>
                <w:sz w:val="21"/>
              </w:rPr>
              <w:t>(kW)</w:t>
            </w:r>
          </w:p>
        </w:tc>
        <w:tc>
          <w:tcPr>
            <w:tcW w:w="937"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生产能力</w:t>
            </w:r>
          </w:p>
        </w:tc>
        <w:tc>
          <w:tcPr>
            <w:tcW w:w="846"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30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781"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97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0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937"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359"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937"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46"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tcBorders>
              <w:top w:val="nil"/>
            </w:tcBorders>
            <w:vAlign w:val="center"/>
          </w:tcPr>
          <w:p>
            <w:pPr>
              <w:pStyle w:val="18"/>
              <w:keepNext/>
              <w:spacing w:line="440" w:lineRule="exact"/>
              <w:ind w:left="63" w:right="63"/>
              <w:jc w:val="center"/>
              <w:rPr>
                <w:rFonts w:eastAsia="Times New Roman"/>
                <w:sz w:val="21"/>
              </w:rPr>
            </w:pPr>
          </w:p>
        </w:tc>
        <w:tc>
          <w:tcPr>
            <w:tcW w:w="1302" w:type="dxa"/>
            <w:tcBorders>
              <w:top w:val="nil"/>
            </w:tcBorders>
            <w:vAlign w:val="center"/>
          </w:tcPr>
          <w:p>
            <w:pPr>
              <w:pStyle w:val="18"/>
              <w:keepNext/>
              <w:spacing w:line="440" w:lineRule="exact"/>
              <w:ind w:left="63" w:right="63"/>
              <w:jc w:val="center"/>
              <w:rPr>
                <w:rFonts w:eastAsia="Times New Roman"/>
                <w:sz w:val="21"/>
              </w:rPr>
            </w:pPr>
          </w:p>
        </w:tc>
        <w:tc>
          <w:tcPr>
            <w:tcW w:w="781" w:type="dxa"/>
            <w:tcBorders>
              <w:top w:val="nil"/>
            </w:tcBorders>
            <w:vAlign w:val="center"/>
          </w:tcPr>
          <w:p>
            <w:pPr>
              <w:pStyle w:val="18"/>
              <w:keepNext/>
              <w:spacing w:line="440" w:lineRule="exact"/>
              <w:ind w:left="63" w:right="63"/>
              <w:jc w:val="center"/>
              <w:rPr>
                <w:rFonts w:eastAsia="Times New Roman"/>
                <w:sz w:val="21"/>
              </w:rPr>
            </w:pPr>
          </w:p>
        </w:tc>
        <w:tc>
          <w:tcPr>
            <w:tcW w:w="972" w:type="dxa"/>
            <w:tcBorders>
              <w:top w:val="nil"/>
            </w:tcBorders>
            <w:vAlign w:val="center"/>
          </w:tcPr>
          <w:p>
            <w:pPr>
              <w:pStyle w:val="18"/>
              <w:keepNext/>
              <w:spacing w:line="440" w:lineRule="exact"/>
              <w:ind w:left="63" w:right="63"/>
              <w:jc w:val="center"/>
              <w:rPr>
                <w:rFonts w:eastAsia="Times New Roman"/>
                <w:sz w:val="21"/>
              </w:rPr>
            </w:pPr>
          </w:p>
        </w:tc>
        <w:tc>
          <w:tcPr>
            <w:tcW w:w="808" w:type="dxa"/>
            <w:tcBorders>
              <w:top w:val="nil"/>
            </w:tcBorders>
            <w:vAlign w:val="center"/>
          </w:tcPr>
          <w:p>
            <w:pPr>
              <w:pStyle w:val="18"/>
              <w:keepNext/>
              <w:spacing w:line="440" w:lineRule="exact"/>
              <w:ind w:left="63" w:right="63"/>
              <w:jc w:val="center"/>
              <w:rPr>
                <w:rFonts w:eastAsia="Times New Roman"/>
                <w:sz w:val="21"/>
              </w:rPr>
            </w:pPr>
          </w:p>
        </w:tc>
        <w:tc>
          <w:tcPr>
            <w:tcW w:w="937" w:type="dxa"/>
            <w:tcBorders>
              <w:top w:val="nil"/>
            </w:tcBorders>
            <w:vAlign w:val="center"/>
          </w:tcPr>
          <w:p>
            <w:pPr>
              <w:pStyle w:val="18"/>
              <w:keepNext/>
              <w:spacing w:line="440" w:lineRule="exact"/>
              <w:ind w:left="63" w:right="63"/>
              <w:jc w:val="center"/>
              <w:rPr>
                <w:rFonts w:eastAsia="Times New Roman"/>
                <w:sz w:val="21"/>
              </w:rPr>
            </w:pPr>
          </w:p>
        </w:tc>
        <w:tc>
          <w:tcPr>
            <w:tcW w:w="1359" w:type="dxa"/>
            <w:tcBorders>
              <w:top w:val="nil"/>
            </w:tcBorders>
            <w:vAlign w:val="center"/>
          </w:tcPr>
          <w:p>
            <w:pPr>
              <w:pStyle w:val="18"/>
              <w:keepNext/>
              <w:spacing w:line="440" w:lineRule="exact"/>
              <w:ind w:left="63" w:right="63"/>
              <w:jc w:val="center"/>
              <w:rPr>
                <w:rFonts w:eastAsia="Times New Roman"/>
                <w:sz w:val="21"/>
              </w:rPr>
            </w:pPr>
          </w:p>
        </w:tc>
        <w:tc>
          <w:tcPr>
            <w:tcW w:w="937" w:type="dxa"/>
            <w:tcBorders>
              <w:top w:val="nil"/>
            </w:tcBorders>
            <w:vAlign w:val="center"/>
          </w:tcPr>
          <w:p>
            <w:pPr>
              <w:pStyle w:val="18"/>
              <w:keepNext/>
              <w:spacing w:line="440" w:lineRule="exact"/>
              <w:ind w:left="63" w:right="63"/>
              <w:jc w:val="center"/>
              <w:rPr>
                <w:rFonts w:eastAsia="Times New Roman"/>
                <w:sz w:val="21"/>
              </w:rPr>
            </w:pPr>
          </w:p>
        </w:tc>
        <w:tc>
          <w:tcPr>
            <w:tcW w:w="846"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pStyle w:val="18"/>
              <w:keepNext/>
              <w:spacing w:line="440" w:lineRule="exact"/>
              <w:ind w:left="63" w:right="63"/>
              <w:jc w:val="center"/>
              <w:rPr>
                <w:rFonts w:eastAsia="Times New Roman"/>
                <w:sz w:val="21"/>
              </w:rPr>
            </w:pPr>
          </w:p>
        </w:tc>
        <w:tc>
          <w:tcPr>
            <w:tcW w:w="1302" w:type="dxa"/>
            <w:vAlign w:val="center"/>
          </w:tcPr>
          <w:p>
            <w:pPr>
              <w:pStyle w:val="18"/>
              <w:keepNext/>
              <w:spacing w:line="440" w:lineRule="exact"/>
              <w:ind w:left="63" w:right="63"/>
              <w:jc w:val="center"/>
              <w:rPr>
                <w:rFonts w:eastAsia="Times New Roman"/>
                <w:sz w:val="21"/>
              </w:rPr>
            </w:pPr>
          </w:p>
        </w:tc>
        <w:tc>
          <w:tcPr>
            <w:tcW w:w="781" w:type="dxa"/>
            <w:vAlign w:val="center"/>
          </w:tcPr>
          <w:p>
            <w:pPr>
              <w:pStyle w:val="18"/>
              <w:keepNext/>
              <w:spacing w:line="440" w:lineRule="exact"/>
              <w:ind w:left="63" w:right="63"/>
              <w:jc w:val="center"/>
              <w:rPr>
                <w:rFonts w:eastAsia="Times New Roman"/>
                <w:sz w:val="21"/>
              </w:rPr>
            </w:pPr>
          </w:p>
        </w:tc>
        <w:tc>
          <w:tcPr>
            <w:tcW w:w="972" w:type="dxa"/>
            <w:vAlign w:val="center"/>
          </w:tcPr>
          <w:p>
            <w:pPr>
              <w:pStyle w:val="18"/>
              <w:keepNext/>
              <w:spacing w:line="440" w:lineRule="exact"/>
              <w:ind w:left="63" w:right="63"/>
              <w:jc w:val="center"/>
              <w:rPr>
                <w:rFonts w:eastAsia="Times New Roman"/>
                <w:sz w:val="21"/>
              </w:rPr>
            </w:pPr>
          </w:p>
        </w:tc>
        <w:tc>
          <w:tcPr>
            <w:tcW w:w="808"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1359"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84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pStyle w:val="18"/>
              <w:keepNext/>
              <w:spacing w:line="440" w:lineRule="exact"/>
              <w:ind w:left="63" w:right="63"/>
              <w:jc w:val="center"/>
              <w:rPr>
                <w:rFonts w:eastAsia="Times New Roman"/>
                <w:sz w:val="21"/>
              </w:rPr>
            </w:pPr>
          </w:p>
        </w:tc>
        <w:tc>
          <w:tcPr>
            <w:tcW w:w="1302" w:type="dxa"/>
            <w:vAlign w:val="center"/>
          </w:tcPr>
          <w:p>
            <w:pPr>
              <w:pStyle w:val="18"/>
              <w:keepNext/>
              <w:spacing w:line="440" w:lineRule="exact"/>
              <w:ind w:left="63" w:right="63"/>
              <w:jc w:val="center"/>
              <w:rPr>
                <w:rFonts w:eastAsia="Times New Roman"/>
                <w:sz w:val="21"/>
              </w:rPr>
            </w:pPr>
          </w:p>
        </w:tc>
        <w:tc>
          <w:tcPr>
            <w:tcW w:w="781" w:type="dxa"/>
            <w:vAlign w:val="center"/>
          </w:tcPr>
          <w:p>
            <w:pPr>
              <w:pStyle w:val="18"/>
              <w:keepNext/>
              <w:spacing w:line="440" w:lineRule="exact"/>
              <w:ind w:left="63" w:right="63"/>
              <w:jc w:val="center"/>
              <w:rPr>
                <w:rFonts w:eastAsia="Times New Roman"/>
                <w:sz w:val="21"/>
              </w:rPr>
            </w:pPr>
          </w:p>
        </w:tc>
        <w:tc>
          <w:tcPr>
            <w:tcW w:w="972" w:type="dxa"/>
            <w:vAlign w:val="center"/>
          </w:tcPr>
          <w:p>
            <w:pPr>
              <w:pStyle w:val="18"/>
              <w:keepNext/>
              <w:spacing w:line="440" w:lineRule="exact"/>
              <w:ind w:left="63" w:right="63"/>
              <w:jc w:val="center"/>
              <w:rPr>
                <w:rFonts w:eastAsia="Times New Roman"/>
                <w:sz w:val="21"/>
              </w:rPr>
            </w:pPr>
          </w:p>
        </w:tc>
        <w:tc>
          <w:tcPr>
            <w:tcW w:w="808"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1359"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84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pStyle w:val="18"/>
              <w:keepNext/>
              <w:spacing w:line="440" w:lineRule="exact"/>
              <w:ind w:left="63" w:right="63"/>
              <w:jc w:val="center"/>
              <w:rPr>
                <w:rFonts w:eastAsia="Times New Roman"/>
                <w:sz w:val="21"/>
              </w:rPr>
            </w:pPr>
          </w:p>
        </w:tc>
        <w:tc>
          <w:tcPr>
            <w:tcW w:w="1302" w:type="dxa"/>
            <w:vAlign w:val="center"/>
          </w:tcPr>
          <w:p>
            <w:pPr>
              <w:pStyle w:val="18"/>
              <w:keepNext/>
              <w:spacing w:line="440" w:lineRule="exact"/>
              <w:ind w:left="63" w:right="63"/>
              <w:jc w:val="center"/>
              <w:rPr>
                <w:rFonts w:eastAsia="Times New Roman"/>
                <w:sz w:val="21"/>
              </w:rPr>
            </w:pPr>
          </w:p>
        </w:tc>
        <w:tc>
          <w:tcPr>
            <w:tcW w:w="781" w:type="dxa"/>
            <w:vAlign w:val="center"/>
          </w:tcPr>
          <w:p>
            <w:pPr>
              <w:pStyle w:val="18"/>
              <w:keepNext/>
              <w:spacing w:line="440" w:lineRule="exact"/>
              <w:ind w:left="63" w:right="63"/>
              <w:jc w:val="center"/>
              <w:rPr>
                <w:rFonts w:eastAsia="Times New Roman"/>
                <w:sz w:val="21"/>
              </w:rPr>
            </w:pPr>
          </w:p>
        </w:tc>
        <w:tc>
          <w:tcPr>
            <w:tcW w:w="972" w:type="dxa"/>
            <w:vAlign w:val="center"/>
          </w:tcPr>
          <w:p>
            <w:pPr>
              <w:pStyle w:val="18"/>
              <w:keepNext/>
              <w:spacing w:line="440" w:lineRule="exact"/>
              <w:ind w:left="63" w:right="63"/>
              <w:jc w:val="center"/>
              <w:rPr>
                <w:rFonts w:eastAsia="Times New Roman"/>
                <w:sz w:val="21"/>
              </w:rPr>
            </w:pPr>
          </w:p>
        </w:tc>
        <w:tc>
          <w:tcPr>
            <w:tcW w:w="808"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1359"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84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pStyle w:val="18"/>
              <w:keepNext/>
              <w:spacing w:line="440" w:lineRule="exact"/>
              <w:ind w:left="63" w:right="63"/>
              <w:jc w:val="center"/>
              <w:rPr>
                <w:rFonts w:eastAsia="Times New Roman"/>
                <w:sz w:val="21"/>
              </w:rPr>
            </w:pPr>
          </w:p>
        </w:tc>
        <w:tc>
          <w:tcPr>
            <w:tcW w:w="1302" w:type="dxa"/>
            <w:vAlign w:val="center"/>
          </w:tcPr>
          <w:p>
            <w:pPr>
              <w:pStyle w:val="18"/>
              <w:keepNext/>
              <w:spacing w:line="440" w:lineRule="exact"/>
              <w:ind w:left="63" w:right="63"/>
              <w:jc w:val="center"/>
              <w:rPr>
                <w:rFonts w:eastAsia="Times New Roman"/>
                <w:sz w:val="21"/>
              </w:rPr>
            </w:pPr>
          </w:p>
        </w:tc>
        <w:tc>
          <w:tcPr>
            <w:tcW w:w="781" w:type="dxa"/>
            <w:vAlign w:val="center"/>
          </w:tcPr>
          <w:p>
            <w:pPr>
              <w:pStyle w:val="18"/>
              <w:keepNext/>
              <w:spacing w:line="440" w:lineRule="exact"/>
              <w:ind w:left="63" w:right="63"/>
              <w:jc w:val="center"/>
              <w:rPr>
                <w:rFonts w:eastAsia="Times New Roman"/>
                <w:sz w:val="21"/>
              </w:rPr>
            </w:pPr>
          </w:p>
        </w:tc>
        <w:tc>
          <w:tcPr>
            <w:tcW w:w="972" w:type="dxa"/>
            <w:vAlign w:val="center"/>
          </w:tcPr>
          <w:p>
            <w:pPr>
              <w:pStyle w:val="18"/>
              <w:keepNext/>
              <w:spacing w:line="440" w:lineRule="exact"/>
              <w:ind w:left="63" w:right="63"/>
              <w:jc w:val="center"/>
              <w:rPr>
                <w:rFonts w:eastAsia="Times New Roman"/>
                <w:sz w:val="21"/>
              </w:rPr>
            </w:pPr>
          </w:p>
        </w:tc>
        <w:tc>
          <w:tcPr>
            <w:tcW w:w="808"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1359"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84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pStyle w:val="18"/>
              <w:keepNext/>
              <w:spacing w:line="440" w:lineRule="exact"/>
              <w:ind w:left="63" w:right="63"/>
              <w:jc w:val="center"/>
              <w:rPr>
                <w:rFonts w:eastAsia="Times New Roman"/>
                <w:sz w:val="21"/>
              </w:rPr>
            </w:pPr>
          </w:p>
        </w:tc>
        <w:tc>
          <w:tcPr>
            <w:tcW w:w="1302" w:type="dxa"/>
            <w:vAlign w:val="center"/>
          </w:tcPr>
          <w:p>
            <w:pPr>
              <w:pStyle w:val="18"/>
              <w:keepNext/>
              <w:spacing w:line="440" w:lineRule="exact"/>
              <w:ind w:left="63" w:right="63"/>
              <w:jc w:val="center"/>
              <w:rPr>
                <w:rFonts w:eastAsia="Times New Roman"/>
                <w:sz w:val="21"/>
              </w:rPr>
            </w:pPr>
          </w:p>
        </w:tc>
        <w:tc>
          <w:tcPr>
            <w:tcW w:w="781" w:type="dxa"/>
            <w:vAlign w:val="center"/>
          </w:tcPr>
          <w:p>
            <w:pPr>
              <w:pStyle w:val="18"/>
              <w:keepNext/>
              <w:spacing w:line="440" w:lineRule="exact"/>
              <w:ind w:left="63" w:right="63"/>
              <w:jc w:val="center"/>
              <w:rPr>
                <w:rFonts w:eastAsia="Times New Roman"/>
                <w:sz w:val="21"/>
              </w:rPr>
            </w:pPr>
          </w:p>
        </w:tc>
        <w:tc>
          <w:tcPr>
            <w:tcW w:w="972" w:type="dxa"/>
            <w:vAlign w:val="center"/>
          </w:tcPr>
          <w:p>
            <w:pPr>
              <w:pStyle w:val="18"/>
              <w:keepNext/>
              <w:spacing w:line="440" w:lineRule="exact"/>
              <w:ind w:left="63" w:right="63"/>
              <w:jc w:val="center"/>
              <w:rPr>
                <w:rFonts w:eastAsia="Times New Roman"/>
                <w:sz w:val="21"/>
              </w:rPr>
            </w:pPr>
          </w:p>
        </w:tc>
        <w:tc>
          <w:tcPr>
            <w:tcW w:w="808"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1359"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84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pStyle w:val="18"/>
              <w:keepNext/>
              <w:spacing w:line="440" w:lineRule="exact"/>
              <w:ind w:left="63" w:right="63"/>
              <w:jc w:val="center"/>
              <w:rPr>
                <w:rFonts w:eastAsia="Times New Roman"/>
                <w:sz w:val="21"/>
              </w:rPr>
            </w:pPr>
          </w:p>
        </w:tc>
        <w:tc>
          <w:tcPr>
            <w:tcW w:w="1302" w:type="dxa"/>
            <w:vAlign w:val="center"/>
          </w:tcPr>
          <w:p>
            <w:pPr>
              <w:pStyle w:val="18"/>
              <w:keepNext/>
              <w:spacing w:line="440" w:lineRule="exact"/>
              <w:ind w:left="63" w:right="63"/>
              <w:jc w:val="center"/>
              <w:rPr>
                <w:rFonts w:eastAsia="Times New Roman"/>
                <w:sz w:val="21"/>
              </w:rPr>
            </w:pPr>
          </w:p>
        </w:tc>
        <w:tc>
          <w:tcPr>
            <w:tcW w:w="781" w:type="dxa"/>
            <w:vAlign w:val="center"/>
          </w:tcPr>
          <w:p>
            <w:pPr>
              <w:pStyle w:val="18"/>
              <w:keepNext/>
              <w:spacing w:line="440" w:lineRule="exact"/>
              <w:ind w:left="63" w:right="63"/>
              <w:jc w:val="center"/>
              <w:rPr>
                <w:rFonts w:eastAsia="Times New Roman"/>
                <w:sz w:val="21"/>
              </w:rPr>
            </w:pPr>
          </w:p>
        </w:tc>
        <w:tc>
          <w:tcPr>
            <w:tcW w:w="972" w:type="dxa"/>
            <w:vAlign w:val="center"/>
          </w:tcPr>
          <w:p>
            <w:pPr>
              <w:pStyle w:val="18"/>
              <w:keepNext/>
              <w:spacing w:line="440" w:lineRule="exact"/>
              <w:ind w:left="63" w:right="63"/>
              <w:jc w:val="center"/>
              <w:rPr>
                <w:rFonts w:eastAsia="Times New Roman"/>
                <w:sz w:val="21"/>
              </w:rPr>
            </w:pPr>
          </w:p>
        </w:tc>
        <w:tc>
          <w:tcPr>
            <w:tcW w:w="808"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1359"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84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jc w:val="center"/>
              <w:rPr>
                <w:rFonts w:eastAsia="Times New Roman"/>
              </w:rPr>
            </w:pPr>
          </w:p>
        </w:tc>
        <w:tc>
          <w:tcPr>
            <w:tcW w:w="1302" w:type="dxa"/>
            <w:vAlign w:val="center"/>
          </w:tcPr>
          <w:p>
            <w:pPr>
              <w:jc w:val="center"/>
              <w:rPr>
                <w:rFonts w:eastAsia="Times New Roman"/>
              </w:rPr>
            </w:pPr>
          </w:p>
        </w:tc>
        <w:tc>
          <w:tcPr>
            <w:tcW w:w="781" w:type="dxa"/>
            <w:vAlign w:val="center"/>
          </w:tcPr>
          <w:p>
            <w:pPr>
              <w:jc w:val="center"/>
              <w:rPr>
                <w:rFonts w:eastAsia="Times New Roman"/>
              </w:rPr>
            </w:pPr>
          </w:p>
        </w:tc>
        <w:tc>
          <w:tcPr>
            <w:tcW w:w="972" w:type="dxa"/>
            <w:vAlign w:val="center"/>
          </w:tcPr>
          <w:p>
            <w:pPr>
              <w:jc w:val="center"/>
              <w:rPr>
                <w:rFonts w:eastAsia="Times New Roman"/>
              </w:rPr>
            </w:pPr>
          </w:p>
        </w:tc>
        <w:tc>
          <w:tcPr>
            <w:tcW w:w="808" w:type="dxa"/>
            <w:vAlign w:val="center"/>
          </w:tcPr>
          <w:p>
            <w:pPr>
              <w:jc w:val="center"/>
              <w:rPr>
                <w:rFonts w:eastAsia="Times New Roman"/>
              </w:rPr>
            </w:pPr>
          </w:p>
        </w:tc>
        <w:tc>
          <w:tcPr>
            <w:tcW w:w="937" w:type="dxa"/>
            <w:vAlign w:val="center"/>
          </w:tcPr>
          <w:p>
            <w:pPr>
              <w:jc w:val="center"/>
              <w:rPr>
                <w:rFonts w:eastAsia="Times New Roman"/>
              </w:rPr>
            </w:pPr>
          </w:p>
        </w:tc>
        <w:tc>
          <w:tcPr>
            <w:tcW w:w="1359" w:type="dxa"/>
            <w:vAlign w:val="center"/>
          </w:tcPr>
          <w:p>
            <w:pPr>
              <w:jc w:val="center"/>
              <w:rPr>
                <w:rFonts w:eastAsia="Times New Roman"/>
              </w:rPr>
            </w:pPr>
          </w:p>
        </w:tc>
        <w:tc>
          <w:tcPr>
            <w:tcW w:w="937" w:type="dxa"/>
            <w:vAlign w:val="center"/>
          </w:tcPr>
          <w:p>
            <w:pPr>
              <w:jc w:val="center"/>
              <w:rPr>
                <w:rFonts w:eastAsia="Times New Roman"/>
              </w:rPr>
            </w:pPr>
          </w:p>
        </w:tc>
        <w:tc>
          <w:tcPr>
            <w:tcW w:w="846"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pStyle w:val="18"/>
              <w:keepNext/>
              <w:spacing w:line="440" w:lineRule="exact"/>
              <w:ind w:left="63" w:right="63"/>
              <w:jc w:val="center"/>
              <w:rPr>
                <w:rFonts w:eastAsia="Times New Roman"/>
                <w:sz w:val="21"/>
              </w:rPr>
            </w:pPr>
          </w:p>
        </w:tc>
        <w:tc>
          <w:tcPr>
            <w:tcW w:w="1302" w:type="dxa"/>
            <w:vAlign w:val="center"/>
          </w:tcPr>
          <w:p>
            <w:pPr>
              <w:pStyle w:val="18"/>
              <w:keepNext/>
              <w:spacing w:line="440" w:lineRule="exact"/>
              <w:ind w:left="63" w:right="63"/>
              <w:jc w:val="center"/>
              <w:rPr>
                <w:rFonts w:eastAsia="Times New Roman"/>
                <w:sz w:val="21"/>
              </w:rPr>
            </w:pPr>
          </w:p>
        </w:tc>
        <w:tc>
          <w:tcPr>
            <w:tcW w:w="781" w:type="dxa"/>
            <w:vAlign w:val="center"/>
          </w:tcPr>
          <w:p>
            <w:pPr>
              <w:pStyle w:val="18"/>
              <w:keepNext/>
              <w:spacing w:line="440" w:lineRule="exact"/>
              <w:ind w:left="63" w:right="63"/>
              <w:jc w:val="center"/>
              <w:rPr>
                <w:rFonts w:eastAsia="Times New Roman"/>
                <w:sz w:val="21"/>
              </w:rPr>
            </w:pPr>
          </w:p>
        </w:tc>
        <w:tc>
          <w:tcPr>
            <w:tcW w:w="972" w:type="dxa"/>
            <w:vAlign w:val="center"/>
          </w:tcPr>
          <w:p>
            <w:pPr>
              <w:pStyle w:val="18"/>
              <w:keepNext/>
              <w:spacing w:line="440" w:lineRule="exact"/>
              <w:ind w:left="63" w:right="63"/>
              <w:jc w:val="center"/>
              <w:rPr>
                <w:rFonts w:eastAsia="Times New Roman"/>
                <w:sz w:val="21"/>
              </w:rPr>
            </w:pPr>
          </w:p>
        </w:tc>
        <w:tc>
          <w:tcPr>
            <w:tcW w:w="808"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1359" w:type="dxa"/>
            <w:vAlign w:val="center"/>
          </w:tcPr>
          <w:p>
            <w:pPr>
              <w:pStyle w:val="18"/>
              <w:keepNext/>
              <w:spacing w:line="440" w:lineRule="exact"/>
              <w:ind w:left="63" w:right="63"/>
              <w:jc w:val="center"/>
              <w:rPr>
                <w:rFonts w:eastAsia="Times New Roman"/>
                <w:sz w:val="21"/>
              </w:rPr>
            </w:pPr>
          </w:p>
        </w:tc>
        <w:tc>
          <w:tcPr>
            <w:tcW w:w="937" w:type="dxa"/>
            <w:vAlign w:val="center"/>
          </w:tcPr>
          <w:p>
            <w:pPr>
              <w:pStyle w:val="18"/>
              <w:keepNext/>
              <w:spacing w:line="440" w:lineRule="exact"/>
              <w:ind w:left="63" w:right="63"/>
              <w:jc w:val="center"/>
              <w:rPr>
                <w:rFonts w:eastAsia="Times New Roman"/>
                <w:sz w:val="21"/>
              </w:rPr>
            </w:pPr>
          </w:p>
        </w:tc>
        <w:tc>
          <w:tcPr>
            <w:tcW w:w="84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jc w:val="center"/>
              <w:rPr>
                <w:rFonts w:eastAsia="Times New Roman"/>
              </w:rPr>
            </w:pPr>
          </w:p>
        </w:tc>
        <w:tc>
          <w:tcPr>
            <w:tcW w:w="1302" w:type="dxa"/>
            <w:vAlign w:val="center"/>
          </w:tcPr>
          <w:p>
            <w:pPr>
              <w:jc w:val="center"/>
              <w:rPr>
                <w:rFonts w:eastAsia="Times New Roman"/>
              </w:rPr>
            </w:pPr>
          </w:p>
        </w:tc>
        <w:tc>
          <w:tcPr>
            <w:tcW w:w="781" w:type="dxa"/>
            <w:vAlign w:val="center"/>
          </w:tcPr>
          <w:p>
            <w:pPr>
              <w:jc w:val="center"/>
              <w:rPr>
                <w:rFonts w:eastAsia="Times New Roman"/>
              </w:rPr>
            </w:pPr>
          </w:p>
        </w:tc>
        <w:tc>
          <w:tcPr>
            <w:tcW w:w="972" w:type="dxa"/>
            <w:vAlign w:val="center"/>
          </w:tcPr>
          <w:p>
            <w:pPr>
              <w:jc w:val="center"/>
              <w:rPr>
                <w:rFonts w:eastAsia="Times New Roman"/>
              </w:rPr>
            </w:pPr>
          </w:p>
        </w:tc>
        <w:tc>
          <w:tcPr>
            <w:tcW w:w="808" w:type="dxa"/>
            <w:vAlign w:val="center"/>
          </w:tcPr>
          <w:p>
            <w:pPr>
              <w:jc w:val="center"/>
              <w:rPr>
                <w:rFonts w:eastAsia="Times New Roman"/>
              </w:rPr>
            </w:pPr>
          </w:p>
        </w:tc>
        <w:tc>
          <w:tcPr>
            <w:tcW w:w="937" w:type="dxa"/>
            <w:vAlign w:val="center"/>
          </w:tcPr>
          <w:p>
            <w:pPr>
              <w:jc w:val="center"/>
              <w:rPr>
                <w:rFonts w:eastAsia="Times New Roman"/>
              </w:rPr>
            </w:pPr>
          </w:p>
        </w:tc>
        <w:tc>
          <w:tcPr>
            <w:tcW w:w="1359" w:type="dxa"/>
            <w:vAlign w:val="center"/>
          </w:tcPr>
          <w:p>
            <w:pPr>
              <w:jc w:val="center"/>
              <w:rPr>
                <w:rFonts w:eastAsia="Times New Roman"/>
              </w:rPr>
            </w:pPr>
          </w:p>
        </w:tc>
        <w:tc>
          <w:tcPr>
            <w:tcW w:w="937" w:type="dxa"/>
            <w:vAlign w:val="center"/>
          </w:tcPr>
          <w:p>
            <w:pPr>
              <w:jc w:val="center"/>
              <w:rPr>
                <w:rFonts w:eastAsia="Times New Roman"/>
              </w:rPr>
            </w:pPr>
          </w:p>
        </w:tc>
        <w:tc>
          <w:tcPr>
            <w:tcW w:w="846"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jc w:val="center"/>
              <w:rPr>
                <w:rFonts w:eastAsia="Times New Roman"/>
              </w:rPr>
            </w:pPr>
          </w:p>
        </w:tc>
        <w:tc>
          <w:tcPr>
            <w:tcW w:w="1302" w:type="dxa"/>
            <w:vAlign w:val="center"/>
          </w:tcPr>
          <w:p>
            <w:pPr>
              <w:jc w:val="center"/>
              <w:rPr>
                <w:rFonts w:eastAsia="Times New Roman"/>
              </w:rPr>
            </w:pPr>
          </w:p>
        </w:tc>
        <w:tc>
          <w:tcPr>
            <w:tcW w:w="781" w:type="dxa"/>
            <w:vAlign w:val="center"/>
          </w:tcPr>
          <w:p>
            <w:pPr>
              <w:jc w:val="center"/>
              <w:rPr>
                <w:rFonts w:eastAsia="Times New Roman"/>
              </w:rPr>
            </w:pPr>
          </w:p>
        </w:tc>
        <w:tc>
          <w:tcPr>
            <w:tcW w:w="972" w:type="dxa"/>
            <w:vAlign w:val="center"/>
          </w:tcPr>
          <w:p>
            <w:pPr>
              <w:jc w:val="center"/>
              <w:rPr>
                <w:rFonts w:eastAsia="Times New Roman"/>
              </w:rPr>
            </w:pPr>
          </w:p>
        </w:tc>
        <w:tc>
          <w:tcPr>
            <w:tcW w:w="808" w:type="dxa"/>
            <w:vAlign w:val="center"/>
          </w:tcPr>
          <w:p>
            <w:pPr>
              <w:jc w:val="center"/>
              <w:rPr>
                <w:rFonts w:eastAsia="Times New Roman"/>
              </w:rPr>
            </w:pPr>
          </w:p>
        </w:tc>
        <w:tc>
          <w:tcPr>
            <w:tcW w:w="937" w:type="dxa"/>
            <w:vAlign w:val="center"/>
          </w:tcPr>
          <w:p>
            <w:pPr>
              <w:jc w:val="center"/>
              <w:rPr>
                <w:rFonts w:eastAsia="Times New Roman"/>
              </w:rPr>
            </w:pPr>
          </w:p>
        </w:tc>
        <w:tc>
          <w:tcPr>
            <w:tcW w:w="1359" w:type="dxa"/>
            <w:vAlign w:val="center"/>
          </w:tcPr>
          <w:p>
            <w:pPr>
              <w:jc w:val="center"/>
              <w:rPr>
                <w:rFonts w:eastAsia="Times New Roman"/>
              </w:rPr>
            </w:pPr>
          </w:p>
        </w:tc>
        <w:tc>
          <w:tcPr>
            <w:tcW w:w="937" w:type="dxa"/>
            <w:vAlign w:val="center"/>
          </w:tcPr>
          <w:p>
            <w:pPr>
              <w:jc w:val="center"/>
              <w:rPr>
                <w:rFonts w:eastAsia="Times New Roman"/>
              </w:rPr>
            </w:pPr>
          </w:p>
        </w:tc>
        <w:tc>
          <w:tcPr>
            <w:tcW w:w="846"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jc w:val="center"/>
              <w:rPr>
                <w:rFonts w:eastAsia="Times New Roman"/>
              </w:rPr>
            </w:pPr>
          </w:p>
        </w:tc>
        <w:tc>
          <w:tcPr>
            <w:tcW w:w="1302" w:type="dxa"/>
            <w:vAlign w:val="center"/>
          </w:tcPr>
          <w:p>
            <w:pPr>
              <w:jc w:val="center"/>
              <w:rPr>
                <w:rFonts w:eastAsia="Times New Roman"/>
              </w:rPr>
            </w:pPr>
          </w:p>
        </w:tc>
        <w:tc>
          <w:tcPr>
            <w:tcW w:w="781" w:type="dxa"/>
            <w:vAlign w:val="center"/>
          </w:tcPr>
          <w:p>
            <w:pPr>
              <w:jc w:val="center"/>
              <w:rPr>
                <w:rFonts w:eastAsia="Times New Roman"/>
              </w:rPr>
            </w:pPr>
          </w:p>
        </w:tc>
        <w:tc>
          <w:tcPr>
            <w:tcW w:w="972" w:type="dxa"/>
            <w:vAlign w:val="center"/>
          </w:tcPr>
          <w:p>
            <w:pPr>
              <w:jc w:val="center"/>
              <w:rPr>
                <w:rFonts w:eastAsia="Times New Roman"/>
              </w:rPr>
            </w:pPr>
          </w:p>
        </w:tc>
        <w:tc>
          <w:tcPr>
            <w:tcW w:w="808" w:type="dxa"/>
            <w:vAlign w:val="center"/>
          </w:tcPr>
          <w:p>
            <w:pPr>
              <w:jc w:val="center"/>
              <w:rPr>
                <w:rFonts w:eastAsia="Times New Roman"/>
              </w:rPr>
            </w:pPr>
          </w:p>
        </w:tc>
        <w:tc>
          <w:tcPr>
            <w:tcW w:w="937" w:type="dxa"/>
            <w:vAlign w:val="center"/>
          </w:tcPr>
          <w:p>
            <w:pPr>
              <w:jc w:val="center"/>
              <w:rPr>
                <w:rFonts w:eastAsia="Times New Roman"/>
              </w:rPr>
            </w:pPr>
          </w:p>
        </w:tc>
        <w:tc>
          <w:tcPr>
            <w:tcW w:w="1359" w:type="dxa"/>
            <w:vAlign w:val="center"/>
          </w:tcPr>
          <w:p>
            <w:pPr>
              <w:jc w:val="center"/>
              <w:rPr>
                <w:rFonts w:eastAsia="Times New Roman"/>
              </w:rPr>
            </w:pPr>
          </w:p>
        </w:tc>
        <w:tc>
          <w:tcPr>
            <w:tcW w:w="937" w:type="dxa"/>
            <w:vAlign w:val="center"/>
          </w:tcPr>
          <w:p>
            <w:pPr>
              <w:jc w:val="center"/>
              <w:rPr>
                <w:rFonts w:eastAsia="Times New Roman"/>
              </w:rPr>
            </w:pPr>
          </w:p>
        </w:tc>
        <w:tc>
          <w:tcPr>
            <w:tcW w:w="846"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jc w:val="center"/>
              <w:rPr>
                <w:rFonts w:eastAsia="Times New Roman"/>
              </w:rPr>
            </w:pPr>
          </w:p>
        </w:tc>
        <w:tc>
          <w:tcPr>
            <w:tcW w:w="1302" w:type="dxa"/>
            <w:vAlign w:val="center"/>
          </w:tcPr>
          <w:p>
            <w:pPr>
              <w:jc w:val="center"/>
              <w:rPr>
                <w:rFonts w:eastAsia="Times New Roman"/>
              </w:rPr>
            </w:pPr>
          </w:p>
        </w:tc>
        <w:tc>
          <w:tcPr>
            <w:tcW w:w="781" w:type="dxa"/>
            <w:vAlign w:val="center"/>
          </w:tcPr>
          <w:p>
            <w:pPr>
              <w:jc w:val="center"/>
              <w:rPr>
                <w:rFonts w:eastAsia="Times New Roman"/>
              </w:rPr>
            </w:pPr>
          </w:p>
        </w:tc>
        <w:tc>
          <w:tcPr>
            <w:tcW w:w="972" w:type="dxa"/>
            <w:vAlign w:val="center"/>
          </w:tcPr>
          <w:p>
            <w:pPr>
              <w:jc w:val="center"/>
              <w:rPr>
                <w:rFonts w:eastAsia="Times New Roman"/>
              </w:rPr>
            </w:pPr>
          </w:p>
        </w:tc>
        <w:tc>
          <w:tcPr>
            <w:tcW w:w="808" w:type="dxa"/>
            <w:vAlign w:val="center"/>
          </w:tcPr>
          <w:p>
            <w:pPr>
              <w:jc w:val="center"/>
              <w:rPr>
                <w:rFonts w:eastAsia="Times New Roman"/>
              </w:rPr>
            </w:pPr>
          </w:p>
        </w:tc>
        <w:tc>
          <w:tcPr>
            <w:tcW w:w="937" w:type="dxa"/>
            <w:vAlign w:val="center"/>
          </w:tcPr>
          <w:p>
            <w:pPr>
              <w:jc w:val="center"/>
              <w:rPr>
                <w:rFonts w:eastAsia="Times New Roman"/>
              </w:rPr>
            </w:pPr>
          </w:p>
        </w:tc>
        <w:tc>
          <w:tcPr>
            <w:tcW w:w="1359" w:type="dxa"/>
            <w:vAlign w:val="center"/>
          </w:tcPr>
          <w:p>
            <w:pPr>
              <w:jc w:val="center"/>
              <w:rPr>
                <w:rFonts w:eastAsia="Times New Roman"/>
              </w:rPr>
            </w:pPr>
          </w:p>
        </w:tc>
        <w:tc>
          <w:tcPr>
            <w:tcW w:w="937" w:type="dxa"/>
            <w:vAlign w:val="center"/>
          </w:tcPr>
          <w:p>
            <w:pPr>
              <w:jc w:val="center"/>
              <w:rPr>
                <w:rFonts w:eastAsia="Times New Roman"/>
              </w:rPr>
            </w:pPr>
          </w:p>
        </w:tc>
        <w:tc>
          <w:tcPr>
            <w:tcW w:w="846"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jc w:val="center"/>
              <w:rPr>
                <w:rFonts w:eastAsia="Times New Roman"/>
              </w:rPr>
            </w:pPr>
          </w:p>
        </w:tc>
        <w:tc>
          <w:tcPr>
            <w:tcW w:w="1302" w:type="dxa"/>
            <w:vAlign w:val="center"/>
          </w:tcPr>
          <w:p>
            <w:pPr>
              <w:jc w:val="center"/>
              <w:rPr>
                <w:rFonts w:eastAsia="Times New Roman"/>
              </w:rPr>
            </w:pPr>
          </w:p>
        </w:tc>
        <w:tc>
          <w:tcPr>
            <w:tcW w:w="781" w:type="dxa"/>
            <w:vAlign w:val="center"/>
          </w:tcPr>
          <w:p>
            <w:pPr>
              <w:jc w:val="center"/>
              <w:rPr>
                <w:rFonts w:eastAsia="Times New Roman"/>
              </w:rPr>
            </w:pPr>
          </w:p>
        </w:tc>
        <w:tc>
          <w:tcPr>
            <w:tcW w:w="972" w:type="dxa"/>
            <w:vAlign w:val="center"/>
          </w:tcPr>
          <w:p>
            <w:pPr>
              <w:jc w:val="center"/>
              <w:rPr>
                <w:rFonts w:eastAsia="Times New Roman"/>
              </w:rPr>
            </w:pPr>
          </w:p>
        </w:tc>
        <w:tc>
          <w:tcPr>
            <w:tcW w:w="808" w:type="dxa"/>
            <w:vAlign w:val="center"/>
          </w:tcPr>
          <w:p>
            <w:pPr>
              <w:jc w:val="center"/>
              <w:rPr>
                <w:rFonts w:eastAsia="Times New Roman"/>
              </w:rPr>
            </w:pPr>
          </w:p>
        </w:tc>
        <w:tc>
          <w:tcPr>
            <w:tcW w:w="937" w:type="dxa"/>
            <w:vAlign w:val="center"/>
          </w:tcPr>
          <w:p>
            <w:pPr>
              <w:jc w:val="center"/>
              <w:rPr>
                <w:rFonts w:eastAsia="Times New Roman"/>
              </w:rPr>
            </w:pPr>
          </w:p>
        </w:tc>
        <w:tc>
          <w:tcPr>
            <w:tcW w:w="1359" w:type="dxa"/>
            <w:vAlign w:val="center"/>
          </w:tcPr>
          <w:p>
            <w:pPr>
              <w:jc w:val="center"/>
              <w:rPr>
                <w:rFonts w:eastAsia="Times New Roman"/>
              </w:rPr>
            </w:pPr>
          </w:p>
        </w:tc>
        <w:tc>
          <w:tcPr>
            <w:tcW w:w="937" w:type="dxa"/>
            <w:vAlign w:val="center"/>
          </w:tcPr>
          <w:p>
            <w:pPr>
              <w:jc w:val="center"/>
              <w:rPr>
                <w:rFonts w:eastAsia="Times New Roman"/>
              </w:rPr>
            </w:pPr>
          </w:p>
        </w:tc>
        <w:tc>
          <w:tcPr>
            <w:tcW w:w="846"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jc w:val="center"/>
              <w:rPr>
                <w:rFonts w:eastAsia="Times New Roman"/>
              </w:rPr>
            </w:pPr>
          </w:p>
        </w:tc>
        <w:tc>
          <w:tcPr>
            <w:tcW w:w="1302" w:type="dxa"/>
            <w:vAlign w:val="center"/>
          </w:tcPr>
          <w:p>
            <w:pPr>
              <w:jc w:val="center"/>
              <w:rPr>
                <w:rFonts w:eastAsia="Times New Roman"/>
              </w:rPr>
            </w:pPr>
          </w:p>
        </w:tc>
        <w:tc>
          <w:tcPr>
            <w:tcW w:w="781" w:type="dxa"/>
            <w:vAlign w:val="center"/>
          </w:tcPr>
          <w:p>
            <w:pPr>
              <w:jc w:val="center"/>
              <w:rPr>
                <w:rFonts w:eastAsia="Times New Roman"/>
              </w:rPr>
            </w:pPr>
          </w:p>
        </w:tc>
        <w:tc>
          <w:tcPr>
            <w:tcW w:w="972" w:type="dxa"/>
            <w:vAlign w:val="center"/>
          </w:tcPr>
          <w:p>
            <w:pPr>
              <w:jc w:val="center"/>
              <w:rPr>
                <w:rFonts w:eastAsia="Times New Roman"/>
              </w:rPr>
            </w:pPr>
          </w:p>
        </w:tc>
        <w:tc>
          <w:tcPr>
            <w:tcW w:w="808" w:type="dxa"/>
            <w:vAlign w:val="center"/>
          </w:tcPr>
          <w:p>
            <w:pPr>
              <w:jc w:val="center"/>
              <w:rPr>
                <w:rFonts w:eastAsia="Times New Roman"/>
              </w:rPr>
            </w:pPr>
          </w:p>
        </w:tc>
        <w:tc>
          <w:tcPr>
            <w:tcW w:w="937" w:type="dxa"/>
            <w:vAlign w:val="center"/>
          </w:tcPr>
          <w:p>
            <w:pPr>
              <w:jc w:val="center"/>
              <w:rPr>
                <w:rFonts w:eastAsia="Times New Roman"/>
              </w:rPr>
            </w:pPr>
          </w:p>
        </w:tc>
        <w:tc>
          <w:tcPr>
            <w:tcW w:w="1359" w:type="dxa"/>
            <w:vAlign w:val="center"/>
          </w:tcPr>
          <w:p>
            <w:pPr>
              <w:jc w:val="center"/>
              <w:rPr>
                <w:rFonts w:eastAsia="Times New Roman"/>
              </w:rPr>
            </w:pPr>
          </w:p>
        </w:tc>
        <w:tc>
          <w:tcPr>
            <w:tcW w:w="937" w:type="dxa"/>
            <w:vAlign w:val="center"/>
          </w:tcPr>
          <w:p>
            <w:pPr>
              <w:jc w:val="center"/>
              <w:rPr>
                <w:rFonts w:eastAsia="Times New Roman"/>
              </w:rPr>
            </w:pPr>
          </w:p>
        </w:tc>
        <w:tc>
          <w:tcPr>
            <w:tcW w:w="846"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jc w:val="center"/>
              <w:rPr>
                <w:rFonts w:eastAsia="Times New Roman"/>
              </w:rPr>
            </w:pPr>
          </w:p>
        </w:tc>
        <w:tc>
          <w:tcPr>
            <w:tcW w:w="1302" w:type="dxa"/>
            <w:vAlign w:val="center"/>
          </w:tcPr>
          <w:p>
            <w:pPr>
              <w:jc w:val="center"/>
              <w:rPr>
                <w:rFonts w:eastAsia="Times New Roman"/>
              </w:rPr>
            </w:pPr>
          </w:p>
        </w:tc>
        <w:tc>
          <w:tcPr>
            <w:tcW w:w="781" w:type="dxa"/>
            <w:vAlign w:val="center"/>
          </w:tcPr>
          <w:p>
            <w:pPr>
              <w:jc w:val="center"/>
              <w:rPr>
                <w:rFonts w:eastAsia="Times New Roman"/>
              </w:rPr>
            </w:pPr>
          </w:p>
        </w:tc>
        <w:tc>
          <w:tcPr>
            <w:tcW w:w="972" w:type="dxa"/>
            <w:vAlign w:val="center"/>
          </w:tcPr>
          <w:p>
            <w:pPr>
              <w:jc w:val="center"/>
              <w:rPr>
                <w:rFonts w:eastAsia="Times New Roman"/>
              </w:rPr>
            </w:pPr>
          </w:p>
        </w:tc>
        <w:tc>
          <w:tcPr>
            <w:tcW w:w="808" w:type="dxa"/>
            <w:vAlign w:val="center"/>
          </w:tcPr>
          <w:p>
            <w:pPr>
              <w:jc w:val="center"/>
              <w:rPr>
                <w:rFonts w:eastAsia="Times New Roman"/>
              </w:rPr>
            </w:pPr>
          </w:p>
        </w:tc>
        <w:tc>
          <w:tcPr>
            <w:tcW w:w="937" w:type="dxa"/>
            <w:vAlign w:val="center"/>
          </w:tcPr>
          <w:p>
            <w:pPr>
              <w:jc w:val="center"/>
              <w:rPr>
                <w:rFonts w:eastAsia="Times New Roman"/>
              </w:rPr>
            </w:pPr>
          </w:p>
        </w:tc>
        <w:tc>
          <w:tcPr>
            <w:tcW w:w="1359" w:type="dxa"/>
            <w:vAlign w:val="center"/>
          </w:tcPr>
          <w:p>
            <w:pPr>
              <w:jc w:val="center"/>
              <w:rPr>
                <w:rFonts w:eastAsia="Times New Roman"/>
              </w:rPr>
            </w:pPr>
          </w:p>
        </w:tc>
        <w:tc>
          <w:tcPr>
            <w:tcW w:w="937" w:type="dxa"/>
            <w:vAlign w:val="center"/>
          </w:tcPr>
          <w:p>
            <w:pPr>
              <w:jc w:val="center"/>
              <w:rPr>
                <w:rFonts w:eastAsia="Times New Roman"/>
              </w:rPr>
            </w:pPr>
          </w:p>
        </w:tc>
        <w:tc>
          <w:tcPr>
            <w:tcW w:w="846"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vAlign w:val="center"/>
          </w:tcPr>
          <w:p>
            <w:pPr>
              <w:jc w:val="center"/>
              <w:rPr>
                <w:rFonts w:eastAsia="Times New Roman"/>
              </w:rPr>
            </w:pPr>
          </w:p>
        </w:tc>
        <w:tc>
          <w:tcPr>
            <w:tcW w:w="1302" w:type="dxa"/>
            <w:vAlign w:val="center"/>
          </w:tcPr>
          <w:p>
            <w:pPr>
              <w:jc w:val="center"/>
              <w:rPr>
                <w:rFonts w:eastAsia="Times New Roman"/>
              </w:rPr>
            </w:pPr>
          </w:p>
        </w:tc>
        <w:tc>
          <w:tcPr>
            <w:tcW w:w="781" w:type="dxa"/>
            <w:vAlign w:val="center"/>
          </w:tcPr>
          <w:p>
            <w:pPr>
              <w:jc w:val="center"/>
              <w:rPr>
                <w:rFonts w:eastAsia="Times New Roman"/>
              </w:rPr>
            </w:pPr>
          </w:p>
        </w:tc>
        <w:tc>
          <w:tcPr>
            <w:tcW w:w="972" w:type="dxa"/>
            <w:vAlign w:val="center"/>
          </w:tcPr>
          <w:p>
            <w:pPr>
              <w:jc w:val="center"/>
              <w:rPr>
                <w:rFonts w:eastAsia="Times New Roman"/>
              </w:rPr>
            </w:pPr>
          </w:p>
        </w:tc>
        <w:tc>
          <w:tcPr>
            <w:tcW w:w="808" w:type="dxa"/>
            <w:vAlign w:val="center"/>
          </w:tcPr>
          <w:p>
            <w:pPr>
              <w:jc w:val="center"/>
              <w:rPr>
                <w:rFonts w:eastAsia="Times New Roman"/>
              </w:rPr>
            </w:pPr>
          </w:p>
        </w:tc>
        <w:tc>
          <w:tcPr>
            <w:tcW w:w="937" w:type="dxa"/>
            <w:vAlign w:val="center"/>
          </w:tcPr>
          <w:p>
            <w:pPr>
              <w:jc w:val="center"/>
              <w:rPr>
                <w:rFonts w:eastAsia="Times New Roman"/>
              </w:rPr>
            </w:pPr>
          </w:p>
        </w:tc>
        <w:tc>
          <w:tcPr>
            <w:tcW w:w="1359" w:type="dxa"/>
            <w:vAlign w:val="center"/>
          </w:tcPr>
          <w:p>
            <w:pPr>
              <w:jc w:val="center"/>
              <w:rPr>
                <w:rFonts w:eastAsia="Times New Roman"/>
              </w:rPr>
            </w:pPr>
          </w:p>
        </w:tc>
        <w:tc>
          <w:tcPr>
            <w:tcW w:w="937" w:type="dxa"/>
            <w:vAlign w:val="center"/>
          </w:tcPr>
          <w:p>
            <w:pPr>
              <w:jc w:val="center"/>
              <w:rPr>
                <w:rFonts w:eastAsia="Times New Roman"/>
              </w:rPr>
            </w:pPr>
          </w:p>
        </w:tc>
        <w:tc>
          <w:tcPr>
            <w:tcW w:w="846"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1067" w:type="dxa"/>
            <w:tcBorders>
              <w:bottom w:val="single" w:color="auto" w:sz="12" w:space="0"/>
            </w:tcBorders>
            <w:vAlign w:val="center"/>
          </w:tcPr>
          <w:p>
            <w:pPr>
              <w:jc w:val="center"/>
              <w:rPr>
                <w:rFonts w:eastAsia="Times New Roman"/>
              </w:rPr>
            </w:pPr>
          </w:p>
        </w:tc>
        <w:tc>
          <w:tcPr>
            <w:tcW w:w="1302" w:type="dxa"/>
            <w:tcBorders>
              <w:bottom w:val="single" w:color="auto" w:sz="12" w:space="0"/>
            </w:tcBorders>
            <w:vAlign w:val="center"/>
          </w:tcPr>
          <w:p>
            <w:pPr>
              <w:jc w:val="center"/>
              <w:rPr>
                <w:rFonts w:eastAsia="Times New Roman"/>
              </w:rPr>
            </w:pPr>
          </w:p>
        </w:tc>
        <w:tc>
          <w:tcPr>
            <w:tcW w:w="781" w:type="dxa"/>
            <w:tcBorders>
              <w:bottom w:val="single" w:color="auto" w:sz="12" w:space="0"/>
            </w:tcBorders>
            <w:vAlign w:val="center"/>
          </w:tcPr>
          <w:p>
            <w:pPr>
              <w:jc w:val="center"/>
              <w:rPr>
                <w:rFonts w:eastAsia="Times New Roman"/>
              </w:rPr>
            </w:pPr>
          </w:p>
        </w:tc>
        <w:tc>
          <w:tcPr>
            <w:tcW w:w="972" w:type="dxa"/>
            <w:tcBorders>
              <w:bottom w:val="single" w:color="auto" w:sz="12" w:space="0"/>
            </w:tcBorders>
            <w:vAlign w:val="center"/>
          </w:tcPr>
          <w:p>
            <w:pPr>
              <w:jc w:val="center"/>
              <w:rPr>
                <w:rFonts w:eastAsia="Times New Roman"/>
              </w:rPr>
            </w:pPr>
          </w:p>
        </w:tc>
        <w:tc>
          <w:tcPr>
            <w:tcW w:w="808" w:type="dxa"/>
            <w:tcBorders>
              <w:bottom w:val="single" w:color="auto" w:sz="12" w:space="0"/>
            </w:tcBorders>
            <w:vAlign w:val="center"/>
          </w:tcPr>
          <w:p>
            <w:pPr>
              <w:jc w:val="center"/>
              <w:rPr>
                <w:rFonts w:eastAsia="Times New Roman"/>
              </w:rPr>
            </w:pPr>
          </w:p>
        </w:tc>
        <w:tc>
          <w:tcPr>
            <w:tcW w:w="937" w:type="dxa"/>
            <w:tcBorders>
              <w:bottom w:val="single" w:color="auto" w:sz="12" w:space="0"/>
            </w:tcBorders>
            <w:vAlign w:val="center"/>
          </w:tcPr>
          <w:p>
            <w:pPr>
              <w:jc w:val="center"/>
              <w:rPr>
                <w:rFonts w:eastAsia="Times New Roman"/>
              </w:rPr>
            </w:pPr>
          </w:p>
        </w:tc>
        <w:tc>
          <w:tcPr>
            <w:tcW w:w="1359" w:type="dxa"/>
            <w:tcBorders>
              <w:bottom w:val="single" w:color="auto" w:sz="12" w:space="0"/>
            </w:tcBorders>
            <w:vAlign w:val="center"/>
          </w:tcPr>
          <w:p>
            <w:pPr>
              <w:jc w:val="center"/>
              <w:rPr>
                <w:rFonts w:eastAsia="Times New Roman"/>
              </w:rPr>
            </w:pPr>
          </w:p>
        </w:tc>
        <w:tc>
          <w:tcPr>
            <w:tcW w:w="937" w:type="dxa"/>
            <w:tcBorders>
              <w:bottom w:val="single" w:color="auto" w:sz="12" w:space="0"/>
            </w:tcBorders>
            <w:vAlign w:val="center"/>
          </w:tcPr>
          <w:p>
            <w:pPr>
              <w:jc w:val="center"/>
              <w:rPr>
                <w:rFonts w:eastAsia="Times New Roman"/>
              </w:rPr>
            </w:pPr>
          </w:p>
        </w:tc>
        <w:tc>
          <w:tcPr>
            <w:tcW w:w="846" w:type="dxa"/>
            <w:tcBorders>
              <w:bottom w:val="single" w:color="auto" w:sz="12" w:space="0"/>
            </w:tcBorders>
            <w:vAlign w:val="center"/>
          </w:tcPr>
          <w:p>
            <w:pPr>
              <w:jc w:val="center"/>
              <w:rPr>
                <w:rFonts w:eastAsia="Times New Roman"/>
              </w:rPr>
            </w:pPr>
          </w:p>
        </w:tc>
      </w:tr>
    </w:tbl>
    <w:p>
      <w:pPr>
        <w:spacing w:line="360" w:lineRule="auto"/>
        <w:rPr>
          <w:rFonts w:eastAsia="Times New Roman"/>
          <w:b/>
        </w:rPr>
      </w:pPr>
    </w:p>
    <w:p>
      <w:pPr>
        <w:spacing w:line="360" w:lineRule="auto"/>
        <w:rPr>
          <w:rFonts w:eastAsia="宋体"/>
          <w:b/>
        </w:rPr>
      </w:pPr>
    </w:p>
    <w:p>
      <w:pPr>
        <w:spacing w:line="360" w:lineRule="auto"/>
        <w:ind w:firstLine="236" w:firstLineChars="98"/>
        <w:rPr>
          <w:rFonts w:hint="eastAsia" w:ascii="宋体" w:hAnsi="宋体"/>
          <w:b/>
        </w:rPr>
      </w:pPr>
    </w:p>
    <w:p>
      <w:pPr>
        <w:spacing w:line="360" w:lineRule="auto"/>
        <w:ind w:firstLine="236" w:firstLineChars="98"/>
        <w:rPr>
          <w:rFonts w:hint="eastAsia" w:ascii="宋体" w:hAnsi="宋体"/>
          <w:b/>
        </w:rPr>
      </w:pPr>
    </w:p>
    <w:p>
      <w:pPr>
        <w:spacing w:line="360" w:lineRule="auto"/>
        <w:ind w:firstLine="236" w:firstLineChars="98"/>
        <w:rPr>
          <w:rFonts w:eastAsia="Times New Roman"/>
          <w:b/>
        </w:rPr>
      </w:pPr>
      <w:r>
        <w:rPr>
          <w:rFonts w:hint="eastAsia" w:ascii="宋体" w:hAnsi="宋体"/>
          <w:b/>
        </w:rPr>
        <w:t>附</w:t>
      </w:r>
      <w:bookmarkStart w:id="469" w:name="_Toc296503228"/>
      <w:bookmarkStart w:id="470" w:name="_Toc267261699"/>
      <w:bookmarkStart w:id="471" w:name="_Toc296346729"/>
      <w:bookmarkStart w:id="472" w:name="_Toc296891056"/>
      <w:bookmarkStart w:id="473" w:name="_Toc296944567"/>
      <w:bookmarkStart w:id="474" w:name="_Toc296347227"/>
      <w:bookmarkStart w:id="475" w:name="_Toc296891268"/>
      <w:r>
        <w:rPr>
          <w:rFonts w:hint="eastAsia" w:ascii="宋体" w:hAnsi="宋体"/>
          <w:b/>
        </w:rPr>
        <w:t>件</w:t>
      </w:r>
      <w:r>
        <w:rPr>
          <w:rFonts w:ascii="宋体" w:hAnsi="宋体"/>
          <w:b/>
        </w:rPr>
        <w:t>5</w:t>
      </w:r>
      <w:r>
        <w:rPr>
          <w:rFonts w:hint="eastAsia" w:ascii="宋体" w:hAnsi="宋体"/>
          <w:b/>
        </w:rPr>
        <w:t>：</w:t>
      </w:r>
    </w:p>
    <w:bookmarkEnd w:id="469"/>
    <w:bookmarkEnd w:id="470"/>
    <w:bookmarkEnd w:id="471"/>
    <w:bookmarkEnd w:id="472"/>
    <w:bookmarkEnd w:id="473"/>
    <w:bookmarkEnd w:id="474"/>
    <w:bookmarkEnd w:id="475"/>
    <w:p>
      <w:pPr>
        <w:spacing w:beforeLines="50" w:afterLines="50" w:line="440" w:lineRule="exact"/>
        <w:jc w:val="center"/>
        <w:rPr>
          <w:rFonts w:eastAsia="Times New Roman"/>
        </w:rPr>
      </w:pPr>
      <w:r>
        <w:rPr>
          <w:rFonts w:hint="eastAsia" w:ascii="宋体" w:hAnsi="宋体"/>
        </w:rPr>
        <w:t>承包人主要施工管理人员表</w:t>
      </w:r>
    </w:p>
    <w:tbl>
      <w:tblPr>
        <w:tblStyle w:val="45"/>
        <w:tblW w:w="95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27"/>
        <w:gridCol w:w="1385"/>
        <w:gridCol w:w="1107"/>
        <w:gridCol w:w="1107"/>
        <w:gridCol w:w="41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1827"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1385"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姓名</w:t>
            </w:r>
          </w:p>
        </w:tc>
        <w:tc>
          <w:tcPr>
            <w:tcW w:w="1107"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职务</w:t>
            </w:r>
          </w:p>
        </w:tc>
        <w:tc>
          <w:tcPr>
            <w:tcW w:w="1107"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职称</w:t>
            </w:r>
          </w:p>
        </w:tc>
        <w:tc>
          <w:tcPr>
            <w:tcW w:w="415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9579" w:type="dxa"/>
            <w:gridSpan w:val="5"/>
            <w:tcBorders>
              <w:top w:val="double" w:color="auto" w:sz="6" w:space="0"/>
            </w:tcBorders>
            <w:vAlign w:val="center"/>
          </w:tcPr>
          <w:p>
            <w:pPr>
              <w:pStyle w:val="18"/>
              <w:keepNext/>
              <w:spacing w:line="440" w:lineRule="exact"/>
              <w:ind w:left="63" w:right="63"/>
              <w:rPr>
                <w:rFonts w:eastAsia="Times New Roman"/>
                <w:sz w:val="21"/>
              </w:rPr>
            </w:pPr>
            <w:r>
              <w:rPr>
                <w:rFonts w:hint="eastAsia"/>
                <w:sz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 w:hRule="atLeast"/>
          <w:jc w:val="center"/>
        </w:trPr>
        <w:tc>
          <w:tcPr>
            <w:tcW w:w="1827"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项目主管</w:t>
            </w:r>
          </w:p>
        </w:tc>
        <w:tc>
          <w:tcPr>
            <w:tcW w:w="1385" w:type="dxa"/>
            <w:tcBorders>
              <w:top w:val="nil"/>
            </w:tcBorders>
            <w:vAlign w:val="center"/>
          </w:tcPr>
          <w:p>
            <w:pPr>
              <w:pStyle w:val="18"/>
              <w:keepNext/>
              <w:spacing w:line="440" w:lineRule="exact"/>
              <w:ind w:left="63" w:right="63"/>
              <w:rPr>
                <w:rFonts w:eastAsia="Times New Roman"/>
                <w:sz w:val="21"/>
              </w:rPr>
            </w:pPr>
          </w:p>
        </w:tc>
        <w:tc>
          <w:tcPr>
            <w:tcW w:w="1107" w:type="dxa"/>
            <w:tcBorders>
              <w:top w:val="nil"/>
            </w:tcBorders>
            <w:vAlign w:val="center"/>
          </w:tcPr>
          <w:p>
            <w:pPr>
              <w:pStyle w:val="18"/>
              <w:keepNext/>
              <w:spacing w:line="440" w:lineRule="exact"/>
              <w:ind w:left="63" w:right="63"/>
              <w:rPr>
                <w:rFonts w:eastAsia="Times New Roman"/>
                <w:sz w:val="21"/>
              </w:rPr>
            </w:pPr>
          </w:p>
        </w:tc>
        <w:tc>
          <w:tcPr>
            <w:tcW w:w="1107" w:type="dxa"/>
            <w:tcBorders>
              <w:top w:val="nil"/>
            </w:tcBorders>
            <w:vAlign w:val="center"/>
          </w:tcPr>
          <w:p>
            <w:pPr>
              <w:pStyle w:val="18"/>
              <w:keepNext/>
              <w:spacing w:line="440" w:lineRule="exact"/>
              <w:ind w:left="63" w:right="63"/>
              <w:rPr>
                <w:rFonts w:eastAsia="Times New Roman"/>
                <w:sz w:val="21"/>
              </w:rPr>
            </w:pPr>
          </w:p>
        </w:tc>
        <w:tc>
          <w:tcPr>
            <w:tcW w:w="4153" w:type="dxa"/>
            <w:tcBorders>
              <w:top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 w:hRule="atLeast"/>
          <w:jc w:val="center"/>
        </w:trPr>
        <w:tc>
          <w:tcPr>
            <w:tcW w:w="1827" w:type="dxa"/>
            <w:tcBorders>
              <w:bottom w:val="nil"/>
            </w:tcBorders>
            <w:vAlign w:val="center"/>
          </w:tcPr>
          <w:p>
            <w:pPr>
              <w:pStyle w:val="18"/>
              <w:keepNext/>
              <w:spacing w:line="440" w:lineRule="exact"/>
              <w:ind w:left="63" w:right="63"/>
              <w:rPr>
                <w:rFonts w:eastAsia="Times New Roman"/>
                <w:sz w:val="21"/>
              </w:rPr>
            </w:pP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 w:hRule="atLeast"/>
          <w:jc w:val="center"/>
        </w:trPr>
        <w:tc>
          <w:tcPr>
            <w:tcW w:w="1827"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其他人员</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1827" w:type="dxa"/>
            <w:tcBorders>
              <w:top w:val="nil"/>
              <w:bottom w:val="nil"/>
            </w:tcBorders>
            <w:vAlign w:val="center"/>
          </w:tcPr>
          <w:p>
            <w:pPr>
              <w:pStyle w:val="18"/>
              <w:keepNext/>
              <w:spacing w:line="440" w:lineRule="exact"/>
              <w:ind w:left="63" w:right="63"/>
              <w:rPr>
                <w:rFonts w:eastAsia="Times New Roman"/>
                <w:sz w:val="21"/>
              </w:rPr>
            </w:pP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9579" w:type="dxa"/>
            <w:gridSpan w:val="5"/>
            <w:vAlign w:val="center"/>
          </w:tcPr>
          <w:p>
            <w:pPr>
              <w:pStyle w:val="18"/>
              <w:keepNext/>
              <w:spacing w:line="440" w:lineRule="exact"/>
              <w:ind w:left="63" w:right="63"/>
              <w:rPr>
                <w:rFonts w:eastAsia="Times New Roman"/>
                <w:sz w:val="21"/>
              </w:rPr>
            </w:pPr>
            <w:r>
              <w:rPr>
                <w:rFonts w:hint="eastAsia"/>
                <w:sz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Align w:val="center"/>
          </w:tcPr>
          <w:p>
            <w:pPr>
              <w:pStyle w:val="18"/>
              <w:keepNext/>
              <w:spacing w:line="440" w:lineRule="exact"/>
              <w:ind w:left="63" w:right="63"/>
              <w:rPr>
                <w:rFonts w:eastAsia="Times New Roman"/>
                <w:sz w:val="21"/>
              </w:rPr>
            </w:pPr>
            <w:r>
              <w:rPr>
                <w:rFonts w:hint="eastAsia"/>
                <w:sz w:val="21"/>
              </w:rPr>
              <w:t>项目经理</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Align w:val="center"/>
          </w:tcPr>
          <w:p>
            <w:pPr>
              <w:pStyle w:val="18"/>
              <w:keepNext/>
              <w:spacing w:line="440" w:lineRule="exact"/>
              <w:ind w:left="63" w:right="63"/>
              <w:rPr>
                <w:rFonts w:eastAsia="Times New Roman"/>
                <w:sz w:val="21"/>
              </w:rPr>
            </w:pPr>
            <w:r>
              <w:rPr>
                <w:rFonts w:hint="eastAsia"/>
                <w:sz w:val="21"/>
              </w:rPr>
              <w:t>项目副经理</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Align w:val="center"/>
          </w:tcPr>
          <w:p>
            <w:pPr>
              <w:pStyle w:val="18"/>
              <w:keepNext/>
              <w:spacing w:line="440" w:lineRule="exact"/>
              <w:ind w:left="63" w:right="63"/>
              <w:rPr>
                <w:rFonts w:eastAsia="Times New Roman"/>
                <w:sz w:val="21"/>
              </w:rPr>
            </w:pPr>
            <w:r>
              <w:rPr>
                <w:rFonts w:hint="eastAsia"/>
                <w:sz w:val="21"/>
              </w:rPr>
              <w:t>技术负责人</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Align w:val="center"/>
          </w:tcPr>
          <w:p>
            <w:pPr>
              <w:pStyle w:val="18"/>
              <w:keepNext/>
              <w:spacing w:line="440" w:lineRule="exact"/>
              <w:ind w:left="63" w:right="63"/>
              <w:rPr>
                <w:rFonts w:eastAsia="Times New Roman"/>
                <w:sz w:val="21"/>
              </w:rPr>
            </w:pPr>
            <w:r>
              <w:rPr>
                <w:rFonts w:hint="eastAsia"/>
                <w:sz w:val="21"/>
              </w:rPr>
              <w:t>质量管理</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Align w:val="center"/>
          </w:tcPr>
          <w:p>
            <w:pPr>
              <w:pStyle w:val="18"/>
              <w:keepNext/>
              <w:spacing w:line="440" w:lineRule="exact"/>
              <w:ind w:left="63" w:right="63"/>
              <w:rPr>
                <w:rFonts w:eastAsia="Times New Roman"/>
                <w:sz w:val="21"/>
              </w:rPr>
            </w:pPr>
            <w:r>
              <w:rPr>
                <w:rFonts w:hint="eastAsia"/>
                <w:sz w:val="21"/>
              </w:rPr>
              <w:t>安全管理</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Align w:val="center"/>
          </w:tcPr>
          <w:p>
            <w:pPr>
              <w:pStyle w:val="18"/>
              <w:keepNext/>
              <w:spacing w:line="440" w:lineRule="exact"/>
              <w:ind w:left="63" w:right="63"/>
              <w:rPr>
                <w:rFonts w:eastAsia="Times New Roman"/>
                <w:sz w:val="21"/>
              </w:rPr>
            </w:pPr>
            <w:r>
              <w:rPr>
                <w:rFonts w:hint="eastAsia"/>
                <w:sz w:val="21"/>
              </w:rPr>
              <w:t>材料管理</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Align w:val="center"/>
          </w:tcPr>
          <w:p>
            <w:pPr>
              <w:pStyle w:val="18"/>
              <w:keepNext/>
              <w:spacing w:line="440" w:lineRule="exact"/>
              <w:ind w:left="63" w:right="63"/>
              <w:rPr>
                <w:rFonts w:eastAsia="Times New Roman"/>
                <w:sz w:val="21"/>
              </w:rPr>
            </w:pPr>
            <w:r>
              <w:rPr>
                <w:rFonts w:hint="eastAsia"/>
                <w:sz w:val="21"/>
              </w:rPr>
              <w:t>计划管理</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Align w:val="center"/>
          </w:tcPr>
          <w:p>
            <w:pPr>
              <w:pStyle w:val="18"/>
              <w:keepNext/>
              <w:spacing w:line="440" w:lineRule="exact"/>
              <w:ind w:left="63" w:right="63"/>
              <w:rPr>
                <w:rFonts w:eastAsia="Times New Roman"/>
                <w:sz w:val="21"/>
              </w:rPr>
            </w:pPr>
            <w:r>
              <w:rPr>
                <w:rFonts w:hint="eastAsia"/>
                <w:sz w:val="21"/>
              </w:rPr>
              <w:t>造价管理</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Merge w:val="restart"/>
            <w:vAlign w:val="center"/>
          </w:tcPr>
          <w:p>
            <w:pPr>
              <w:pStyle w:val="18"/>
              <w:keepNext/>
              <w:spacing w:line="440" w:lineRule="exact"/>
              <w:ind w:left="63" w:right="63"/>
              <w:rPr>
                <w:rFonts w:eastAsia="Times New Roman"/>
                <w:sz w:val="21"/>
              </w:rPr>
            </w:pPr>
            <w:r>
              <w:rPr>
                <w:rFonts w:hint="eastAsia"/>
                <w:sz w:val="21"/>
              </w:rPr>
              <w:t>其他人员</w:t>
            </w: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Merge w:val="continue"/>
            <w:vAlign w:val="center"/>
          </w:tcPr>
          <w:p>
            <w:pPr>
              <w:pStyle w:val="18"/>
              <w:keepNext/>
              <w:spacing w:line="440" w:lineRule="exact"/>
              <w:ind w:left="63" w:right="63"/>
              <w:rPr>
                <w:rFonts w:eastAsia="Times New Roman"/>
                <w:sz w:val="21"/>
              </w:rPr>
            </w:pPr>
          </w:p>
        </w:tc>
        <w:tc>
          <w:tcPr>
            <w:tcW w:w="1385" w:type="dxa"/>
            <w:tcBorders>
              <w:bottom w:val="nil"/>
            </w:tcBorders>
            <w:vAlign w:val="center"/>
          </w:tcPr>
          <w:p>
            <w:pPr>
              <w:pStyle w:val="18"/>
              <w:keepNext/>
              <w:spacing w:line="440" w:lineRule="exact"/>
              <w:ind w:left="63" w:right="63"/>
              <w:rPr>
                <w:rFonts w:eastAsia="Times New Roman"/>
                <w:sz w:val="21"/>
              </w:rPr>
            </w:pPr>
          </w:p>
        </w:tc>
        <w:tc>
          <w:tcPr>
            <w:tcW w:w="1107" w:type="dxa"/>
            <w:tcBorders>
              <w:bottom w:val="nil"/>
            </w:tcBorders>
            <w:vAlign w:val="center"/>
          </w:tcPr>
          <w:p>
            <w:pPr>
              <w:pStyle w:val="18"/>
              <w:keepNext/>
              <w:spacing w:line="440" w:lineRule="exact"/>
              <w:ind w:left="63" w:right="63"/>
              <w:rPr>
                <w:rFonts w:eastAsia="Times New Roman"/>
                <w:sz w:val="21"/>
              </w:rPr>
            </w:pPr>
          </w:p>
        </w:tc>
        <w:tc>
          <w:tcPr>
            <w:tcW w:w="1107" w:type="dxa"/>
            <w:tcBorders>
              <w:bottom w:val="nil"/>
            </w:tcBorders>
            <w:vAlign w:val="center"/>
          </w:tcPr>
          <w:p>
            <w:pPr>
              <w:pStyle w:val="18"/>
              <w:keepNext/>
              <w:spacing w:line="440" w:lineRule="exact"/>
              <w:ind w:left="63" w:right="63"/>
              <w:rPr>
                <w:rFonts w:eastAsia="Times New Roman"/>
                <w:sz w:val="21"/>
              </w:rPr>
            </w:pPr>
          </w:p>
        </w:tc>
        <w:tc>
          <w:tcPr>
            <w:tcW w:w="4153" w:type="dxa"/>
            <w:tcBorders>
              <w:bottom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Merge w:val="continue"/>
            <w:vAlign w:val="center"/>
          </w:tcPr>
          <w:p>
            <w:pPr>
              <w:pStyle w:val="18"/>
              <w:keepNext/>
              <w:spacing w:line="440" w:lineRule="exact"/>
              <w:ind w:left="63" w:right="63"/>
              <w:rPr>
                <w:rFonts w:eastAsia="Times New Roman"/>
                <w:sz w:val="21"/>
              </w:rPr>
            </w:pPr>
          </w:p>
        </w:tc>
        <w:tc>
          <w:tcPr>
            <w:tcW w:w="1385"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1107" w:type="dxa"/>
            <w:vAlign w:val="center"/>
          </w:tcPr>
          <w:p>
            <w:pPr>
              <w:pStyle w:val="18"/>
              <w:keepNext/>
              <w:spacing w:line="440" w:lineRule="exact"/>
              <w:ind w:left="63" w:right="63"/>
              <w:rPr>
                <w:rFonts w:eastAsia="Times New Roman"/>
                <w:sz w:val="21"/>
              </w:rPr>
            </w:pPr>
          </w:p>
        </w:tc>
        <w:tc>
          <w:tcPr>
            <w:tcW w:w="4153"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1827" w:type="dxa"/>
            <w:vMerge w:val="continue"/>
            <w:tcBorders>
              <w:bottom w:val="single" w:color="auto" w:sz="12" w:space="0"/>
            </w:tcBorders>
            <w:vAlign w:val="center"/>
          </w:tcPr>
          <w:p>
            <w:pPr>
              <w:pStyle w:val="18"/>
              <w:keepNext/>
              <w:spacing w:line="440" w:lineRule="exact"/>
              <w:ind w:left="63" w:right="63"/>
              <w:rPr>
                <w:rFonts w:eastAsia="Times New Roman"/>
                <w:sz w:val="21"/>
              </w:rPr>
            </w:pPr>
          </w:p>
        </w:tc>
        <w:tc>
          <w:tcPr>
            <w:tcW w:w="1385" w:type="dxa"/>
            <w:tcBorders>
              <w:bottom w:val="single" w:color="auto" w:sz="12" w:space="0"/>
            </w:tcBorders>
            <w:vAlign w:val="center"/>
          </w:tcPr>
          <w:p>
            <w:pPr>
              <w:pStyle w:val="18"/>
              <w:keepNext/>
              <w:spacing w:line="440" w:lineRule="exact"/>
              <w:ind w:left="63" w:right="63"/>
              <w:rPr>
                <w:rFonts w:eastAsia="Times New Roman"/>
                <w:sz w:val="21"/>
              </w:rPr>
            </w:pPr>
          </w:p>
        </w:tc>
        <w:tc>
          <w:tcPr>
            <w:tcW w:w="1107" w:type="dxa"/>
            <w:tcBorders>
              <w:bottom w:val="single" w:color="auto" w:sz="12" w:space="0"/>
            </w:tcBorders>
            <w:vAlign w:val="center"/>
          </w:tcPr>
          <w:p>
            <w:pPr>
              <w:pStyle w:val="18"/>
              <w:keepNext/>
              <w:spacing w:line="440" w:lineRule="exact"/>
              <w:ind w:left="63" w:right="63"/>
              <w:rPr>
                <w:rFonts w:eastAsia="Times New Roman"/>
                <w:sz w:val="21"/>
              </w:rPr>
            </w:pPr>
          </w:p>
        </w:tc>
        <w:tc>
          <w:tcPr>
            <w:tcW w:w="1107" w:type="dxa"/>
            <w:tcBorders>
              <w:bottom w:val="single" w:color="auto" w:sz="12" w:space="0"/>
            </w:tcBorders>
            <w:vAlign w:val="center"/>
          </w:tcPr>
          <w:p>
            <w:pPr>
              <w:pStyle w:val="18"/>
              <w:keepNext/>
              <w:spacing w:line="440" w:lineRule="exact"/>
              <w:ind w:left="63" w:right="63"/>
              <w:rPr>
                <w:rFonts w:eastAsia="Times New Roman"/>
                <w:sz w:val="21"/>
              </w:rPr>
            </w:pPr>
          </w:p>
        </w:tc>
        <w:tc>
          <w:tcPr>
            <w:tcW w:w="4153" w:type="dxa"/>
            <w:tcBorders>
              <w:bottom w:val="single" w:color="auto" w:sz="12" w:space="0"/>
            </w:tcBorders>
            <w:vAlign w:val="center"/>
          </w:tcPr>
          <w:p>
            <w:pPr>
              <w:pStyle w:val="18"/>
              <w:keepNext/>
              <w:spacing w:line="440" w:lineRule="exact"/>
              <w:ind w:left="63" w:right="63"/>
              <w:rPr>
                <w:rFonts w:eastAsia="Times New Roman"/>
                <w:sz w:val="21"/>
              </w:rPr>
            </w:pPr>
          </w:p>
        </w:tc>
      </w:tr>
    </w:tbl>
    <w:p>
      <w:pPr>
        <w:spacing w:line="400" w:lineRule="exact"/>
        <w:ind w:firstLine="300" w:firstLineChars="100"/>
        <w:rPr>
          <w:rFonts w:eastAsia="宋体"/>
          <w:sz w:val="30"/>
        </w:rPr>
      </w:pPr>
      <w:r>
        <w:rPr>
          <w:rFonts w:eastAsia="Times New Roman"/>
          <w:sz w:val="30"/>
        </w:rPr>
        <w:br w:type="page"/>
      </w:r>
      <w:bookmarkStart w:id="476" w:name="_Toc267261701"/>
    </w:p>
    <w:p>
      <w:pPr>
        <w:spacing w:line="400" w:lineRule="exact"/>
        <w:ind w:firstLine="300" w:firstLineChars="100"/>
        <w:rPr>
          <w:rFonts w:eastAsia="宋体"/>
          <w:sz w:val="30"/>
        </w:rPr>
      </w:pPr>
    </w:p>
    <w:p>
      <w:pPr>
        <w:spacing w:line="400" w:lineRule="exact"/>
        <w:ind w:firstLine="241" w:firstLineChars="100"/>
        <w:rPr>
          <w:rFonts w:eastAsia="Times New Roman"/>
          <w:b/>
        </w:rPr>
      </w:pPr>
      <w:r>
        <w:rPr>
          <w:rFonts w:hint="eastAsia" w:ascii="宋体" w:hAnsi="宋体"/>
          <w:b/>
        </w:rPr>
        <w:t>附</w:t>
      </w:r>
      <w:bookmarkStart w:id="477" w:name="_Toc296346732"/>
      <w:bookmarkStart w:id="478" w:name="_Toc296347230"/>
      <w:bookmarkStart w:id="479" w:name="_Toc296503231"/>
      <w:bookmarkStart w:id="480" w:name="_Toc296944570"/>
      <w:bookmarkStart w:id="481" w:name="_Toc296891059"/>
      <w:bookmarkStart w:id="482" w:name="_Toc296891271"/>
      <w:r>
        <w:rPr>
          <w:rFonts w:hint="eastAsia" w:ascii="宋体" w:hAnsi="宋体"/>
          <w:b/>
        </w:rPr>
        <w:t>件</w:t>
      </w:r>
      <w:r>
        <w:rPr>
          <w:rFonts w:ascii="宋体" w:hAnsi="宋体"/>
          <w:b/>
        </w:rPr>
        <w:t>6</w:t>
      </w:r>
      <w:r>
        <w:rPr>
          <w:rFonts w:hint="eastAsia" w:ascii="宋体" w:hAnsi="宋体"/>
          <w:b/>
        </w:rPr>
        <w:t>：</w:t>
      </w:r>
    </w:p>
    <w:p>
      <w:pPr>
        <w:spacing w:beforeLines="50" w:afterLines="50" w:line="440" w:lineRule="exact"/>
        <w:jc w:val="center"/>
        <w:rPr>
          <w:rFonts w:eastAsia="Times New Roman"/>
        </w:rPr>
      </w:pPr>
      <w:r>
        <w:rPr>
          <w:rFonts w:hint="eastAsia" w:ascii="宋体" w:hAnsi="宋体"/>
        </w:rPr>
        <w:t>分包人主要施工管理人员表</w:t>
      </w:r>
    </w:p>
    <w:tbl>
      <w:tblPr>
        <w:tblStyle w:val="45"/>
        <w:tblW w:w="90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9"/>
        <w:gridCol w:w="1311"/>
        <w:gridCol w:w="1049"/>
        <w:gridCol w:w="1049"/>
        <w:gridCol w:w="3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729"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131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姓名</w:t>
            </w:r>
          </w:p>
        </w:tc>
        <w:tc>
          <w:tcPr>
            <w:tcW w:w="1049"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职务</w:t>
            </w:r>
          </w:p>
        </w:tc>
        <w:tc>
          <w:tcPr>
            <w:tcW w:w="1049"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职称</w:t>
            </w:r>
          </w:p>
        </w:tc>
        <w:tc>
          <w:tcPr>
            <w:tcW w:w="393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070" w:type="dxa"/>
            <w:gridSpan w:val="5"/>
            <w:tcBorders>
              <w:top w:val="double" w:color="auto" w:sz="6" w:space="0"/>
            </w:tcBorders>
            <w:vAlign w:val="center"/>
          </w:tcPr>
          <w:p>
            <w:pPr>
              <w:pStyle w:val="18"/>
              <w:keepNext/>
              <w:spacing w:line="440" w:lineRule="exact"/>
              <w:ind w:left="63" w:right="63"/>
              <w:rPr>
                <w:rFonts w:eastAsia="Times New Roman"/>
                <w:sz w:val="21"/>
              </w:rPr>
            </w:pPr>
            <w:r>
              <w:rPr>
                <w:rFonts w:hint="eastAsia"/>
                <w:sz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729"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项目主管</w:t>
            </w:r>
          </w:p>
        </w:tc>
        <w:tc>
          <w:tcPr>
            <w:tcW w:w="1311" w:type="dxa"/>
            <w:tcBorders>
              <w:top w:val="nil"/>
            </w:tcBorders>
            <w:vAlign w:val="center"/>
          </w:tcPr>
          <w:p>
            <w:pPr>
              <w:pStyle w:val="18"/>
              <w:keepNext/>
              <w:spacing w:line="440" w:lineRule="exact"/>
              <w:ind w:left="63" w:right="63"/>
              <w:rPr>
                <w:rFonts w:eastAsia="Times New Roman"/>
                <w:sz w:val="21"/>
              </w:rPr>
            </w:pPr>
          </w:p>
        </w:tc>
        <w:tc>
          <w:tcPr>
            <w:tcW w:w="1049" w:type="dxa"/>
            <w:tcBorders>
              <w:top w:val="nil"/>
            </w:tcBorders>
            <w:vAlign w:val="center"/>
          </w:tcPr>
          <w:p>
            <w:pPr>
              <w:pStyle w:val="18"/>
              <w:keepNext/>
              <w:spacing w:line="440" w:lineRule="exact"/>
              <w:ind w:left="63" w:right="63"/>
              <w:rPr>
                <w:rFonts w:eastAsia="Times New Roman"/>
                <w:sz w:val="21"/>
              </w:rPr>
            </w:pPr>
          </w:p>
        </w:tc>
        <w:tc>
          <w:tcPr>
            <w:tcW w:w="1049" w:type="dxa"/>
            <w:tcBorders>
              <w:top w:val="nil"/>
            </w:tcBorders>
            <w:vAlign w:val="center"/>
          </w:tcPr>
          <w:p>
            <w:pPr>
              <w:pStyle w:val="18"/>
              <w:keepNext/>
              <w:spacing w:line="440" w:lineRule="exact"/>
              <w:ind w:left="63" w:right="63"/>
              <w:rPr>
                <w:rFonts w:eastAsia="Times New Roman"/>
                <w:sz w:val="21"/>
              </w:rPr>
            </w:pPr>
          </w:p>
        </w:tc>
        <w:tc>
          <w:tcPr>
            <w:tcW w:w="3932" w:type="dxa"/>
            <w:tcBorders>
              <w:top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729" w:type="dxa"/>
            <w:tcBorders>
              <w:bottom w:val="nil"/>
            </w:tcBorders>
            <w:vAlign w:val="center"/>
          </w:tcPr>
          <w:p>
            <w:pPr>
              <w:pStyle w:val="18"/>
              <w:keepNext/>
              <w:spacing w:line="440" w:lineRule="exact"/>
              <w:ind w:left="63" w:right="63"/>
              <w:rPr>
                <w:rFonts w:eastAsia="Times New Roman"/>
                <w:sz w:val="21"/>
              </w:rPr>
            </w:pP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729"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其他人员</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729" w:type="dxa"/>
            <w:tcBorders>
              <w:top w:val="nil"/>
              <w:bottom w:val="nil"/>
            </w:tcBorders>
            <w:vAlign w:val="center"/>
          </w:tcPr>
          <w:p>
            <w:pPr>
              <w:pStyle w:val="18"/>
              <w:keepNext/>
              <w:spacing w:line="440" w:lineRule="exact"/>
              <w:ind w:left="63" w:right="63"/>
              <w:rPr>
                <w:rFonts w:eastAsia="Times New Roman"/>
                <w:sz w:val="21"/>
              </w:rPr>
            </w:pP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9070" w:type="dxa"/>
            <w:gridSpan w:val="5"/>
            <w:vAlign w:val="center"/>
          </w:tcPr>
          <w:p>
            <w:pPr>
              <w:pStyle w:val="18"/>
              <w:keepNext/>
              <w:spacing w:line="440" w:lineRule="exact"/>
              <w:ind w:left="63" w:right="63"/>
              <w:rPr>
                <w:rFonts w:eastAsia="Times New Roman"/>
                <w:sz w:val="21"/>
              </w:rPr>
            </w:pPr>
            <w:r>
              <w:rPr>
                <w:rFonts w:hint="eastAsia"/>
                <w:sz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729" w:type="dxa"/>
            <w:vAlign w:val="center"/>
          </w:tcPr>
          <w:p>
            <w:pPr>
              <w:pStyle w:val="18"/>
              <w:keepNext/>
              <w:spacing w:line="440" w:lineRule="exact"/>
              <w:ind w:left="63" w:right="63"/>
              <w:rPr>
                <w:rFonts w:eastAsia="Times New Roman"/>
                <w:sz w:val="21"/>
              </w:rPr>
            </w:pPr>
            <w:r>
              <w:rPr>
                <w:rFonts w:hint="eastAsia"/>
                <w:sz w:val="21"/>
              </w:rPr>
              <w:t>项目经理</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729" w:type="dxa"/>
            <w:vAlign w:val="center"/>
          </w:tcPr>
          <w:p>
            <w:pPr>
              <w:pStyle w:val="18"/>
              <w:keepNext/>
              <w:spacing w:line="440" w:lineRule="exact"/>
              <w:ind w:left="63" w:right="63"/>
              <w:rPr>
                <w:rFonts w:eastAsia="Times New Roman"/>
                <w:sz w:val="21"/>
              </w:rPr>
            </w:pPr>
            <w:r>
              <w:rPr>
                <w:rFonts w:hint="eastAsia"/>
                <w:sz w:val="21"/>
              </w:rPr>
              <w:t>项目副经理</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729" w:type="dxa"/>
            <w:vAlign w:val="center"/>
          </w:tcPr>
          <w:p>
            <w:pPr>
              <w:pStyle w:val="18"/>
              <w:keepNext/>
              <w:spacing w:line="440" w:lineRule="exact"/>
              <w:ind w:left="63" w:right="63"/>
              <w:rPr>
                <w:rFonts w:eastAsia="Times New Roman"/>
                <w:sz w:val="21"/>
              </w:rPr>
            </w:pPr>
            <w:r>
              <w:rPr>
                <w:rFonts w:hint="eastAsia"/>
                <w:sz w:val="21"/>
              </w:rPr>
              <w:t>技术负责人</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729" w:type="dxa"/>
            <w:vAlign w:val="center"/>
          </w:tcPr>
          <w:p>
            <w:pPr>
              <w:pStyle w:val="18"/>
              <w:keepNext/>
              <w:spacing w:line="440" w:lineRule="exact"/>
              <w:ind w:left="63" w:right="63"/>
              <w:rPr>
                <w:rFonts w:eastAsia="Times New Roman"/>
                <w:sz w:val="21"/>
              </w:rPr>
            </w:pPr>
            <w:r>
              <w:rPr>
                <w:rFonts w:hint="eastAsia"/>
                <w:sz w:val="21"/>
              </w:rPr>
              <w:t>造价管理</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729" w:type="dxa"/>
            <w:vAlign w:val="center"/>
          </w:tcPr>
          <w:p>
            <w:pPr>
              <w:pStyle w:val="18"/>
              <w:keepNext/>
              <w:spacing w:line="440" w:lineRule="exact"/>
              <w:ind w:left="63" w:right="63"/>
              <w:rPr>
                <w:rFonts w:eastAsia="Times New Roman"/>
                <w:sz w:val="21"/>
              </w:rPr>
            </w:pPr>
            <w:r>
              <w:rPr>
                <w:rFonts w:hint="eastAsia"/>
                <w:sz w:val="21"/>
              </w:rPr>
              <w:t>质量管理</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729" w:type="dxa"/>
            <w:vAlign w:val="center"/>
          </w:tcPr>
          <w:p>
            <w:pPr>
              <w:pStyle w:val="18"/>
              <w:keepNext/>
              <w:spacing w:line="440" w:lineRule="exact"/>
              <w:ind w:left="63" w:right="63"/>
              <w:rPr>
                <w:rFonts w:eastAsia="Times New Roman"/>
                <w:sz w:val="21"/>
              </w:rPr>
            </w:pPr>
            <w:r>
              <w:rPr>
                <w:rFonts w:hint="eastAsia"/>
                <w:sz w:val="21"/>
              </w:rPr>
              <w:t>材料管理</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729" w:type="dxa"/>
            <w:vAlign w:val="center"/>
          </w:tcPr>
          <w:p>
            <w:pPr>
              <w:pStyle w:val="18"/>
              <w:keepNext/>
              <w:spacing w:line="440" w:lineRule="exact"/>
              <w:ind w:left="63" w:right="63"/>
              <w:rPr>
                <w:rFonts w:eastAsia="Times New Roman"/>
                <w:sz w:val="21"/>
              </w:rPr>
            </w:pPr>
            <w:r>
              <w:rPr>
                <w:rFonts w:hint="eastAsia"/>
                <w:sz w:val="21"/>
              </w:rPr>
              <w:t>计划管理</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729" w:type="dxa"/>
            <w:vAlign w:val="center"/>
          </w:tcPr>
          <w:p>
            <w:pPr>
              <w:pStyle w:val="18"/>
              <w:keepNext/>
              <w:spacing w:line="440" w:lineRule="exact"/>
              <w:ind w:left="63" w:right="63"/>
              <w:rPr>
                <w:rFonts w:eastAsia="Times New Roman"/>
                <w:sz w:val="21"/>
              </w:rPr>
            </w:pPr>
            <w:r>
              <w:rPr>
                <w:rFonts w:hint="eastAsia"/>
                <w:sz w:val="21"/>
              </w:rPr>
              <w:t>安全管理</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729" w:type="dxa"/>
            <w:vMerge w:val="restart"/>
            <w:vAlign w:val="center"/>
          </w:tcPr>
          <w:p>
            <w:pPr>
              <w:pStyle w:val="18"/>
              <w:keepNext/>
              <w:spacing w:line="440" w:lineRule="exact"/>
              <w:ind w:left="63" w:right="63"/>
              <w:rPr>
                <w:rFonts w:eastAsia="Times New Roman"/>
                <w:sz w:val="21"/>
              </w:rPr>
            </w:pPr>
            <w:r>
              <w:rPr>
                <w:rFonts w:hint="eastAsia"/>
                <w:sz w:val="21"/>
              </w:rPr>
              <w:t>其他人员</w:t>
            </w:r>
          </w:p>
        </w:tc>
        <w:tc>
          <w:tcPr>
            <w:tcW w:w="1311"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1049" w:type="dxa"/>
            <w:vAlign w:val="center"/>
          </w:tcPr>
          <w:p>
            <w:pPr>
              <w:pStyle w:val="18"/>
              <w:keepNext/>
              <w:spacing w:line="440" w:lineRule="exact"/>
              <w:ind w:left="63" w:right="63"/>
              <w:rPr>
                <w:rFonts w:eastAsia="Times New Roman"/>
                <w:sz w:val="21"/>
              </w:rPr>
            </w:pPr>
          </w:p>
        </w:tc>
        <w:tc>
          <w:tcPr>
            <w:tcW w:w="393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 w:hRule="atLeast"/>
          <w:jc w:val="center"/>
        </w:trPr>
        <w:tc>
          <w:tcPr>
            <w:tcW w:w="1729" w:type="dxa"/>
            <w:vMerge w:val="continue"/>
            <w:vAlign w:val="center"/>
          </w:tcPr>
          <w:p>
            <w:pPr>
              <w:pStyle w:val="18"/>
              <w:keepNext/>
              <w:spacing w:line="440" w:lineRule="exact"/>
              <w:ind w:left="63" w:right="63"/>
              <w:rPr>
                <w:rFonts w:eastAsia="Times New Roman"/>
                <w:sz w:val="21"/>
              </w:rPr>
            </w:pPr>
          </w:p>
        </w:tc>
        <w:tc>
          <w:tcPr>
            <w:tcW w:w="1311" w:type="dxa"/>
            <w:tcBorders>
              <w:bottom w:val="nil"/>
            </w:tcBorders>
            <w:vAlign w:val="center"/>
          </w:tcPr>
          <w:p>
            <w:pPr>
              <w:pStyle w:val="18"/>
              <w:keepNext/>
              <w:spacing w:line="440" w:lineRule="exact"/>
              <w:ind w:left="63" w:right="63"/>
              <w:rPr>
                <w:rFonts w:eastAsia="Times New Roman"/>
                <w:sz w:val="21"/>
              </w:rPr>
            </w:pPr>
          </w:p>
        </w:tc>
        <w:tc>
          <w:tcPr>
            <w:tcW w:w="1049" w:type="dxa"/>
            <w:tcBorders>
              <w:bottom w:val="nil"/>
            </w:tcBorders>
            <w:vAlign w:val="center"/>
          </w:tcPr>
          <w:p>
            <w:pPr>
              <w:pStyle w:val="18"/>
              <w:keepNext/>
              <w:spacing w:line="440" w:lineRule="exact"/>
              <w:ind w:left="63" w:right="63"/>
              <w:rPr>
                <w:rFonts w:eastAsia="Times New Roman"/>
                <w:sz w:val="21"/>
              </w:rPr>
            </w:pPr>
          </w:p>
        </w:tc>
        <w:tc>
          <w:tcPr>
            <w:tcW w:w="1049" w:type="dxa"/>
            <w:tcBorders>
              <w:bottom w:val="nil"/>
            </w:tcBorders>
            <w:vAlign w:val="center"/>
          </w:tcPr>
          <w:p>
            <w:pPr>
              <w:pStyle w:val="18"/>
              <w:keepNext/>
              <w:spacing w:line="440" w:lineRule="exact"/>
              <w:ind w:left="63" w:right="63"/>
              <w:rPr>
                <w:rFonts w:eastAsia="Times New Roman"/>
                <w:sz w:val="21"/>
              </w:rPr>
            </w:pPr>
          </w:p>
        </w:tc>
        <w:tc>
          <w:tcPr>
            <w:tcW w:w="3932" w:type="dxa"/>
            <w:tcBorders>
              <w:bottom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 w:hRule="atLeast"/>
          <w:jc w:val="center"/>
        </w:trPr>
        <w:tc>
          <w:tcPr>
            <w:tcW w:w="1729" w:type="dxa"/>
            <w:vMerge w:val="continue"/>
            <w:tcBorders>
              <w:bottom w:val="single" w:color="auto" w:sz="12" w:space="0"/>
            </w:tcBorders>
            <w:vAlign w:val="center"/>
          </w:tcPr>
          <w:p>
            <w:pPr>
              <w:pStyle w:val="18"/>
              <w:keepNext/>
              <w:spacing w:line="440" w:lineRule="exact"/>
              <w:ind w:left="63" w:right="63"/>
              <w:rPr>
                <w:rFonts w:eastAsia="Times New Roman"/>
                <w:sz w:val="21"/>
              </w:rPr>
            </w:pPr>
          </w:p>
        </w:tc>
        <w:tc>
          <w:tcPr>
            <w:tcW w:w="1311" w:type="dxa"/>
            <w:tcBorders>
              <w:bottom w:val="single" w:color="auto" w:sz="12" w:space="0"/>
            </w:tcBorders>
            <w:vAlign w:val="center"/>
          </w:tcPr>
          <w:p>
            <w:pPr>
              <w:pStyle w:val="18"/>
              <w:keepNext/>
              <w:spacing w:line="440" w:lineRule="exact"/>
              <w:ind w:left="63" w:right="63"/>
              <w:rPr>
                <w:rFonts w:eastAsia="Times New Roman"/>
                <w:sz w:val="21"/>
              </w:rPr>
            </w:pPr>
          </w:p>
        </w:tc>
        <w:tc>
          <w:tcPr>
            <w:tcW w:w="1049" w:type="dxa"/>
            <w:tcBorders>
              <w:bottom w:val="single" w:color="auto" w:sz="12" w:space="0"/>
            </w:tcBorders>
            <w:vAlign w:val="center"/>
          </w:tcPr>
          <w:p>
            <w:pPr>
              <w:pStyle w:val="18"/>
              <w:keepNext/>
              <w:spacing w:line="440" w:lineRule="exact"/>
              <w:ind w:left="63" w:right="63"/>
              <w:rPr>
                <w:rFonts w:eastAsia="Times New Roman"/>
                <w:sz w:val="21"/>
              </w:rPr>
            </w:pPr>
          </w:p>
        </w:tc>
        <w:tc>
          <w:tcPr>
            <w:tcW w:w="1049" w:type="dxa"/>
            <w:tcBorders>
              <w:bottom w:val="single" w:color="auto" w:sz="12" w:space="0"/>
            </w:tcBorders>
            <w:vAlign w:val="center"/>
          </w:tcPr>
          <w:p>
            <w:pPr>
              <w:pStyle w:val="18"/>
              <w:keepNext/>
              <w:spacing w:line="440" w:lineRule="exact"/>
              <w:ind w:left="63" w:right="63"/>
              <w:rPr>
                <w:rFonts w:eastAsia="Times New Roman"/>
                <w:sz w:val="21"/>
              </w:rPr>
            </w:pPr>
          </w:p>
        </w:tc>
        <w:tc>
          <w:tcPr>
            <w:tcW w:w="3932" w:type="dxa"/>
            <w:tcBorders>
              <w:bottom w:val="single" w:color="auto" w:sz="12" w:space="0"/>
            </w:tcBorders>
            <w:vAlign w:val="center"/>
          </w:tcPr>
          <w:p>
            <w:pPr>
              <w:pStyle w:val="18"/>
              <w:keepNext/>
              <w:spacing w:line="440" w:lineRule="exact"/>
              <w:ind w:left="63" w:right="63"/>
              <w:rPr>
                <w:rFonts w:eastAsia="Times New Roman"/>
                <w:sz w:val="21"/>
              </w:rPr>
            </w:pPr>
          </w:p>
        </w:tc>
      </w:tr>
    </w:tbl>
    <w:p>
      <w:pPr>
        <w:spacing w:beforeLines="50" w:afterLines="50" w:line="440" w:lineRule="exact"/>
        <w:jc w:val="center"/>
        <w:rPr>
          <w:rFonts w:eastAsia="Times New Roman"/>
        </w:rPr>
      </w:pPr>
    </w:p>
    <w:p>
      <w:pPr>
        <w:spacing w:line="360" w:lineRule="auto"/>
        <w:rPr>
          <w:rFonts w:eastAsia="宋体"/>
        </w:rPr>
      </w:pPr>
      <w:r>
        <w:rPr>
          <w:rFonts w:eastAsia="Times New Roman"/>
        </w:rPr>
        <w:br w:type="page"/>
      </w:r>
    </w:p>
    <w:p>
      <w:pPr>
        <w:spacing w:line="360" w:lineRule="auto"/>
        <w:ind w:firstLine="590" w:firstLineChars="245"/>
        <w:rPr>
          <w:rFonts w:hint="eastAsia" w:ascii="宋体" w:hAnsi="宋体"/>
          <w:b/>
        </w:rPr>
      </w:pPr>
    </w:p>
    <w:p>
      <w:pPr>
        <w:spacing w:line="360" w:lineRule="auto"/>
        <w:ind w:firstLine="590" w:firstLineChars="245"/>
        <w:rPr>
          <w:rFonts w:eastAsia="Times New Roman"/>
        </w:rPr>
      </w:pPr>
      <w:r>
        <w:rPr>
          <w:rFonts w:hint="eastAsia" w:ascii="宋体" w:hAnsi="宋体"/>
          <w:b/>
        </w:rPr>
        <w:t>附件</w:t>
      </w:r>
      <w:r>
        <w:rPr>
          <w:rFonts w:ascii="宋体" w:hAnsi="宋体"/>
          <w:b/>
        </w:rPr>
        <w:t>7</w:t>
      </w:r>
      <w:r>
        <w:rPr>
          <w:rFonts w:hint="eastAsia" w:ascii="宋体" w:hAnsi="宋体"/>
          <w:b/>
        </w:rPr>
        <w:t>：</w:t>
      </w:r>
    </w:p>
    <w:bookmarkEnd w:id="476"/>
    <w:bookmarkEnd w:id="477"/>
    <w:bookmarkEnd w:id="478"/>
    <w:bookmarkEnd w:id="479"/>
    <w:bookmarkEnd w:id="480"/>
    <w:bookmarkEnd w:id="481"/>
    <w:bookmarkEnd w:id="482"/>
    <w:p>
      <w:pPr>
        <w:spacing w:beforeLines="50" w:afterLines="50" w:line="440" w:lineRule="exact"/>
        <w:jc w:val="center"/>
        <w:outlineLvl w:val="0"/>
        <w:rPr>
          <w:rFonts w:eastAsia="Times New Roman"/>
        </w:rPr>
      </w:pPr>
      <w:bookmarkStart w:id="483" w:name="_Toc387415851"/>
      <w:r>
        <w:rPr>
          <w:rFonts w:ascii="宋体" w:hAnsi="宋体"/>
        </w:rPr>
        <w:t>7-1</w:t>
      </w:r>
      <w:r>
        <w:rPr>
          <w:rFonts w:hint="eastAsia" w:ascii="宋体" w:hAnsi="宋体"/>
        </w:rPr>
        <w:t>：材料暂估价表</w:t>
      </w:r>
      <w:bookmarkEnd w:id="483"/>
    </w:p>
    <w:tbl>
      <w:tblPr>
        <w:tblStyle w:val="45"/>
        <w:tblW w:w="9073" w:type="dxa"/>
        <w:tblInd w:w="3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85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单位</w:t>
            </w:r>
          </w:p>
        </w:tc>
        <w:tc>
          <w:tcPr>
            <w:tcW w:w="77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数量</w:t>
            </w:r>
          </w:p>
        </w:tc>
        <w:tc>
          <w:tcPr>
            <w:tcW w:w="13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单价（元）</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合价（元）</w:t>
            </w:r>
          </w:p>
        </w:tc>
        <w:tc>
          <w:tcPr>
            <w:tcW w:w="170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51"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77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35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701"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851" w:type="dxa"/>
            <w:tcBorders>
              <w:top w:val="nil"/>
            </w:tcBorders>
            <w:vAlign w:val="center"/>
          </w:tcPr>
          <w:p>
            <w:pPr>
              <w:pStyle w:val="18"/>
              <w:keepNext/>
              <w:spacing w:line="440" w:lineRule="exact"/>
              <w:ind w:left="63" w:right="63"/>
              <w:jc w:val="center"/>
              <w:rPr>
                <w:rFonts w:eastAsia="Times New Roman"/>
                <w:sz w:val="21"/>
              </w:rPr>
            </w:pPr>
          </w:p>
        </w:tc>
        <w:tc>
          <w:tcPr>
            <w:tcW w:w="774" w:type="dxa"/>
            <w:tcBorders>
              <w:top w:val="nil"/>
            </w:tcBorders>
            <w:vAlign w:val="center"/>
          </w:tcPr>
          <w:p>
            <w:pPr>
              <w:pStyle w:val="18"/>
              <w:keepNext/>
              <w:spacing w:line="440" w:lineRule="exact"/>
              <w:ind w:left="63" w:right="63"/>
              <w:jc w:val="center"/>
              <w:rPr>
                <w:rFonts w:eastAsia="Times New Roman"/>
                <w:sz w:val="21"/>
              </w:rPr>
            </w:pPr>
          </w:p>
        </w:tc>
        <w:tc>
          <w:tcPr>
            <w:tcW w:w="1352" w:type="dxa"/>
            <w:tcBorders>
              <w:top w:val="nil"/>
            </w:tcBorders>
            <w:vAlign w:val="center"/>
          </w:tcPr>
          <w:p>
            <w:pPr>
              <w:pStyle w:val="18"/>
              <w:keepNext/>
              <w:spacing w:line="440" w:lineRule="exact"/>
              <w:ind w:left="63" w:right="63"/>
              <w:jc w:val="center"/>
              <w:rPr>
                <w:rFonts w:eastAsia="Times New Roman"/>
                <w:sz w:val="21"/>
              </w:rPr>
            </w:pPr>
          </w:p>
        </w:tc>
        <w:tc>
          <w:tcPr>
            <w:tcW w:w="1418" w:type="dxa"/>
            <w:tcBorders>
              <w:top w:val="nil"/>
            </w:tcBorders>
            <w:vAlign w:val="center"/>
          </w:tcPr>
          <w:p>
            <w:pPr>
              <w:pStyle w:val="18"/>
              <w:keepNext/>
              <w:spacing w:line="440" w:lineRule="exact"/>
              <w:ind w:left="63" w:right="63"/>
              <w:jc w:val="center"/>
              <w:rPr>
                <w:rFonts w:eastAsia="Times New Roman"/>
                <w:sz w:val="21"/>
              </w:rPr>
            </w:pPr>
          </w:p>
        </w:tc>
        <w:tc>
          <w:tcPr>
            <w:tcW w:w="1701"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94" w:hRule="atLeast"/>
        </w:trPr>
        <w:tc>
          <w:tcPr>
            <w:tcW w:w="993"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98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851"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77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352"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418"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701" w:type="dxa"/>
            <w:tcBorders>
              <w:bottom w:val="single" w:color="auto" w:sz="12" w:space="0"/>
            </w:tcBorders>
            <w:vAlign w:val="center"/>
          </w:tcPr>
          <w:p>
            <w:pPr>
              <w:pStyle w:val="18"/>
              <w:keepNext/>
              <w:spacing w:line="440" w:lineRule="exact"/>
              <w:ind w:left="63" w:right="63"/>
              <w:jc w:val="center"/>
              <w:rPr>
                <w:rFonts w:eastAsia="Times New Roman"/>
                <w:sz w:val="21"/>
              </w:rPr>
            </w:pPr>
          </w:p>
        </w:tc>
      </w:tr>
    </w:tbl>
    <w:p>
      <w:pPr>
        <w:spacing w:beforeLines="50" w:afterLines="50" w:line="440" w:lineRule="exact"/>
        <w:rPr>
          <w:rFonts w:eastAsia="Times New Roman"/>
        </w:rPr>
      </w:pPr>
    </w:p>
    <w:p>
      <w:pPr>
        <w:spacing w:beforeLines="50" w:afterLines="50" w:line="440" w:lineRule="exact"/>
        <w:rPr>
          <w:rFonts w:eastAsia="Times New Roman"/>
        </w:rPr>
      </w:pPr>
    </w:p>
    <w:p>
      <w:pPr>
        <w:spacing w:beforeLines="50" w:afterLines="50" w:line="440" w:lineRule="exact"/>
        <w:jc w:val="center"/>
        <w:rPr>
          <w:rFonts w:eastAsia="Times New Roman"/>
        </w:rPr>
      </w:pPr>
    </w:p>
    <w:p>
      <w:pPr>
        <w:spacing w:beforeLines="50" w:afterLines="50" w:line="440" w:lineRule="exact"/>
        <w:jc w:val="center"/>
        <w:rPr>
          <w:rFonts w:eastAsia="宋体"/>
        </w:rPr>
      </w:pPr>
    </w:p>
    <w:p>
      <w:pPr>
        <w:spacing w:beforeLines="50" w:afterLines="50" w:line="440" w:lineRule="exact"/>
        <w:jc w:val="center"/>
        <w:rPr>
          <w:rFonts w:eastAsia="宋体"/>
        </w:rPr>
      </w:pPr>
    </w:p>
    <w:p>
      <w:pPr>
        <w:spacing w:beforeLines="50" w:afterLines="50" w:line="440" w:lineRule="exact"/>
        <w:jc w:val="center"/>
        <w:rPr>
          <w:rFonts w:eastAsia="Times New Roman"/>
        </w:rPr>
      </w:pPr>
    </w:p>
    <w:p>
      <w:pPr>
        <w:spacing w:beforeLines="50" w:afterLines="50" w:line="440" w:lineRule="exact"/>
        <w:jc w:val="center"/>
        <w:rPr>
          <w:rFonts w:eastAsia="Times New Roman"/>
        </w:rPr>
      </w:pPr>
    </w:p>
    <w:p>
      <w:pPr>
        <w:spacing w:beforeLines="50" w:afterLines="50" w:line="440" w:lineRule="exact"/>
        <w:rPr>
          <w:rFonts w:eastAsia="宋体"/>
        </w:rPr>
      </w:pPr>
    </w:p>
    <w:p>
      <w:pPr>
        <w:spacing w:beforeLines="50" w:afterLines="50" w:line="440" w:lineRule="exact"/>
        <w:rPr>
          <w:rFonts w:eastAsia="宋体"/>
        </w:rPr>
      </w:pPr>
    </w:p>
    <w:tbl>
      <w:tblPr>
        <w:tblStyle w:val="45"/>
        <w:tblpPr w:leftFromText="180" w:rightFromText="180" w:vertAnchor="text" w:horzAnchor="margin" w:tblpXSpec="center" w:tblpY="982"/>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85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单位</w:t>
            </w:r>
          </w:p>
        </w:tc>
        <w:tc>
          <w:tcPr>
            <w:tcW w:w="77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数量</w:t>
            </w:r>
          </w:p>
        </w:tc>
        <w:tc>
          <w:tcPr>
            <w:tcW w:w="13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单价（元）</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合价（元）</w:t>
            </w:r>
          </w:p>
        </w:tc>
        <w:tc>
          <w:tcPr>
            <w:tcW w:w="170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51"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77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35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701"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851" w:type="dxa"/>
            <w:tcBorders>
              <w:top w:val="nil"/>
            </w:tcBorders>
            <w:vAlign w:val="center"/>
          </w:tcPr>
          <w:p>
            <w:pPr>
              <w:pStyle w:val="18"/>
              <w:keepNext/>
              <w:spacing w:line="440" w:lineRule="exact"/>
              <w:ind w:left="63" w:right="63"/>
              <w:jc w:val="center"/>
              <w:rPr>
                <w:rFonts w:eastAsia="Times New Roman"/>
                <w:sz w:val="21"/>
              </w:rPr>
            </w:pPr>
          </w:p>
        </w:tc>
        <w:tc>
          <w:tcPr>
            <w:tcW w:w="774" w:type="dxa"/>
            <w:tcBorders>
              <w:top w:val="nil"/>
            </w:tcBorders>
            <w:vAlign w:val="center"/>
          </w:tcPr>
          <w:p>
            <w:pPr>
              <w:pStyle w:val="18"/>
              <w:keepNext/>
              <w:spacing w:line="440" w:lineRule="exact"/>
              <w:ind w:left="63" w:right="63"/>
              <w:jc w:val="center"/>
              <w:rPr>
                <w:rFonts w:eastAsia="Times New Roman"/>
                <w:sz w:val="21"/>
              </w:rPr>
            </w:pPr>
          </w:p>
        </w:tc>
        <w:tc>
          <w:tcPr>
            <w:tcW w:w="1352" w:type="dxa"/>
            <w:tcBorders>
              <w:top w:val="nil"/>
            </w:tcBorders>
            <w:vAlign w:val="center"/>
          </w:tcPr>
          <w:p>
            <w:pPr>
              <w:pStyle w:val="18"/>
              <w:keepNext/>
              <w:spacing w:line="440" w:lineRule="exact"/>
              <w:ind w:left="63" w:right="63"/>
              <w:jc w:val="center"/>
              <w:rPr>
                <w:rFonts w:eastAsia="Times New Roman"/>
                <w:sz w:val="21"/>
              </w:rPr>
            </w:pPr>
          </w:p>
        </w:tc>
        <w:tc>
          <w:tcPr>
            <w:tcW w:w="1418" w:type="dxa"/>
            <w:tcBorders>
              <w:top w:val="nil"/>
            </w:tcBorders>
            <w:vAlign w:val="center"/>
          </w:tcPr>
          <w:p>
            <w:pPr>
              <w:pStyle w:val="18"/>
              <w:keepNext/>
              <w:spacing w:line="440" w:lineRule="exact"/>
              <w:ind w:left="63" w:right="63"/>
              <w:jc w:val="center"/>
              <w:rPr>
                <w:rFonts w:eastAsia="Times New Roman"/>
                <w:sz w:val="21"/>
              </w:rPr>
            </w:pPr>
          </w:p>
        </w:tc>
        <w:tc>
          <w:tcPr>
            <w:tcW w:w="1701"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98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851"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77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352"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418"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701" w:type="dxa"/>
            <w:tcBorders>
              <w:bottom w:val="single" w:color="auto" w:sz="12" w:space="0"/>
            </w:tcBorders>
            <w:vAlign w:val="center"/>
          </w:tcPr>
          <w:p>
            <w:pPr>
              <w:pStyle w:val="18"/>
              <w:keepNext/>
              <w:spacing w:line="440" w:lineRule="exact"/>
              <w:ind w:left="63" w:right="63"/>
              <w:jc w:val="center"/>
              <w:rPr>
                <w:rFonts w:eastAsia="Times New Roman"/>
                <w:sz w:val="21"/>
              </w:rPr>
            </w:pPr>
          </w:p>
        </w:tc>
      </w:tr>
    </w:tbl>
    <w:p>
      <w:pPr>
        <w:spacing w:beforeLines="50" w:afterLines="50" w:line="440" w:lineRule="exact"/>
        <w:jc w:val="center"/>
        <w:rPr>
          <w:rFonts w:eastAsia="Times New Roman"/>
        </w:rPr>
      </w:pPr>
      <w:r>
        <w:rPr>
          <w:rFonts w:ascii="宋体" w:hAnsi="宋体"/>
        </w:rPr>
        <w:t>7-2</w:t>
      </w:r>
      <w:r>
        <w:rPr>
          <w:rFonts w:hint="eastAsia" w:ascii="宋体" w:hAnsi="宋体"/>
        </w:rPr>
        <w:t>：工程设备暂估价表</w:t>
      </w:r>
    </w:p>
    <w:p>
      <w:pPr>
        <w:spacing w:line="440" w:lineRule="exact"/>
        <w:rPr>
          <w:rFonts w:eastAsia="Times New Roman"/>
        </w:rPr>
      </w:pPr>
    </w:p>
    <w:p>
      <w:pPr>
        <w:spacing w:beforeLines="50" w:afterLines="50" w:line="440" w:lineRule="exact"/>
        <w:jc w:val="center"/>
        <w:rPr>
          <w:rFonts w:eastAsia="Times New Roman"/>
        </w:rPr>
      </w:pPr>
      <w:r>
        <w:rPr>
          <w:rFonts w:eastAsia="Times New Roman"/>
        </w:rPr>
        <w:br w:type="page"/>
      </w:r>
      <w:r>
        <w:rPr>
          <w:rFonts w:ascii="宋体" w:hAnsi="宋体"/>
        </w:rPr>
        <w:t>7-3</w:t>
      </w:r>
      <w:r>
        <w:rPr>
          <w:rFonts w:hint="eastAsia" w:ascii="宋体" w:hAnsi="宋体"/>
        </w:rPr>
        <w:t>：专业工程暂估价表</w:t>
      </w:r>
    </w:p>
    <w:tbl>
      <w:tblPr>
        <w:tblStyle w:val="45"/>
        <w:tblW w:w="8817" w:type="dxa"/>
        <w:tblInd w:w="7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专业工程名称</w:t>
            </w:r>
          </w:p>
        </w:tc>
        <w:tc>
          <w:tcPr>
            <w:tcW w:w="467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工程内容</w:t>
            </w:r>
          </w:p>
        </w:tc>
        <w:tc>
          <w:tcPr>
            <w:tcW w:w="1276"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467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276"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4678" w:type="dxa"/>
            <w:tcBorders>
              <w:top w:val="nil"/>
            </w:tcBorders>
            <w:vAlign w:val="center"/>
          </w:tcPr>
          <w:p>
            <w:pPr>
              <w:pStyle w:val="18"/>
              <w:keepNext/>
              <w:spacing w:line="440" w:lineRule="exact"/>
              <w:ind w:left="63" w:right="63"/>
              <w:jc w:val="center"/>
              <w:rPr>
                <w:rFonts w:eastAsia="Times New Roman"/>
                <w:sz w:val="21"/>
              </w:rPr>
            </w:pPr>
          </w:p>
        </w:tc>
        <w:tc>
          <w:tcPr>
            <w:tcW w:w="1276"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4678" w:type="dxa"/>
            <w:tcBorders>
              <w:top w:val="nil"/>
            </w:tcBorders>
            <w:vAlign w:val="center"/>
          </w:tcPr>
          <w:p>
            <w:pPr>
              <w:pStyle w:val="18"/>
              <w:keepNext/>
              <w:spacing w:line="440" w:lineRule="exact"/>
              <w:ind w:left="63" w:right="63"/>
              <w:jc w:val="center"/>
              <w:rPr>
                <w:rFonts w:eastAsia="Times New Roman"/>
                <w:sz w:val="21"/>
              </w:rPr>
            </w:pPr>
          </w:p>
        </w:tc>
        <w:tc>
          <w:tcPr>
            <w:tcW w:w="1276"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817" w:type="dxa"/>
            <w:gridSpan w:val="4"/>
            <w:tcBorders>
              <w:bottom w:val="single" w:color="auto" w:sz="12" w:space="0"/>
            </w:tcBorders>
            <w:vAlign w:val="center"/>
          </w:tcPr>
          <w:p>
            <w:pPr>
              <w:pStyle w:val="18"/>
              <w:keepNext/>
              <w:spacing w:line="440" w:lineRule="exact"/>
              <w:ind w:left="63" w:right="63"/>
              <w:jc w:val="center"/>
              <w:rPr>
                <w:rFonts w:eastAsia="Times New Roman"/>
                <w:sz w:val="21"/>
              </w:rPr>
            </w:pPr>
            <w:r>
              <w:rPr>
                <w:rFonts w:hint="eastAsia"/>
                <w:sz w:val="21"/>
              </w:rPr>
              <w:t>小计：</w:t>
            </w:r>
          </w:p>
        </w:tc>
      </w:tr>
    </w:tbl>
    <w:p>
      <w:pPr>
        <w:rPr>
          <w:rFonts w:eastAsia="Times New Roman"/>
        </w:rPr>
      </w:pPr>
    </w:p>
    <w:p>
      <w:pPr>
        <w:spacing w:line="400" w:lineRule="exact"/>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pStyle w:val="18"/>
        <w:kinsoku w:val="0"/>
        <w:overflowPunct w:val="0"/>
        <w:spacing w:line="440" w:lineRule="exact"/>
        <w:ind w:left="0"/>
        <w:rPr>
          <w:rFonts w:eastAsia="宋体"/>
        </w:rPr>
      </w:pPr>
    </w:p>
    <w:p>
      <w:pPr>
        <w:pStyle w:val="19"/>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rFonts w:hint="eastAsia"/>
          <w:w w:val="95"/>
        </w:rPr>
      </w:pPr>
    </w:p>
    <w:p>
      <w:pPr>
        <w:pStyle w:val="3"/>
        <w:numPr>
          <w:ilvl w:val="0"/>
          <w:numId w:val="2"/>
        </w:numPr>
        <w:tabs>
          <w:tab w:val="left" w:pos="1283"/>
        </w:tabs>
        <w:kinsoku w:val="0"/>
        <w:overflowPunct w:val="0"/>
        <w:ind w:left="111" w:leftChars="0" w:right="61" w:firstLine="480" w:firstLineChars="0"/>
        <w:jc w:val="center"/>
        <w:rPr>
          <w:rFonts w:hint="eastAsia"/>
          <w:w w:val="95"/>
          <w:lang w:eastAsia="zh-CN"/>
        </w:rPr>
      </w:pPr>
      <w:r>
        <w:rPr>
          <w:rFonts w:hint="eastAsia"/>
          <w:w w:val="95"/>
        </w:rPr>
        <w:t>技术</w:t>
      </w:r>
      <w:r>
        <w:rPr>
          <w:rFonts w:hint="eastAsia"/>
          <w:w w:val="95"/>
          <w:lang w:eastAsia="zh-CN"/>
        </w:rPr>
        <w:t>标准及要求</w:t>
      </w:r>
    </w:p>
    <w:p>
      <w:pPr>
        <w:numPr>
          <w:ilvl w:val="0"/>
          <w:numId w:val="0"/>
        </w:numPr>
        <w:ind w:left="591" w:leftChars="0"/>
        <w:rPr>
          <w:rFonts w:hint="eastAsia"/>
          <w:lang w:eastAsia="zh-CN"/>
        </w:rPr>
      </w:pPr>
    </w:p>
    <w:p>
      <w:pPr>
        <w:pStyle w:val="2"/>
        <w:rPr>
          <w:rFonts w:hint="eastAsia"/>
          <w:lang w:eastAsia="zh-CN"/>
        </w:rPr>
      </w:pPr>
    </w:p>
    <w:p>
      <w:pPr>
        <w:pStyle w:val="2"/>
        <w:wordWrap/>
        <w:autoSpaceDE w:val="0"/>
        <w:autoSpaceDN w:val="0"/>
        <w:adjustRightInd w:val="0"/>
        <w:snapToGrid/>
        <w:spacing w:line="500" w:lineRule="exact"/>
        <w:ind w:left="0" w:lef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pPr>
        <w:widowControl w:val="0"/>
        <w:wordWrap/>
        <w:autoSpaceDE w:val="0"/>
        <w:autoSpaceDN w:val="0"/>
        <w:adjustRightInd w:val="0"/>
        <w:snapToGrid/>
        <w:spacing w:line="5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项目名称：</w:t>
      </w:r>
      <w:r>
        <w:rPr>
          <w:rFonts w:hint="eastAsia" w:ascii="宋体" w:hAnsi="宋体" w:cs="宋体"/>
          <w:color w:val="auto"/>
          <w:sz w:val="24"/>
          <w:szCs w:val="24"/>
          <w:lang w:eastAsia="zh-CN"/>
        </w:rPr>
        <w:t>新疆博湖通用机场首选址临时气象观测站建设及气象条件分析项目</w:t>
      </w:r>
      <w:r>
        <w:rPr>
          <w:rFonts w:hint="eastAsia" w:ascii="宋体" w:hAnsi="宋体" w:eastAsia="宋体" w:cs="宋体"/>
          <w:color w:val="auto"/>
          <w:sz w:val="24"/>
          <w:szCs w:val="24"/>
        </w:rPr>
        <w:t xml:space="preserve"> </w:t>
      </w:r>
    </w:p>
    <w:p>
      <w:pPr>
        <w:wordWrap/>
        <w:autoSpaceDE w:val="0"/>
        <w:autoSpaceDN w:val="0"/>
        <w:adjustRightInd w:val="0"/>
        <w:snapToGrid/>
        <w:spacing w:line="500" w:lineRule="exact"/>
        <w:ind w:firstLine="482" w:firstLineChars="200"/>
        <w:textAlignment w:val="auto"/>
        <w:rPr>
          <w:rFonts w:hint="eastAsia" w:ascii="宋体" w:hAnsi="宋体" w:eastAsia="宋体" w:cs="宋体"/>
          <w:color w:val="auto"/>
          <w:szCs w:val="21"/>
          <w:lang w:val="en-US" w:eastAsia="zh-CN"/>
        </w:rPr>
      </w:pPr>
      <w:r>
        <w:rPr>
          <w:rFonts w:hint="eastAsia" w:ascii="宋体" w:hAnsi="宋体" w:eastAsia="宋体" w:cs="宋体"/>
          <w:b/>
          <w:bCs/>
          <w:color w:val="auto"/>
          <w:sz w:val="24"/>
          <w:szCs w:val="24"/>
          <w:lang w:val="en-US" w:eastAsia="zh-CN"/>
        </w:rPr>
        <w:t>2、建设内容：</w:t>
      </w:r>
      <w:r>
        <w:rPr>
          <w:rFonts w:hint="eastAsia"/>
          <w:color w:val="auto"/>
          <w:lang w:eastAsia="zh-CN"/>
        </w:rPr>
        <w:t>（1）建设六要素自动气象站（含风向、风速、温度、湿度、雨量、气压）1套，云高仪1套，前向散射仪（含天气现象）1套；（</w:t>
      </w:r>
      <w:r>
        <w:rPr>
          <w:rFonts w:hint="eastAsia"/>
          <w:color w:val="auto"/>
          <w:lang w:val="en-US" w:eastAsia="zh-CN"/>
        </w:rPr>
        <w:t>2</w:t>
      </w:r>
      <w:r>
        <w:rPr>
          <w:rFonts w:hint="eastAsia"/>
          <w:color w:val="auto"/>
          <w:lang w:eastAsia="zh-CN"/>
        </w:rPr>
        <w:t>）建设16×16平方米气象观测场1个，</w:t>
      </w:r>
      <w:r>
        <w:rPr>
          <w:rFonts w:hint="eastAsia"/>
          <w:color w:val="auto"/>
          <w:lang w:val="en-US" w:eastAsia="zh-CN"/>
        </w:rPr>
        <w:t>建站后完成气象观测站的运行维护，</w:t>
      </w:r>
      <w:r>
        <w:rPr>
          <w:rFonts w:hint="eastAsia"/>
          <w:color w:val="auto"/>
          <w:lang w:eastAsia="zh-CN"/>
        </w:rPr>
        <w:t>并观测、采集1年以上气象数据</w:t>
      </w:r>
      <w:r>
        <w:rPr>
          <w:rFonts w:hint="eastAsia"/>
          <w:color w:val="auto"/>
          <w:lang w:val="en-US" w:eastAsia="zh-CN"/>
        </w:rPr>
        <w:t xml:space="preserve"> </w:t>
      </w:r>
      <w:r>
        <w:rPr>
          <w:rFonts w:hint="eastAsia"/>
          <w:color w:val="auto"/>
          <w:lang w:eastAsia="zh-CN"/>
        </w:rPr>
        <w:t>；（</w:t>
      </w:r>
      <w:r>
        <w:rPr>
          <w:rFonts w:hint="eastAsia"/>
          <w:color w:val="auto"/>
          <w:lang w:val="en-US" w:eastAsia="zh-CN"/>
        </w:rPr>
        <w:t>3</w:t>
      </w:r>
      <w:r>
        <w:rPr>
          <w:rFonts w:hint="eastAsia"/>
          <w:color w:val="auto"/>
          <w:lang w:eastAsia="zh-CN"/>
        </w:rPr>
        <w:t>）临时气象观测站观测时间连续满1个完整年度后，应形成满足民航要求的气象条件分析报告。</w:t>
      </w:r>
    </w:p>
    <w:p>
      <w:pPr>
        <w:widowControl w:val="0"/>
        <w:wordWrap/>
        <w:autoSpaceDE w:val="0"/>
        <w:autoSpaceDN w:val="0"/>
        <w:adjustRightInd w:val="0"/>
        <w:snapToGrid/>
        <w:spacing w:line="50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项目建设地点：</w:t>
      </w:r>
      <w:r>
        <w:rPr>
          <w:rFonts w:hint="eastAsia" w:ascii="宋体" w:hAnsi="宋体" w:eastAsia="宋体" w:cs="宋体"/>
          <w:color w:val="auto"/>
          <w:sz w:val="24"/>
          <w:szCs w:val="24"/>
          <w:lang w:eastAsia="zh-CN"/>
        </w:rPr>
        <w:t>博湖县。</w:t>
      </w:r>
    </w:p>
    <w:p>
      <w:pPr>
        <w:wordWrap/>
        <w:autoSpaceDE w:val="0"/>
        <w:autoSpaceDN w:val="0"/>
        <w:adjustRightInd w:val="0"/>
        <w:snapToGrid/>
        <w:spacing w:line="500" w:lineRule="exact"/>
        <w:ind w:firstLine="482" w:firstLineChars="200"/>
        <w:textAlignment w:val="auto"/>
        <w:rPr>
          <w:rFonts w:hint="eastAsia"/>
          <w:color w:val="auto"/>
          <w:lang w:val="en-US"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采购</w:t>
      </w:r>
      <w:r>
        <w:rPr>
          <w:rFonts w:hint="eastAsia" w:ascii="宋体" w:hAnsi="宋体" w:eastAsia="宋体" w:cs="宋体"/>
          <w:b/>
          <w:bCs/>
          <w:color w:val="auto"/>
          <w:sz w:val="24"/>
          <w:szCs w:val="24"/>
          <w:lang w:eastAsia="zh-CN"/>
        </w:rPr>
        <w:t>范围</w:t>
      </w:r>
      <w:r>
        <w:rPr>
          <w:rFonts w:hint="eastAsia" w:ascii="宋体" w:hAnsi="宋体" w:eastAsia="宋体" w:cs="宋体"/>
          <w:b/>
          <w:bCs/>
          <w:color w:val="auto"/>
          <w:sz w:val="24"/>
          <w:szCs w:val="24"/>
        </w:rPr>
        <w:t>：</w:t>
      </w:r>
      <w:r>
        <w:rPr>
          <w:rFonts w:hint="eastAsia"/>
          <w:color w:val="auto"/>
          <w:lang w:val="en-US" w:eastAsia="zh-CN"/>
        </w:rPr>
        <w:t>新疆博湖通用机场首选址临时气象观测站建设及气象条件分析项目的临时气象观测站建设、运行维护、气象分析及论证报告的编制。具体内容包括：</w:t>
      </w:r>
    </w:p>
    <w:p>
      <w:pPr>
        <w:wordWrap/>
        <w:autoSpaceDE w:val="0"/>
        <w:autoSpaceDN w:val="0"/>
        <w:adjustRightInd w:val="0"/>
        <w:snapToGrid/>
        <w:spacing w:line="500" w:lineRule="exact"/>
        <w:ind w:firstLine="48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（1）建设六要素自动气象站（含风向、风速、温度、湿度、雨量、气压）1套，云高仪1套，前向散射仪（含天气现象）1套，供应商提供的设备须通过民航局试验验证。</w:t>
      </w:r>
    </w:p>
    <w:p>
      <w:pPr>
        <w:wordWrap/>
        <w:autoSpaceDE w:val="0"/>
        <w:autoSpaceDN w:val="0"/>
        <w:adjustRightInd w:val="0"/>
        <w:snapToGrid/>
        <w:spacing w:line="500" w:lineRule="exact"/>
        <w:ind w:firstLine="48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（2）建设16×16平方米气象观测场1个，观测场内线缆需穿管敷设，外设围栏，围栏可以为铁质（白色）、不锈钢或塑钢等材质。</w:t>
      </w:r>
    </w:p>
    <w:p>
      <w:pPr>
        <w:wordWrap/>
        <w:autoSpaceDE w:val="0"/>
        <w:autoSpaceDN w:val="0"/>
        <w:adjustRightInd w:val="0"/>
        <w:snapToGrid/>
        <w:spacing w:line="500" w:lineRule="exact"/>
        <w:ind w:firstLine="48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3）临时气象观测站建成后试运行1个月，经民航气象专业部门认定，观测数据正常后正式投入使用，需观测、采集1年以上气象数据，运行期间每个月需进行人工维护，维护人员应具备气象相关专业背景及气象行业工作经历。</w:t>
      </w:r>
    </w:p>
    <w:p>
      <w:pPr>
        <w:wordWrap/>
        <w:autoSpaceDE w:val="0"/>
        <w:autoSpaceDN w:val="0"/>
        <w:adjustRightInd w:val="0"/>
        <w:snapToGrid/>
        <w:spacing w:line="500" w:lineRule="exact"/>
        <w:ind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（4）临时气象观测站观测时间连续满1个完整年度后，应形成满足民航要求的气象条件分析报告。</w:t>
      </w:r>
    </w:p>
    <w:p>
      <w:pPr>
        <w:widowControl/>
        <w:spacing w:line="360" w:lineRule="auto"/>
        <w:ind w:firstLine="482" w:firstLineChars="200"/>
        <w:jc w:val="left"/>
        <w:rPr>
          <w:rFonts w:hint="eastAsia" w:ascii="宋体" w:hAnsi="宋体" w:eastAsia="宋体" w:cs="宋体"/>
          <w:bCs/>
          <w:color w:val="FF0000"/>
          <w:sz w:val="24"/>
          <w:szCs w:val="24"/>
          <w:lang w:val="en-US" w:eastAsia="zh-CN"/>
        </w:rPr>
      </w:pPr>
      <w:r>
        <w:rPr>
          <w:rFonts w:hint="eastAsia" w:ascii="宋体" w:hAnsi="宋体" w:eastAsia="宋体" w:cs="宋体"/>
          <w:b/>
          <w:bCs w:val="0"/>
          <w:color w:val="000000"/>
          <w:sz w:val="24"/>
          <w:szCs w:val="24"/>
          <w:lang w:val="en-US" w:eastAsia="zh-CN"/>
        </w:rPr>
        <w:t>5、</w:t>
      </w:r>
      <w:r>
        <w:rPr>
          <w:rFonts w:hint="eastAsia" w:ascii="宋体" w:hAnsi="宋体" w:eastAsia="宋体" w:cs="Times New Roman"/>
          <w:b/>
          <w:bCs w:val="0"/>
          <w:color w:val="000000"/>
          <w:szCs w:val="21"/>
          <w:lang w:val="en-US" w:eastAsia="zh-CN"/>
        </w:rPr>
        <w:t>工期：</w:t>
      </w:r>
      <w:r>
        <w:rPr>
          <w:rFonts w:hint="eastAsia" w:ascii="宋体" w:hAnsi="宋体" w:eastAsia="宋体" w:cs="Times New Roman"/>
          <w:bCs/>
          <w:color w:val="auto"/>
          <w:szCs w:val="21"/>
          <w:lang w:val="en-US" w:eastAsia="zh-CN"/>
        </w:rPr>
        <w:t>临时气象观测站建设</w:t>
      </w:r>
      <w:r>
        <w:rPr>
          <w:rFonts w:hint="eastAsia" w:ascii="宋体" w:hAnsi="宋体" w:eastAsia="宋体" w:cs="Times New Roman"/>
          <w:bCs/>
          <w:color w:val="0000FF"/>
          <w:szCs w:val="21"/>
          <w:lang w:val="en-US" w:eastAsia="zh-CN"/>
        </w:rPr>
        <w:t>（合同签订后60天内完成，计划2022年7月</w:t>
      </w:r>
      <w:r>
        <w:rPr>
          <w:rFonts w:hint="eastAsia" w:ascii="宋体" w:hAnsi="宋体" w:cs="Times New Roman"/>
          <w:bCs/>
          <w:color w:val="0000FF"/>
          <w:szCs w:val="21"/>
          <w:lang w:val="en-US" w:eastAsia="zh-CN"/>
        </w:rPr>
        <w:t>2</w:t>
      </w:r>
      <w:r>
        <w:rPr>
          <w:rFonts w:hint="default" w:ascii="宋体" w:hAnsi="宋体" w:cs="Times New Roman"/>
          <w:bCs/>
          <w:color w:val="0000FF"/>
          <w:szCs w:val="21"/>
          <w:lang w:val="en-US" w:eastAsia="zh-CN"/>
        </w:rPr>
        <w:t>3</w:t>
      </w:r>
      <w:r>
        <w:rPr>
          <w:rFonts w:hint="eastAsia" w:ascii="宋体" w:hAnsi="宋体" w:eastAsia="宋体" w:cs="Times New Roman"/>
          <w:bCs/>
          <w:color w:val="0000FF"/>
          <w:szCs w:val="21"/>
          <w:lang w:val="en-US" w:eastAsia="zh-CN"/>
        </w:rPr>
        <w:t>日开工，2022年9月</w:t>
      </w:r>
      <w:r>
        <w:rPr>
          <w:rFonts w:hint="default" w:ascii="宋体" w:hAnsi="宋体" w:cs="Times New Roman"/>
          <w:bCs/>
          <w:color w:val="0000FF"/>
          <w:szCs w:val="21"/>
          <w:lang w:val="en-US" w:eastAsia="zh-CN"/>
        </w:rPr>
        <w:t>20</w:t>
      </w:r>
      <w:r>
        <w:rPr>
          <w:rFonts w:hint="eastAsia" w:ascii="宋体" w:hAnsi="宋体" w:eastAsia="宋体" w:cs="Times New Roman"/>
          <w:bCs/>
          <w:color w:val="0000FF"/>
          <w:szCs w:val="21"/>
          <w:lang w:val="en-US" w:eastAsia="zh-CN"/>
        </w:rPr>
        <w:t>日竣工）</w:t>
      </w:r>
      <w:r>
        <w:rPr>
          <w:rFonts w:hint="eastAsia" w:ascii="宋体" w:hAnsi="宋体" w:cs="Times New Roman"/>
          <w:bCs/>
          <w:color w:val="0000FF"/>
          <w:szCs w:val="21"/>
          <w:lang w:val="en-US" w:eastAsia="zh-CN"/>
        </w:rPr>
        <w:t>；</w:t>
      </w:r>
      <w:r>
        <w:rPr>
          <w:rFonts w:hint="eastAsia"/>
          <w:color w:val="auto"/>
        </w:rPr>
        <w:t>气象分析及论证报告（1年）</w:t>
      </w:r>
      <w:r>
        <w:rPr>
          <w:rFonts w:hint="eastAsia"/>
          <w:color w:val="auto"/>
          <w:lang w:eastAsia="zh-CN"/>
        </w:rPr>
        <w:t>。</w:t>
      </w:r>
    </w:p>
    <w:p>
      <w:pPr>
        <w:pStyle w:val="13"/>
        <w:wordWrap/>
        <w:autoSpaceDE w:val="0"/>
        <w:autoSpaceDN w:val="0"/>
        <w:adjustRightInd w:val="0"/>
        <w:snapToGrid/>
        <w:spacing w:line="500" w:lineRule="exact"/>
        <w:ind w:firstLine="482" w:firstLineChars="200"/>
        <w:textAlignment w:val="auto"/>
        <w:rPr>
          <w:rFonts w:hint="eastAsia" w:ascii="宋体" w:hAnsi="宋体" w:eastAsia="宋体" w:cs="宋体"/>
          <w:color w:val="FF0000"/>
          <w:sz w:val="24"/>
          <w:szCs w:val="24"/>
          <w:lang w:val="en-US" w:eastAsia="zh-CN" w:bidi="ar-SA"/>
        </w:rPr>
      </w:pP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预算</w:t>
      </w:r>
      <w:r>
        <w:rPr>
          <w:rFonts w:hint="eastAsia" w:ascii="宋体" w:hAnsi="宋体" w:eastAsia="宋体" w:cs="宋体"/>
          <w:b/>
          <w:bCs/>
          <w:color w:val="auto"/>
          <w:sz w:val="24"/>
          <w:szCs w:val="24"/>
        </w:rPr>
        <w:t>金额</w:t>
      </w:r>
      <w:r>
        <w:rPr>
          <w:rFonts w:hint="eastAsia" w:cs="宋体"/>
          <w:b/>
          <w:bCs/>
          <w:color w:val="auto"/>
          <w:sz w:val="24"/>
          <w:szCs w:val="24"/>
          <w:lang w:eastAsia="zh-CN"/>
        </w:rPr>
        <w:t>（</w:t>
      </w:r>
      <w:r>
        <w:rPr>
          <w:rFonts w:hint="eastAsia" w:cs="宋体"/>
          <w:b/>
          <w:bCs/>
          <w:color w:val="auto"/>
          <w:sz w:val="24"/>
          <w:szCs w:val="24"/>
          <w:lang w:val="en-US" w:eastAsia="zh-CN"/>
        </w:rPr>
        <w:t>最高限价</w:t>
      </w:r>
      <w:r>
        <w:rPr>
          <w:rFonts w:hint="eastAsia"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lang w:val="en-US" w:eastAsia="zh-CN" w:bidi="ar-SA"/>
        </w:rPr>
        <w:t>160万元。磋商报价不得高于</w:t>
      </w:r>
      <w:r>
        <w:rPr>
          <w:rFonts w:hint="eastAsia" w:cs="宋体"/>
          <w:color w:val="auto"/>
          <w:sz w:val="24"/>
          <w:szCs w:val="24"/>
          <w:lang w:val="en-US" w:eastAsia="zh-CN" w:bidi="ar-SA"/>
        </w:rPr>
        <w:t>最高限价</w:t>
      </w:r>
      <w:r>
        <w:rPr>
          <w:rFonts w:hint="eastAsia" w:ascii="宋体" w:hAnsi="宋体" w:eastAsia="宋体" w:cs="宋体"/>
          <w:color w:val="auto"/>
          <w:sz w:val="24"/>
          <w:szCs w:val="24"/>
          <w:lang w:val="en-US" w:eastAsia="zh-CN" w:bidi="ar-SA"/>
        </w:rPr>
        <w:t>，否则响应文件将被拒绝。</w:t>
      </w:r>
    </w:p>
    <w:p>
      <w:pPr>
        <w:spacing w:line="488" w:lineRule="exact"/>
        <w:ind w:firstLine="482"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bCs/>
          <w:color w:val="auto"/>
          <w:sz w:val="24"/>
          <w:szCs w:val="24"/>
          <w:lang w:val="en-US" w:eastAsia="zh-CN"/>
        </w:rPr>
        <w:t>7、质量要求：</w:t>
      </w:r>
      <w:r>
        <w:rPr>
          <w:rFonts w:hint="eastAsia" w:ascii="宋体" w:hAnsi="宋体"/>
          <w:color w:val="auto"/>
          <w:u w:val="none"/>
          <w:lang w:val="zh-CN" w:eastAsia="zh-CN"/>
        </w:rPr>
        <w:t>符合国家质量验收合格标准。</w:t>
      </w:r>
      <w:r>
        <w:rPr>
          <w:rFonts w:hint="eastAsia"/>
          <w:b w:val="0"/>
          <w:bCs w:val="0"/>
          <w:color w:val="auto"/>
          <w:u w:val="none"/>
        </w:rPr>
        <w:t>本合同所采购的气象自动观测站及前</w:t>
      </w:r>
      <w:r>
        <w:rPr>
          <w:rFonts w:hint="eastAsia"/>
          <w:b w:val="0"/>
          <w:bCs w:val="0"/>
          <w:color w:val="auto"/>
          <w:u w:val="none"/>
          <w:lang w:val="en-US" w:eastAsia="zh-CN"/>
        </w:rPr>
        <w:t>向</w:t>
      </w:r>
      <w:r>
        <w:rPr>
          <w:rFonts w:hint="eastAsia"/>
          <w:b w:val="0"/>
          <w:bCs w:val="0"/>
          <w:color w:val="auto"/>
          <w:u w:val="none"/>
        </w:rPr>
        <w:t>散射仪、云高仪必须符合民航管理局的要求，且承包人所编制的气象报告、提供的气象数据符合行业主管部门标准。</w:t>
      </w:r>
    </w:p>
    <w:p>
      <w:pPr>
        <w:wordWrap/>
        <w:autoSpaceDE w:val="0"/>
        <w:autoSpaceDN w:val="0"/>
        <w:adjustRightInd w:val="0"/>
        <w:snapToGrid/>
        <w:spacing w:line="50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bidi="ar-SA"/>
        </w:rPr>
        <w:t>8、付款方式：</w:t>
      </w:r>
      <w:r>
        <w:rPr>
          <w:rFonts w:hint="eastAsia" w:ascii="宋体" w:hAnsi="宋体" w:eastAsia="宋体" w:cs="宋体"/>
          <w:color w:val="auto"/>
          <w:sz w:val="24"/>
          <w:szCs w:val="24"/>
          <w:lang w:val="en-US" w:eastAsia="zh-CN"/>
        </w:rPr>
        <w:t>合同签订后支付合同总价</w:t>
      </w:r>
      <w:r>
        <w:rPr>
          <w:rFonts w:hint="eastAsia" w:ascii="宋体" w:hAnsi="宋体" w:eastAsia="宋体" w:cs="宋体"/>
          <w:color w:val="auto"/>
          <w:sz w:val="24"/>
          <w:szCs w:val="24"/>
          <w:cs/>
          <w:lang w:val="en-US" w:eastAsia="zh-CN"/>
        </w:rPr>
        <w:t>30%</w:t>
      </w:r>
      <w:r>
        <w:rPr>
          <w:rFonts w:hint="eastAsia" w:ascii="宋体" w:hAnsi="宋体" w:eastAsia="宋体" w:cs="宋体"/>
          <w:color w:val="auto"/>
          <w:sz w:val="24"/>
          <w:szCs w:val="24"/>
          <w:lang w:val="en-US" w:eastAsia="zh-CN"/>
        </w:rPr>
        <w:t>的工程预付款，货到交货地点通过初验、安装、调试、培训、验收合格后，支付至合同价款的80</w:t>
      </w:r>
      <w:r>
        <w:rPr>
          <w:rFonts w:hint="eastAsia" w:ascii="宋体" w:hAnsi="宋体" w:eastAsia="宋体" w:cs="宋体"/>
          <w:color w:val="auto"/>
          <w:sz w:val="24"/>
          <w:szCs w:val="24"/>
          <w:cs/>
          <w:lang w:val="en-US" w:eastAsia="zh-CN"/>
        </w:rPr>
        <w:t>%</w:t>
      </w:r>
      <w:r>
        <w:rPr>
          <w:rFonts w:hint="eastAsia" w:ascii="宋体" w:hAnsi="宋体" w:eastAsia="宋体" w:cs="宋体"/>
          <w:color w:val="auto"/>
          <w:sz w:val="24"/>
          <w:szCs w:val="24"/>
          <w:lang w:val="en-US" w:eastAsia="zh-CN"/>
        </w:rPr>
        <w:t>，完成气候分析及论证报告支付至合同价款的100%。最终付款方式按中标后合同约定。</w:t>
      </w:r>
    </w:p>
    <w:p>
      <w:pPr>
        <w:wordWrap/>
        <w:autoSpaceDE w:val="0"/>
        <w:autoSpaceDN w:val="0"/>
        <w:adjustRightInd w:val="0"/>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验收付款时供应商应必须提交：</w:t>
      </w:r>
    </w:p>
    <w:p>
      <w:pPr>
        <w:wordWrap/>
        <w:autoSpaceDE w:val="0"/>
        <w:autoSpaceDN w:val="0"/>
        <w:adjustRightInd w:val="0"/>
        <w:snapToGrid/>
        <w:spacing w:line="50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（1）符合招标人要求的发票；</w:t>
      </w:r>
    </w:p>
    <w:p>
      <w:pPr>
        <w:pStyle w:val="2"/>
        <w:wordWrap/>
        <w:autoSpaceDE w:val="0"/>
        <w:autoSpaceDN w:val="0"/>
        <w:adjustRightInd w:val="0"/>
        <w:snapToGrid/>
        <w:spacing w:line="500" w:lineRule="exact"/>
        <w:ind w:left="0" w:leftChars="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（2）采购人认可的签字盖章的验收回执一份。</w:t>
      </w:r>
    </w:p>
    <w:p>
      <w:pPr>
        <w:pStyle w:val="2"/>
        <w:wordWrap/>
        <w:autoSpaceDE w:val="0"/>
        <w:autoSpaceDN w:val="0"/>
        <w:adjustRightInd w:val="0"/>
        <w:snapToGrid/>
        <w:spacing w:line="500" w:lineRule="exact"/>
        <w:ind w:left="0" w:lef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二、技术标准</w:t>
      </w:r>
    </w:p>
    <w:p>
      <w:pPr>
        <w:pStyle w:val="2"/>
        <w:wordWrap/>
        <w:autoSpaceDE w:val="0"/>
        <w:autoSpaceDN w:val="0"/>
        <w:adjustRightInd w:val="0"/>
        <w:snapToGrid/>
        <w:spacing w:line="500" w:lineRule="exact"/>
        <w:ind w:left="0" w:leftChars="0" w:firstLine="480" w:firstLineChars="200"/>
        <w:textAlignment w:val="auto"/>
        <w:rPr>
          <w:rFonts w:hint="eastAsia" w:ascii="宋体" w:hAnsi="宋体" w:eastAsia="宋体" w:cs="宋体"/>
          <w:color w:val="auto"/>
          <w:sz w:val="24"/>
          <w:szCs w:val="24"/>
        </w:rPr>
      </w:pPr>
      <w:r>
        <w:rPr>
          <w:rFonts w:hint="eastAsia"/>
          <w:color w:val="auto"/>
          <w:u w:val="none"/>
        </w:rPr>
        <w:t xml:space="preserve">执行国家有关施工验收规范、质量评定标准及民航、自治区相关标准及规定 </w:t>
      </w:r>
      <w:r>
        <w:rPr>
          <w:rFonts w:hint="eastAsia"/>
          <w:color w:val="auto"/>
          <w:u w:val="none"/>
          <w:lang w:eastAsia="zh-CN"/>
        </w:rPr>
        <w:t>。</w:t>
      </w:r>
    </w:p>
    <w:p>
      <w:pPr>
        <w:wordWrap/>
        <w:autoSpaceDE w:val="0"/>
        <w:autoSpaceDN w:val="0"/>
        <w:adjustRightInd w:val="0"/>
        <w:snapToGrid/>
        <w:spacing w:line="500" w:lineRule="exact"/>
        <w:textAlignment w:val="auto"/>
        <w:rPr>
          <w:rFonts w:hint="eastAsia" w:ascii="宋体" w:hAnsi="宋体" w:eastAsia="宋体" w:cs="宋体"/>
          <w:color w:val="auto"/>
          <w:w w:val="95"/>
          <w:sz w:val="24"/>
          <w:szCs w:val="24"/>
        </w:rPr>
      </w:pPr>
      <w:r>
        <w:rPr>
          <w:rFonts w:hint="eastAsia" w:ascii="宋体" w:hAnsi="宋体" w:eastAsia="宋体" w:cs="宋体"/>
          <w:b/>
          <w:bCs/>
          <w:color w:val="auto"/>
          <w:sz w:val="24"/>
          <w:szCs w:val="24"/>
          <w:lang w:val="en-US" w:eastAsia="zh-CN" w:bidi="ar-SA"/>
        </w:rPr>
        <w:t>三、项目清单</w:t>
      </w:r>
    </w:p>
    <w:p>
      <w:pPr>
        <w:rPr>
          <w:rFonts w:hint="eastAsia"/>
        </w:rPr>
      </w:pPr>
    </w:p>
    <w:tbl>
      <w:tblPr>
        <w:tblStyle w:val="45"/>
        <w:tblpPr w:leftFromText="180" w:rightFromText="180" w:vertAnchor="text" w:horzAnchor="page" w:tblpX="1485" w:tblpY="42"/>
        <w:tblOverlap w:val="never"/>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3015"/>
        <w:gridCol w:w="1435"/>
        <w:gridCol w:w="1435"/>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trPr>
        <w:tc>
          <w:tcPr>
            <w:tcW w:w="1012" w:type="dxa"/>
            <w:vAlign w:val="center"/>
          </w:tcPr>
          <w:p>
            <w:pPr>
              <w:pStyle w:val="68"/>
              <w:kinsoku w:val="0"/>
              <w:overflowPunct w:val="0"/>
              <w:jc w:val="center"/>
              <w:rPr>
                <w:rFonts w:ascii="宋体" w:hAnsi="宋体"/>
                <w:color w:val="auto"/>
                <w:sz w:val="20"/>
                <w:szCs w:val="20"/>
              </w:rPr>
            </w:pPr>
            <w:r>
              <w:rPr>
                <w:rFonts w:hint="eastAsia" w:ascii="宋体" w:hAnsi="宋体" w:cs="宋体"/>
                <w:b/>
                <w:bCs/>
                <w:color w:val="auto"/>
                <w:sz w:val="20"/>
                <w:szCs w:val="20"/>
              </w:rPr>
              <w:t>序号</w:t>
            </w:r>
          </w:p>
        </w:tc>
        <w:tc>
          <w:tcPr>
            <w:tcW w:w="3015" w:type="dxa"/>
            <w:vAlign w:val="center"/>
          </w:tcPr>
          <w:p>
            <w:pPr>
              <w:pStyle w:val="68"/>
              <w:kinsoku w:val="0"/>
              <w:overflowPunct w:val="0"/>
              <w:jc w:val="center"/>
              <w:rPr>
                <w:rFonts w:ascii="宋体" w:hAnsi="宋体"/>
                <w:color w:val="auto"/>
                <w:sz w:val="20"/>
                <w:szCs w:val="20"/>
              </w:rPr>
            </w:pPr>
            <w:r>
              <w:rPr>
                <w:rFonts w:hint="eastAsia" w:ascii="宋体" w:hAnsi="宋体" w:cs="宋体"/>
                <w:b/>
                <w:bCs/>
                <w:color w:val="auto"/>
                <w:sz w:val="20"/>
                <w:szCs w:val="20"/>
              </w:rPr>
              <w:t>设备名称</w:t>
            </w:r>
          </w:p>
        </w:tc>
        <w:tc>
          <w:tcPr>
            <w:tcW w:w="1435" w:type="dxa"/>
            <w:vAlign w:val="center"/>
          </w:tcPr>
          <w:p>
            <w:pPr>
              <w:pStyle w:val="68"/>
              <w:kinsoku w:val="0"/>
              <w:overflowPunct w:val="0"/>
              <w:jc w:val="center"/>
              <w:rPr>
                <w:rFonts w:hint="eastAsia" w:ascii="宋体" w:hAnsi="宋体" w:cs="宋体"/>
                <w:b/>
                <w:bCs/>
                <w:color w:val="auto"/>
                <w:sz w:val="20"/>
                <w:szCs w:val="20"/>
              </w:rPr>
            </w:pPr>
            <w:r>
              <w:rPr>
                <w:rFonts w:hint="eastAsia" w:ascii="宋体" w:hAnsi="宋体" w:cs="宋体"/>
                <w:b/>
                <w:bCs/>
                <w:color w:val="auto"/>
                <w:sz w:val="20"/>
                <w:szCs w:val="20"/>
              </w:rPr>
              <w:t>单位</w:t>
            </w:r>
          </w:p>
        </w:tc>
        <w:tc>
          <w:tcPr>
            <w:tcW w:w="1435" w:type="dxa"/>
            <w:vAlign w:val="center"/>
          </w:tcPr>
          <w:p>
            <w:pPr>
              <w:pStyle w:val="68"/>
              <w:kinsoku w:val="0"/>
              <w:overflowPunct w:val="0"/>
              <w:jc w:val="center"/>
              <w:rPr>
                <w:rFonts w:ascii="宋体" w:hAnsi="宋体"/>
                <w:color w:val="auto"/>
                <w:sz w:val="20"/>
                <w:szCs w:val="20"/>
              </w:rPr>
            </w:pPr>
            <w:r>
              <w:rPr>
                <w:rFonts w:hint="eastAsia" w:ascii="宋体" w:hAnsi="宋体" w:cs="宋体"/>
                <w:b/>
                <w:bCs/>
                <w:color w:val="auto"/>
                <w:sz w:val="20"/>
                <w:szCs w:val="20"/>
              </w:rPr>
              <w:t>数量</w:t>
            </w:r>
          </w:p>
        </w:tc>
        <w:tc>
          <w:tcPr>
            <w:tcW w:w="2008" w:type="dxa"/>
            <w:vAlign w:val="center"/>
          </w:tcPr>
          <w:p>
            <w:pPr>
              <w:pStyle w:val="68"/>
              <w:kinsoku w:val="0"/>
              <w:overflowPunct w:val="0"/>
              <w:jc w:val="center"/>
              <w:rPr>
                <w:rFonts w:ascii="宋体" w:hAnsi="宋体"/>
                <w:color w:val="auto"/>
                <w:sz w:val="20"/>
                <w:szCs w:val="20"/>
              </w:rPr>
            </w:pPr>
            <w:r>
              <w:rPr>
                <w:rFonts w:hint="eastAsia" w:ascii="宋体" w:hAnsi="宋体" w:cs="宋体"/>
                <w:b/>
                <w:bCs/>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012" w:type="dxa"/>
            <w:shd w:val="clear" w:color="auto" w:fill="C0C0C0"/>
            <w:vAlign w:val="center"/>
          </w:tcPr>
          <w:p>
            <w:pPr>
              <w:pStyle w:val="68"/>
              <w:kinsoku w:val="0"/>
              <w:overflowPunct w:val="0"/>
              <w:jc w:val="center"/>
              <w:rPr>
                <w:rFonts w:ascii="宋体" w:hAnsi="宋体"/>
                <w:b/>
                <w:bCs w:val="0"/>
                <w:color w:val="auto"/>
                <w:sz w:val="20"/>
                <w:szCs w:val="20"/>
              </w:rPr>
            </w:pPr>
            <w:r>
              <w:rPr>
                <w:rFonts w:ascii="宋体" w:hAnsi="宋体" w:cs="宋体"/>
                <w:b/>
                <w:bCs w:val="0"/>
                <w:color w:val="auto"/>
                <w:w w:val="99"/>
                <w:sz w:val="20"/>
                <w:szCs w:val="20"/>
              </w:rPr>
              <w:t>1</w:t>
            </w:r>
          </w:p>
        </w:tc>
        <w:tc>
          <w:tcPr>
            <w:tcW w:w="3015" w:type="dxa"/>
            <w:shd w:val="clear" w:color="auto" w:fill="C0C0C0"/>
            <w:vAlign w:val="center"/>
          </w:tcPr>
          <w:p>
            <w:pPr>
              <w:pStyle w:val="68"/>
              <w:kinsoku w:val="0"/>
              <w:overflowPunct w:val="0"/>
              <w:jc w:val="center"/>
              <w:rPr>
                <w:rFonts w:ascii="宋体" w:hAnsi="宋体"/>
                <w:b/>
                <w:bCs w:val="0"/>
                <w:color w:val="auto"/>
                <w:sz w:val="20"/>
                <w:szCs w:val="20"/>
              </w:rPr>
            </w:pPr>
            <w:r>
              <w:rPr>
                <w:rFonts w:hint="eastAsia" w:ascii="宋体" w:hAnsi="宋体" w:cs="宋体"/>
                <w:b/>
                <w:bCs w:val="0"/>
                <w:color w:val="auto"/>
                <w:sz w:val="20"/>
                <w:szCs w:val="20"/>
              </w:rPr>
              <w:t>自动气象站</w:t>
            </w:r>
          </w:p>
        </w:tc>
        <w:tc>
          <w:tcPr>
            <w:tcW w:w="1435" w:type="dxa"/>
            <w:shd w:val="clear" w:color="auto" w:fill="BFBFBF"/>
            <w:vAlign w:val="center"/>
          </w:tcPr>
          <w:p>
            <w:pPr>
              <w:pStyle w:val="68"/>
              <w:kinsoku w:val="0"/>
              <w:overflowPunct w:val="0"/>
              <w:jc w:val="center"/>
              <w:rPr>
                <w:rFonts w:ascii="宋体" w:hAnsi="宋体" w:cs="宋体"/>
                <w:b/>
                <w:bCs w:val="0"/>
                <w:color w:val="auto"/>
                <w:sz w:val="20"/>
                <w:szCs w:val="20"/>
              </w:rPr>
            </w:pPr>
            <w:r>
              <w:rPr>
                <w:rFonts w:ascii="宋体" w:hAnsi="宋体" w:cs="宋体"/>
                <w:b/>
                <w:bCs w:val="0"/>
                <w:color w:val="auto"/>
                <w:sz w:val="20"/>
                <w:szCs w:val="20"/>
              </w:rPr>
              <w:t>套</w:t>
            </w:r>
          </w:p>
        </w:tc>
        <w:tc>
          <w:tcPr>
            <w:tcW w:w="1435" w:type="dxa"/>
            <w:shd w:val="clear" w:color="auto" w:fill="BFBFBF"/>
            <w:vAlign w:val="center"/>
          </w:tcPr>
          <w:p>
            <w:pPr>
              <w:pStyle w:val="68"/>
              <w:kinsoku w:val="0"/>
              <w:overflowPunct w:val="0"/>
              <w:jc w:val="center"/>
              <w:rPr>
                <w:rFonts w:ascii="宋体" w:hAnsi="宋体"/>
                <w:b/>
                <w:bCs w:val="0"/>
                <w:color w:val="auto"/>
                <w:sz w:val="20"/>
                <w:szCs w:val="20"/>
              </w:rPr>
            </w:pPr>
            <w:r>
              <w:rPr>
                <w:rFonts w:ascii="宋体" w:hAnsi="宋体" w:cs="宋体"/>
                <w:b/>
                <w:bCs w:val="0"/>
                <w:color w:val="auto"/>
                <w:sz w:val="20"/>
                <w:szCs w:val="20"/>
              </w:rPr>
              <w:t>1</w:t>
            </w:r>
          </w:p>
        </w:tc>
        <w:tc>
          <w:tcPr>
            <w:tcW w:w="2008" w:type="dxa"/>
            <w:shd w:val="clear" w:color="auto" w:fill="BFBFBF"/>
            <w:vAlign w:val="center"/>
          </w:tcPr>
          <w:p>
            <w:pPr>
              <w:jc w:val="center"/>
              <w:rPr>
                <w:rFonts w:ascii="宋体" w:hAnsi="宋体"/>
                <w:b/>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1.1</w:t>
            </w:r>
          </w:p>
        </w:tc>
        <w:tc>
          <w:tcPr>
            <w:tcW w:w="3015" w:type="dxa"/>
            <w:vAlign w:val="center"/>
          </w:tcPr>
          <w:p>
            <w:pPr>
              <w:pStyle w:val="68"/>
              <w:kinsoku w:val="0"/>
              <w:overflowPunct w:val="0"/>
              <w:jc w:val="center"/>
              <w:rPr>
                <w:rFonts w:ascii="宋体" w:hAnsi="宋体" w:cs="宋体"/>
                <w:color w:val="auto"/>
                <w:sz w:val="20"/>
                <w:szCs w:val="20"/>
              </w:rPr>
            </w:pPr>
            <w:r>
              <w:rPr>
                <w:rFonts w:hint="eastAsia" w:ascii="宋体" w:hAnsi="宋体" w:cs="宋体"/>
                <w:color w:val="auto"/>
                <w:sz w:val="20"/>
                <w:szCs w:val="20"/>
              </w:rPr>
              <w:t>自动站采集系统含以下部件</w:t>
            </w:r>
          </w:p>
          <w:p>
            <w:pPr>
              <w:pStyle w:val="68"/>
              <w:kinsoku w:val="0"/>
              <w:overflowPunct w:val="0"/>
              <w:jc w:val="center"/>
              <w:rPr>
                <w:rFonts w:ascii="宋体" w:hAnsi="宋体" w:cs="宋体"/>
                <w:color w:val="auto"/>
                <w:sz w:val="20"/>
                <w:szCs w:val="20"/>
              </w:rPr>
            </w:pPr>
            <w:r>
              <w:rPr>
                <w:rFonts w:ascii="宋体" w:hAnsi="宋体" w:cs="宋体"/>
                <w:color w:val="auto"/>
                <w:sz w:val="20"/>
                <w:szCs w:val="20"/>
              </w:rPr>
              <w:t>-</w:t>
            </w:r>
            <w:r>
              <w:rPr>
                <w:rFonts w:ascii="宋体" w:hAnsi="宋体" w:cs="宋体"/>
                <w:color w:val="auto"/>
                <w:spacing w:val="3"/>
                <w:sz w:val="20"/>
                <w:szCs w:val="20"/>
              </w:rPr>
              <w:t xml:space="preserve"> </w:t>
            </w:r>
            <w:r>
              <w:rPr>
                <w:rFonts w:hint="eastAsia" w:ascii="宋体" w:hAnsi="宋体" w:cs="宋体"/>
                <w:color w:val="auto"/>
                <w:sz w:val="20"/>
                <w:szCs w:val="20"/>
              </w:rPr>
              <w:t>机箱</w:t>
            </w:r>
          </w:p>
          <w:p>
            <w:pPr>
              <w:pStyle w:val="68"/>
              <w:kinsoku w:val="0"/>
              <w:overflowPunct w:val="0"/>
              <w:jc w:val="center"/>
              <w:rPr>
                <w:rFonts w:ascii="宋体" w:hAnsi="宋体" w:cs="宋体"/>
                <w:color w:val="auto"/>
                <w:sz w:val="20"/>
                <w:szCs w:val="20"/>
              </w:rPr>
            </w:pPr>
            <w:r>
              <w:rPr>
                <w:rFonts w:ascii="宋体" w:hAnsi="宋体" w:cs="宋体"/>
                <w:color w:val="auto"/>
                <w:sz w:val="20"/>
                <w:szCs w:val="20"/>
              </w:rPr>
              <w:t>-</w:t>
            </w:r>
            <w:r>
              <w:rPr>
                <w:rFonts w:ascii="宋体" w:hAnsi="宋体" w:cs="宋体"/>
                <w:color w:val="auto"/>
                <w:spacing w:val="4"/>
                <w:sz w:val="20"/>
                <w:szCs w:val="20"/>
              </w:rPr>
              <w:t xml:space="preserve"> </w:t>
            </w:r>
            <w:r>
              <w:rPr>
                <w:rFonts w:hint="eastAsia" w:ascii="宋体" w:hAnsi="宋体" w:cs="宋体"/>
                <w:color w:val="auto"/>
                <w:sz w:val="20"/>
                <w:szCs w:val="20"/>
              </w:rPr>
              <w:t>数据采集器</w:t>
            </w:r>
          </w:p>
          <w:p>
            <w:pPr>
              <w:pStyle w:val="68"/>
              <w:kinsoku w:val="0"/>
              <w:overflowPunct w:val="0"/>
              <w:jc w:val="center"/>
              <w:rPr>
                <w:rFonts w:ascii="宋体" w:hAnsi="宋体" w:cs="宋体"/>
                <w:color w:val="auto"/>
                <w:sz w:val="20"/>
                <w:szCs w:val="20"/>
              </w:rPr>
            </w:pPr>
            <w:r>
              <w:rPr>
                <w:rFonts w:ascii="宋体" w:hAnsi="宋体" w:cs="宋体"/>
                <w:color w:val="auto"/>
                <w:sz w:val="20"/>
                <w:szCs w:val="20"/>
              </w:rPr>
              <w:t>-</w:t>
            </w:r>
            <w:r>
              <w:rPr>
                <w:rFonts w:ascii="宋体" w:hAnsi="宋体" w:cs="宋体"/>
                <w:color w:val="auto"/>
                <w:spacing w:val="4"/>
                <w:sz w:val="20"/>
                <w:szCs w:val="20"/>
              </w:rPr>
              <w:t xml:space="preserve"> </w:t>
            </w:r>
            <w:r>
              <w:rPr>
                <w:rFonts w:hint="eastAsia" w:ascii="宋体" w:hAnsi="宋体" w:cs="宋体"/>
                <w:color w:val="auto"/>
                <w:sz w:val="20"/>
                <w:szCs w:val="20"/>
              </w:rPr>
              <w:t>供电模块</w:t>
            </w:r>
          </w:p>
          <w:p>
            <w:pPr>
              <w:pStyle w:val="68"/>
              <w:kinsoku w:val="0"/>
              <w:overflowPunct w:val="0"/>
              <w:jc w:val="center"/>
              <w:rPr>
                <w:rFonts w:ascii="宋体" w:hAnsi="宋体" w:cs="宋体"/>
                <w:color w:val="auto"/>
                <w:sz w:val="20"/>
                <w:szCs w:val="20"/>
              </w:rPr>
            </w:pPr>
            <w:r>
              <w:rPr>
                <w:rFonts w:ascii="宋体" w:hAnsi="宋体" w:cs="宋体"/>
                <w:color w:val="auto"/>
                <w:sz w:val="20"/>
                <w:szCs w:val="20"/>
              </w:rPr>
              <w:t>-</w:t>
            </w:r>
            <w:r>
              <w:rPr>
                <w:rFonts w:ascii="宋体" w:hAnsi="宋体" w:cs="宋体"/>
                <w:color w:val="auto"/>
                <w:spacing w:val="4"/>
                <w:sz w:val="20"/>
                <w:szCs w:val="20"/>
              </w:rPr>
              <w:t xml:space="preserve"> </w:t>
            </w:r>
            <w:r>
              <w:rPr>
                <w:rFonts w:hint="eastAsia" w:ascii="宋体" w:hAnsi="宋体" w:cs="宋体"/>
                <w:color w:val="auto"/>
                <w:sz w:val="20"/>
                <w:szCs w:val="20"/>
              </w:rPr>
              <w:t>防雷模块</w:t>
            </w:r>
          </w:p>
          <w:p>
            <w:pPr>
              <w:pStyle w:val="68"/>
              <w:kinsoku w:val="0"/>
              <w:overflowPunct w:val="0"/>
              <w:jc w:val="center"/>
              <w:rPr>
                <w:rFonts w:ascii="宋体" w:hAnsi="宋体"/>
                <w:color w:val="auto"/>
                <w:sz w:val="20"/>
                <w:szCs w:val="20"/>
              </w:rPr>
            </w:pPr>
            <w:r>
              <w:rPr>
                <w:rFonts w:ascii="宋体" w:hAnsi="宋体" w:cs="宋体"/>
                <w:color w:val="auto"/>
                <w:sz w:val="20"/>
                <w:szCs w:val="20"/>
              </w:rPr>
              <w:t>-</w:t>
            </w:r>
            <w:r>
              <w:rPr>
                <w:rFonts w:ascii="宋体" w:hAnsi="宋体" w:cs="宋体"/>
                <w:color w:val="auto"/>
                <w:spacing w:val="4"/>
                <w:sz w:val="20"/>
                <w:szCs w:val="20"/>
              </w:rPr>
              <w:t xml:space="preserve"> </w:t>
            </w:r>
            <w:r>
              <w:rPr>
                <w:rFonts w:hint="eastAsia" w:ascii="宋体" w:hAnsi="宋体" w:cs="宋体"/>
                <w:color w:val="auto"/>
                <w:sz w:val="20"/>
                <w:szCs w:val="20"/>
              </w:rPr>
              <w:t>传感器集成</w:t>
            </w:r>
          </w:p>
        </w:tc>
        <w:tc>
          <w:tcPr>
            <w:tcW w:w="1435" w:type="dxa"/>
            <w:vAlign w:val="center"/>
          </w:tcPr>
          <w:p>
            <w:pPr>
              <w:pStyle w:val="68"/>
              <w:kinsoku w:val="0"/>
              <w:overflowPunct w:val="0"/>
              <w:jc w:val="center"/>
              <w:rPr>
                <w:rFonts w:ascii="宋体" w:hAnsi="宋体" w:cs="宋体"/>
                <w:color w:val="auto"/>
                <w:sz w:val="20"/>
                <w:szCs w:val="20"/>
              </w:rPr>
            </w:pPr>
            <w:r>
              <w:rPr>
                <w:rFonts w:ascii="宋体" w:hAnsi="宋体" w:cs="宋体"/>
                <w:color w:val="auto"/>
                <w:sz w:val="20"/>
                <w:szCs w:val="20"/>
              </w:rPr>
              <w:t>套</w:t>
            </w:r>
          </w:p>
        </w:tc>
        <w:tc>
          <w:tcPr>
            <w:tcW w:w="1435"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w:t>
            </w:r>
          </w:p>
        </w:tc>
        <w:tc>
          <w:tcPr>
            <w:tcW w:w="2008" w:type="dxa"/>
            <w:vAlign w:val="center"/>
          </w:tcPr>
          <w:p>
            <w:pPr>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1.2</w:t>
            </w:r>
          </w:p>
        </w:tc>
        <w:tc>
          <w:tcPr>
            <w:tcW w:w="3015" w:type="dxa"/>
            <w:vAlign w:val="center"/>
          </w:tcPr>
          <w:p>
            <w:pPr>
              <w:pStyle w:val="68"/>
              <w:kinsoku w:val="0"/>
              <w:overflowPunct w:val="0"/>
              <w:jc w:val="center"/>
              <w:rPr>
                <w:rFonts w:ascii="宋体" w:hAnsi="宋体"/>
                <w:color w:val="auto"/>
                <w:sz w:val="20"/>
                <w:szCs w:val="20"/>
              </w:rPr>
            </w:pPr>
            <w:r>
              <w:rPr>
                <w:rFonts w:hint="eastAsia" w:ascii="宋体" w:hAnsi="宋体" w:cs="宋体"/>
                <w:color w:val="auto"/>
                <w:sz w:val="20"/>
                <w:szCs w:val="20"/>
              </w:rPr>
              <w:t>超声风传感器</w:t>
            </w:r>
          </w:p>
        </w:tc>
        <w:tc>
          <w:tcPr>
            <w:tcW w:w="1435" w:type="dxa"/>
            <w:vAlign w:val="center"/>
          </w:tcPr>
          <w:p>
            <w:pPr>
              <w:pStyle w:val="68"/>
              <w:kinsoku w:val="0"/>
              <w:overflowPunct w:val="0"/>
              <w:jc w:val="center"/>
              <w:rPr>
                <w:rFonts w:ascii="宋体" w:hAnsi="宋体" w:cs="宋体"/>
                <w:color w:val="auto"/>
                <w:sz w:val="20"/>
                <w:szCs w:val="20"/>
              </w:rPr>
            </w:pPr>
            <w:r>
              <w:rPr>
                <w:rFonts w:ascii="宋体" w:hAnsi="宋体" w:cs="宋体"/>
                <w:color w:val="auto"/>
                <w:sz w:val="20"/>
                <w:szCs w:val="20"/>
              </w:rPr>
              <w:t>套</w:t>
            </w:r>
          </w:p>
        </w:tc>
        <w:tc>
          <w:tcPr>
            <w:tcW w:w="1435"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w:t>
            </w:r>
          </w:p>
        </w:tc>
        <w:tc>
          <w:tcPr>
            <w:tcW w:w="2008" w:type="dxa"/>
            <w:vAlign w:val="center"/>
          </w:tcPr>
          <w:p>
            <w:pPr>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1.3</w:t>
            </w:r>
          </w:p>
        </w:tc>
        <w:tc>
          <w:tcPr>
            <w:tcW w:w="3015" w:type="dxa"/>
            <w:vAlign w:val="center"/>
          </w:tcPr>
          <w:p>
            <w:pPr>
              <w:pStyle w:val="68"/>
              <w:kinsoku w:val="0"/>
              <w:overflowPunct w:val="0"/>
              <w:jc w:val="center"/>
              <w:rPr>
                <w:rFonts w:ascii="宋体" w:hAnsi="宋体"/>
                <w:color w:val="auto"/>
                <w:sz w:val="20"/>
                <w:szCs w:val="20"/>
              </w:rPr>
            </w:pPr>
            <w:r>
              <w:rPr>
                <w:rFonts w:hint="eastAsia" w:ascii="宋体" w:hAnsi="宋体" w:cs="宋体"/>
                <w:color w:val="auto"/>
                <w:sz w:val="20"/>
                <w:szCs w:val="20"/>
              </w:rPr>
              <w:t>温湿度传感器</w:t>
            </w:r>
          </w:p>
        </w:tc>
        <w:tc>
          <w:tcPr>
            <w:tcW w:w="1435" w:type="dxa"/>
            <w:vAlign w:val="center"/>
          </w:tcPr>
          <w:p>
            <w:pPr>
              <w:pStyle w:val="68"/>
              <w:kinsoku w:val="0"/>
              <w:overflowPunct w:val="0"/>
              <w:jc w:val="center"/>
              <w:rPr>
                <w:rFonts w:ascii="宋体" w:hAnsi="宋体" w:cs="宋体"/>
                <w:color w:val="auto"/>
                <w:sz w:val="20"/>
                <w:szCs w:val="20"/>
              </w:rPr>
            </w:pPr>
            <w:r>
              <w:rPr>
                <w:rFonts w:ascii="宋体" w:hAnsi="宋体" w:cs="宋体"/>
                <w:color w:val="auto"/>
                <w:sz w:val="20"/>
                <w:szCs w:val="20"/>
              </w:rPr>
              <w:t>套</w:t>
            </w:r>
          </w:p>
        </w:tc>
        <w:tc>
          <w:tcPr>
            <w:tcW w:w="1435"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w:t>
            </w:r>
          </w:p>
        </w:tc>
        <w:tc>
          <w:tcPr>
            <w:tcW w:w="2008" w:type="dxa"/>
            <w:vAlign w:val="center"/>
          </w:tcPr>
          <w:p>
            <w:pPr>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1.4</w:t>
            </w:r>
          </w:p>
        </w:tc>
        <w:tc>
          <w:tcPr>
            <w:tcW w:w="3015" w:type="dxa"/>
            <w:vAlign w:val="center"/>
          </w:tcPr>
          <w:p>
            <w:pPr>
              <w:pStyle w:val="68"/>
              <w:kinsoku w:val="0"/>
              <w:overflowPunct w:val="0"/>
              <w:jc w:val="center"/>
              <w:rPr>
                <w:rFonts w:ascii="宋体" w:hAnsi="宋体"/>
                <w:color w:val="auto"/>
                <w:sz w:val="20"/>
                <w:szCs w:val="20"/>
              </w:rPr>
            </w:pPr>
            <w:r>
              <w:rPr>
                <w:rFonts w:hint="eastAsia" w:ascii="宋体" w:hAnsi="宋体" w:cs="宋体"/>
                <w:color w:val="auto"/>
                <w:sz w:val="20"/>
                <w:szCs w:val="20"/>
              </w:rPr>
              <w:t>气压传感器</w:t>
            </w:r>
          </w:p>
        </w:tc>
        <w:tc>
          <w:tcPr>
            <w:tcW w:w="1435" w:type="dxa"/>
            <w:vAlign w:val="center"/>
          </w:tcPr>
          <w:p>
            <w:pPr>
              <w:pStyle w:val="68"/>
              <w:kinsoku w:val="0"/>
              <w:overflowPunct w:val="0"/>
              <w:jc w:val="center"/>
              <w:rPr>
                <w:rFonts w:ascii="宋体" w:hAnsi="宋体" w:cs="宋体"/>
                <w:color w:val="auto"/>
                <w:sz w:val="20"/>
                <w:szCs w:val="20"/>
              </w:rPr>
            </w:pPr>
            <w:r>
              <w:rPr>
                <w:rFonts w:ascii="宋体" w:hAnsi="宋体" w:cs="宋体"/>
                <w:color w:val="auto"/>
                <w:sz w:val="20"/>
                <w:szCs w:val="20"/>
              </w:rPr>
              <w:t>套</w:t>
            </w:r>
          </w:p>
        </w:tc>
        <w:tc>
          <w:tcPr>
            <w:tcW w:w="1435"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w:t>
            </w:r>
          </w:p>
        </w:tc>
        <w:tc>
          <w:tcPr>
            <w:tcW w:w="2008" w:type="dxa"/>
            <w:vAlign w:val="center"/>
          </w:tcPr>
          <w:p>
            <w:pPr>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1.5</w:t>
            </w:r>
          </w:p>
        </w:tc>
        <w:tc>
          <w:tcPr>
            <w:tcW w:w="3015" w:type="dxa"/>
            <w:vAlign w:val="center"/>
          </w:tcPr>
          <w:p>
            <w:pPr>
              <w:pStyle w:val="68"/>
              <w:kinsoku w:val="0"/>
              <w:overflowPunct w:val="0"/>
              <w:jc w:val="center"/>
              <w:rPr>
                <w:rFonts w:ascii="宋体" w:hAnsi="宋体"/>
                <w:color w:val="auto"/>
                <w:sz w:val="20"/>
                <w:szCs w:val="20"/>
              </w:rPr>
            </w:pPr>
            <w:r>
              <w:rPr>
                <w:rFonts w:hint="eastAsia" w:ascii="宋体" w:hAnsi="宋体" w:cs="宋体"/>
                <w:color w:val="auto"/>
                <w:sz w:val="20"/>
                <w:szCs w:val="20"/>
              </w:rPr>
              <w:t>雨量计</w:t>
            </w:r>
          </w:p>
        </w:tc>
        <w:tc>
          <w:tcPr>
            <w:tcW w:w="1435" w:type="dxa"/>
            <w:vAlign w:val="center"/>
          </w:tcPr>
          <w:p>
            <w:pPr>
              <w:pStyle w:val="68"/>
              <w:kinsoku w:val="0"/>
              <w:overflowPunct w:val="0"/>
              <w:jc w:val="center"/>
              <w:rPr>
                <w:rFonts w:ascii="宋体" w:hAnsi="宋体" w:cs="宋体"/>
                <w:color w:val="auto"/>
                <w:sz w:val="20"/>
                <w:szCs w:val="20"/>
              </w:rPr>
            </w:pPr>
            <w:r>
              <w:rPr>
                <w:rFonts w:ascii="宋体" w:hAnsi="宋体" w:cs="宋体"/>
                <w:color w:val="auto"/>
                <w:sz w:val="20"/>
                <w:szCs w:val="20"/>
              </w:rPr>
              <w:t>套</w:t>
            </w:r>
          </w:p>
        </w:tc>
        <w:tc>
          <w:tcPr>
            <w:tcW w:w="1435"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w:t>
            </w:r>
          </w:p>
        </w:tc>
        <w:tc>
          <w:tcPr>
            <w:tcW w:w="2008" w:type="dxa"/>
            <w:vAlign w:val="center"/>
          </w:tcPr>
          <w:p>
            <w:pPr>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1.6</w:t>
            </w:r>
          </w:p>
        </w:tc>
        <w:tc>
          <w:tcPr>
            <w:tcW w:w="3015" w:type="dxa"/>
            <w:vAlign w:val="center"/>
          </w:tcPr>
          <w:p>
            <w:pPr>
              <w:pStyle w:val="68"/>
              <w:kinsoku w:val="0"/>
              <w:overflowPunct w:val="0"/>
              <w:jc w:val="center"/>
              <w:rPr>
                <w:rFonts w:ascii="宋体" w:hAnsi="宋体"/>
                <w:color w:val="auto"/>
                <w:sz w:val="20"/>
                <w:szCs w:val="20"/>
              </w:rPr>
            </w:pPr>
            <w:r>
              <w:rPr>
                <w:rFonts w:hint="eastAsia" w:ascii="宋体" w:hAnsi="宋体" w:cs="宋体"/>
                <w:color w:val="auto"/>
                <w:sz w:val="20"/>
                <w:szCs w:val="20"/>
              </w:rPr>
              <w:t>障碍灯</w:t>
            </w:r>
          </w:p>
        </w:tc>
        <w:tc>
          <w:tcPr>
            <w:tcW w:w="1435" w:type="dxa"/>
            <w:vAlign w:val="center"/>
          </w:tcPr>
          <w:p>
            <w:pPr>
              <w:pStyle w:val="68"/>
              <w:kinsoku w:val="0"/>
              <w:overflowPunct w:val="0"/>
              <w:jc w:val="center"/>
              <w:rPr>
                <w:rFonts w:ascii="宋体" w:hAnsi="宋体" w:cs="宋体"/>
                <w:color w:val="auto"/>
                <w:sz w:val="20"/>
                <w:szCs w:val="20"/>
              </w:rPr>
            </w:pPr>
            <w:r>
              <w:rPr>
                <w:rFonts w:ascii="宋体" w:hAnsi="宋体" w:cs="宋体"/>
                <w:color w:val="auto"/>
                <w:sz w:val="20"/>
                <w:szCs w:val="20"/>
              </w:rPr>
              <w:t>套</w:t>
            </w:r>
          </w:p>
        </w:tc>
        <w:tc>
          <w:tcPr>
            <w:tcW w:w="1435"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w:t>
            </w:r>
          </w:p>
        </w:tc>
        <w:tc>
          <w:tcPr>
            <w:tcW w:w="2008" w:type="dxa"/>
            <w:vAlign w:val="center"/>
          </w:tcPr>
          <w:p>
            <w:pPr>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1.7</w:t>
            </w:r>
          </w:p>
        </w:tc>
        <w:tc>
          <w:tcPr>
            <w:tcW w:w="3015" w:type="dxa"/>
            <w:vAlign w:val="center"/>
          </w:tcPr>
          <w:p>
            <w:pPr>
              <w:pStyle w:val="68"/>
              <w:kinsoku w:val="0"/>
              <w:overflowPunct w:val="0"/>
              <w:jc w:val="center"/>
              <w:rPr>
                <w:rFonts w:ascii="宋体" w:hAnsi="宋体"/>
                <w:color w:val="auto"/>
                <w:sz w:val="20"/>
                <w:szCs w:val="20"/>
              </w:rPr>
            </w:pPr>
            <w:r>
              <w:rPr>
                <w:rFonts w:hint="eastAsia" w:ascii="宋体" w:hAnsi="宋体" w:cs="宋体"/>
                <w:color w:val="auto"/>
                <w:sz w:val="20"/>
                <w:szCs w:val="20"/>
              </w:rPr>
              <w:t>电动风杆（非易折）</w:t>
            </w:r>
          </w:p>
        </w:tc>
        <w:tc>
          <w:tcPr>
            <w:tcW w:w="1435" w:type="dxa"/>
            <w:vAlign w:val="center"/>
          </w:tcPr>
          <w:p>
            <w:pPr>
              <w:pStyle w:val="68"/>
              <w:kinsoku w:val="0"/>
              <w:overflowPunct w:val="0"/>
              <w:jc w:val="center"/>
              <w:rPr>
                <w:rFonts w:ascii="宋体" w:hAnsi="宋体" w:cs="宋体"/>
                <w:color w:val="auto"/>
                <w:sz w:val="20"/>
                <w:szCs w:val="20"/>
              </w:rPr>
            </w:pPr>
            <w:r>
              <w:rPr>
                <w:rFonts w:ascii="宋体" w:hAnsi="宋体" w:cs="宋体"/>
                <w:color w:val="auto"/>
                <w:sz w:val="20"/>
                <w:szCs w:val="20"/>
              </w:rPr>
              <w:t>套</w:t>
            </w:r>
          </w:p>
        </w:tc>
        <w:tc>
          <w:tcPr>
            <w:tcW w:w="1435" w:type="dxa"/>
            <w:vAlign w:val="center"/>
          </w:tcPr>
          <w:p>
            <w:pPr>
              <w:pStyle w:val="68"/>
              <w:kinsoku w:val="0"/>
              <w:overflowPunct w:val="0"/>
              <w:jc w:val="center"/>
              <w:rPr>
                <w:rFonts w:ascii="宋体" w:hAnsi="宋体"/>
                <w:color w:val="auto"/>
                <w:sz w:val="20"/>
                <w:szCs w:val="20"/>
              </w:rPr>
            </w:pPr>
            <w:r>
              <w:rPr>
                <w:rFonts w:ascii="宋体" w:hAnsi="宋体" w:cs="宋体"/>
                <w:color w:val="auto"/>
                <w:sz w:val="20"/>
                <w:szCs w:val="20"/>
              </w:rPr>
              <w:t>1</w:t>
            </w:r>
          </w:p>
        </w:tc>
        <w:tc>
          <w:tcPr>
            <w:tcW w:w="2008" w:type="dxa"/>
            <w:vAlign w:val="center"/>
          </w:tcPr>
          <w:p>
            <w:pPr>
              <w:pStyle w:val="68"/>
              <w:kinsoku w:val="0"/>
              <w:overflowPunct w:val="0"/>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C0C0C0"/>
            <w:vAlign w:val="center"/>
          </w:tcPr>
          <w:p>
            <w:pPr>
              <w:pStyle w:val="68"/>
              <w:kinsoku w:val="0"/>
              <w:overflowPunct w:val="0"/>
              <w:jc w:val="center"/>
              <w:rPr>
                <w:rFonts w:ascii="宋体" w:hAnsi="宋体"/>
                <w:b/>
                <w:bCs/>
                <w:color w:val="auto"/>
                <w:sz w:val="20"/>
                <w:szCs w:val="20"/>
              </w:rPr>
            </w:pPr>
            <w:r>
              <w:rPr>
                <w:rFonts w:ascii="宋体" w:hAnsi="宋体" w:cs="宋体"/>
                <w:b/>
                <w:bCs/>
                <w:color w:val="auto"/>
                <w:sz w:val="20"/>
                <w:szCs w:val="20"/>
              </w:rPr>
              <w:t>2</w:t>
            </w:r>
          </w:p>
        </w:tc>
        <w:tc>
          <w:tcPr>
            <w:tcW w:w="3015" w:type="dxa"/>
            <w:shd w:val="clear" w:color="auto" w:fill="C0C0C0"/>
            <w:vAlign w:val="center"/>
          </w:tcPr>
          <w:p>
            <w:pPr>
              <w:pStyle w:val="68"/>
              <w:kinsoku w:val="0"/>
              <w:overflowPunct w:val="0"/>
              <w:jc w:val="center"/>
              <w:rPr>
                <w:rFonts w:ascii="宋体" w:hAnsi="宋体"/>
                <w:b/>
                <w:bCs/>
                <w:color w:val="auto"/>
                <w:sz w:val="20"/>
                <w:szCs w:val="20"/>
              </w:rPr>
            </w:pPr>
            <w:r>
              <w:rPr>
                <w:rFonts w:ascii="宋体" w:hAnsi="宋体"/>
                <w:b/>
                <w:bCs/>
                <w:color w:val="auto"/>
                <w:sz w:val="20"/>
                <w:szCs w:val="20"/>
              </w:rPr>
              <w:t>前向散射仪</w:t>
            </w:r>
            <w:r>
              <w:rPr>
                <w:rFonts w:hint="eastAsia" w:ascii="宋体" w:hAnsi="宋体"/>
                <w:b/>
                <w:bCs/>
                <w:color w:val="auto"/>
                <w:sz w:val="20"/>
                <w:szCs w:val="20"/>
              </w:rPr>
              <w:t>（含天气现象）</w:t>
            </w:r>
          </w:p>
        </w:tc>
        <w:tc>
          <w:tcPr>
            <w:tcW w:w="1435" w:type="dxa"/>
            <w:shd w:val="clear" w:color="auto" w:fill="C0C0C0"/>
            <w:vAlign w:val="center"/>
          </w:tcPr>
          <w:p>
            <w:pPr>
              <w:pStyle w:val="68"/>
              <w:kinsoku w:val="0"/>
              <w:overflowPunct w:val="0"/>
              <w:jc w:val="center"/>
              <w:rPr>
                <w:rFonts w:ascii="宋体" w:hAnsi="宋体" w:cs="宋体"/>
                <w:b/>
                <w:bCs/>
                <w:color w:val="auto"/>
                <w:w w:val="99"/>
                <w:sz w:val="20"/>
                <w:szCs w:val="20"/>
              </w:rPr>
            </w:pPr>
            <w:r>
              <w:rPr>
                <w:rFonts w:ascii="宋体" w:hAnsi="宋体" w:cs="宋体"/>
                <w:b/>
                <w:bCs/>
                <w:color w:val="auto"/>
                <w:w w:val="99"/>
                <w:sz w:val="20"/>
                <w:szCs w:val="20"/>
              </w:rPr>
              <w:t>套</w:t>
            </w:r>
          </w:p>
        </w:tc>
        <w:tc>
          <w:tcPr>
            <w:tcW w:w="1435" w:type="dxa"/>
            <w:shd w:val="clear" w:color="auto" w:fill="C0C0C0"/>
            <w:vAlign w:val="center"/>
          </w:tcPr>
          <w:p>
            <w:pPr>
              <w:pStyle w:val="68"/>
              <w:kinsoku w:val="0"/>
              <w:overflowPunct w:val="0"/>
              <w:jc w:val="center"/>
              <w:rPr>
                <w:rFonts w:ascii="宋体" w:hAnsi="宋体"/>
                <w:b/>
                <w:bCs/>
                <w:color w:val="auto"/>
                <w:sz w:val="20"/>
                <w:szCs w:val="20"/>
              </w:rPr>
            </w:pPr>
            <w:r>
              <w:rPr>
                <w:rFonts w:ascii="宋体" w:hAnsi="宋体" w:cs="宋体"/>
                <w:b/>
                <w:bCs/>
                <w:color w:val="auto"/>
                <w:w w:val="99"/>
                <w:sz w:val="20"/>
                <w:szCs w:val="20"/>
              </w:rPr>
              <w:t>1</w:t>
            </w:r>
          </w:p>
        </w:tc>
        <w:tc>
          <w:tcPr>
            <w:tcW w:w="2008" w:type="dxa"/>
            <w:shd w:val="clear" w:color="auto" w:fill="BFBFBF"/>
            <w:vAlign w:val="center"/>
          </w:tcPr>
          <w:p>
            <w:pPr>
              <w:jc w:val="center"/>
              <w:rPr>
                <w:rFonts w:ascii="宋体" w:hAnsi="宋体"/>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C0C0C0"/>
            <w:vAlign w:val="center"/>
          </w:tcPr>
          <w:p>
            <w:pPr>
              <w:pStyle w:val="68"/>
              <w:kinsoku w:val="0"/>
              <w:overflowPunct w:val="0"/>
              <w:jc w:val="center"/>
              <w:rPr>
                <w:rFonts w:ascii="宋体" w:hAnsi="宋体"/>
                <w:b/>
                <w:bCs w:val="0"/>
                <w:color w:val="auto"/>
                <w:sz w:val="20"/>
                <w:szCs w:val="20"/>
              </w:rPr>
            </w:pPr>
            <w:r>
              <w:rPr>
                <w:rFonts w:ascii="宋体" w:hAnsi="宋体" w:cs="宋体"/>
                <w:b/>
                <w:bCs w:val="0"/>
                <w:color w:val="auto"/>
                <w:w w:val="99"/>
                <w:sz w:val="20"/>
                <w:szCs w:val="20"/>
              </w:rPr>
              <w:t>3</w:t>
            </w:r>
          </w:p>
        </w:tc>
        <w:tc>
          <w:tcPr>
            <w:tcW w:w="3015" w:type="dxa"/>
            <w:shd w:val="clear" w:color="auto" w:fill="C0C0C0"/>
            <w:vAlign w:val="center"/>
          </w:tcPr>
          <w:p>
            <w:pPr>
              <w:pStyle w:val="68"/>
              <w:kinsoku w:val="0"/>
              <w:overflowPunct w:val="0"/>
              <w:jc w:val="center"/>
              <w:rPr>
                <w:rFonts w:ascii="宋体" w:hAnsi="宋体"/>
                <w:b/>
                <w:bCs w:val="0"/>
                <w:color w:val="auto"/>
                <w:sz w:val="20"/>
                <w:szCs w:val="20"/>
              </w:rPr>
            </w:pPr>
            <w:r>
              <w:rPr>
                <w:rFonts w:hint="eastAsia" w:ascii="宋体" w:hAnsi="宋体" w:cs="宋体"/>
                <w:b/>
                <w:bCs w:val="0"/>
                <w:color w:val="auto"/>
                <w:sz w:val="20"/>
                <w:szCs w:val="20"/>
              </w:rPr>
              <w:t>云高仪</w:t>
            </w:r>
          </w:p>
        </w:tc>
        <w:tc>
          <w:tcPr>
            <w:tcW w:w="1435" w:type="dxa"/>
            <w:shd w:val="clear" w:color="auto" w:fill="C0C0C0"/>
            <w:vAlign w:val="center"/>
          </w:tcPr>
          <w:p>
            <w:pPr>
              <w:pStyle w:val="68"/>
              <w:kinsoku w:val="0"/>
              <w:overflowPunct w:val="0"/>
              <w:jc w:val="center"/>
              <w:rPr>
                <w:rFonts w:ascii="宋体" w:hAnsi="宋体" w:cs="宋体"/>
                <w:b/>
                <w:bCs w:val="0"/>
                <w:color w:val="auto"/>
                <w:w w:val="99"/>
                <w:sz w:val="20"/>
                <w:szCs w:val="20"/>
              </w:rPr>
            </w:pPr>
            <w:r>
              <w:rPr>
                <w:rFonts w:ascii="宋体" w:hAnsi="宋体" w:cs="宋体"/>
                <w:b/>
                <w:bCs w:val="0"/>
                <w:color w:val="auto"/>
                <w:w w:val="99"/>
                <w:sz w:val="20"/>
                <w:szCs w:val="20"/>
              </w:rPr>
              <w:t>套</w:t>
            </w:r>
          </w:p>
        </w:tc>
        <w:tc>
          <w:tcPr>
            <w:tcW w:w="1435" w:type="dxa"/>
            <w:shd w:val="clear" w:color="auto" w:fill="C0C0C0"/>
            <w:vAlign w:val="center"/>
          </w:tcPr>
          <w:p>
            <w:pPr>
              <w:pStyle w:val="68"/>
              <w:kinsoku w:val="0"/>
              <w:overflowPunct w:val="0"/>
              <w:jc w:val="center"/>
              <w:rPr>
                <w:rFonts w:ascii="宋体" w:hAnsi="宋体"/>
                <w:b/>
                <w:bCs w:val="0"/>
                <w:color w:val="auto"/>
                <w:sz w:val="20"/>
                <w:szCs w:val="20"/>
              </w:rPr>
            </w:pPr>
            <w:r>
              <w:rPr>
                <w:rFonts w:ascii="宋体" w:hAnsi="宋体" w:cs="宋体"/>
                <w:b/>
                <w:bCs w:val="0"/>
                <w:color w:val="auto"/>
                <w:w w:val="99"/>
                <w:sz w:val="20"/>
                <w:szCs w:val="20"/>
              </w:rPr>
              <w:t>1</w:t>
            </w:r>
          </w:p>
        </w:tc>
        <w:tc>
          <w:tcPr>
            <w:tcW w:w="2008" w:type="dxa"/>
            <w:shd w:val="clear" w:color="auto" w:fill="BFBFBF"/>
            <w:vAlign w:val="center"/>
          </w:tcPr>
          <w:p>
            <w:pPr>
              <w:jc w:val="center"/>
              <w:rPr>
                <w:rFonts w:ascii="宋体" w:hAnsi="宋体"/>
                <w:b/>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C0C0C0"/>
            <w:vAlign w:val="center"/>
          </w:tcPr>
          <w:p>
            <w:pPr>
              <w:pStyle w:val="68"/>
              <w:kinsoku w:val="0"/>
              <w:overflowPunct w:val="0"/>
              <w:jc w:val="center"/>
              <w:rPr>
                <w:rFonts w:ascii="宋体" w:hAnsi="宋体"/>
                <w:b/>
                <w:bCs w:val="0"/>
                <w:color w:val="auto"/>
                <w:sz w:val="20"/>
                <w:szCs w:val="20"/>
              </w:rPr>
            </w:pPr>
            <w:r>
              <w:rPr>
                <w:rFonts w:ascii="宋体" w:hAnsi="宋体" w:cs="宋体"/>
                <w:b/>
                <w:bCs w:val="0"/>
                <w:color w:val="auto"/>
                <w:w w:val="99"/>
                <w:sz w:val="20"/>
                <w:szCs w:val="20"/>
              </w:rPr>
              <w:t>4</w:t>
            </w:r>
          </w:p>
        </w:tc>
        <w:tc>
          <w:tcPr>
            <w:tcW w:w="3015" w:type="dxa"/>
            <w:shd w:val="clear" w:color="auto" w:fill="C0C0C0"/>
            <w:vAlign w:val="center"/>
          </w:tcPr>
          <w:p>
            <w:pPr>
              <w:pStyle w:val="68"/>
              <w:kinsoku w:val="0"/>
              <w:overflowPunct w:val="0"/>
              <w:jc w:val="center"/>
              <w:rPr>
                <w:rFonts w:ascii="宋体" w:hAnsi="宋体"/>
                <w:b/>
                <w:bCs w:val="0"/>
                <w:color w:val="auto"/>
                <w:sz w:val="20"/>
                <w:szCs w:val="20"/>
              </w:rPr>
            </w:pPr>
            <w:r>
              <w:rPr>
                <w:rFonts w:hint="eastAsia" w:ascii="宋体" w:hAnsi="宋体" w:cs="宋体"/>
                <w:b/>
                <w:bCs w:val="0"/>
                <w:color w:val="auto"/>
                <w:sz w:val="20"/>
                <w:szCs w:val="20"/>
              </w:rPr>
              <w:t>终端显示设备</w:t>
            </w:r>
          </w:p>
        </w:tc>
        <w:tc>
          <w:tcPr>
            <w:tcW w:w="1435" w:type="dxa"/>
            <w:shd w:val="clear" w:color="auto" w:fill="C0C0C0"/>
            <w:vAlign w:val="center"/>
          </w:tcPr>
          <w:p>
            <w:pPr>
              <w:pStyle w:val="68"/>
              <w:kinsoku w:val="0"/>
              <w:overflowPunct w:val="0"/>
              <w:jc w:val="center"/>
              <w:rPr>
                <w:rFonts w:ascii="宋体" w:hAnsi="宋体" w:cs="宋体"/>
                <w:b/>
                <w:bCs w:val="0"/>
                <w:color w:val="auto"/>
                <w:w w:val="99"/>
                <w:sz w:val="20"/>
                <w:szCs w:val="20"/>
              </w:rPr>
            </w:pPr>
            <w:r>
              <w:rPr>
                <w:rFonts w:ascii="宋体" w:hAnsi="宋体" w:cs="宋体"/>
                <w:b/>
                <w:bCs w:val="0"/>
                <w:color w:val="auto"/>
                <w:w w:val="99"/>
                <w:sz w:val="20"/>
                <w:szCs w:val="20"/>
              </w:rPr>
              <w:t>套</w:t>
            </w:r>
          </w:p>
        </w:tc>
        <w:tc>
          <w:tcPr>
            <w:tcW w:w="1435" w:type="dxa"/>
            <w:shd w:val="clear" w:color="auto" w:fill="C0C0C0"/>
            <w:vAlign w:val="center"/>
          </w:tcPr>
          <w:p>
            <w:pPr>
              <w:pStyle w:val="68"/>
              <w:kinsoku w:val="0"/>
              <w:overflowPunct w:val="0"/>
              <w:jc w:val="center"/>
              <w:rPr>
                <w:rFonts w:ascii="宋体" w:hAnsi="宋体"/>
                <w:b/>
                <w:bCs w:val="0"/>
                <w:color w:val="auto"/>
                <w:sz w:val="20"/>
                <w:szCs w:val="20"/>
              </w:rPr>
            </w:pPr>
            <w:r>
              <w:rPr>
                <w:rFonts w:ascii="宋体" w:hAnsi="宋体" w:cs="宋体"/>
                <w:b/>
                <w:bCs w:val="0"/>
                <w:color w:val="auto"/>
                <w:w w:val="99"/>
                <w:sz w:val="20"/>
                <w:szCs w:val="20"/>
              </w:rPr>
              <w:t>1</w:t>
            </w:r>
          </w:p>
        </w:tc>
        <w:tc>
          <w:tcPr>
            <w:tcW w:w="2008" w:type="dxa"/>
            <w:shd w:val="clear" w:color="auto" w:fill="BFBFBF"/>
            <w:vAlign w:val="center"/>
          </w:tcPr>
          <w:p>
            <w:pPr>
              <w:pStyle w:val="68"/>
              <w:kinsoku w:val="0"/>
              <w:overflowPunct w:val="0"/>
              <w:jc w:val="center"/>
              <w:rPr>
                <w:rFonts w:ascii="宋体" w:hAnsi="宋体"/>
                <w:b/>
                <w:bCs w:val="0"/>
                <w:color w:val="auto"/>
                <w:sz w:val="20"/>
                <w:szCs w:val="20"/>
              </w:rPr>
            </w:pPr>
            <w:r>
              <w:rPr>
                <w:rFonts w:ascii="宋体" w:hAnsi="宋体"/>
                <w:b/>
                <w:bCs w:val="0"/>
                <w:color w:val="auto"/>
                <w:sz w:val="20"/>
                <w:szCs w:val="20"/>
              </w:rPr>
              <w:t>含数据采集处理软件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C0C0C0"/>
            <w:vAlign w:val="center"/>
          </w:tcPr>
          <w:p>
            <w:pPr>
              <w:pStyle w:val="68"/>
              <w:kinsoku w:val="0"/>
              <w:overflowPunct w:val="0"/>
              <w:jc w:val="center"/>
              <w:rPr>
                <w:rFonts w:ascii="宋体" w:hAnsi="宋体"/>
                <w:b/>
                <w:bCs w:val="0"/>
                <w:color w:val="auto"/>
                <w:sz w:val="20"/>
                <w:szCs w:val="20"/>
              </w:rPr>
            </w:pPr>
            <w:r>
              <w:rPr>
                <w:rFonts w:ascii="宋体" w:hAnsi="宋体" w:cs="宋体"/>
                <w:b/>
                <w:bCs w:val="0"/>
                <w:color w:val="auto"/>
                <w:w w:val="99"/>
                <w:sz w:val="20"/>
                <w:szCs w:val="20"/>
              </w:rPr>
              <w:t>5</w:t>
            </w:r>
          </w:p>
        </w:tc>
        <w:tc>
          <w:tcPr>
            <w:tcW w:w="3015" w:type="dxa"/>
            <w:shd w:val="clear" w:color="auto" w:fill="C0C0C0"/>
            <w:vAlign w:val="center"/>
          </w:tcPr>
          <w:p>
            <w:pPr>
              <w:pStyle w:val="68"/>
              <w:kinsoku w:val="0"/>
              <w:overflowPunct w:val="0"/>
              <w:jc w:val="center"/>
              <w:rPr>
                <w:rFonts w:ascii="宋体" w:hAnsi="宋体"/>
                <w:b/>
                <w:bCs w:val="0"/>
                <w:color w:val="auto"/>
                <w:sz w:val="20"/>
                <w:szCs w:val="20"/>
              </w:rPr>
            </w:pPr>
            <w:r>
              <w:rPr>
                <w:rFonts w:hint="eastAsia" w:ascii="宋体" w:hAnsi="宋体" w:cs="宋体"/>
                <w:b/>
                <w:bCs w:val="0"/>
                <w:color w:val="auto"/>
                <w:sz w:val="20"/>
                <w:szCs w:val="20"/>
              </w:rPr>
              <w:t>无线传输设备</w:t>
            </w:r>
          </w:p>
        </w:tc>
        <w:tc>
          <w:tcPr>
            <w:tcW w:w="1435" w:type="dxa"/>
            <w:shd w:val="clear" w:color="auto" w:fill="C0C0C0"/>
            <w:vAlign w:val="center"/>
          </w:tcPr>
          <w:p>
            <w:pPr>
              <w:pStyle w:val="68"/>
              <w:kinsoku w:val="0"/>
              <w:overflowPunct w:val="0"/>
              <w:jc w:val="center"/>
              <w:rPr>
                <w:rFonts w:ascii="宋体" w:hAnsi="宋体" w:cs="宋体"/>
                <w:b/>
                <w:bCs w:val="0"/>
                <w:color w:val="auto"/>
                <w:w w:val="99"/>
                <w:sz w:val="20"/>
                <w:szCs w:val="20"/>
              </w:rPr>
            </w:pPr>
            <w:r>
              <w:rPr>
                <w:rFonts w:ascii="宋体" w:hAnsi="宋体" w:cs="宋体"/>
                <w:b/>
                <w:bCs w:val="0"/>
                <w:color w:val="auto"/>
                <w:w w:val="99"/>
                <w:sz w:val="20"/>
                <w:szCs w:val="20"/>
              </w:rPr>
              <w:t>套</w:t>
            </w:r>
          </w:p>
        </w:tc>
        <w:tc>
          <w:tcPr>
            <w:tcW w:w="1435" w:type="dxa"/>
            <w:shd w:val="clear" w:color="auto" w:fill="C0C0C0"/>
            <w:vAlign w:val="center"/>
          </w:tcPr>
          <w:p>
            <w:pPr>
              <w:pStyle w:val="68"/>
              <w:kinsoku w:val="0"/>
              <w:overflowPunct w:val="0"/>
              <w:jc w:val="center"/>
              <w:rPr>
                <w:rFonts w:ascii="宋体" w:hAnsi="宋体"/>
                <w:b/>
                <w:bCs w:val="0"/>
                <w:color w:val="auto"/>
                <w:sz w:val="20"/>
                <w:szCs w:val="20"/>
              </w:rPr>
            </w:pPr>
            <w:r>
              <w:rPr>
                <w:rFonts w:ascii="宋体" w:hAnsi="宋体" w:cs="宋体"/>
                <w:b/>
                <w:bCs w:val="0"/>
                <w:color w:val="auto"/>
                <w:w w:val="99"/>
                <w:sz w:val="20"/>
                <w:szCs w:val="20"/>
              </w:rPr>
              <w:t>1</w:t>
            </w:r>
          </w:p>
        </w:tc>
        <w:tc>
          <w:tcPr>
            <w:tcW w:w="2008" w:type="dxa"/>
            <w:shd w:val="clear" w:color="auto" w:fill="BFBFBF"/>
            <w:vAlign w:val="center"/>
          </w:tcPr>
          <w:p>
            <w:pPr>
              <w:pStyle w:val="68"/>
              <w:kinsoku w:val="0"/>
              <w:overflowPunct w:val="0"/>
              <w:jc w:val="center"/>
              <w:rPr>
                <w:rFonts w:ascii="宋体" w:hAnsi="宋体"/>
                <w:b/>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BFBFBF"/>
            <w:vAlign w:val="center"/>
          </w:tcPr>
          <w:p>
            <w:pPr>
              <w:jc w:val="center"/>
              <w:rPr>
                <w:rFonts w:ascii="宋体" w:hAnsi="宋体"/>
                <w:b/>
                <w:bCs w:val="0"/>
                <w:color w:val="auto"/>
                <w:sz w:val="20"/>
                <w:szCs w:val="20"/>
              </w:rPr>
            </w:pPr>
            <w:r>
              <w:rPr>
                <w:rFonts w:hint="eastAsia" w:ascii="宋体" w:hAnsi="宋体"/>
                <w:b/>
                <w:bCs w:val="0"/>
                <w:color w:val="auto"/>
                <w:sz w:val="20"/>
                <w:szCs w:val="20"/>
              </w:rPr>
              <w:t>6</w:t>
            </w:r>
          </w:p>
        </w:tc>
        <w:tc>
          <w:tcPr>
            <w:tcW w:w="3015" w:type="dxa"/>
            <w:shd w:val="clear" w:color="auto" w:fill="C0C0C0"/>
            <w:vAlign w:val="center"/>
          </w:tcPr>
          <w:p>
            <w:pPr>
              <w:pStyle w:val="68"/>
              <w:kinsoku w:val="0"/>
              <w:overflowPunct w:val="0"/>
              <w:jc w:val="center"/>
              <w:rPr>
                <w:rFonts w:hint="eastAsia" w:ascii="宋体" w:hAnsi="宋体" w:cs="宋体"/>
                <w:b/>
                <w:bCs w:val="0"/>
                <w:color w:val="auto"/>
                <w:sz w:val="20"/>
                <w:szCs w:val="20"/>
              </w:rPr>
            </w:pPr>
            <w:r>
              <w:rPr>
                <w:rFonts w:hint="eastAsia" w:ascii="宋体" w:hAnsi="宋体" w:cs="宋体"/>
                <w:b/>
                <w:bCs w:val="0"/>
                <w:color w:val="auto"/>
                <w:sz w:val="20"/>
                <w:szCs w:val="20"/>
              </w:rPr>
              <w:t>观测场围栏及防雷接地</w:t>
            </w:r>
          </w:p>
        </w:tc>
        <w:tc>
          <w:tcPr>
            <w:tcW w:w="1435" w:type="dxa"/>
            <w:shd w:val="clear" w:color="auto" w:fill="BFBFBF"/>
            <w:vAlign w:val="center"/>
          </w:tcPr>
          <w:p>
            <w:pPr>
              <w:jc w:val="center"/>
              <w:rPr>
                <w:rFonts w:hint="eastAsia" w:ascii="宋体" w:hAnsi="宋体"/>
                <w:b/>
                <w:bCs w:val="0"/>
                <w:color w:val="auto"/>
                <w:sz w:val="20"/>
                <w:szCs w:val="20"/>
              </w:rPr>
            </w:pPr>
            <w:r>
              <w:rPr>
                <w:rFonts w:hint="eastAsia" w:ascii="宋体" w:hAnsi="宋体"/>
                <w:b/>
                <w:bCs w:val="0"/>
                <w:color w:val="auto"/>
                <w:sz w:val="20"/>
                <w:szCs w:val="20"/>
              </w:rPr>
              <w:t>项</w:t>
            </w:r>
          </w:p>
        </w:tc>
        <w:tc>
          <w:tcPr>
            <w:tcW w:w="1435" w:type="dxa"/>
            <w:shd w:val="clear" w:color="auto" w:fill="BFBFBF"/>
            <w:vAlign w:val="center"/>
          </w:tcPr>
          <w:p>
            <w:pPr>
              <w:jc w:val="center"/>
              <w:rPr>
                <w:rFonts w:hint="eastAsia" w:ascii="宋体" w:hAnsi="宋体"/>
                <w:b/>
                <w:bCs w:val="0"/>
                <w:color w:val="auto"/>
                <w:sz w:val="20"/>
                <w:szCs w:val="20"/>
              </w:rPr>
            </w:pPr>
            <w:r>
              <w:rPr>
                <w:rFonts w:hint="eastAsia" w:ascii="宋体" w:hAnsi="宋体"/>
                <w:b/>
                <w:bCs w:val="0"/>
                <w:color w:val="auto"/>
                <w:sz w:val="20"/>
                <w:szCs w:val="20"/>
              </w:rPr>
              <w:t>1</w:t>
            </w:r>
          </w:p>
        </w:tc>
        <w:tc>
          <w:tcPr>
            <w:tcW w:w="2008" w:type="dxa"/>
            <w:shd w:val="clear" w:color="auto" w:fill="BFBFBF"/>
            <w:vAlign w:val="center"/>
          </w:tcPr>
          <w:p>
            <w:pPr>
              <w:jc w:val="center"/>
              <w:rPr>
                <w:rFonts w:ascii="宋体" w:hAnsi="宋体"/>
                <w:b/>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BFBFBF"/>
            <w:vAlign w:val="center"/>
          </w:tcPr>
          <w:p>
            <w:pPr>
              <w:jc w:val="center"/>
              <w:rPr>
                <w:rFonts w:ascii="宋体" w:hAnsi="宋体"/>
                <w:b/>
                <w:bCs w:val="0"/>
                <w:color w:val="auto"/>
                <w:sz w:val="20"/>
                <w:szCs w:val="20"/>
              </w:rPr>
            </w:pPr>
            <w:r>
              <w:rPr>
                <w:rFonts w:hint="eastAsia" w:ascii="宋体" w:hAnsi="宋体"/>
                <w:b/>
                <w:bCs w:val="0"/>
                <w:color w:val="auto"/>
                <w:sz w:val="20"/>
                <w:szCs w:val="20"/>
              </w:rPr>
              <w:t>7</w:t>
            </w:r>
          </w:p>
        </w:tc>
        <w:tc>
          <w:tcPr>
            <w:tcW w:w="3015" w:type="dxa"/>
            <w:shd w:val="clear" w:color="auto" w:fill="C0C0C0"/>
            <w:vAlign w:val="center"/>
          </w:tcPr>
          <w:p>
            <w:pPr>
              <w:pStyle w:val="68"/>
              <w:kinsoku w:val="0"/>
              <w:overflowPunct w:val="0"/>
              <w:jc w:val="center"/>
              <w:rPr>
                <w:rFonts w:ascii="宋体" w:hAnsi="宋体" w:cs="宋体"/>
                <w:b/>
                <w:bCs w:val="0"/>
                <w:color w:val="auto"/>
                <w:sz w:val="20"/>
                <w:szCs w:val="20"/>
              </w:rPr>
            </w:pPr>
            <w:r>
              <w:rPr>
                <w:rFonts w:hint="eastAsia" w:ascii="宋体" w:hAnsi="宋体" w:cs="宋体"/>
                <w:b/>
                <w:bCs w:val="0"/>
                <w:color w:val="auto"/>
                <w:sz w:val="20"/>
                <w:szCs w:val="20"/>
              </w:rPr>
              <w:t>观测期设备维护</w:t>
            </w:r>
          </w:p>
        </w:tc>
        <w:tc>
          <w:tcPr>
            <w:tcW w:w="1435" w:type="dxa"/>
            <w:shd w:val="clear" w:color="auto" w:fill="BFBFBF"/>
            <w:vAlign w:val="center"/>
          </w:tcPr>
          <w:p>
            <w:pPr>
              <w:jc w:val="center"/>
              <w:rPr>
                <w:rFonts w:hint="eastAsia" w:ascii="宋体" w:hAnsi="宋体"/>
                <w:b/>
                <w:bCs w:val="0"/>
                <w:color w:val="auto"/>
                <w:sz w:val="20"/>
                <w:szCs w:val="20"/>
              </w:rPr>
            </w:pPr>
            <w:r>
              <w:rPr>
                <w:rFonts w:hint="eastAsia" w:ascii="宋体" w:hAnsi="宋体"/>
                <w:b/>
                <w:bCs w:val="0"/>
                <w:color w:val="auto"/>
                <w:sz w:val="20"/>
                <w:szCs w:val="20"/>
              </w:rPr>
              <w:t>项</w:t>
            </w:r>
          </w:p>
        </w:tc>
        <w:tc>
          <w:tcPr>
            <w:tcW w:w="1435" w:type="dxa"/>
            <w:shd w:val="clear" w:color="auto" w:fill="BFBFBF"/>
            <w:vAlign w:val="center"/>
          </w:tcPr>
          <w:p>
            <w:pPr>
              <w:jc w:val="center"/>
              <w:rPr>
                <w:rFonts w:ascii="宋体" w:hAnsi="宋体"/>
                <w:b/>
                <w:bCs w:val="0"/>
                <w:color w:val="auto"/>
                <w:sz w:val="20"/>
                <w:szCs w:val="20"/>
              </w:rPr>
            </w:pPr>
            <w:r>
              <w:rPr>
                <w:rFonts w:hint="eastAsia" w:ascii="宋体" w:hAnsi="宋体"/>
                <w:b/>
                <w:bCs w:val="0"/>
                <w:color w:val="auto"/>
                <w:sz w:val="20"/>
                <w:szCs w:val="20"/>
              </w:rPr>
              <w:t>1</w:t>
            </w:r>
          </w:p>
        </w:tc>
        <w:tc>
          <w:tcPr>
            <w:tcW w:w="2008" w:type="dxa"/>
            <w:shd w:val="clear" w:color="auto" w:fill="BFBFBF"/>
            <w:vAlign w:val="center"/>
          </w:tcPr>
          <w:p>
            <w:pPr>
              <w:jc w:val="center"/>
              <w:rPr>
                <w:rFonts w:ascii="宋体" w:hAnsi="宋体"/>
                <w:b/>
                <w:bCs w:val="0"/>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FFFFFF"/>
            <w:vAlign w:val="center"/>
          </w:tcPr>
          <w:p>
            <w:pPr>
              <w:jc w:val="center"/>
              <w:rPr>
                <w:rFonts w:ascii="宋体" w:hAnsi="宋体"/>
                <w:color w:val="auto"/>
                <w:sz w:val="20"/>
                <w:szCs w:val="20"/>
              </w:rPr>
            </w:pPr>
            <w:r>
              <w:rPr>
                <w:rFonts w:hint="eastAsia" w:ascii="宋体" w:hAnsi="宋体"/>
                <w:color w:val="auto"/>
                <w:sz w:val="20"/>
                <w:szCs w:val="20"/>
              </w:rPr>
              <w:t>7.1</w:t>
            </w:r>
          </w:p>
        </w:tc>
        <w:tc>
          <w:tcPr>
            <w:tcW w:w="3015" w:type="dxa"/>
            <w:shd w:val="clear" w:color="auto" w:fill="FFFFFF"/>
            <w:vAlign w:val="center"/>
          </w:tcPr>
          <w:p>
            <w:pPr>
              <w:jc w:val="center"/>
              <w:rPr>
                <w:rFonts w:ascii="宋体" w:hAnsi="宋体" w:cs="宋体"/>
                <w:color w:val="auto"/>
                <w:sz w:val="20"/>
                <w:szCs w:val="20"/>
              </w:rPr>
            </w:pPr>
            <w:r>
              <w:rPr>
                <w:rFonts w:hint="eastAsia"/>
                <w:color w:val="auto"/>
                <w:sz w:val="20"/>
                <w:szCs w:val="20"/>
              </w:rPr>
              <w:t>观测期设备维护</w:t>
            </w:r>
          </w:p>
        </w:tc>
        <w:tc>
          <w:tcPr>
            <w:tcW w:w="1435" w:type="dxa"/>
            <w:shd w:val="clear" w:color="auto" w:fill="FFFFFF"/>
            <w:vAlign w:val="center"/>
          </w:tcPr>
          <w:p>
            <w:pPr>
              <w:jc w:val="center"/>
              <w:rPr>
                <w:rFonts w:hint="eastAsia" w:ascii="宋体" w:hAnsi="宋体"/>
                <w:color w:val="auto"/>
                <w:sz w:val="20"/>
                <w:szCs w:val="20"/>
              </w:rPr>
            </w:pPr>
            <w:r>
              <w:rPr>
                <w:rFonts w:hint="eastAsia" w:ascii="宋体" w:hAnsi="宋体"/>
                <w:color w:val="auto"/>
                <w:sz w:val="20"/>
                <w:szCs w:val="20"/>
              </w:rPr>
              <w:t>次</w:t>
            </w:r>
          </w:p>
        </w:tc>
        <w:tc>
          <w:tcPr>
            <w:tcW w:w="1435" w:type="dxa"/>
            <w:shd w:val="clear" w:color="auto" w:fill="FFFFFF"/>
            <w:vAlign w:val="center"/>
          </w:tcPr>
          <w:p>
            <w:pPr>
              <w:jc w:val="center"/>
              <w:rPr>
                <w:rFonts w:ascii="宋体" w:hAnsi="宋体"/>
                <w:color w:val="auto"/>
                <w:sz w:val="20"/>
                <w:szCs w:val="20"/>
              </w:rPr>
            </w:pPr>
            <w:r>
              <w:rPr>
                <w:rFonts w:hint="eastAsia" w:ascii="宋体" w:hAnsi="宋体"/>
                <w:color w:val="auto"/>
                <w:sz w:val="20"/>
                <w:szCs w:val="20"/>
              </w:rPr>
              <w:t>13</w:t>
            </w:r>
          </w:p>
        </w:tc>
        <w:tc>
          <w:tcPr>
            <w:tcW w:w="2008" w:type="dxa"/>
            <w:shd w:val="clear" w:color="auto" w:fill="FFFFFF"/>
            <w:vAlign w:val="center"/>
          </w:tcPr>
          <w:p>
            <w:pPr>
              <w:jc w:val="center"/>
              <w:rPr>
                <w:rFonts w:ascii="宋体" w:hAnsi="宋体" w:cs="宋体"/>
                <w:color w:val="auto"/>
                <w:sz w:val="20"/>
                <w:szCs w:val="20"/>
              </w:rPr>
            </w:pPr>
            <w:r>
              <w:rPr>
                <w:rFonts w:hint="eastAsia"/>
                <w:color w:val="auto"/>
                <w:sz w:val="20"/>
                <w:szCs w:val="20"/>
              </w:rPr>
              <w:t>每月1次，含试运行期1个月，共13次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BFBFBF"/>
            <w:vAlign w:val="center"/>
          </w:tcPr>
          <w:p>
            <w:pPr>
              <w:jc w:val="center"/>
              <w:rPr>
                <w:rFonts w:ascii="宋体" w:hAnsi="宋体"/>
                <w:b/>
                <w:bCs/>
                <w:color w:val="auto"/>
                <w:sz w:val="20"/>
                <w:szCs w:val="20"/>
              </w:rPr>
            </w:pPr>
            <w:r>
              <w:rPr>
                <w:rFonts w:hint="eastAsia" w:ascii="宋体" w:hAnsi="宋体"/>
                <w:b/>
                <w:bCs/>
                <w:color w:val="auto"/>
                <w:sz w:val="20"/>
                <w:szCs w:val="20"/>
              </w:rPr>
              <w:t>8</w:t>
            </w:r>
          </w:p>
        </w:tc>
        <w:tc>
          <w:tcPr>
            <w:tcW w:w="3015" w:type="dxa"/>
            <w:shd w:val="clear" w:color="auto" w:fill="C0C0C0"/>
            <w:vAlign w:val="center"/>
          </w:tcPr>
          <w:p>
            <w:pPr>
              <w:pStyle w:val="68"/>
              <w:kinsoku w:val="0"/>
              <w:overflowPunct w:val="0"/>
              <w:jc w:val="center"/>
              <w:rPr>
                <w:rFonts w:ascii="宋体" w:hAnsi="宋体" w:cs="宋体"/>
                <w:b/>
                <w:bCs/>
                <w:color w:val="auto"/>
                <w:sz w:val="20"/>
                <w:szCs w:val="20"/>
              </w:rPr>
            </w:pPr>
            <w:r>
              <w:rPr>
                <w:rFonts w:hint="eastAsia" w:ascii="宋体" w:hAnsi="宋体" w:cs="宋体"/>
                <w:b/>
                <w:bCs/>
                <w:color w:val="auto"/>
                <w:sz w:val="20"/>
                <w:szCs w:val="20"/>
              </w:rPr>
              <w:t>气象条件分析报告</w:t>
            </w:r>
          </w:p>
        </w:tc>
        <w:tc>
          <w:tcPr>
            <w:tcW w:w="1435" w:type="dxa"/>
            <w:shd w:val="clear" w:color="auto" w:fill="BFBFBF"/>
            <w:vAlign w:val="center"/>
          </w:tcPr>
          <w:p>
            <w:pPr>
              <w:jc w:val="center"/>
              <w:rPr>
                <w:rFonts w:ascii="宋体" w:hAnsi="宋体"/>
                <w:b/>
                <w:bCs/>
                <w:color w:val="auto"/>
                <w:sz w:val="20"/>
                <w:szCs w:val="20"/>
              </w:rPr>
            </w:pPr>
            <w:r>
              <w:rPr>
                <w:rFonts w:ascii="宋体" w:hAnsi="宋体"/>
                <w:b/>
                <w:bCs/>
                <w:color w:val="auto"/>
                <w:sz w:val="20"/>
                <w:szCs w:val="20"/>
              </w:rPr>
              <w:t>项</w:t>
            </w:r>
          </w:p>
        </w:tc>
        <w:tc>
          <w:tcPr>
            <w:tcW w:w="1435" w:type="dxa"/>
            <w:shd w:val="clear" w:color="auto" w:fill="BFBFBF"/>
            <w:vAlign w:val="center"/>
          </w:tcPr>
          <w:p>
            <w:pPr>
              <w:jc w:val="center"/>
              <w:rPr>
                <w:rFonts w:ascii="宋体" w:hAnsi="宋体"/>
                <w:b/>
                <w:bCs/>
                <w:color w:val="auto"/>
                <w:sz w:val="20"/>
                <w:szCs w:val="20"/>
              </w:rPr>
            </w:pPr>
            <w:r>
              <w:rPr>
                <w:rFonts w:ascii="宋体" w:hAnsi="宋体"/>
                <w:b/>
                <w:bCs/>
                <w:color w:val="auto"/>
                <w:sz w:val="20"/>
                <w:szCs w:val="20"/>
              </w:rPr>
              <w:t>1</w:t>
            </w:r>
          </w:p>
        </w:tc>
        <w:tc>
          <w:tcPr>
            <w:tcW w:w="2008" w:type="dxa"/>
            <w:shd w:val="clear" w:color="auto" w:fill="BFBFBF"/>
            <w:vAlign w:val="center"/>
          </w:tcPr>
          <w:p>
            <w:pPr>
              <w:jc w:val="center"/>
              <w:rPr>
                <w:rFonts w:ascii="宋体" w:hAnsi="宋体"/>
                <w:b/>
                <w:bCs/>
                <w:color w:val="auto"/>
                <w:sz w:val="20"/>
                <w:szCs w:val="20"/>
              </w:rPr>
            </w:pPr>
            <w:r>
              <w:rPr>
                <w:rFonts w:hint="eastAsia" w:ascii="宋体" w:hAnsi="宋体"/>
                <w:b/>
                <w:bCs/>
                <w:color w:val="auto"/>
                <w:sz w:val="20"/>
                <w:szCs w:val="20"/>
              </w:rPr>
              <w:t>1年气象资料分析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vAlign w:val="center"/>
          </w:tcPr>
          <w:p>
            <w:pPr>
              <w:jc w:val="center"/>
              <w:rPr>
                <w:rFonts w:ascii="宋体" w:hAnsi="宋体"/>
                <w:color w:val="auto"/>
                <w:sz w:val="20"/>
                <w:szCs w:val="20"/>
              </w:rPr>
            </w:pPr>
            <w:r>
              <w:rPr>
                <w:rFonts w:hint="eastAsia" w:ascii="宋体" w:hAnsi="宋体"/>
                <w:color w:val="auto"/>
                <w:sz w:val="20"/>
                <w:szCs w:val="20"/>
              </w:rPr>
              <w:t>8.1</w:t>
            </w:r>
          </w:p>
        </w:tc>
        <w:tc>
          <w:tcPr>
            <w:tcW w:w="3015" w:type="dxa"/>
            <w:vAlign w:val="center"/>
          </w:tcPr>
          <w:p>
            <w:pPr>
              <w:pStyle w:val="68"/>
              <w:kinsoku w:val="0"/>
              <w:overflowPunct w:val="0"/>
              <w:jc w:val="center"/>
              <w:rPr>
                <w:rFonts w:ascii="宋体" w:hAnsi="宋体" w:cs="宋体"/>
                <w:bCs/>
                <w:color w:val="auto"/>
                <w:sz w:val="20"/>
                <w:szCs w:val="20"/>
              </w:rPr>
            </w:pPr>
            <w:r>
              <w:rPr>
                <w:rFonts w:hint="eastAsia" w:ascii="宋体" w:hAnsi="宋体" w:cs="宋体"/>
                <w:bCs/>
                <w:color w:val="auto"/>
                <w:sz w:val="20"/>
                <w:szCs w:val="20"/>
              </w:rPr>
              <w:t>本站资料分析</w:t>
            </w:r>
          </w:p>
        </w:tc>
        <w:tc>
          <w:tcPr>
            <w:tcW w:w="1435" w:type="dxa"/>
            <w:vAlign w:val="center"/>
          </w:tcPr>
          <w:p>
            <w:pPr>
              <w:jc w:val="center"/>
              <w:rPr>
                <w:rFonts w:hint="eastAsia" w:ascii="宋体" w:hAnsi="宋体"/>
                <w:color w:val="auto"/>
                <w:sz w:val="20"/>
                <w:szCs w:val="20"/>
              </w:rPr>
            </w:pPr>
            <w:r>
              <w:rPr>
                <w:rFonts w:ascii="宋体" w:hAnsi="宋体"/>
                <w:color w:val="auto"/>
                <w:sz w:val="20"/>
                <w:szCs w:val="20"/>
              </w:rPr>
              <w:t>项</w:t>
            </w:r>
          </w:p>
        </w:tc>
        <w:tc>
          <w:tcPr>
            <w:tcW w:w="1435" w:type="dxa"/>
            <w:vAlign w:val="center"/>
          </w:tcPr>
          <w:p>
            <w:pPr>
              <w:jc w:val="center"/>
              <w:rPr>
                <w:rFonts w:ascii="宋体" w:hAnsi="宋体"/>
                <w:color w:val="auto"/>
                <w:sz w:val="20"/>
                <w:szCs w:val="20"/>
              </w:rPr>
            </w:pPr>
            <w:r>
              <w:rPr>
                <w:rFonts w:hint="eastAsia" w:ascii="宋体" w:hAnsi="宋体"/>
                <w:color w:val="auto"/>
                <w:sz w:val="20"/>
                <w:szCs w:val="20"/>
              </w:rPr>
              <w:t>1</w:t>
            </w:r>
          </w:p>
        </w:tc>
        <w:tc>
          <w:tcPr>
            <w:tcW w:w="2008" w:type="dxa"/>
            <w:vAlign w:val="center"/>
          </w:tcPr>
          <w:p>
            <w:pPr>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vAlign w:val="center"/>
          </w:tcPr>
          <w:p>
            <w:pPr>
              <w:jc w:val="center"/>
              <w:rPr>
                <w:rFonts w:ascii="宋体" w:hAnsi="宋体"/>
                <w:color w:val="auto"/>
                <w:sz w:val="20"/>
                <w:szCs w:val="20"/>
              </w:rPr>
            </w:pPr>
            <w:r>
              <w:rPr>
                <w:rFonts w:hint="eastAsia" w:ascii="宋体" w:hAnsi="宋体"/>
                <w:color w:val="auto"/>
                <w:sz w:val="20"/>
                <w:szCs w:val="20"/>
              </w:rPr>
              <w:t>8.2</w:t>
            </w:r>
          </w:p>
        </w:tc>
        <w:tc>
          <w:tcPr>
            <w:tcW w:w="3015" w:type="dxa"/>
            <w:vAlign w:val="center"/>
          </w:tcPr>
          <w:p>
            <w:pPr>
              <w:pStyle w:val="68"/>
              <w:kinsoku w:val="0"/>
              <w:overflowPunct w:val="0"/>
              <w:jc w:val="center"/>
              <w:rPr>
                <w:rFonts w:ascii="宋体" w:hAnsi="宋体" w:cs="宋体"/>
                <w:bCs/>
                <w:color w:val="auto"/>
                <w:sz w:val="20"/>
                <w:szCs w:val="20"/>
              </w:rPr>
            </w:pPr>
            <w:r>
              <w:rPr>
                <w:rFonts w:hint="eastAsia" w:ascii="宋体" w:hAnsi="宋体" w:cs="宋体"/>
                <w:bCs/>
                <w:color w:val="auto"/>
                <w:sz w:val="20"/>
                <w:szCs w:val="20"/>
              </w:rPr>
              <w:t>对比站资料分析</w:t>
            </w:r>
          </w:p>
        </w:tc>
        <w:tc>
          <w:tcPr>
            <w:tcW w:w="1435" w:type="dxa"/>
            <w:vAlign w:val="center"/>
          </w:tcPr>
          <w:p>
            <w:pPr>
              <w:jc w:val="center"/>
              <w:rPr>
                <w:rFonts w:hint="eastAsia" w:ascii="宋体" w:hAnsi="宋体"/>
                <w:color w:val="auto"/>
                <w:sz w:val="20"/>
                <w:szCs w:val="20"/>
              </w:rPr>
            </w:pPr>
            <w:r>
              <w:rPr>
                <w:rFonts w:ascii="宋体" w:hAnsi="宋体"/>
                <w:color w:val="auto"/>
                <w:sz w:val="20"/>
                <w:szCs w:val="20"/>
              </w:rPr>
              <w:t>项</w:t>
            </w:r>
          </w:p>
        </w:tc>
        <w:tc>
          <w:tcPr>
            <w:tcW w:w="1435" w:type="dxa"/>
            <w:vAlign w:val="center"/>
          </w:tcPr>
          <w:p>
            <w:pPr>
              <w:jc w:val="center"/>
              <w:rPr>
                <w:rFonts w:ascii="宋体" w:hAnsi="宋体"/>
                <w:color w:val="auto"/>
                <w:sz w:val="20"/>
                <w:szCs w:val="20"/>
              </w:rPr>
            </w:pPr>
            <w:r>
              <w:rPr>
                <w:rFonts w:hint="eastAsia" w:ascii="宋体" w:hAnsi="宋体"/>
                <w:color w:val="auto"/>
                <w:sz w:val="20"/>
                <w:szCs w:val="20"/>
              </w:rPr>
              <w:t>1</w:t>
            </w:r>
          </w:p>
        </w:tc>
        <w:tc>
          <w:tcPr>
            <w:tcW w:w="2008" w:type="dxa"/>
            <w:vAlign w:val="center"/>
          </w:tcPr>
          <w:p>
            <w:pPr>
              <w:jc w:val="center"/>
              <w:rPr>
                <w:rFonts w:ascii="宋体" w:hAnsi="宋体"/>
                <w:color w:val="auto"/>
                <w:sz w:val="20"/>
                <w:szCs w:val="20"/>
              </w:rPr>
            </w:pPr>
            <w:r>
              <w:rPr>
                <w:rFonts w:hint="eastAsia" w:ascii="宋体" w:hAnsi="宋体"/>
                <w:color w:val="auto"/>
                <w:sz w:val="20"/>
                <w:szCs w:val="20"/>
              </w:rPr>
              <w:t>收集附近1个参证站数据并进行对比分析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BFBFBF"/>
            <w:vAlign w:val="center"/>
          </w:tcPr>
          <w:p>
            <w:pPr>
              <w:jc w:val="center"/>
              <w:rPr>
                <w:rFonts w:ascii="宋体" w:hAnsi="宋体"/>
                <w:b/>
                <w:bCs/>
                <w:color w:val="auto"/>
                <w:sz w:val="20"/>
                <w:szCs w:val="20"/>
              </w:rPr>
            </w:pPr>
            <w:r>
              <w:rPr>
                <w:rFonts w:hint="eastAsia" w:ascii="宋体" w:hAnsi="宋体"/>
                <w:b/>
                <w:bCs/>
                <w:color w:val="auto"/>
                <w:sz w:val="20"/>
                <w:szCs w:val="20"/>
              </w:rPr>
              <w:t>9</w:t>
            </w:r>
          </w:p>
        </w:tc>
        <w:tc>
          <w:tcPr>
            <w:tcW w:w="3015" w:type="dxa"/>
            <w:shd w:val="clear" w:color="auto" w:fill="C0C0C0"/>
            <w:vAlign w:val="center"/>
          </w:tcPr>
          <w:p>
            <w:pPr>
              <w:pStyle w:val="68"/>
              <w:kinsoku w:val="0"/>
              <w:overflowPunct w:val="0"/>
              <w:jc w:val="center"/>
              <w:rPr>
                <w:rFonts w:ascii="宋体" w:hAnsi="宋体"/>
                <w:b/>
                <w:bCs/>
                <w:color w:val="auto"/>
                <w:sz w:val="20"/>
                <w:szCs w:val="20"/>
              </w:rPr>
            </w:pPr>
            <w:r>
              <w:rPr>
                <w:rFonts w:hint="eastAsia" w:ascii="宋体" w:hAnsi="宋体" w:cs="宋体"/>
                <w:b/>
                <w:bCs/>
                <w:color w:val="auto"/>
                <w:sz w:val="20"/>
                <w:szCs w:val="20"/>
              </w:rPr>
              <w:t>后期运行维护</w:t>
            </w:r>
          </w:p>
        </w:tc>
        <w:tc>
          <w:tcPr>
            <w:tcW w:w="1435" w:type="dxa"/>
            <w:shd w:val="clear" w:color="auto" w:fill="BFBFBF"/>
            <w:vAlign w:val="center"/>
          </w:tcPr>
          <w:p>
            <w:pPr>
              <w:jc w:val="center"/>
              <w:rPr>
                <w:rFonts w:hint="eastAsia" w:ascii="宋体" w:hAnsi="宋体"/>
                <w:b/>
                <w:bCs/>
                <w:color w:val="auto"/>
                <w:sz w:val="20"/>
                <w:szCs w:val="20"/>
              </w:rPr>
            </w:pPr>
            <w:r>
              <w:rPr>
                <w:rFonts w:hint="eastAsia" w:ascii="宋体" w:hAnsi="宋体"/>
                <w:b/>
                <w:bCs/>
                <w:color w:val="auto"/>
                <w:sz w:val="20"/>
                <w:szCs w:val="20"/>
              </w:rPr>
              <w:t>项</w:t>
            </w:r>
          </w:p>
        </w:tc>
        <w:tc>
          <w:tcPr>
            <w:tcW w:w="1435" w:type="dxa"/>
            <w:shd w:val="clear" w:color="auto" w:fill="BFBFBF"/>
            <w:vAlign w:val="center"/>
          </w:tcPr>
          <w:p>
            <w:pPr>
              <w:jc w:val="center"/>
              <w:rPr>
                <w:rFonts w:ascii="宋体" w:hAnsi="宋体"/>
                <w:b/>
                <w:bCs/>
                <w:color w:val="auto"/>
                <w:sz w:val="20"/>
                <w:szCs w:val="20"/>
              </w:rPr>
            </w:pPr>
            <w:r>
              <w:rPr>
                <w:rFonts w:hint="eastAsia" w:ascii="宋体" w:hAnsi="宋体"/>
                <w:b/>
                <w:bCs/>
                <w:color w:val="auto"/>
                <w:sz w:val="20"/>
                <w:szCs w:val="20"/>
              </w:rPr>
              <w:t>1</w:t>
            </w:r>
          </w:p>
        </w:tc>
        <w:tc>
          <w:tcPr>
            <w:tcW w:w="2008" w:type="dxa"/>
            <w:shd w:val="clear" w:color="auto" w:fill="BFBFBF"/>
            <w:vAlign w:val="center"/>
          </w:tcPr>
          <w:p>
            <w:pPr>
              <w:jc w:val="center"/>
              <w:rPr>
                <w:rFonts w:ascii="宋体" w:hAnsi="宋体"/>
                <w:b/>
                <w:bCs/>
                <w:color w:val="auto"/>
                <w:sz w:val="20"/>
                <w:szCs w:val="20"/>
              </w:rPr>
            </w:pPr>
            <w:r>
              <w:rPr>
                <w:rFonts w:ascii="宋体" w:hAnsi="宋体"/>
                <w:b/>
                <w:bCs/>
                <w:color w:val="auto"/>
                <w:sz w:val="20"/>
                <w:szCs w:val="20"/>
              </w:rPr>
              <w:t>临时气象观测站须持续</w:t>
            </w:r>
            <w:r>
              <w:rPr>
                <w:rFonts w:hint="eastAsia" w:ascii="宋体" w:hAnsi="宋体"/>
                <w:b/>
                <w:bCs/>
                <w:color w:val="auto"/>
                <w:sz w:val="20"/>
                <w:szCs w:val="20"/>
              </w:rPr>
              <w:t>收集资料</w:t>
            </w:r>
            <w:r>
              <w:rPr>
                <w:rFonts w:ascii="宋体" w:hAnsi="宋体"/>
                <w:b/>
                <w:bCs/>
                <w:color w:val="auto"/>
                <w:sz w:val="20"/>
                <w:szCs w:val="20"/>
              </w:rPr>
              <w:t>至机场通航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12" w:type="dxa"/>
            <w:shd w:val="clear" w:color="auto" w:fill="BFBFBF"/>
            <w:vAlign w:val="center"/>
          </w:tcPr>
          <w:p>
            <w:pPr>
              <w:jc w:val="center"/>
              <w:rPr>
                <w:rFonts w:ascii="宋体" w:hAnsi="宋体"/>
                <w:color w:val="auto"/>
                <w:sz w:val="20"/>
                <w:szCs w:val="20"/>
              </w:rPr>
            </w:pPr>
            <w:r>
              <w:rPr>
                <w:rFonts w:hint="eastAsia" w:ascii="宋体" w:hAnsi="宋体"/>
                <w:color w:val="auto"/>
                <w:sz w:val="20"/>
                <w:szCs w:val="20"/>
              </w:rPr>
              <w:t>9.1</w:t>
            </w:r>
          </w:p>
        </w:tc>
        <w:tc>
          <w:tcPr>
            <w:tcW w:w="3015" w:type="dxa"/>
            <w:shd w:val="clear" w:color="auto" w:fill="C0C0C0"/>
            <w:vAlign w:val="center"/>
          </w:tcPr>
          <w:p>
            <w:pPr>
              <w:jc w:val="center"/>
              <w:rPr>
                <w:rFonts w:ascii="宋体" w:hAnsi="宋体" w:cs="宋体"/>
                <w:color w:val="auto"/>
                <w:sz w:val="20"/>
                <w:szCs w:val="20"/>
              </w:rPr>
            </w:pPr>
            <w:r>
              <w:rPr>
                <w:rFonts w:hint="eastAsia"/>
                <w:color w:val="auto"/>
                <w:sz w:val="20"/>
                <w:szCs w:val="20"/>
              </w:rPr>
              <w:t>观测期后资料持续收集及设备维护</w:t>
            </w:r>
          </w:p>
        </w:tc>
        <w:tc>
          <w:tcPr>
            <w:tcW w:w="1435" w:type="dxa"/>
            <w:shd w:val="clear" w:color="auto" w:fill="BFBFBF"/>
            <w:vAlign w:val="center"/>
          </w:tcPr>
          <w:p>
            <w:pPr>
              <w:jc w:val="center"/>
              <w:rPr>
                <w:rFonts w:hint="eastAsia" w:ascii="宋体" w:hAnsi="宋体"/>
                <w:color w:val="auto"/>
                <w:sz w:val="20"/>
                <w:szCs w:val="20"/>
              </w:rPr>
            </w:pPr>
            <w:r>
              <w:rPr>
                <w:rFonts w:hint="eastAsia" w:ascii="宋体" w:hAnsi="宋体"/>
                <w:color w:val="auto"/>
                <w:sz w:val="20"/>
                <w:szCs w:val="20"/>
              </w:rPr>
              <w:t>次</w:t>
            </w:r>
          </w:p>
        </w:tc>
        <w:tc>
          <w:tcPr>
            <w:tcW w:w="1435" w:type="dxa"/>
            <w:shd w:val="clear" w:color="auto" w:fill="BFBFBF"/>
            <w:vAlign w:val="center"/>
          </w:tcPr>
          <w:p>
            <w:pPr>
              <w:jc w:val="center"/>
              <w:rPr>
                <w:rFonts w:ascii="宋体" w:hAnsi="宋体"/>
                <w:color w:val="auto"/>
                <w:sz w:val="20"/>
                <w:szCs w:val="20"/>
              </w:rPr>
            </w:pPr>
            <w:r>
              <w:rPr>
                <w:rFonts w:hint="eastAsia" w:ascii="宋体" w:hAnsi="宋体"/>
                <w:color w:val="auto"/>
                <w:sz w:val="20"/>
                <w:szCs w:val="20"/>
              </w:rPr>
              <w:t>12</w:t>
            </w:r>
          </w:p>
        </w:tc>
        <w:tc>
          <w:tcPr>
            <w:tcW w:w="2008" w:type="dxa"/>
            <w:shd w:val="clear" w:color="auto" w:fill="BFBFBF"/>
            <w:vAlign w:val="center"/>
          </w:tcPr>
          <w:p>
            <w:pPr>
              <w:jc w:val="center"/>
              <w:rPr>
                <w:rFonts w:ascii="宋体" w:hAnsi="宋体" w:cs="宋体"/>
                <w:color w:val="auto"/>
                <w:sz w:val="20"/>
                <w:szCs w:val="20"/>
              </w:rPr>
            </w:pPr>
            <w:r>
              <w:rPr>
                <w:rFonts w:hint="eastAsia"/>
                <w:color w:val="auto"/>
                <w:sz w:val="20"/>
                <w:szCs w:val="20"/>
              </w:rPr>
              <w:t>每季度1次，暂按3年考虑</w:t>
            </w:r>
          </w:p>
        </w:tc>
      </w:tr>
    </w:tbl>
    <w:p>
      <w:pPr>
        <w:widowControl w:val="0"/>
        <w:wordWrap/>
        <w:autoSpaceDE w:val="0"/>
        <w:autoSpaceDN w:val="0"/>
        <w:adjustRightInd w:val="0"/>
        <w:snapToGrid/>
        <w:spacing w:line="500" w:lineRule="exact"/>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四、技术要求：</w:t>
      </w:r>
    </w:p>
    <w:p>
      <w:pPr>
        <w:pStyle w:val="13"/>
        <w:widowControl w:val="0"/>
        <w:wordWrap/>
        <w:autoSpaceDE w:val="0"/>
        <w:autoSpaceDN w:val="0"/>
        <w:adjustRightInd w:val="0"/>
        <w:snapToGrid/>
        <w:spacing w:line="50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（一）设备技术</w:t>
      </w:r>
      <w:r>
        <w:rPr>
          <w:rFonts w:hint="eastAsia" w:ascii="宋体" w:hAnsi="宋体" w:eastAsia="宋体" w:cs="Times New Roman"/>
          <w:color w:val="auto"/>
          <w:sz w:val="24"/>
          <w:szCs w:val="24"/>
          <w:lang w:eastAsia="zh-CN"/>
        </w:rPr>
        <w:t>要</w:t>
      </w:r>
      <w:r>
        <w:rPr>
          <w:rFonts w:hint="eastAsia" w:ascii="宋体" w:hAnsi="宋体" w:eastAsia="宋体" w:cs="Times New Roman"/>
          <w:color w:val="auto"/>
          <w:sz w:val="24"/>
          <w:szCs w:val="24"/>
        </w:rPr>
        <w:t>求</w:t>
      </w:r>
    </w:p>
    <w:p>
      <w:pPr>
        <w:pStyle w:val="13"/>
        <w:widowControl w:val="0"/>
        <w:wordWrap/>
        <w:autoSpaceDE w:val="0"/>
        <w:autoSpaceDN w:val="0"/>
        <w:adjustRightInd w:val="0"/>
        <w:snapToGrid/>
        <w:spacing w:line="50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1、风向传感器</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测量范围：0 度～360 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分辨力：1 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最大允许误差：5 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启动风速：小于或等于 0.5 米/秒。</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2、风速传感器</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测量范围：0 米/秒～75 米/秒；</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分辨力：0.5 米/秒；</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最大允许误差：0.5 米/秒（风速小于等于5 米/秒时）, 或风速的 10 % （风速大于 5 米/秒时）；</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启动风速：小于等于 0.5 米/秒。</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3、气压传感器</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测量范围：500 百帕～1100 百帕；</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分辨力：0.1 百帕； </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最大允许误差：0.3 百帕。</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4、温湿度传感器</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（1）温度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测量范围：-50 摄氏度～+50 摄氏度；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分辨力：0.1 摄氏度；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最大允许误差：0.2 摄氏度。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（2）湿度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测量范围：0%～100% ；</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分辨力：1%；</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最大允许误差：3%。</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5、雨量传感器</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测量范围：0～500 毫米；</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分辨力：0.1 毫米；</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最大允许误差：0.4 毫米（降雨量小于等于 5 毫米时）, 或降雨量的 2% （降雨量大于 5 毫米时）。</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6、云高仪</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测量范围：0 米～3000 米；</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分辨力：10 米；</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最大允许误差：10 米（云底高小于等于 100 米时），或云底高的 10% （云底高大于 100 米时）。</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7、测量气象光学视程（MOR）并计算跑道视程（RVR）的性能</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（1）MOR 测量范围：10 米～10000 米；</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（2）MOR 分辨力：1米；</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（3）MOR 最大允许误差：50 米（MOR 小于等于600 米时），或 MOR 的 10% （MOR 大于 600 米且小于等于 1500 米时）；或MOR 的 20% （MOR 大于 1500 米时）；</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（4）RVR 报告范围：10 米～2000 米；</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（5）RVR 分辨力：1 米；</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（6）RVR 最大允许误差：10 米（RVR 小于等于 400 米时），或 25 米（RVR 大于 400 米且小于等于 800 米时），或 RVR 的 10 % （RVR 大于 800 米时）。</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8、无线传输设备</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传输设备应具备4G通信能力，能接收到运营商提供的稳定信号。</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（二）环境适应性</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1、自动气象观测系统应当具有在以下供电条件下正常工作的能力：</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（1）单相交流电源电压：额定电压 220 伏特，允许额定上浮10%、下浮 15%的波动； </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（2）单相交流电源频率：额定频率 50 赫兹，可在 47 赫兹和 53 赫兹间波动。 </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2、自动气象观测系统传感器在供电闪断结束后应当具有自启动功能；各电源、通信端口应当具有足够的防浪涌、抗过压冲击、抗过流冲击、防短路等保护功能。</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3、自动气象观测系统室内设备应当具有在以下环境中正常工作的能力：</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（1）气温：+5 摄氏度～+35 摄氏度；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（2）相对湿度：20%～80%,无冷凝现象。</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4、自动气象观测系统室外设备应当具有在以下环境中正常工作的能力：</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（1）气温：-40 摄氏度～+50 摄氏度；</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（2）相对湿度：0%～100%；</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（3）≤45 米/秒持续大风，瞬间风速≤75 米/秒；</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（4）正上方雷暴，闪电，冰雹，300 毫米/小时的降水；</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（5）高度：海拔高度≤5500 米。</w:t>
      </w:r>
    </w:p>
    <w:p>
      <w:pPr>
        <w:spacing w:line="44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5、自动气象观测系统室外传感设备应当具有密封、防水、防锈、防腐蚀的能力。 </w:t>
      </w:r>
    </w:p>
    <w:p>
      <w:pPr>
        <w:pStyle w:val="3"/>
        <w:tabs>
          <w:tab w:val="left" w:pos="1283"/>
        </w:tabs>
        <w:kinsoku w:val="0"/>
        <w:overflowPunct w:val="0"/>
        <w:ind w:right="61"/>
        <w:jc w:val="center"/>
        <w:rPr>
          <w:rFonts w:eastAsia="Times New Roman"/>
          <w:color w:val="auto"/>
          <w:w w:val="95"/>
          <w:sz w:val="24"/>
          <w:szCs w:val="24"/>
        </w:rPr>
      </w:pPr>
    </w:p>
    <w:p>
      <w:pPr>
        <w:spacing w:line="440" w:lineRule="exact"/>
        <w:jc w:val="both"/>
        <w:rPr>
          <w:rFonts w:eastAsia="宋体"/>
          <w:b/>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rFonts w:hint="eastAsia"/>
          <w:w w:val="95"/>
        </w:rPr>
      </w:pPr>
    </w:p>
    <w:p>
      <w:pPr>
        <w:pStyle w:val="3"/>
        <w:tabs>
          <w:tab w:val="left" w:pos="1283"/>
        </w:tabs>
        <w:kinsoku w:val="0"/>
        <w:overflowPunct w:val="0"/>
        <w:ind w:right="61"/>
        <w:jc w:val="center"/>
        <w:rPr>
          <w:rFonts w:hint="eastAsia"/>
          <w:w w:val="95"/>
        </w:rPr>
      </w:pPr>
    </w:p>
    <w:p>
      <w:pPr>
        <w:pStyle w:val="3"/>
        <w:tabs>
          <w:tab w:val="left" w:pos="1283"/>
        </w:tabs>
        <w:kinsoku w:val="0"/>
        <w:overflowPunct w:val="0"/>
        <w:ind w:right="61"/>
        <w:jc w:val="center"/>
        <w:rPr>
          <w:rFonts w:hint="eastAsia"/>
          <w:w w:val="95"/>
        </w:rPr>
      </w:pPr>
    </w:p>
    <w:p>
      <w:pPr>
        <w:pStyle w:val="3"/>
        <w:tabs>
          <w:tab w:val="left" w:pos="1283"/>
        </w:tabs>
        <w:kinsoku w:val="0"/>
        <w:overflowPunct w:val="0"/>
        <w:ind w:right="61"/>
        <w:jc w:val="center"/>
        <w:rPr>
          <w:rFonts w:eastAsia="Times New Roman"/>
          <w:w w:val="95"/>
        </w:rPr>
      </w:pPr>
      <w:r>
        <w:rPr>
          <w:rFonts w:hint="eastAsia"/>
          <w:w w:val="95"/>
        </w:rPr>
        <w:t>第</w:t>
      </w:r>
      <w:r>
        <w:rPr>
          <w:rFonts w:hint="eastAsia"/>
          <w:w w:val="95"/>
          <w:lang w:val="en-US" w:eastAsia="zh-CN"/>
        </w:rPr>
        <w:t>四</w:t>
      </w:r>
      <w:r>
        <w:rPr>
          <w:rFonts w:hint="eastAsia"/>
          <w:w w:val="95"/>
        </w:rPr>
        <w:t>章</w:t>
      </w:r>
      <w:r>
        <w:rPr>
          <w:rFonts w:eastAsia="Times New Roman"/>
          <w:w w:val="95"/>
        </w:rPr>
        <w:tab/>
      </w:r>
      <w:r>
        <w:rPr>
          <w:rFonts w:hint="eastAsia"/>
          <w:w w:val="95"/>
        </w:rPr>
        <w:t>响应文件格式</w:t>
      </w:r>
    </w:p>
    <w:p>
      <w:pPr>
        <w:ind w:right="480"/>
        <w:jc w:val="center"/>
        <w:rPr>
          <w:rFonts w:eastAsia="Times New Roman"/>
          <w:b/>
        </w:rPr>
      </w:pPr>
    </w:p>
    <w:p>
      <w:pPr>
        <w:jc w:val="center"/>
        <w:rPr>
          <w:rFonts w:eastAsia="宋体"/>
          <w:b/>
        </w:rPr>
      </w:pPr>
      <w:r>
        <w:rPr>
          <w:rFonts w:hint="eastAsia" w:eastAsia="宋体"/>
          <w:b/>
        </w:rPr>
        <w:t xml:space="preserve">                                                                                                                                  正本</w:t>
      </w:r>
      <w:r>
        <w:rPr>
          <w:rFonts w:eastAsia="宋体"/>
          <w:b/>
        </w:rPr>
        <w:t>/</w:t>
      </w:r>
      <w:r>
        <w:rPr>
          <w:rFonts w:hint="eastAsia" w:eastAsia="宋体"/>
          <w:b/>
        </w:rPr>
        <w:t>副本</w:t>
      </w:r>
    </w:p>
    <w:p>
      <w:pPr>
        <w:rPr>
          <w:rFonts w:eastAsia="Times New Roman"/>
        </w:rPr>
      </w:pPr>
    </w:p>
    <w:p>
      <w:pPr>
        <w:rPr>
          <w:rFonts w:eastAsia="Times New Roman"/>
        </w:rPr>
      </w:pPr>
    </w:p>
    <w:p>
      <w:pPr>
        <w:jc w:val="center"/>
        <w:rPr>
          <w:rFonts w:eastAsia="Times New Roman"/>
          <w:sz w:val="28"/>
        </w:rPr>
      </w:pPr>
      <w:r>
        <w:rPr>
          <w:rFonts w:hint="eastAsia" w:ascii="宋体" w:hAnsi="宋体"/>
          <w:sz w:val="28"/>
          <w:u w:val="single"/>
        </w:rPr>
        <w:t>（项目名称）</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r>
        <w:rPr>
          <w:rFonts w:hint="eastAsia" w:ascii="宋体" w:hAnsi="宋体"/>
          <w:b/>
          <w:sz w:val="36"/>
        </w:rPr>
        <w:t>响应文件</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宋体"/>
          <w:b/>
          <w:sz w:val="28"/>
        </w:rPr>
      </w:pPr>
    </w:p>
    <w:p>
      <w:pPr>
        <w:spacing w:line="480" w:lineRule="auto"/>
        <w:ind w:firstLine="2380" w:firstLineChars="850"/>
        <w:rPr>
          <w:rFonts w:eastAsia="Times New Roman"/>
          <w:sz w:val="28"/>
          <w:u w:val="single"/>
        </w:rPr>
      </w:pPr>
      <w:r>
        <w:rPr>
          <w:rFonts w:hint="eastAsia" w:ascii="宋体" w:hAnsi="宋体"/>
          <w:sz w:val="28"/>
        </w:rPr>
        <w:t>供应商名称：（盖章）</w:t>
      </w:r>
    </w:p>
    <w:p>
      <w:pPr>
        <w:spacing w:line="480" w:lineRule="auto"/>
        <w:jc w:val="center"/>
        <w:rPr>
          <w:rFonts w:eastAsia="宋体"/>
          <w:sz w:val="28"/>
        </w:rPr>
      </w:pPr>
      <w:r>
        <w:rPr>
          <w:rFonts w:hint="eastAsia" w:ascii="宋体" w:hAnsi="宋体"/>
          <w:sz w:val="28"/>
        </w:rPr>
        <w:t xml:space="preserve">    法定代表人或其委托代理人：（签字或盖章）</w:t>
      </w:r>
    </w:p>
    <w:p>
      <w:pPr>
        <w:spacing w:line="480" w:lineRule="auto"/>
        <w:ind w:firstLine="2380" w:firstLineChars="850"/>
        <w:rPr>
          <w:rFonts w:ascii="宋体" w:hAnsi="宋体"/>
          <w:sz w:val="28"/>
        </w:rPr>
      </w:pPr>
      <w:r>
        <w:rPr>
          <w:rFonts w:hint="eastAsia" w:ascii="宋体" w:hAnsi="宋体"/>
          <w:sz w:val="28"/>
        </w:rPr>
        <w:t>日期：年月日</w:t>
      </w:r>
    </w:p>
    <w:p>
      <w:pPr>
        <w:jc w:val="center"/>
        <w:rPr>
          <w:rFonts w:eastAsia="Times New Roman"/>
          <w:b/>
          <w:sz w:val="28"/>
        </w:rPr>
      </w:pPr>
    </w:p>
    <w:p>
      <w:pPr>
        <w:jc w:val="center"/>
        <w:rPr>
          <w:rFonts w:eastAsia="Times New Roman"/>
          <w:b/>
          <w:sz w:val="28"/>
        </w:rPr>
      </w:pPr>
    </w:p>
    <w:p>
      <w:pPr>
        <w:rPr>
          <w:rFonts w:eastAsia="Times New Roman"/>
        </w:rPr>
      </w:pPr>
    </w:p>
    <w:p>
      <w:pPr>
        <w:jc w:val="center"/>
        <w:rPr>
          <w:rFonts w:eastAsia="Times New Roman"/>
        </w:rPr>
      </w:pPr>
      <w:r>
        <w:rPr>
          <w:rFonts w:eastAsia="Times New Roman"/>
        </w:rPr>
        <w:br w:type="page"/>
      </w:r>
    </w:p>
    <w:p>
      <w:pPr>
        <w:jc w:val="center"/>
        <w:rPr>
          <w:rFonts w:ascii="宋体" w:eastAsia="Times New Roman"/>
          <w:b/>
          <w:sz w:val="32"/>
        </w:rPr>
      </w:pPr>
    </w:p>
    <w:p>
      <w:pPr>
        <w:jc w:val="center"/>
        <w:rPr>
          <w:rFonts w:hint="eastAsia" w:ascii="宋体" w:hAnsi="宋体"/>
          <w:b/>
          <w:sz w:val="32"/>
        </w:rPr>
      </w:pPr>
      <w:r>
        <w:rPr>
          <w:rFonts w:hint="eastAsia" w:ascii="宋体" w:hAnsi="宋体"/>
          <w:b/>
          <w:sz w:val="32"/>
        </w:rPr>
        <w:t>目</w:t>
      </w:r>
      <w:r>
        <w:rPr>
          <w:rFonts w:hint="eastAsia" w:ascii="宋体" w:hAnsi="宋体"/>
          <w:b/>
          <w:sz w:val="32"/>
          <w:lang w:val="en-US" w:eastAsia="zh-CN"/>
        </w:rPr>
        <w:t xml:space="preserve"> </w:t>
      </w:r>
      <w:r>
        <w:rPr>
          <w:rFonts w:hint="eastAsia" w:ascii="宋体" w:hAnsi="宋体"/>
          <w:b/>
          <w:sz w:val="32"/>
        </w:rPr>
        <w:t>录</w:t>
      </w:r>
    </w:p>
    <w:p>
      <w:pPr>
        <w:pStyle w:val="18"/>
        <w:widowControl w:val="0"/>
        <w:numPr>
          <w:ilvl w:val="0"/>
          <w:numId w:val="0"/>
        </w:numPr>
        <w:kinsoku w:val="0"/>
        <w:wordWrap/>
        <w:overflowPunct w:val="0"/>
        <w:autoSpaceDE w:val="0"/>
        <w:autoSpaceDN w:val="0"/>
        <w:adjustRightInd w:val="0"/>
        <w:snapToGrid/>
        <w:spacing w:before="57" w:line="440" w:lineRule="exact"/>
        <w:ind w:left="591" w:leftChars="0" w:right="232"/>
        <w:jc w:val="both"/>
        <w:textAlignment w:val="auto"/>
        <w:rPr>
          <w:rFonts w:hint="eastAsia"/>
          <w:color w:val="auto"/>
        </w:rPr>
      </w:pPr>
      <w:r>
        <w:rPr>
          <w:rFonts w:hint="eastAsia"/>
          <w:color w:val="auto"/>
          <w:lang w:eastAsia="zh-CN"/>
        </w:rPr>
        <w:t>一、</w:t>
      </w:r>
      <w:r>
        <w:rPr>
          <w:rFonts w:hint="eastAsia"/>
          <w:color w:val="auto"/>
        </w:rPr>
        <w:t>投标函及投标函附录；</w:t>
      </w:r>
    </w:p>
    <w:p>
      <w:pPr>
        <w:pStyle w:val="18"/>
        <w:widowControl w:val="0"/>
        <w:numPr>
          <w:ilvl w:val="0"/>
          <w:numId w:val="0"/>
        </w:numPr>
        <w:kinsoku w:val="0"/>
        <w:wordWrap/>
        <w:overflowPunct w:val="0"/>
        <w:autoSpaceDE w:val="0"/>
        <w:autoSpaceDN w:val="0"/>
        <w:adjustRightInd w:val="0"/>
        <w:snapToGrid/>
        <w:spacing w:before="57" w:line="440" w:lineRule="exact"/>
        <w:ind w:left="591" w:leftChars="0" w:right="232"/>
        <w:jc w:val="both"/>
        <w:textAlignment w:val="auto"/>
        <w:rPr>
          <w:rFonts w:eastAsia="Times New Roman"/>
          <w:color w:val="auto"/>
        </w:rPr>
      </w:pPr>
      <w:r>
        <w:rPr>
          <w:rFonts w:hint="eastAsia"/>
          <w:color w:val="auto"/>
        </w:rPr>
        <w:t>二、法定代表人身份证明书或法定代表人授权委托书；</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color w:val="auto"/>
        </w:rPr>
      </w:pPr>
      <w:r>
        <w:rPr>
          <w:rFonts w:hint="eastAsia"/>
          <w:color w:val="auto"/>
        </w:rPr>
        <w:t>三、投标报价</w:t>
      </w:r>
      <w:r>
        <w:rPr>
          <w:rFonts w:hint="eastAsia"/>
          <w:color w:val="auto"/>
          <w:lang w:eastAsia="zh-CN"/>
        </w:rPr>
        <w:t>明细</w:t>
      </w:r>
      <w:r>
        <w:rPr>
          <w:rFonts w:hint="eastAsia"/>
          <w:color w:val="auto"/>
        </w:rPr>
        <w:t>表；</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color w:val="auto"/>
        </w:rPr>
      </w:pPr>
      <w:r>
        <w:rPr>
          <w:rFonts w:hint="eastAsia"/>
          <w:color w:val="auto"/>
        </w:rPr>
        <w:t>四、最终报价单；</w:t>
      </w:r>
    </w:p>
    <w:p>
      <w:pPr>
        <w:pStyle w:val="18"/>
        <w:widowControl w:val="0"/>
        <w:kinsoku w:val="0"/>
        <w:wordWrap/>
        <w:overflowPunct w:val="0"/>
        <w:autoSpaceDE w:val="0"/>
        <w:autoSpaceDN w:val="0"/>
        <w:adjustRightInd w:val="0"/>
        <w:snapToGrid/>
        <w:spacing w:before="57" w:line="440" w:lineRule="exact"/>
        <w:ind w:left="0" w:right="232" w:firstLine="600" w:firstLineChars="250"/>
        <w:jc w:val="both"/>
        <w:textAlignment w:val="auto"/>
        <w:rPr>
          <w:rFonts w:eastAsia="Times New Roman"/>
          <w:color w:val="auto"/>
        </w:rPr>
      </w:pPr>
      <w:r>
        <w:rPr>
          <w:rFonts w:hint="eastAsia"/>
          <w:color w:val="auto"/>
          <w:lang w:val="en-US" w:eastAsia="zh-CN"/>
        </w:rPr>
        <w:t>五</w:t>
      </w:r>
      <w:r>
        <w:rPr>
          <w:rFonts w:hint="eastAsia"/>
          <w:color w:val="auto"/>
        </w:rPr>
        <w:t>、供应商概况；</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color w:val="auto"/>
        </w:rPr>
      </w:pPr>
      <w:r>
        <w:rPr>
          <w:rFonts w:hint="eastAsia"/>
          <w:color w:val="auto"/>
          <w:lang w:val="en-US" w:eastAsia="zh-CN"/>
        </w:rPr>
        <w:t>六</w:t>
      </w:r>
      <w:r>
        <w:rPr>
          <w:rFonts w:hint="eastAsia"/>
          <w:color w:val="auto"/>
        </w:rPr>
        <w:t>、</w:t>
      </w:r>
      <w:r>
        <w:rPr>
          <w:rFonts w:hint="eastAsia" w:cs="宋体"/>
          <w:color w:val="auto"/>
          <w:szCs w:val="21"/>
        </w:rPr>
        <w:t>近三年类似项目业绩表（2019年</w:t>
      </w:r>
      <w:r>
        <w:rPr>
          <w:rFonts w:hint="eastAsia" w:cs="宋体"/>
          <w:color w:val="auto"/>
          <w:szCs w:val="21"/>
          <w:lang w:val="en-US" w:eastAsia="zh-CN"/>
        </w:rPr>
        <w:t>7</w:t>
      </w:r>
      <w:r>
        <w:rPr>
          <w:rFonts w:hint="eastAsia" w:cs="宋体"/>
          <w:color w:val="auto"/>
          <w:szCs w:val="21"/>
        </w:rPr>
        <w:t>月-至今）</w:t>
      </w:r>
      <w:r>
        <w:rPr>
          <w:rFonts w:hint="eastAsia"/>
          <w:color w:val="auto"/>
        </w:rPr>
        <w:t>；</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color w:val="auto"/>
        </w:rPr>
      </w:pPr>
      <w:r>
        <w:rPr>
          <w:rFonts w:hint="eastAsia"/>
          <w:color w:val="auto"/>
          <w:lang w:val="en-US" w:eastAsia="zh-CN"/>
        </w:rPr>
        <w:t>七</w:t>
      </w:r>
      <w:r>
        <w:rPr>
          <w:rFonts w:hint="eastAsia"/>
          <w:color w:val="auto"/>
        </w:rPr>
        <w:t>、项目负责人简历；</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color w:val="auto"/>
          <w:lang w:val="en-US" w:eastAsia="zh-CN"/>
        </w:rPr>
      </w:pPr>
      <w:r>
        <w:rPr>
          <w:rFonts w:hint="eastAsia"/>
          <w:color w:val="auto"/>
          <w:lang w:val="en-US" w:eastAsia="zh-CN"/>
        </w:rPr>
        <w:t>八</w:t>
      </w:r>
      <w:r>
        <w:rPr>
          <w:rFonts w:hint="eastAsia"/>
          <w:color w:val="auto"/>
        </w:rPr>
        <w:t>、</w:t>
      </w:r>
      <w:r>
        <w:rPr>
          <w:rFonts w:hint="eastAsia"/>
          <w:color w:val="auto"/>
          <w:lang w:val="en-US" w:eastAsia="zh-CN"/>
        </w:rPr>
        <w:t>项目管理机构配备情况表；</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九、技术方案；</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十、资格证明文件；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color w:val="auto"/>
        </w:rPr>
      </w:pPr>
      <w:r>
        <w:rPr>
          <w:rFonts w:hint="eastAsia" w:ascii="宋体" w:hAnsi="宋体" w:eastAsia="宋体" w:cs="宋体"/>
          <w:color w:val="auto"/>
          <w:szCs w:val="21"/>
          <w:lang w:val="en-US" w:eastAsia="zh-CN"/>
        </w:rPr>
        <w:t>1.投标供应商企业法人营业执</w:t>
      </w:r>
      <w:r>
        <w:rPr>
          <w:rFonts w:hint="eastAsia" w:ascii="宋体" w:hAnsi="宋体" w:eastAsia="宋体" w:cs="Times New Roman"/>
          <w:color w:val="auto"/>
        </w:rPr>
        <w:t>照（须有二维码）、《基本账户开户许可证》原件的扫描件；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color w:val="auto"/>
          <w:lang w:val="en-US" w:eastAsia="zh-CN"/>
        </w:rPr>
      </w:pPr>
      <w:r>
        <w:rPr>
          <w:rFonts w:hint="eastAsia" w:cs="Times New Roman"/>
          <w:color w:val="auto"/>
          <w:lang w:val="en-US" w:eastAsia="zh-CN"/>
        </w:rPr>
        <w:t>2</w:t>
      </w:r>
      <w:r>
        <w:rPr>
          <w:rFonts w:hint="eastAsia" w:ascii="宋体" w:hAnsi="宋体" w:eastAsia="宋体" w:cs="Times New Roman"/>
          <w:color w:val="auto"/>
        </w:rPr>
        <w:t>.</w:t>
      </w:r>
      <w:r>
        <w:rPr>
          <w:rFonts w:hint="eastAsia" w:cs="Times New Roman"/>
          <w:color w:val="auto"/>
          <w:lang w:eastAsia="zh-CN"/>
        </w:rPr>
        <w:t>企业资质证书、</w:t>
      </w:r>
      <w:r>
        <w:rPr>
          <w:rFonts w:hint="eastAsia" w:ascii="宋体" w:hAnsi="宋体" w:eastAsia="宋体" w:cs="Times New Roman"/>
          <w:color w:val="auto"/>
          <w:lang w:val="en-US" w:eastAsia="zh-CN"/>
        </w:rPr>
        <w:t>安全生产许可证</w:t>
      </w:r>
      <w:r>
        <w:rPr>
          <w:rFonts w:hint="eastAsia" w:cs="Times New Roman"/>
          <w:color w:val="auto"/>
          <w:lang w:val="en-US" w:eastAsia="zh-CN"/>
        </w:rPr>
        <w:t>、</w:t>
      </w:r>
      <w:r>
        <w:rPr>
          <w:rFonts w:hint="eastAsia" w:ascii="宋体" w:hAnsi="宋体" w:eastAsia="宋体" w:cs="Times New Roman"/>
          <w:color w:val="auto"/>
          <w:lang w:val="en-US" w:eastAsia="zh-CN"/>
        </w:rPr>
        <w:t>项目负责人的注册建造师执业资格证书及安全生产考核合格证书（B类证），以上均提供原件的扫描件；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color w:val="auto"/>
        </w:rPr>
      </w:pPr>
      <w:r>
        <w:rPr>
          <w:rFonts w:hint="eastAsia" w:cs="Times New Roman"/>
          <w:color w:val="auto"/>
          <w:lang w:val="en-US" w:eastAsia="zh-CN"/>
        </w:rPr>
        <w:t>3</w:t>
      </w:r>
      <w:r>
        <w:rPr>
          <w:rFonts w:hint="eastAsia" w:ascii="宋体" w:hAnsi="宋体" w:eastAsia="宋体" w:cs="Times New Roman"/>
          <w:color w:val="auto"/>
        </w:rPr>
        <w:t>.具有履行合同所必须的设备和专业技术能力,投标供应商须提供书面声明（格式自拟）；</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color w:val="auto"/>
        </w:rPr>
      </w:pPr>
      <w:r>
        <w:rPr>
          <w:rFonts w:hint="eastAsia" w:cs="Times New Roman"/>
          <w:color w:val="auto"/>
          <w:lang w:val="en-US" w:eastAsia="zh-CN"/>
        </w:rPr>
        <w:t>4</w:t>
      </w:r>
      <w:r>
        <w:rPr>
          <w:rFonts w:hint="eastAsia" w:ascii="宋体" w:hAnsi="宋体" w:eastAsia="宋体" w:cs="Times New Roman"/>
          <w:color w:val="auto"/>
        </w:rPr>
        <w:t>.财务状况、缴纳税收和社会保障资金证明；</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color w:val="auto"/>
        </w:rPr>
      </w:pPr>
      <w:r>
        <w:rPr>
          <w:rFonts w:hint="eastAsia"/>
          <w:color w:val="auto"/>
        </w:rPr>
        <w:t>a、经第三方机构出具的上一年度财务状况审计报告或财务会计报表（含资产负债表、现金流量表、利润表）原件的扫描件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color w:val="auto"/>
        </w:rPr>
      </w:pPr>
      <w:r>
        <w:rPr>
          <w:rFonts w:hint="eastAsia"/>
          <w:color w:val="auto"/>
        </w:rPr>
        <w:t>b、投标人近一年连续3个月的依法缴纳税收证明和近一年连续3个月社会保障资金记录的证明材料原件的扫描件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5.供应商通过“信用中国”和“中国政府采购网”渠道查询的加盖公章的主体信用记录网页截图；</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6.磋商保证金缴纳凭证；</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十一、投标单位（供应商）反商业贿赂承诺书；</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十二、中小企业声明函及证明材料；</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十三、提供其它有利于投标的资料（如获奖证书、ISO9001质量管理体系认证、ISO14001环境管理体系认证、OHSAS18001:2007职业健康安全管理体系认证、检验检测机构资质认定证书、工程咨询单位备案证书等）；</w:t>
      </w:r>
    </w:p>
    <w:p>
      <w:pPr>
        <w:pStyle w:val="44"/>
      </w:pPr>
    </w:p>
    <w:p>
      <w:pPr>
        <w:pStyle w:val="18"/>
        <w:kinsoku w:val="0"/>
        <w:overflowPunct w:val="0"/>
        <w:spacing w:before="57" w:line="440" w:lineRule="exact"/>
        <w:ind w:left="111" w:right="232" w:firstLine="480"/>
        <w:jc w:val="both"/>
      </w:pPr>
      <w:r>
        <w:rPr>
          <w:rFonts w:hint="eastAsia"/>
          <w:b/>
          <w:bCs/>
        </w:rPr>
        <w:t>注：为了便于查找，请按上述顺序编排</w:t>
      </w:r>
      <w:r>
        <w:rPr>
          <w:rFonts w:hint="eastAsia"/>
          <w:b/>
          <w:bCs/>
          <w:lang w:eastAsia="zh-CN"/>
        </w:rPr>
        <w:t>响应文件</w:t>
      </w:r>
      <w:r>
        <w:rPr>
          <w:rFonts w:hint="eastAsia"/>
          <w:b/>
          <w:bCs/>
        </w:rPr>
        <w:t>内容，并在目录中标明每项内容的起始页码。</w:t>
      </w:r>
    </w:p>
    <w:p>
      <w:pPr>
        <w:pStyle w:val="18"/>
        <w:kinsoku w:val="0"/>
        <w:overflowPunct w:val="0"/>
        <w:spacing w:before="57" w:line="440" w:lineRule="exact"/>
        <w:ind w:left="111" w:right="232" w:firstLine="480"/>
        <w:jc w:val="both"/>
      </w:pPr>
    </w:p>
    <w:p>
      <w:pPr>
        <w:ind w:left="485" w:leftChars="202"/>
        <w:jc w:val="center"/>
        <w:rPr>
          <w:rFonts w:eastAsia="Times New Roman"/>
          <w:b/>
        </w:rPr>
      </w:pPr>
      <w:r>
        <w:rPr>
          <w:rFonts w:eastAsia="Times New Roman"/>
          <w:b/>
        </w:rPr>
        <w:br w:type="page"/>
      </w:r>
    </w:p>
    <w:p>
      <w:pPr>
        <w:ind w:left="485" w:leftChars="202"/>
        <w:jc w:val="center"/>
        <w:rPr>
          <w:rFonts w:ascii="宋体" w:eastAsia="Times New Roman"/>
          <w:b/>
          <w:sz w:val="32"/>
        </w:rPr>
      </w:pPr>
    </w:p>
    <w:p>
      <w:pPr>
        <w:pStyle w:val="4"/>
        <w:jc w:val="center"/>
        <w:rPr>
          <w:rFonts w:ascii="宋体" w:hAnsi="宋体" w:eastAsia="宋体"/>
        </w:rPr>
      </w:pPr>
      <w:bookmarkStart w:id="484" w:name="_Toc25835478"/>
      <w:bookmarkStart w:id="485" w:name="_Toc524019562"/>
      <w:bookmarkStart w:id="486" w:name="_Toc461014706"/>
      <w:bookmarkStart w:id="487" w:name="_Toc30703"/>
      <w:bookmarkStart w:id="488" w:name="_Toc18643"/>
      <w:r>
        <w:rPr>
          <w:rFonts w:hint="eastAsia" w:ascii="宋体" w:hAnsi="宋体" w:eastAsia="宋体"/>
        </w:rPr>
        <w:t>一、投标函及投标函附录</w:t>
      </w:r>
      <w:bookmarkEnd w:id="484"/>
      <w:bookmarkEnd w:id="485"/>
      <w:bookmarkEnd w:id="486"/>
      <w:bookmarkEnd w:id="487"/>
      <w:bookmarkEnd w:id="488"/>
    </w:p>
    <w:p>
      <w:pPr>
        <w:jc w:val="center"/>
        <w:rPr>
          <w:rFonts w:hint="eastAsia"/>
          <w:b/>
          <w:bCs/>
        </w:rPr>
      </w:pPr>
      <w:bookmarkStart w:id="489" w:name="_Toc27272"/>
      <w:bookmarkStart w:id="490" w:name="_Toc197397333"/>
      <w:bookmarkStart w:id="491" w:name="_Toc197396395"/>
      <w:bookmarkStart w:id="492" w:name="_Toc300238983"/>
    </w:p>
    <w:p>
      <w:pPr>
        <w:jc w:val="center"/>
        <w:rPr>
          <w:rFonts w:hint="eastAsia" w:ascii="宋体" w:hAnsi="宋体" w:eastAsia="宋体" w:cs="宋体"/>
          <w:b/>
          <w:bCs/>
        </w:rPr>
      </w:pPr>
      <w:r>
        <w:rPr>
          <w:rFonts w:hint="eastAsia" w:ascii="宋体" w:hAnsi="宋体" w:eastAsia="宋体" w:cs="宋体"/>
          <w:b/>
          <w:bCs/>
        </w:rPr>
        <w:t>1.1</w:t>
      </w:r>
      <w:r>
        <w:rPr>
          <w:rFonts w:hint="eastAsia" w:ascii="宋体" w:hAnsi="宋体" w:eastAsia="宋体" w:cs="宋体"/>
          <w:b/>
          <w:bCs/>
          <w:lang w:val="en-US" w:eastAsia="zh-CN"/>
        </w:rPr>
        <w:t xml:space="preserve"> </w:t>
      </w:r>
      <w:r>
        <w:rPr>
          <w:rFonts w:hint="eastAsia" w:ascii="宋体" w:hAnsi="宋体" w:eastAsia="宋体" w:cs="宋体"/>
          <w:b/>
          <w:bCs/>
        </w:rPr>
        <w:t>投标函</w:t>
      </w:r>
      <w:bookmarkEnd w:id="489"/>
      <w:bookmarkEnd w:id="490"/>
      <w:bookmarkEnd w:id="491"/>
      <w:bookmarkEnd w:id="492"/>
    </w:p>
    <w:p>
      <w:pPr>
        <w:pStyle w:val="87"/>
        <w:widowControl w:val="0"/>
        <w:wordWrap/>
        <w:autoSpaceDE w:val="0"/>
        <w:autoSpaceDN w:val="0"/>
        <w:adjustRightInd w:val="0"/>
        <w:snapToGrid/>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hAnsi="宋体" w:cs="宋体"/>
          <w:sz w:val="24"/>
          <w:szCs w:val="24"/>
          <w:lang w:eastAsia="zh-CN"/>
        </w:rPr>
        <w:t>采购</w:t>
      </w:r>
      <w:r>
        <w:rPr>
          <w:rFonts w:hint="eastAsia" w:ascii="宋体" w:hAnsi="宋体" w:eastAsia="宋体" w:cs="宋体"/>
          <w:sz w:val="24"/>
          <w:szCs w:val="24"/>
        </w:rPr>
        <w:t xml:space="preserve">人名称）： </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1．我方己仔细研究了</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招标文件的全部内容（含补遗书文件），愿意以人民币（大写）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）的投标总报价，工期</w:t>
      </w:r>
      <w:r>
        <w:rPr>
          <w:rFonts w:hint="eastAsia" w:ascii="宋体" w:hAnsi="宋体" w:eastAsia="宋体" w:cs="宋体"/>
          <w:sz w:val="24"/>
          <w:szCs w:val="24"/>
          <w:u w:val="single"/>
        </w:rPr>
        <w:t xml:space="preserve">      </w:t>
      </w:r>
      <w:r>
        <w:rPr>
          <w:rFonts w:hint="eastAsia" w:ascii="宋体" w:hAnsi="宋体" w:eastAsia="宋体" w:cs="宋体"/>
          <w:sz w:val="24"/>
          <w:szCs w:val="24"/>
        </w:rPr>
        <w:t>，按合同约定实施和完成承包工程，修补工程中的任何缺陷，工程质量达到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2．我方承诺在投标有效期内不修改、撤销投标文件。</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3．随同本投标函提交投标保证金一份，金额为人民币（大写）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4．如我方中标：</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(l）我方承诺在收到中标通知书后，在中标通知书规定的期限内与你方签订合同。</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(2）随同本投标函递交的投标函附录属于合同文件的组成部分。</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(3）我方承诺按照招标文件规定向你方递交履约担保（如有）。</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(4）我方承诺在合同约定的期限内完成并移交全部合同工程。</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5．我方在此声明，所递交的投标文件及有关资料内容完整、真实和准确。</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在合同协议书正式签署生效之前，本投标函连同你方的中标通知书将构成我们双方之间共同遵守的文件，对双方具有约束力</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 </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sz w:val="24"/>
          <w:szCs w:val="24"/>
        </w:rPr>
      </w:pPr>
    </w:p>
    <w:p>
      <w:pPr>
        <w:pStyle w:val="87"/>
        <w:widowControl w:val="0"/>
        <w:wordWrap/>
        <w:autoSpaceDE w:val="0"/>
        <w:autoSpaceDN w:val="0"/>
        <w:adjustRightInd w:val="0"/>
        <w:snapToGrid/>
        <w:spacing w:after="0" w:line="500" w:lineRule="exact"/>
        <w:textAlignment w:val="auto"/>
        <w:rPr>
          <w:rFonts w:hint="eastAsia" w:ascii="宋体" w:hAnsi="宋体" w:eastAsia="宋体" w:cs="宋体"/>
          <w:sz w:val="24"/>
          <w:szCs w:val="24"/>
          <w:u w:val="single"/>
        </w:rPr>
      </w:pPr>
      <w:r>
        <w:rPr>
          <w:rFonts w:hint="eastAsia" w:ascii="PQPMNW+ËÎÌå" w:hAnsi="PQPMNW+ËÎÌå" w:cs="PQPMNW+ËÎÌå"/>
          <w:spacing w:val="-1"/>
        </w:rPr>
        <w:t>竞争性磋商响应人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r>
        <w:rPr>
          <w:rFonts w:hint="eastAsia" w:ascii="宋体" w:hAnsi="宋体" w:eastAsia="宋体" w:cs="宋体"/>
          <w:sz w:val="24"/>
          <w:szCs w:val="24"/>
        </w:rPr>
        <w:br w:type="textWrapping"/>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szCs w:val="24"/>
        </w:rPr>
        <w:br w:type="textWrapping"/>
      </w: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网址：</w:t>
      </w:r>
      <w:r>
        <w:rPr>
          <w:rFonts w:hint="eastAsia" w:ascii="宋体" w:hAnsi="宋体" w:eastAsia="宋体" w:cs="宋体"/>
          <w:sz w:val="24"/>
          <w:szCs w:val="24"/>
          <w:u w:val="single"/>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传真：</w:t>
      </w:r>
      <w:r>
        <w:rPr>
          <w:rFonts w:hint="eastAsia" w:ascii="宋体" w:hAnsi="宋体" w:eastAsia="宋体" w:cs="宋体"/>
          <w:color w:val="FFFFFF"/>
          <w:sz w:val="24"/>
          <w:szCs w:val="24"/>
          <w:u w:val="single"/>
        </w:rPr>
        <w:t xml:space="preserve"> 。</w:t>
      </w:r>
      <w:r>
        <w:rPr>
          <w:rFonts w:hint="eastAsia" w:ascii="宋体" w:hAnsi="宋体" w:eastAsia="宋体" w:cs="宋体"/>
          <w:sz w:val="24"/>
          <w:szCs w:val="24"/>
          <w:u w:val="single"/>
        </w:rPr>
        <w:t xml:space="preserve">                                    </w:t>
      </w:r>
    </w:p>
    <w:p>
      <w:pPr>
        <w:pStyle w:val="87"/>
        <w:widowControl w:val="0"/>
        <w:wordWrap/>
        <w:autoSpaceDE w:val="0"/>
        <w:autoSpaceDN w:val="0"/>
        <w:adjustRightInd w:val="0"/>
        <w:snapToGrid/>
        <w:spacing w:after="0" w:line="5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邮政编码：</w:t>
      </w:r>
      <w:r>
        <w:rPr>
          <w:rFonts w:hint="eastAsia" w:ascii="宋体" w:hAnsi="宋体" w:eastAsia="宋体" w:cs="宋体"/>
          <w:color w:val="FFFFFF"/>
          <w:sz w:val="24"/>
          <w:szCs w:val="24"/>
          <w:u w:val="single"/>
        </w:rPr>
        <w:t xml:space="preserve">。 </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p>
    <w:p>
      <w:pPr>
        <w:pStyle w:val="86"/>
        <w:widowControl w:val="0"/>
        <w:wordWrap/>
        <w:autoSpaceDE w:val="0"/>
        <w:autoSpaceDN w:val="0"/>
        <w:adjustRightInd w:val="0"/>
        <w:snapToGrid/>
        <w:spacing w:line="500" w:lineRule="exact"/>
        <w:ind w:firstLine="6120" w:firstLineChars="2550"/>
        <w:textAlignment w:val="auto"/>
        <w:rPr>
          <w:rFonts w:hint="eastAsia" w:ascii="宋体" w:hAnsi="宋体" w:eastAsia="宋体" w:cs="宋体"/>
          <w:sz w:val="24"/>
          <w:szCs w:val="24"/>
        </w:rPr>
      </w:pPr>
      <w:r>
        <w:rPr>
          <w:rFonts w:hint="eastAsia" w:ascii="宋体" w:hAnsi="宋体" w:eastAsia="宋体" w:cs="宋体"/>
          <w:sz w:val="24"/>
          <w:szCs w:val="24"/>
        </w:rPr>
        <w:t>年      月       日</w:t>
      </w:r>
    </w:p>
    <w:p>
      <w:pPr>
        <w:pStyle w:val="86"/>
        <w:spacing w:line="440" w:lineRule="atLeast"/>
        <w:rPr>
          <w:rFonts w:hint="eastAsia" w:hAnsi="宋体"/>
        </w:rPr>
      </w:pPr>
    </w:p>
    <w:p>
      <w:pPr>
        <w:pStyle w:val="2"/>
        <w:rPr>
          <w:rFonts w:eastAsia="宋体"/>
          <w:b/>
        </w:rPr>
      </w:pPr>
    </w:p>
    <w:p>
      <w:pPr>
        <w:jc w:val="center"/>
        <w:rPr>
          <w:rFonts w:hint="eastAsia" w:ascii="宋体" w:hAnsi="宋体" w:eastAsia="宋体" w:cs="宋体"/>
          <w:b/>
          <w:bCs/>
          <w:lang w:eastAsia="zh-CN"/>
        </w:rPr>
      </w:pPr>
      <w:r>
        <w:rPr>
          <w:rFonts w:hint="eastAsia" w:ascii="宋体" w:hAnsi="宋体" w:eastAsia="宋体" w:cs="宋体"/>
          <w:b/>
          <w:bCs/>
        </w:rPr>
        <w:t>1.</w:t>
      </w:r>
      <w:r>
        <w:rPr>
          <w:rFonts w:hint="eastAsia" w:ascii="宋体" w:hAnsi="宋体" w:eastAsia="宋体" w:cs="宋体"/>
          <w:b/>
          <w:bCs/>
          <w:lang w:val="en-US" w:eastAsia="zh-CN"/>
        </w:rPr>
        <w:t xml:space="preserve">2 </w:t>
      </w:r>
      <w:r>
        <w:rPr>
          <w:rFonts w:hint="eastAsia" w:ascii="宋体" w:hAnsi="宋体" w:eastAsia="宋体" w:cs="宋体"/>
          <w:b/>
          <w:bCs/>
        </w:rPr>
        <w:t>投标函</w:t>
      </w:r>
      <w:r>
        <w:rPr>
          <w:rFonts w:hint="eastAsia" w:ascii="宋体" w:hAnsi="宋体" w:eastAsia="宋体" w:cs="宋体"/>
          <w:b/>
          <w:bCs/>
          <w:lang w:eastAsia="zh-CN"/>
        </w:rPr>
        <w:t>附录</w:t>
      </w:r>
    </w:p>
    <w:tbl>
      <w:tblPr>
        <w:tblStyle w:val="45"/>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804" w:type="dxa"/>
            <w:tcBorders>
              <w:bottom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333" w:type="dxa"/>
            <w:tcBorders>
              <w:bottom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804" w:type="dxa"/>
            <w:tcBorders>
              <w:bottom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333" w:type="dxa"/>
            <w:tcBorders>
              <w:bottom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804" w:type="dxa"/>
            <w:tcBorders>
              <w:bottom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项目采购</w:t>
            </w:r>
            <w:r>
              <w:rPr>
                <w:rFonts w:hint="eastAsia" w:ascii="宋体" w:hAnsi="宋体" w:eastAsia="宋体" w:cs="宋体"/>
                <w:sz w:val="24"/>
                <w:szCs w:val="24"/>
                <w:lang w:eastAsia="zh-CN"/>
              </w:rPr>
              <w:t>范围</w:t>
            </w:r>
          </w:p>
        </w:tc>
        <w:tc>
          <w:tcPr>
            <w:tcW w:w="7333" w:type="dxa"/>
            <w:tcBorders>
              <w:bottom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80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投标总报价</w:t>
            </w:r>
          </w:p>
          <w:p>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7333" w:type="dxa"/>
            <w:vAlign w:val="center"/>
          </w:tcPr>
          <w:p>
            <w:pPr>
              <w:rPr>
                <w:rFonts w:hint="eastAsia" w:ascii="宋体" w:hAnsi="宋体" w:eastAsia="宋体" w:cs="宋体"/>
                <w:sz w:val="24"/>
                <w:szCs w:val="24"/>
              </w:rPr>
            </w:pPr>
            <w:r>
              <w:rPr>
                <w:rFonts w:hint="eastAsia" w:ascii="宋体" w:hAnsi="宋体" w:eastAsia="宋体" w:cs="宋体"/>
                <w:sz w:val="24"/>
                <w:szCs w:val="24"/>
              </w:rPr>
              <w:t>小写：</w:t>
            </w:r>
          </w:p>
          <w:p>
            <w:pPr>
              <w:rPr>
                <w:rFonts w:hint="eastAsia" w:ascii="宋体" w:hAnsi="宋体" w:eastAsia="宋体" w:cs="宋体"/>
                <w:sz w:val="24"/>
                <w:szCs w:val="24"/>
              </w:rPr>
            </w:pPr>
            <w:r>
              <w:rPr>
                <w:rFonts w:hint="eastAsia" w:ascii="宋体" w:hAnsi="宋体" w:eastAsia="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180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333"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lang w:eastAsia="zh-CN"/>
              </w:rPr>
              <w:t>姓名：</w:t>
            </w:r>
            <w:r>
              <w:rPr>
                <w:rFonts w:hint="eastAsia" w:ascii="宋体" w:hAnsi="宋体" w:eastAsia="宋体" w:cs="宋体"/>
                <w:sz w:val="24"/>
                <w:szCs w:val="24"/>
                <w:lang w:val="en-US" w:eastAsia="zh-CN"/>
              </w:rPr>
              <w:t xml:space="preserve">                     </w:t>
            </w:r>
            <w:r>
              <w:rPr>
                <w:rFonts w:hint="eastAsia" w:ascii="宋体" w:hAnsi="宋体" w:cs="宋体"/>
                <w:kern w:val="0"/>
                <w:lang w:val="zh-CN"/>
              </w:rPr>
              <w:t>注册建造师证书编号：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80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工期</w:t>
            </w:r>
          </w:p>
        </w:tc>
        <w:tc>
          <w:tcPr>
            <w:tcW w:w="7333" w:type="dxa"/>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804"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质量</w:t>
            </w:r>
            <w:r>
              <w:rPr>
                <w:rFonts w:hint="eastAsia" w:ascii="宋体" w:hAnsi="宋体" w:eastAsia="宋体" w:cs="宋体"/>
                <w:sz w:val="24"/>
                <w:szCs w:val="24"/>
                <w:lang w:eastAsia="zh-CN"/>
              </w:rPr>
              <w:t>标准</w:t>
            </w:r>
          </w:p>
        </w:tc>
        <w:tc>
          <w:tcPr>
            <w:tcW w:w="7333"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80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7333"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804"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报价总说明</w:t>
            </w:r>
          </w:p>
        </w:tc>
        <w:tc>
          <w:tcPr>
            <w:tcW w:w="7333" w:type="dxa"/>
            <w:vAlign w:val="center"/>
          </w:tcPr>
          <w:p>
            <w:pPr>
              <w:rPr>
                <w:rFonts w:hint="eastAsia" w:ascii="宋体" w:hAnsi="宋体" w:eastAsia="宋体" w:cs="宋体"/>
                <w:sz w:val="24"/>
                <w:szCs w:val="24"/>
              </w:rPr>
            </w:pPr>
          </w:p>
        </w:tc>
      </w:tr>
    </w:tbl>
    <w:p>
      <w:pPr>
        <w:widowControl w:val="0"/>
        <w:wordWrap/>
        <w:autoSpaceDE w:val="0"/>
        <w:autoSpaceDN w:val="0"/>
        <w:adjustRightInd w:val="0"/>
        <w:snapToGrid/>
        <w:spacing w:line="500" w:lineRule="exact"/>
        <w:ind w:left="1320" w:leftChars="300" w:right="1020" w:rightChars="425" w:hanging="600" w:hangingChars="250"/>
        <w:textAlignment w:val="auto"/>
        <w:rPr>
          <w:rFonts w:hint="eastAsia"/>
        </w:rPr>
      </w:pPr>
      <w:r>
        <w:rPr>
          <w:rFonts w:hint="eastAsia"/>
        </w:rPr>
        <w:t>注：</w:t>
      </w:r>
      <w:r>
        <w:rPr>
          <w:rFonts w:hint="eastAsia"/>
          <w:lang w:eastAsia="zh-CN"/>
        </w:rPr>
        <w:t>（</w:t>
      </w:r>
      <w:r>
        <w:rPr>
          <w:rFonts w:hint="eastAsia"/>
          <w:lang w:val="en-US" w:eastAsia="zh-CN"/>
        </w:rPr>
        <w:t>1</w:t>
      </w:r>
      <w:r>
        <w:rPr>
          <w:rFonts w:hint="eastAsia"/>
          <w:lang w:eastAsia="zh-CN"/>
        </w:rPr>
        <w:t>）</w:t>
      </w:r>
      <w:r>
        <w:rPr>
          <w:rFonts w:hint="eastAsia"/>
        </w:rPr>
        <w:t>后附按“技术标准和要求”编制的投标报价明细，投标</w:t>
      </w:r>
      <w:r>
        <w:rPr>
          <w:rFonts w:hint="eastAsia"/>
          <w:lang w:eastAsia="zh-CN"/>
        </w:rPr>
        <w:t>供应商</w:t>
      </w:r>
      <w:r>
        <w:rPr>
          <w:rFonts w:hint="eastAsia"/>
        </w:rPr>
        <w:t>报价时总价不得超过控制价，否则按废标处理。</w:t>
      </w:r>
    </w:p>
    <w:p>
      <w:pPr>
        <w:widowControl w:val="0"/>
        <w:wordWrap/>
        <w:autoSpaceDE w:val="0"/>
        <w:autoSpaceDN w:val="0"/>
        <w:adjustRightInd w:val="0"/>
        <w:snapToGrid/>
        <w:spacing w:line="500" w:lineRule="exact"/>
        <w:ind w:firstLine="1190" w:firstLineChars="500"/>
        <w:textAlignment w:val="auto"/>
        <w:rPr>
          <w:rFonts w:ascii="PQPMNW+ËÎÌå" w:hAnsi="PQPMNW+ËÎÌå" w:cs="PQPMNW+ËÎÌå"/>
          <w:spacing w:val="-1"/>
        </w:rPr>
      </w:pPr>
      <w:r>
        <w:rPr>
          <w:rFonts w:hint="eastAsia" w:ascii="PQPMNW+ËÎÌå" w:hAnsi="PQPMNW+ËÎÌå" w:cs="PQPMNW+ËÎÌå"/>
          <w:spacing w:val="-1"/>
          <w:lang w:eastAsia="zh-CN"/>
        </w:rPr>
        <w:t>（</w:t>
      </w:r>
      <w:r>
        <w:rPr>
          <w:rFonts w:hint="eastAsia" w:ascii="PQPMNW+ËÎÌå" w:hAnsi="PQPMNW+ËÎÌå" w:cs="PQPMNW+ËÎÌå"/>
          <w:spacing w:val="-1"/>
          <w:lang w:val="en-US" w:eastAsia="zh-CN"/>
        </w:rPr>
        <w:t>2</w:t>
      </w:r>
      <w:r>
        <w:rPr>
          <w:rFonts w:hint="eastAsia" w:ascii="PQPMNW+ËÎÌå" w:hAnsi="PQPMNW+ËÎÌå" w:cs="PQPMNW+ËÎÌå"/>
          <w:spacing w:val="-1"/>
          <w:lang w:eastAsia="zh-CN"/>
        </w:rPr>
        <w:t>）</w:t>
      </w:r>
      <w:r>
        <w:rPr>
          <w:rFonts w:ascii="PQPMNW+ËÎÌå" w:hAnsi="PQPMNW+ËÎÌå" w:cs="PQPMNW+ËÎÌå"/>
          <w:spacing w:val="-1"/>
        </w:rPr>
        <w:t>以上费用须包含完成本项目的所有费用，采购人不另行支付任何费用。</w:t>
      </w:r>
    </w:p>
    <w:p>
      <w:pPr>
        <w:widowControl w:val="0"/>
        <w:wordWrap/>
        <w:autoSpaceDE w:val="0"/>
        <w:autoSpaceDN w:val="0"/>
        <w:adjustRightInd w:val="0"/>
        <w:snapToGrid/>
        <w:spacing w:line="500" w:lineRule="exact"/>
        <w:textAlignment w:val="auto"/>
        <w:rPr>
          <w:rFonts w:ascii="PQPMNW+ËÎÌå" w:hAnsi="PQPMNW+ËÎÌå" w:cs="PQPMNW+ËÎÌå"/>
          <w:spacing w:val="-1"/>
        </w:rPr>
      </w:pPr>
    </w:p>
    <w:p>
      <w:pPr>
        <w:spacing w:line="440" w:lineRule="exact"/>
        <w:ind w:firstLine="5355" w:firstLineChars="2250"/>
        <w:rPr>
          <w:rFonts w:hint="eastAsia" w:ascii="PQPMNW+ËÎÌå" w:hAnsi="PQPMNW+ËÎÌå" w:cs="PQPMNW+ËÎÌå"/>
          <w:spacing w:val="-1"/>
        </w:rPr>
      </w:pPr>
    </w:p>
    <w:p>
      <w:pPr>
        <w:spacing w:line="440" w:lineRule="exact"/>
        <w:ind w:firstLine="5355" w:firstLineChars="2250"/>
        <w:rPr>
          <w:rFonts w:hint="eastAsia" w:ascii="PQPMNW+ËÎÌå" w:hAnsi="PQPMNW+ËÎÌå" w:cs="PQPMNW+ËÎÌå"/>
          <w:spacing w:val="-1"/>
        </w:rPr>
      </w:pPr>
    </w:p>
    <w:p>
      <w:pPr>
        <w:spacing w:line="440" w:lineRule="exact"/>
        <w:ind w:firstLine="535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523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6307" w:firstLineChars="2650"/>
        <w:rPr>
          <w:rFonts w:ascii="宋体" w:hAnsi="宋体"/>
          <w:b/>
          <w:color w:val="auto"/>
          <w:sz w:val="21"/>
          <w:szCs w:val="21"/>
        </w:rPr>
      </w:pP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2"/>
        <w:rPr>
          <w:rFonts w:eastAsia="Times New Roman"/>
          <w:b/>
        </w:rPr>
      </w:pPr>
    </w:p>
    <w:p>
      <w:pPr>
        <w:pStyle w:val="2"/>
        <w:rPr>
          <w:rFonts w:eastAsia="Times New Roman"/>
          <w:b/>
        </w:rPr>
      </w:pPr>
    </w:p>
    <w:p>
      <w:pPr>
        <w:pStyle w:val="2"/>
        <w:rPr>
          <w:rFonts w:eastAsia="Times New Roman"/>
          <w:b/>
        </w:rPr>
      </w:pPr>
    </w:p>
    <w:p>
      <w:pPr>
        <w:pStyle w:val="2"/>
        <w:rPr>
          <w:rFonts w:eastAsia="Times New Roman"/>
          <w:b/>
        </w:rPr>
      </w:pPr>
    </w:p>
    <w:p>
      <w:pPr>
        <w:pStyle w:val="2"/>
        <w:rPr>
          <w:rFonts w:eastAsia="Times New Roman"/>
          <w:b/>
        </w:rPr>
      </w:pPr>
    </w:p>
    <w:p>
      <w:pPr>
        <w:pStyle w:val="2"/>
        <w:rPr>
          <w:rFonts w:eastAsia="Times New Roman"/>
          <w:b/>
        </w:rPr>
      </w:pPr>
    </w:p>
    <w:p>
      <w:pPr>
        <w:pStyle w:val="2"/>
        <w:rPr>
          <w:rFonts w:eastAsia="Times New Roman"/>
          <w:b/>
        </w:rPr>
      </w:pPr>
    </w:p>
    <w:p>
      <w:pPr>
        <w:pStyle w:val="2"/>
        <w:ind w:left="0" w:leftChars="0" w:firstLine="0" w:firstLineChars="0"/>
        <w:rPr>
          <w:rFonts w:eastAsia="Times New Roman"/>
          <w:b/>
        </w:rPr>
      </w:pPr>
    </w:p>
    <w:p>
      <w:pPr>
        <w:pStyle w:val="2"/>
        <w:rPr>
          <w:rFonts w:eastAsia="Times New Roman"/>
          <w:b/>
        </w:rPr>
      </w:pPr>
    </w:p>
    <w:p>
      <w:pPr>
        <w:jc w:val="center"/>
        <w:rPr>
          <w:rFonts w:eastAsia="Times New Roman"/>
          <w:b/>
          <w:sz w:val="30"/>
        </w:rPr>
      </w:pPr>
      <w:r>
        <w:rPr>
          <w:rFonts w:hint="eastAsia" w:ascii="宋体" w:hAnsi="宋体"/>
          <w:b/>
          <w:sz w:val="30"/>
        </w:rPr>
        <w:t>二、法定代表人身份证明书（2-1）</w:t>
      </w:r>
    </w:p>
    <w:p>
      <w:pPr>
        <w:jc w:val="center"/>
        <w:rPr>
          <w:rFonts w:eastAsia="Times New Roman"/>
        </w:rPr>
      </w:pPr>
    </w:p>
    <w:p>
      <w:pPr>
        <w:spacing w:line="360" w:lineRule="auto"/>
        <w:jc w:val="center"/>
        <w:rPr>
          <w:rFonts w:eastAsia="Times New Roman"/>
        </w:rPr>
      </w:pPr>
    </w:p>
    <w:p>
      <w:pPr>
        <w:spacing w:line="360" w:lineRule="auto"/>
        <w:ind w:firstLine="480" w:firstLineChars="200"/>
        <w:rPr>
          <w:rFonts w:ascii="宋体" w:hAnsi="宋体"/>
        </w:rPr>
      </w:pPr>
      <w:r>
        <w:rPr>
          <w:rFonts w:ascii="宋体" w:hAnsi="宋体"/>
        </w:rPr>
        <w:t>竞争性磋商响应人名称：</w:t>
      </w:r>
    </w:p>
    <w:p>
      <w:pPr>
        <w:spacing w:line="360" w:lineRule="auto"/>
        <w:ind w:firstLine="480" w:firstLineChars="200"/>
        <w:rPr>
          <w:rFonts w:ascii="宋体" w:hAnsi="宋体"/>
        </w:rPr>
      </w:pPr>
      <w:r>
        <w:rPr>
          <w:rFonts w:ascii="宋体" w:hAnsi="宋体"/>
        </w:rPr>
        <w:t>单位性质：</w:t>
      </w:r>
    </w:p>
    <w:p>
      <w:pPr>
        <w:spacing w:line="360" w:lineRule="auto"/>
        <w:ind w:firstLine="480" w:firstLineChars="200"/>
        <w:rPr>
          <w:rFonts w:ascii="宋体" w:hAnsi="宋体"/>
        </w:rPr>
      </w:pPr>
      <w:r>
        <w:rPr>
          <w:rFonts w:ascii="宋体" w:hAnsi="宋体"/>
        </w:rPr>
        <w:t>地址：</w:t>
      </w:r>
    </w:p>
    <w:p>
      <w:pPr>
        <w:spacing w:line="360" w:lineRule="auto"/>
        <w:ind w:firstLine="480" w:firstLineChars="200"/>
        <w:rPr>
          <w:rFonts w:ascii="宋体" w:hAnsi="宋体"/>
        </w:rPr>
      </w:pPr>
      <w:r>
        <w:rPr>
          <w:rFonts w:ascii="宋体" w:hAnsi="宋体"/>
        </w:rPr>
        <w:t>成立时间：</w:t>
      </w:r>
      <w:r>
        <w:rPr>
          <w:rFonts w:hint="eastAsia" w:ascii="宋体" w:hAnsi="宋体"/>
        </w:rPr>
        <w:t xml:space="preserve">       年      月        日</w:t>
      </w:r>
    </w:p>
    <w:p>
      <w:pPr>
        <w:spacing w:line="360" w:lineRule="auto"/>
        <w:ind w:firstLine="480" w:firstLineChars="200"/>
        <w:rPr>
          <w:rFonts w:ascii="宋体" w:hAnsi="宋体"/>
        </w:rPr>
      </w:pPr>
      <w:r>
        <w:rPr>
          <w:rFonts w:ascii="宋体" w:hAnsi="宋体"/>
        </w:rPr>
        <w:t>经营期限：</w:t>
      </w:r>
    </w:p>
    <w:p>
      <w:pPr>
        <w:spacing w:line="360" w:lineRule="auto"/>
        <w:ind w:firstLine="480" w:firstLineChars="200"/>
        <w:rPr>
          <w:rFonts w:ascii="宋体" w:hAnsi="宋体"/>
        </w:rPr>
      </w:pPr>
      <w:r>
        <w:rPr>
          <w:rFonts w:ascii="宋体" w:hAnsi="宋体"/>
        </w:rPr>
        <w:t>姓名：</w:t>
      </w:r>
      <w:r>
        <w:rPr>
          <w:rFonts w:hint="eastAsia" w:ascii="宋体" w:hAnsi="宋体"/>
        </w:rPr>
        <w:t xml:space="preserve">             </w:t>
      </w:r>
      <w:r>
        <w:rPr>
          <w:rFonts w:ascii="宋体" w:hAnsi="宋体"/>
        </w:rPr>
        <w:t>性别：</w:t>
      </w:r>
      <w:r>
        <w:rPr>
          <w:rFonts w:hint="eastAsia" w:ascii="宋体" w:hAnsi="宋体"/>
        </w:rPr>
        <w:t xml:space="preserve">      </w:t>
      </w:r>
      <w:r>
        <w:rPr>
          <w:rFonts w:ascii="宋体" w:hAnsi="宋体"/>
        </w:rPr>
        <w:t>年龄：</w:t>
      </w:r>
      <w:r>
        <w:rPr>
          <w:rFonts w:hint="eastAsia" w:ascii="宋体" w:hAnsi="宋体"/>
        </w:rPr>
        <w:t xml:space="preserve">       </w:t>
      </w:r>
      <w:r>
        <w:rPr>
          <w:rFonts w:ascii="宋体" w:hAnsi="宋体"/>
        </w:rPr>
        <w:t>职务：</w:t>
      </w:r>
      <w:r>
        <w:rPr>
          <w:rFonts w:hint="eastAsia" w:ascii="宋体" w:hAnsi="宋体"/>
        </w:rPr>
        <w:t xml:space="preserve">         </w:t>
      </w:r>
    </w:p>
    <w:p>
      <w:pPr>
        <w:spacing w:line="360" w:lineRule="auto"/>
        <w:ind w:firstLine="480" w:firstLineChars="200"/>
        <w:rPr>
          <w:rFonts w:ascii="宋体" w:hAnsi="宋体"/>
        </w:rPr>
      </w:pPr>
      <w:r>
        <w:rPr>
          <w:rFonts w:hint="eastAsia" w:ascii="宋体" w:hAnsi="宋体"/>
        </w:rPr>
        <w:t>系</w:t>
      </w:r>
      <w:r>
        <w:rPr>
          <w:rFonts w:hint="eastAsia" w:ascii="宋体" w:hAnsi="宋体"/>
          <w:u w:val="single"/>
        </w:rPr>
        <w:t xml:space="preserve">                              </w:t>
      </w:r>
      <w:r>
        <w:rPr>
          <w:rFonts w:ascii="宋体" w:hAnsi="宋体"/>
        </w:rPr>
        <w:t>（竞争性磋商响应人名称）的法定代表人。</w:t>
      </w:r>
    </w:p>
    <w:p>
      <w:pPr>
        <w:spacing w:line="360" w:lineRule="auto"/>
        <w:ind w:firstLine="480" w:firstLineChars="200"/>
        <w:rPr>
          <w:rFonts w:ascii="宋体" w:hAnsi="宋体"/>
        </w:rPr>
      </w:pPr>
      <w:r>
        <w:rPr>
          <w:rFonts w:ascii="宋体" w:hAnsi="宋体"/>
        </w:rPr>
        <w:t>特此证明。</w:t>
      </w:r>
    </w:p>
    <w:p>
      <w:pPr>
        <w:spacing w:line="360" w:lineRule="auto"/>
        <w:ind w:firstLine="482" w:firstLineChars="200"/>
        <w:rPr>
          <w:rFonts w:ascii="宋体" w:hAnsi="宋体"/>
          <w:b/>
        </w:rPr>
      </w:pPr>
      <w:r>
        <w:rPr>
          <w:rFonts w:ascii="宋体" w:hAnsi="宋体"/>
          <w:b/>
        </w:rPr>
        <w:t>附</w:t>
      </w:r>
      <w:r>
        <w:rPr>
          <w:rFonts w:hint="eastAsia" w:ascii="宋体" w:hAnsi="宋体"/>
          <w:b/>
        </w:rPr>
        <w:t>：</w:t>
      </w:r>
      <w:r>
        <w:rPr>
          <w:rFonts w:ascii="宋体" w:hAnsi="宋体"/>
          <w:b/>
        </w:rPr>
        <w:t>法人代表身份证正反面</w:t>
      </w:r>
    </w:p>
    <w:p>
      <w:pPr>
        <w:spacing w:line="360" w:lineRule="auto"/>
        <w:ind w:firstLine="480" w:firstLineChars="200"/>
        <w:rPr>
          <w:rFonts w:ascii="宋体" w:hAnsi="宋体"/>
        </w:rPr>
      </w:pPr>
    </w:p>
    <w:p>
      <w:pPr>
        <w:spacing w:line="360" w:lineRule="auto"/>
        <w:ind w:firstLine="480" w:firstLineChars="200"/>
        <w:rPr>
          <w:rFonts w:ascii="宋体" w:hAnsi="宋体"/>
        </w:rPr>
      </w:pPr>
    </w:p>
    <w:p>
      <w:pPr>
        <w:spacing w:line="360" w:lineRule="auto"/>
        <w:ind w:firstLine="480" w:firstLineChars="200"/>
        <w:rPr>
          <w:rFonts w:ascii="宋体" w:hAnsi="宋体"/>
        </w:rPr>
      </w:pPr>
      <w:r>
        <w:rPr>
          <w:rFonts w:hint="eastAsia" w:ascii="宋体" w:hAnsi="宋体"/>
        </w:rPr>
        <w:t xml:space="preserve">                                </w:t>
      </w:r>
      <w:r>
        <w:rPr>
          <w:rFonts w:ascii="宋体" w:hAnsi="宋体"/>
        </w:rPr>
        <w:t>竞争性磋商响应人</w:t>
      </w:r>
      <w:r>
        <w:rPr>
          <w:rFonts w:hint="eastAsia" w:ascii="宋体" w:hAnsi="宋体"/>
        </w:rPr>
        <w:t xml:space="preserve">：           </w:t>
      </w:r>
      <w:r>
        <w:rPr>
          <w:rFonts w:ascii="宋体" w:hAnsi="宋体"/>
        </w:rPr>
        <w:t>（盖单位章）</w:t>
      </w:r>
    </w:p>
    <w:p>
      <w:pPr>
        <w:spacing w:line="360" w:lineRule="auto"/>
        <w:ind w:firstLine="480" w:firstLineChars="200"/>
        <w:rPr>
          <w:rFonts w:ascii="宋体" w:hAnsi="宋体"/>
        </w:rPr>
      </w:pPr>
      <w:r>
        <w:rPr>
          <w:rFonts w:hint="eastAsia" w:ascii="宋体" w:hAnsi="宋体"/>
        </w:rPr>
        <w:t xml:space="preserve">                                                年      月        日</w:t>
      </w:r>
    </w:p>
    <w:p>
      <w:pPr>
        <w:spacing w:line="360" w:lineRule="auto"/>
        <w:ind w:firstLine="480" w:firstLineChars="200"/>
        <w:rPr>
          <w:rFonts w:ascii="宋体" w:hAnsi="宋体"/>
        </w:rPr>
      </w:pPr>
    </w:p>
    <w:p>
      <w:pPr>
        <w:spacing w:line="440" w:lineRule="exact"/>
        <w:rPr>
          <w:rFonts w:ascii="TMBCOU+ËÎÌå" w:hAnsi="TMBCOU+ËÎÌå" w:cs="TMBCOU+ËÎÌå"/>
          <w:spacing w:val="-1"/>
        </w:rPr>
      </w:pPr>
    </w:p>
    <w:p>
      <w:pPr>
        <w:jc w:val="center"/>
        <w:rPr>
          <w:rFonts w:eastAsia="Times New Roman"/>
        </w:rPr>
      </w:pPr>
      <w:r>
        <w:rPr>
          <w:rFonts w:ascii="TMBCOU+ËÎÌå" w:hAnsi="TMBCOU+ËÎÌå" w:cs="TMBCOU+ËÎÌå"/>
          <w:spacing w:val="-1"/>
        </w:rPr>
        <w:br w:type="page"/>
      </w:r>
    </w:p>
    <w:p>
      <w:pPr>
        <w:rPr>
          <w:rFonts w:eastAsia="宋体"/>
        </w:rPr>
      </w:pPr>
    </w:p>
    <w:p>
      <w:pPr>
        <w:jc w:val="center"/>
        <w:rPr>
          <w:rFonts w:hint="eastAsia" w:ascii="宋体" w:hAnsi="宋体"/>
          <w:b/>
          <w:sz w:val="30"/>
        </w:rPr>
      </w:pPr>
    </w:p>
    <w:p>
      <w:pPr>
        <w:jc w:val="center"/>
        <w:rPr>
          <w:rFonts w:hint="eastAsia" w:ascii="宋体" w:hAnsi="宋体"/>
          <w:b/>
          <w:sz w:val="30"/>
        </w:rPr>
      </w:pPr>
    </w:p>
    <w:p>
      <w:pPr>
        <w:jc w:val="center"/>
        <w:rPr>
          <w:rFonts w:eastAsia="Times New Roman"/>
          <w:b/>
          <w:sz w:val="30"/>
        </w:rPr>
      </w:pPr>
      <w:r>
        <w:rPr>
          <w:rFonts w:hint="eastAsia" w:ascii="宋体" w:hAnsi="宋体"/>
          <w:b/>
          <w:sz w:val="30"/>
        </w:rPr>
        <w:t>二、法定代表人授权委托书（2-2）</w:t>
      </w:r>
    </w:p>
    <w:p>
      <w:pPr>
        <w:spacing w:line="440" w:lineRule="exact"/>
        <w:jc w:val="center"/>
        <w:rPr>
          <w:rFonts w:ascii="SCOJMQ+ËÎÌå" w:hAnsi="SCOJMQ+ËÎÌå" w:cs="SCOJMQ+ËÎÌå"/>
          <w:b/>
          <w:spacing w:val="-1"/>
        </w:rPr>
      </w:pPr>
    </w:p>
    <w:p>
      <w:pPr>
        <w:spacing w:line="440" w:lineRule="exact"/>
        <w:jc w:val="center"/>
        <w:rPr>
          <w:rFonts w:ascii="TMBCOU+ËÎÌå" w:hAnsi="TMBCOU+ËÎÌå" w:cs="TMBCOU+ËÎÌå"/>
          <w:b/>
          <w:spacing w:val="-1"/>
          <w:u w:val="single"/>
        </w:rPr>
      </w:pPr>
      <w:r>
        <w:rPr>
          <w:rFonts w:ascii="SCOJMQ+ËÎÌå" w:hAnsi="SCOJMQ+ËÎÌå" w:cs="SCOJMQ+ËÎÌå"/>
          <w:b/>
          <w:spacing w:val="-1"/>
        </w:rPr>
        <w:t>注：如法定代表人参加此授权可以不附</w:t>
      </w:r>
    </w:p>
    <w:p>
      <w:pPr>
        <w:spacing w:line="440" w:lineRule="exact"/>
        <w:ind w:firstLine="480" w:firstLineChars="200"/>
        <w:rPr>
          <w:rFonts w:ascii="SCOJMQ+ËÎÌå" w:hAnsi="SCOJMQ+ËÎÌå" w:cs="SCOJMQ+ËÎÌå"/>
          <w:spacing w:val="-1"/>
          <w:u w:val="single"/>
        </w:rPr>
      </w:pPr>
      <w:r>
        <w:rPr>
          <w:rFonts w:ascii="SCOJMQ+ËÎÌå" w:hAnsi="SCOJMQ+ËÎÌå" w:cs="SCOJMQ+ËÎÌå"/>
        </w:rPr>
        <w:t>本人</w:t>
      </w:r>
      <w:r>
        <w:rPr>
          <w:rFonts w:hint="eastAsia" w:ascii="SCOJMQ+ËÎÌå" w:hAnsi="SCOJMQ+ËÎÌå" w:cs="SCOJMQ+ËÎÌå"/>
          <w:u w:val="single"/>
        </w:rPr>
        <w:t xml:space="preserve">            </w:t>
      </w:r>
      <w:r>
        <w:rPr>
          <w:rFonts w:ascii="SCOJMQ+ËÎÌå" w:hAnsi="SCOJMQ+ËÎÌå" w:cs="SCOJMQ+ËÎÌå"/>
        </w:rPr>
        <w:t>（姓名）系</w:t>
      </w:r>
      <w:r>
        <w:rPr>
          <w:rFonts w:hint="eastAsia" w:ascii="SCOJMQ+ËÎÌå" w:hAnsi="SCOJMQ+ËÎÌå" w:cs="SCOJMQ+ËÎÌå"/>
          <w:u w:val="single"/>
        </w:rPr>
        <w:t xml:space="preserve">              </w:t>
      </w:r>
      <w:r>
        <w:rPr>
          <w:rFonts w:ascii="SCOJMQ+ËÎÌå" w:hAnsi="SCOJMQ+ËÎÌå" w:cs="SCOJMQ+ËÎÌå"/>
          <w:spacing w:val="-1"/>
        </w:rPr>
        <w:t>（竞争性磋商响应人名称）的法定代表人，现委托</w:t>
      </w:r>
      <w:r>
        <w:rPr>
          <w:rFonts w:hint="eastAsia" w:ascii="SCOJMQ+ËÎÌå" w:hAnsi="SCOJMQ+ËÎÌå" w:cs="SCOJMQ+ËÎÌå"/>
          <w:spacing w:val="-1"/>
          <w:u w:val="single"/>
        </w:rPr>
        <w:t xml:space="preserve">           </w:t>
      </w:r>
      <w:r>
        <w:rPr>
          <w:rFonts w:ascii="SCOJMQ+ËÎÌå" w:hAnsi="SCOJMQ+ËÎÌå" w:cs="SCOJMQ+ËÎÌå"/>
        </w:rPr>
        <w:t>（姓名）</w:t>
      </w:r>
      <w:r>
        <w:rPr>
          <w:rFonts w:ascii="SCOJMQ+ËÎÌå" w:hAnsi="SCOJMQ+ËÎÌå" w:cs="SCOJMQ+ËÎÌå"/>
          <w:spacing w:val="-1"/>
        </w:rPr>
        <w:t>为我方代理人。代理人根据授权，以我方名义签署、澄清、说明、补正、递交、撤回、修改</w:t>
      </w:r>
      <w:r>
        <w:rPr>
          <w:rFonts w:hint="eastAsia" w:ascii="SCOJMQ+ËÎÌå" w:hAnsi="SCOJMQ+ËÎÌå" w:cs="SCOJMQ+ËÎÌå"/>
          <w:spacing w:val="-1"/>
          <w:u w:val="single"/>
        </w:rPr>
        <w:t xml:space="preserve">                     （</w:t>
      </w:r>
      <w:r>
        <w:rPr>
          <w:rFonts w:ascii="SCOJMQ+ËÎÌå" w:hAnsi="SCOJMQ+ËÎÌå" w:cs="SCOJMQ+ËÎÌå"/>
          <w:u w:val="single"/>
        </w:rPr>
        <w:t>项目</w:t>
      </w:r>
      <w:r>
        <w:rPr>
          <w:rFonts w:hint="eastAsia" w:ascii="SCOJMQ+ËÎÌå" w:hAnsi="SCOJMQ+ËÎÌå" w:cs="SCOJMQ+ËÎÌå"/>
          <w:u w:val="single"/>
        </w:rPr>
        <w:t>名称、项目编号）</w:t>
      </w:r>
      <w:r>
        <w:rPr>
          <w:rFonts w:ascii="SCOJMQ+ËÎÌå" w:hAnsi="SCOJMQ+ËÎÌå" w:cs="SCOJMQ+ËÎÌå"/>
          <w:spacing w:val="-1"/>
        </w:rPr>
        <w:t>竞争性磋商响应文件、签订合同和处理有关事宜，其法律后果由我方承担。</w:t>
      </w:r>
    </w:p>
    <w:p>
      <w:pPr>
        <w:spacing w:line="440" w:lineRule="exact"/>
        <w:rPr>
          <w:rFonts w:ascii="TMBCOU+ËÎÌå" w:hAnsi="TMBCOU+ËÎÌå" w:cs="TMBCOU+ËÎÌå"/>
          <w:spacing w:val="-1"/>
          <w:u w:val="single"/>
        </w:rPr>
      </w:pPr>
      <w:r>
        <w:rPr>
          <w:rFonts w:ascii="SCOJMQ+ËÎÌå" w:hAnsi="SCOJMQ+ËÎÌå" w:cs="SCOJMQ+ËÎÌå"/>
        </w:rPr>
        <w:t>委托期限：</w:t>
      </w:r>
      <w:r>
        <w:rPr>
          <w:rFonts w:hint="eastAsia" w:ascii="SCOJMQ+ËÎÌå" w:hAnsi="SCOJMQ+ËÎÌå" w:cs="SCOJMQ+ËÎÌå"/>
          <w:u w:val="single"/>
        </w:rPr>
        <w:t xml:space="preserve">              </w:t>
      </w:r>
    </w:p>
    <w:p>
      <w:pPr>
        <w:spacing w:line="440" w:lineRule="exact"/>
        <w:rPr>
          <w:rFonts w:ascii="SCOJMQ+ËÎÌå" w:hAnsi="SCOJMQ+ËÎÌå" w:cs="SCOJMQ+ËÎÌå"/>
          <w:spacing w:val="-1"/>
        </w:rPr>
      </w:pPr>
      <w:r>
        <w:rPr>
          <w:rFonts w:ascii="SCOJMQ+ËÎÌå" w:hAnsi="SCOJMQ+ËÎÌå" w:cs="SCOJMQ+ËÎÌå"/>
          <w:spacing w:val="-1"/>
        </w:rPr>
        <w:t>代理人无转委托权。</w:t>
      </w:r>
    </w:p>
    <w:p>
      <w:pPr>
        <w:spacing w:line="440" w:lineRule="exact"/>
        <w:rPr>
          <w:rFonts w:ascii="SCOJMQ+ËÎÌå" w:hAnsi="SCOJMQ+ËÎÌå" w:cs="SCOJMQ+ËÎÌå"/>
          <w:b/>
          <w:spacing w:val="-1"/>
        </w:rPr>
      </w:pPr>
      <w:r>
        <w:rPr>
          <w:rFonts w:ascii="SCOJMQ+ËÎÌå" w:hAnsi="SCOJMQ+ËÎÌå" w:cs="SCOJMQ+ËÎÌå"/>
          <w:b/>
          <w:spacing w:val="-1"/>
        </w:rPr>
        <w:t>附：法人代表及授权委托人身份证</w:t>
      </w:r>
      <w:r>
        <w:rPr>
          <w:rFonts w:hint="eastAsia" w:ascii="SCOJMQ+ËÎÌå" w:hAnsi="SCOJMQ+ËÎÌå" w:cs="SCOJMQ+ËÎÌå"/>
          <w:b/>
          <w:spacing w:val="-1"/>
        </w:rPr>
        <w:t>正反面</w:t>
      </w:r>
    </w:p>
    <w:p>
      <w:pPr>
        <w:spacing w:line="440" w:lineRule="exact"/>
        <w:rPr>
          <w:rFonts w:ascii="TMBCOU+ËÎÌå" w:hAnsi="TMBCOU+ËÎÌå" w:cs="TMBCOU+ËÎÌå"/>
          <w:spacing w:val="-1"/>
          <w:u w:val="single"/>
        </w:rPr>
      </w:pPr>
    </w:p>
    <w:p>
      <w:pPr>
        <w:spacing w:line="440" w:lineRule="exact"/>
        <w:rPr>
          <w:rFonts w:ascii="TMBCOU+ËÎÌå" w:hAnsi="TMBCOU+ËÎÌå" w:cs="TMBCOU+ËÎÌå"/>
          <w:spacing w:val="-1"/>
        </w:rPr>
      </w:pPr>
    </w:p>
    <w:p>
      <w:pPr>
        <w:spacing w:line="440" w:lineRule="exact"/>
        <w:rPr>
          <w:rFonts w:ascii="SCOJMQ+ËÎÌå" w:hAnsi="SCOJMQ+ËÎÌå" w:cs="SCOJMQ+ËÎÌå"/>
        </w:rPr>
      </w:pPr>
      <w:r>
        <w:rPr>
          <w:rFonts w:hint="eastAsia" w:ascii="TMBCOU+ËÎÌå" w:hAnsi="TMBCOU+ËÎÌå" w:cs="TMBCOU+ËÎÌå"/>
          <w:spacing w:val="-1"/>
        </w:rPr>
        <w:t xml:space="preserve">                               </w:t>
      </w:r>
      <w:r>
        <w:rPr>
          <w:rFonts w:ascii="SCOJMQ+ËÎÌå" w:hAnsi="SCOJMQ+ËÎÌå" w:cs="SCOJMQ+ËÎÌå"/>
          <w:spacing w:val="-1"/>
        </w:rPr>
        <w:t>竞争性磋商响应人：</w:t>
      </w:r>
      <w:r>
        <w:rPr>
          <w:rFonts w:hint="eastAsia" w:ascii="SCOJMQ+ËÎÌå" w:hAnsi="SCOJMQ+ËÎÌå" w:cs="SCOJMQ+ËÎÌå"/>
          <w:spacing w:val="-1"/>
          <w:u w:val="single"/>
        </w:rPr>
        <w:t xml:space="preserve">               </w:t>
      </w:r>
      <w:r>
        <w:rPr>
          <w:rFonts w:ascii="SCOJMQ+ËÎÌå" w:hAnsi="SCOJMQ+ËÎÌå" w:cs="SCOJMQ+ËÎÌå"/>
        </w:rPr>
        <w:t>（盖单位章）</w:t>
      </w:r>
    </w:p>
    <w:p>
      <w:pPr>
        <w:spacing w:line="440" w:lineRule="exact"/>
        <w:rPr>
          <w:rFonts w:ascii="SCOJMQ+ËÎÌå" w:hAnsi="SCOJMQ+ËÎÌå" w:cs="SCOJMQ+ËÎÌå"/>
        </w:rPr>
      </w:pPr>
      <w:r>
        <w:rPr>
          <w:rFonts w:hint="eastAsia" w:ascii="SCOJMQ+ËÎÌå" w:hAnsi="SCOJMQ+ËÎÌå" w:cs="SCOJMQ+ËÎÌå"/>
        </w:rPr>
        <w:t xml:space="preserve">                               </w:t>
      </w:r>
      <w:r>
        <w:rPr>
          <w:rFonts w:ascii="SCOJMQ+ËÎÌå" w:hAnsi="SCOJMQ+ËÎÌå" w:cs="SCOJMQ+ËÎÌå"/>
          <w:spacing w:val="-1"/>
        </w:rPr>
        <w:t>法定代表人：</w:t>
      </w:r>
      <w:r>
        <w:rPr>
          <w:rFonts w:hint="eastAsia" w:ascii="SCOJMQ+ËÎÌå" w:hAnsi="SCOJMQ+ËÎÌå" w:cs="SCOJMQ+ËÎÌå"/>
          <w:spacing w:val="-1"/>
          <w:u w:val="single"/>
        </w:rPr>
        <w:t xml:space="preserve">                     </w:t>
      </w:r>
      <w:r>
        <w:rPr>
          <w:rFonts w:ascii="SCOJMQ+ËÎÌå" w:hAnsi="SCOJMQ+ËÎÌå" w:cs="SCOJMQ+ËÎÌå"/>
        </w:rPr>
        <w:t>（签字</w:t>
      </w:r>
      <w:r>
        <w:rPr>
          <w:rFonts w:hint="eastAsia" w:ascii="SCOJMQ+ËÎÌå" w:hAnsi="SCOJMQ+ËÎÌå" w:cs="SCOJMQ+ËÎÌå"/>
        </w:rPr>
        <w:t>或盖章</w:t>
      </w:r>
      <w:r>
        <w:rPr>
          <w:rFonts w:ascii="SCOJMQ+ËÎÌå" w:hAnsi="SCOJMQ+ËÎÌå" w:cs="SCOJMQ+ËÎÌå"/>
        </w:rPr>
        <w:t>）</w:t>
      </w:r>
    </w:p>
    <w:p>
      <w:pPr>
        <w:spacing w:line="440" w:lineRule="exact"/>
        <w:rPr>
          <w:rFonts w:ascii="SCOJMQ+ËÎÌå" w:hAnsi="SCOJMQ+ËÎÌå" w:cs="SCOJMQ+ËÎÌå"/>
          <w:spacing w:val="-1"/>
        </w:rPr>
      </w:pPr>
      <w:r>
        <w:rPr>
          <w:rFonts w:hint="eastAsia" w:ascii="SCOJMQ+ËÎÌå" w:hAnsi="SCOJMQ+ËÎÌå" w:cs="SCOJMQ+ËÎÌå"/>
        </w:rPr>
        <w:t xml:space="preserve">                               </w:t>
      </w:r>
      <w:r>
        <w:rPr>
          <w:rFonts w:ascii="SCOJMQ+ËÎÌå" w:hAnsi="SCOJMQ+ËÎÌå" w:cs="SCOJMQ+ËÎÌå"/>
          <w:spacing w:val="-1"/>
        </w:rPr>
        <w:t>身份证号码：</w:t>
      </w:r>
    </w:p>
    <w:p>
      <w:pPr>
        <w:spacing w:line="440" w:lineRule="exact"/>
        <w:rPr>
          <w:rFonts w:ascii="SCOJMQ+ËÎÌå" w:hAnsi="SCOJMQ+ËÎÌå" w:cs="SCOJMQ+ËÎÌå"/>
        </w:rPr>
      </w:pPr>
      <w:r>
        <w:rPr>
          <w:rFonts w:hint="eastAsia" w:ascii="SCOJMQ+ËÎÌå" w:hAnsi="SCOJMQ+ËÎÌå" w:cs="SCOJMQ+ËÎÌå"/>
          <w:spacing w:val="-1"/>
        </w:rPr>
        <w:t xml:space="preserve">                               </w:t>
      </w:r>
      <w:r>
        <w:rPr>
          <w:rFonts w:ascii="SCOJMQ+ËÎÌå" w:hAnsi="SCOJMQ+ËÎÌå" w:cs="SCOJMQ+ËÎÌå"/>
          <w:spacing w:val="-1"/>
        </w:rPr>
        <w:t>委托代理人：</w:t>
      </w:r>
      <w:r>
        <w:rPr>
          <w:rFonts w:hint="eastAsia" w:ascii="SCOJMQ+ËÎÌå" w:hAnsi="SCOJMQ+ËÎÌå" w:cs="SCOJMQ+ËÎÌå"/>
          <w:spacing w:val="-1"/>
          <w:u w:val="single"/>
        </w:rPr>
        <w:t xml:space="preserve">                       </w:t>
      </w:r>
      <w:r>
        <w:rPr>
          <w:rFonts w:ascii="SCOJMQ+ËÎÌå" w:hAnsi="SCOJMQ+ËÎÌå" w:cs="SCOJMQ+ËÎÌå"/>
        </w:rPr>
        <w:t>（签字）</w:t>
      </w:r>
    </w:p>
    <w:p>
      <w:pPr>
        <w:spacing w:line="440" w:lineRule="exact"/>
        <w:rPr>
          <w:rFonts w:ascii="SCOJMQ+ËÎÌå" w:hAnsi="SCOJMQ+ËÎÌå" w:cs="SCOJMQ+ËÎÌå"/>
          <w:spacing w:val="-1"/>
        </w:rPr>
      </w:pPr>
      <w:r>
        <w:rPr>
          <w:rFonts w:hint="eastAsia" w:ascii="SCOJMQ+ËÎÌå" w:hAnsi="SCOJMQ+ËÎÌå" w:cs="SCOJMQ+ËÎÌå"/>
        </w:rPr>
        <w:t xml:space="preserve">                               </w:t>
      </w:r>
      <w:r>
        <w:rPr>
          <w:rFonts w:ascii="SCOJMQ+ËÎÌå" w:hAnsi="SCOJMQ+ËÎÌå" w:cs="SCOJMQ+ËÎÌå"/>
          <w:spacing w:val="-1"/>
        </w:rPr>
        <w:t>身份证号码：</w:t>
      </w:r>
    </w:p>
    <w:p>
      <w:pPr>
        <w:spacing w:line="440" w:lineRule="exact"/>
        <w:rPr>
          <w:rFonts w:ascii="TMBCOU+ËÎÌå" w:hAnsi="TMBCOU+ËÎÌå" w:cs="TMBCOU+ËÎÌå"/>
          <w:spacing w:val="-1"/>
        </w:rPr>
      </w:pPr>
      <w:r>
        <w:rPr>
          <w:rFonts w:hint="eastAsia" w:ascii="SCOJMQ+ËÎÌå" w:hAnsi="SCOJMQ+ËÎÌå" w:cs="SCOJMQ+ËÎÌå"/>
          <w:spacing w:val="-1"/>
        </w:rPr>
        <w:t xml:space="preserve">                                         </w:t>
      </w:r>
      <w:r>
        <w:rPr>
          <w:rFonts w:hint="eastAsia" w:ascii="NTUWPH+ËÎÌå" w:hAnsi="NTUWPH+ËÎÌå" w:cs="NTUWPH+ËÎÌå"/>
        </w:rPr>
        <w:t xml:space="preserve"> </w:t>
      </w:r>
      <w:r>
        <w:rPr>
          <w:rFonts w:hint="eastAsia" w:ascii="宋体" w:hAnsi="宋体" w:cs="TMBCOU+ËÎÌå"/>
          <w:spacing w:val="-1"/>
          <w:u w:val="single"/>
        </w:rPr>
        <w:t xml:space="preserve">       </w:t>
      </w:r>
      <w:r>
        <w:rPr>
          <w:rFonts w:hint="eastAsia" w:ascii="TMBCOU+ËÎÌå" w:hAnsi="TMBCOU+ËÎÌå" w:cs="TMBCOU+ËÎÌå"/>
          <w:spacing w:val="-1"/>
        </w:rPr>
        <w:t>年</w:t>
      </w:r>
      <w:r>
        <w:rPr>
          <w:rFonts w:hint="eastAsia" w:ascii="宋体" w:hAnsi="宋体" w:cs="TMBCOU+ËÎÌå"/>
          <w:spacing w:val="-1"/>
          <w:u w:val="single"/>
        </w:rPr>
        <w:t xml:space="preserve">      </w:t>
      </w:r>
      <w:r>
        <w:rPr>
          <w:rFonts w:hint="eastAsia" w:ascii="TMBCOU+ËÎÌå" w:hAnsi="TMBCOU+ËÎÌå" w:cs="TMBCOU+ËÎÌå"/>
          <w:spacing w:val="-1"/>
        </w:rPr>
        <w:t>月</w:t>
      </w:r>
      <w:r>
        <w:rPr>
          <w:rFonts w:hint="eastAsia" w:ascii="宋体" w:hAnsi="宋体" w:cs="TMBCOU+ËÎÌå"/>
          <w:spacing w:val="-1"/>
          <w:u w:val="single"/>
        </w:rPr>
        <w:t xml:space="preserve">        </w:t>
      </w:r>
      <w:r>
        <w:rPr>
          <w:rFonts w:hint="eastAsia" w:ascii="TMBCOU+ËÎÌå" w:hAnsi="TMBCOU+ËÎÌå" w:cs="TMBCOU+ËÎÌå"/>
          <w:spacing w:val="-1"/>
        </w:rPr>
        <w:t>日</w:t>
      </w:r>
    </w:p>
    <w:p>
      <w:pPr>
        <w:rPr>
          <w:rFonts w:eastAsia="宋体"/>
          <w:b/>
        </w:rPr>
      </w:pPr>
    </w:p>
    <w:p>
      <w:pPr>
        <w:widowControl/>
        <w:adjustRightInd/>
        <w:rPr>
          <w:rFonts w:ascii="宋体" w:hAnsi="宋体"/>
          <w:b/>
          <w:sz w:val="30"/>
        </w:rPr>
      </w:pPr>
      <w:r>
        <w:rPr>
          <w:rFonts w:ascii="宋体" w:hAnsi="宋体"/>
          <w:b/>
          <w:sz w:val="30"/>
        </w:rPr>
        <w:br w:type="page"/>
      </w:r>
    </w:p>
    <w:p>
      <w:pPr>
        <w:jc w:val="center"/>
        <w:rPr>
          <w:rFonts w:ascii="宋体" w:hAnsi="宋体"/>
          <w:b/>
          <w:sz w:val="30"/>
        </w:rPr>
      </w:pPr>
      <w:bookmarkStart w:id="493" w:name="_Toc16855"/>
    </w:p>
    <w:bookmarkEnd w:id="493"/>
    <w:p/>
    <w:p>
      <w:pPr>
        <w:pStyle w:val="18"/>
        <w:widowControl w:val="0"/>
        <w:kinsoku w:val="0"/>
        <w:wordWrap/>
        <w:overflowPunct w:val="0"/>
        <w:autoSpaceDE w:val="0"/>
        <w:autoSpaceDN w:val="0"/>
        <w:adjustRightInd w:val="0"/>
        <w:snapToGrid/>
        <w:spacing w:before="57" w:line="440" w:lineRule="exact"/>
        <w:ind w:left="0" w:leftChars="0" w:right="232" w:firstLine="0" w:firstLineChars="0"/>
        <w:jc w:val="center"/>
        <w:textAlignment w:val="auto"/>
        <w:rPr>
          <w:rFonts w:hint="eastAsia" w:eastAsia="宋体"/>
          <w:b/>
          <w:bCs/>
          <w:color w:val="000000"/>
          <w:sz w:val="30"/>
          <w:szCs w:val="30"/>
          <w:lang w:eastAsia="zh-CN"/>
        </w:rPr>
      </w:pPr>
      <w:r>
        <w:rPr>
          <w:rFonts w:hint="eastAsia"/>
          <w:b/>
          <w:bCs/>
          <w:color w:val="000000"/>
          <w:sz w:val="30"/>
          <w:szCs w:val="30"/>
        </w:rPr>
        <w:t>三、投标报价</w:t>
      </w:r>
      <w:r>
        <w:rPr>
          <w:rFonts w:hint="eastAsia"/>
          <w:b/>
          <w:bCs/>
          <w:color w:val="000000"/>
          <w:sz w:val="30"/>
          <w:szCs w:val="30"/>
          <w:lang w:eastAsia="zh-CN"/>
        </w:rPr>
        <w:t>明细</w:t>
      </w:r>
      <w:r>
        <w:rPr>
          <w:rFonts w:hint="eastAsia"/>
          <w:b/>
          <w:bCs/>
          <w:color w:val="000000"/>
          <w:sz w:val="30"/>
          <w:szCs w:val="30"/>
        </w:rPr>
        <w:t>表</w:t>
      </w:r>
      <w:r>
        <w:rPr>
          <w:rFonts w:hint="eastAsia"/>
          <w:b/>
          <w:bCs/>
          <w:color w:val="000000"/>
          <w:sz w:val="30"/>
          <w:szCs w:val="30"/>
          <w:lang w:eastAsia="zh-CN"/>
        </w:rPr>
        <w:t>（参考格式）</w:t>
      </w:r>
    </w:p>
    <w:p>
      <w:pPr>
        <w:adjustRightInd w:val="0"/>
        <w:snapToGrid w:val="0"/>
        <w:ind w:firstLine="480" w:firstLineChars="200"/>
        <w:rPr>
          <w:rFonts w:hint="eastAsia"/>
          <w:bCs/>
        </w:rPr>
      </w:pPr>
      <w:r>
        <w:rPr>
          <w:rFonts w:hint="eastAsia"/>
          <w:bCs/>
        </w:rPr>
        <w:t xml:space="preserve">项目名称：                                              </w:t>
      </w:r>
      <w:r>
        <w:rPr>
          <w:rFonts w:hint="eastAsia"/>
          <w:bCs/>
          <w:lang w:val="en-US" w:eastAsia="zh-CN"/>
        </w:rPr>
        <w:t xml:space="preserve">                                            </w:t>
      </w:r>
      <w:r>
        <w:rPr>
          <w:rFonts w:hint="eastAsia"/>
          <w:bCs/>
        </w:rPr>
        <w:t xml:space="preserve"> 项目编号：</w:t>
      </w:r>
    </w:p>
    <w:p>
      <w:pPr>
        <w:adjustRightInd w:val="0"/>
        <w:snapToGrid w:val="0"/>
        <w:ind w:firstLine="480" w:firstLineChars="200"/>
        <w:rPr>
          <w:rFonts w:hint="eastAsia"/>
          <w:bCs/>
        </w:rPr>
      </w:pPr>
    </w:p>
    <w:tbl>
      <w:tblPr>
        <w:tblStyle w:val="45"/>
        <w:tblpPr w:leftFromText="180" w:rightFromText="180" w:vertAnchor="text" w:horzAnchor="page" w:tblpX="1383" w:tblpY="78"/>
        <w:tblOverlap w:val="never"/>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656"/>
        <w:gridCol w:w="1236"/>
        <w:gridCol w:w="996"/>
        <w:gridCol w:w="1608"/>
        <w:gridCol w:w="123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vAlign w:val="center"/>
          </w:tcPr>
          <w:p>
            <w:pPr>
              <w:adjustRightInd w:val="0"/>
              <w:snapToGrid w:val="0"/>
              <w:ind w:firstLine="480" w:firstLineChars="200"/>
              <w:jc w:val="center"/>
              <w:rPr>
                <w:bCs/>
              </w:rPr>
            </w:pPr>
            <w:r>
              <w:rPr>
                <w:rFonts w:hint="eastAsia"/>
                <w:bCs/>
              </w:rPr>
              <w:t>名</w:t>
            </w:r>
            <w:r>
              <w:rPr>
                <w:rFonts w:hint="eastAsia"/>
                <w:bCs/>
                <w:lang w:val="en-US" w:eastAsia="zh-CN"/>
              </w:rPr>
              <w:t xml:space="preserve"> </w:t>
            </w:r>
            <w:r>
              <w:rPr>
                <w:rFonts w:hint="eastAsia"/>
                <w:bCs/>
              </w:rPr>
              <w:t>称</w:t>
            </w:r>
          </w:p>
        </w:tc>
        <w:tc>
          <w:tcPr>
            <w:tcW w:w="1236" w:type="dxa"/>
            <w:vAlign w:val="center"/>
          </w:tcPr>
          <w:p>
            <w:pPr>
              <w:adjustRightInd w:val="0"/>
              <w:snapToGrid w:val="0"/>
              <w:rPr>
                <w:bCs/>
              </w:rPr>
            </w:pPr>
            <w:r>
              <w:rPr>
                <w:rFonts w:hint="eastAsia"/>
                <w:bCs/>
              </w:rPr>
              <w:t>计量单位</w:t>
            </w:r>
          </w:p>
        </w:tc>
        <w:tc>
          <w:tcPr>
            <w:tcW w:w="996" w:type="dxa"/>
            <w:vAlign w:val="center"/>
          </w:tcPr>
          <w:p>
            <w:pPr>
              <w:adjustRightInd w:val="0"/>
              <w:snapToGrid w:val="0"/>
              <w:ind w:firstLine="240" w:firstLineChars="100"/>
              <w:jc w:val="both"/>
              <w:rPr>
                <w:bCs/>
              </w:rPr>
            </w:pPr>
            <w:r>
              <w:rPr>
                <w:rFonts w:hint="eastAsia"/>
                <w:bCs/>
              </w:rPr>
              <w:t>数量</w:t>
            </w:r>
          </w:p>
        </w:tc>
        <w:tc>
          <w:tcPr>
            <w:tcW w:w="1608" w:type="dxa"/>
            <w:vAlign w:val="center"/>
          </w:tcPr>
          <w:p>
            <w:pPr>
              <w:adjustRightInd w:val="0"/>
              <w:snapToGrid w:val="0"/>
              <w:ind w:firstLine="480" w:firstLineChars="200"/>
              <w:rPr>
                <w:bCs/>
              </w:rPr>
            </w:pPr>
            <w:r>
              <w:rPr>
                <w:rFonts w:hint="eastAsia"/>
                <w:bCs/>
              </w:rPr>
              <w:t>单价(元)</w:t>
            </w:r>
          </w:p>
        </w:tc>
        <w:tc>
          <w:tcPr>
            <w:tcW w:w="1236" w:type="dxa"/>
            <w:vAlign w:val="center"/>
          </w:tcPr>
          <w:p>
            <w:pPr>
              <w:adjustRightInd w:val="0"/>
              <w:snapToGrid w:val="0"/>
              <w:rPr>
                <w:bCs/>
              </w:rPr>
            </w:pPr>
            <w:r>
              <w:rPr>
                <w:rFonts w:hint="eastAsia"/>
                <w:bCs/>
              </w:rPr>
              <w:t>合价(元)</w:t>
            </w:r>
          </w:p>
        </w:tc>
        <w:tc>
          <w:tcPr>
            <w:tcW w:w="1236" w:type="dxa"/>
            <w:vAlign w:val="center"/>
          </w:tcPr>
          <w:p>
            <w:pPr>
              <w:adjustRightInd w:val="0"/>
              <w:snapToGrid w:val="0"/>
              <w:ind w:firstLine="240" w:firstLineChars="100"/>
              <w:rPr>
                <w:rFonts w:hint="eastAsia" w:eastAsia="宋体"/>
                <w:bCs/>
                <w:lang w:eastAsia="zh-CN"/>
              </w:rPr>
            </w:pPr>
            <w:r>
              <w:rPr>
                <w:rFonts w:hint="eastAsia"/>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restart"/>
            <w:vAlign w:val="center"/>
          </w:tcPr>
          <w:p>
            <w:pPr>
              <w:adjustRightInd w:val="0"/>
              <w:snapToGrid w:val="0"/>
              <w:rPr>
                <w:bCs/>
                <w:highlight w:val="none"/>
              </w:rPr>
            </w:pPr>
            <w:r>
              <w:rPr>
                <w:rFonts w:hint="eastAsia" w:ascii="Times New Roman" w:hAnsi="Times New Roman" w:eastAsia="宋体" w:cs="Times New Roman"/>
                <w:bCs/>
                <w:highlight w:val="none"/>
                <w:lang w:eastAsia="zh-CN"/>
              </w:rPr>
              <w:t>气象条件分析报告</w:t>
            </w:r>
          </w:p>
        </w:tc>
        <w:tc>
          <w:tcPr>
            <w:tcW w:w="1656" w:type="dxa"/>
            <w:vAlign w:val="center"/>
          </w:tcPr>
          <w:p>
            <w:pPr>
              <w:adjustRightInd w:val="0"/>
              <w:snapToGrid w:val="0"/>
              <w:ind w:firstLine="480" w:firstLineChars="200"/>
              <w:jc w:val="center"/>
              <w:rPr>
                <w:bCs/>
              </w:rPr>
            </w:pPr>
          </w:p>
        </w:tc>
        <w:tc>
          <w:tcPr>
            <w:tcW w:w="1236" w:type="dxa"/>
            <w:vAlign w:val="center"/>
          </w:tcPr>
          <w:p>
            <w:pPr>
              <w:adjustRightInd w:val="0"/>
              <w:snapToGrid w:val="0"/>
              <w:ind w:firstLine="480" w:firstLineChars="200"/>
              <w:jc w:val="center"/>
              <w:rPr>
                <w:bCs/>
              </w:rPr>
            </w:pPr>
          </w:p>
        </w:tc>
        <w:tc>
          <w:tcPr>
            <w:tcW w:w="996" w:type="dxa"/>
            <w:vAlign w:val="center"/>
          </w:tcPr>
          <w:p>
            <w:pPr>
              <w:adjustRightInd w:val="0"/>
              <w:snapToGrid w:val="0"/>
              <w:ind w:firstLine="480" w:firstLineChars="200"/>
              <w:jc w:val="center"/>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ind w:firstLine="480" w:firstLineChars="200"/>
              <w:jc w:val="center"/>
              <w:rPr>
                <w:bCs/>
              </w:rPr>
            </w:pPr>
          </w:p>
        </w:tc>
        <w:tc>
          <w:tcPr>
            <w:tcW w:w="1656" w:type="dxa"/>
            <w:vAlign w:val="center"/>
          </w:tcPr>
          <w:p>
            <w:pPr>
              <w:adjustRightInd w:val="0"/>
              <w:snapToGrid w:val="0"/>
              <w:ind w:firstLine="480" w:firstLineChars="200"/>
              <w:jc w:val="center"/>
              <w:rPr>
                <w:bCs/>
              </w:rPr>
            </w:pPr>
          </w:p>
        </w:tc>
        <w:tc>
          <w:tcPr>
            <w:tcW w:w="1236" w:type="dxa"/>
            <w:vAlign w:val="center"/>
          </w:tcPr>
          <w:p>
            <w:pPr>
              <w:adjustRightInd w:val="0"/>
              <w:snapToGrid w:val="0"/>
              <w:ind w:firstLine="480" w:firstLineChars="200"/>
              <w:jc w:val="center"/>
              <w:rPr>
                <w:bCs/>
              </w:rPr>
            </w:pPr>
          </w:p>
        </w:tc>
        <w:tc>
          <w:tcPr>
            <w:tcW w:w="996" w:type="dxa"/>
            <w:vAlign w:val="center"/>
          </w:tcPr>
          <w:p>
            <w:pPr>
              <w:adjustRightInd w:val="0"/>
              <w:snapToGrid w:val="0"/>
              <w:ind w:firstLine="480" w:firstLineChars="200"/>
              <w:jc w:val="center"/>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ind w:firstLine="480" w:firstLineChars="200"/>
              <w:jc w:val="center"/>
              <w:rPr>
                <w:bCs/>
              </w:rPr>
            </w:pPr>
          </w:p>
        </w:tc>
        <w:tc>
          <w:tcPr>
            <w:tcW w:w="1656" w:type="dxa"/>
            <w:vAlign w:val="center"/>
          </w:tcPr>
          <w:p>
            <w:pPr>
              <w:adjustRightInd w:val="0"/>
              <w:snapToGrid w:val="0"/>
              <w:ind w:firstLine="480" w:firstLineChars="200"/>
              <w:jc w:val="center"/>
              <w:rPr>
                <w:bCs/>
              </w:rPr>
            </w:pPr>
          </w:p>
        </w:tc>
        <w:tc>
          <w:tcPr>
            <w:tcW w:w="1236" w:type="dxa"/>
            <w:vAlign w:val="center"/>
          </w:tcPr>
          <w:p>
            <w:pPr>
              <w:adjustRightInd w:val="0"/>
              <w:snapToGrid w:val="0"/>
              <w:ind w:firstLine="480" w:firstLineChars="200"/>
              <w:jc w:val="center"/>
              <w:rPr>
                <w:bCs/>
              </w:rPr>
            </w:pPr>
          </w:p>
        </w:tc>
        <w:tc>
          <w:tcPr>
            <w:tcW w:w="996" w:type="dxa"/>
            <w:vAlign w:val="center"/>
          </w:tcPr>
          <w:p>
            <w:pPr>
              <w:adjustRightInd w:val="0"/>
              <w:snapToGrid w:val="0"/>
              <w:ind w:firstLine="480" w:firstLineChars="200"/>
              <w:jc w:val="center"/>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restart"/>
            <w:vAlign w:val="center"/>
          </w:tcPr>
          <w:p>
            <w:pPr>
              <w:adjustRightInd w:val="0"/>
              <w:snapToGrid w:val="0"/>
              <w:rPr>
                <w:rFonts w:hint="eastAsia" w:eastAsia="宋体"/>
                <w:bCs/>
                <w:highlight w:val="none"/>
                <w:lang w:eastAsia="zh-CN"/>
              </w:rPr>
            </w:pPr>
            <w:r>
              <w:rPr>
                <w:rFonts w:hint="eastAsia"/>
                <w:bCs/>
                <w:highlight w:val="none"/>
                <w:lang w:eastAsia="zh-CN"/>
              </w:rPr>
              <w:t>自动</w:t>
            </w:r>
            <w:r>
              <w:rPr>
                <w:rFonts w:hint="eastAsia"/>
                <w:bCs/>
                <w:highlight w:val="none"/>
              </w:rPr>
              <w:t>气象站</w:t>
            </w:r>
          </w:p>
          <w:p>
            <w:pPr>
              <w:adjustRightInd w:val="0"/>
              <w:snapToGrid w:val="0"/>
              <w:rPr>
                <w:bCs/>
                <w:highlight w:val="none"/>
              </w:rPr>
            </w:pP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ind w:firstLine="480" w:firstLineChars="200"/>
              <w:rPr>
                <w:bCs/>
              </w:rPr>
            </w:pP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ind w:firstLine="480" w:firstLineChars="200"/>
              <w:rPr>
                <w:bCs/>
              </w:rPr>
            </w:pP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rPr>
                <w:bCs/>
              </w:rPr>
            </w:pP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ind w:firstLine="480" w:firstLineChars="200"/>
              <w:rPr>
                <w:bCs/>
              </w:rPr>
            </w:pP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ind w:firstLine="480" w:firstLineChars="200"/>
              <w:rPr>
                <w:bCs/>
              </w:rPr>
            </w:pP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rPr>
                <w:bCs/>
              </w:rPr>
            </w:pP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ind w:firstLine="480" w:firstLineChars="200"/>
              <w:rPr>
                <w:bCs/>
              </w:rPr>
            </w:pP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Merge w:val="continue"/>
            <w:vAlign w:val="center"/>
          </w:tcPr>
          <w:p>
            <w:pPr>
              <w:adjustRightInd w:val="0"/>
              <w:snapToGrid w:val="0"/>
              <w:ind w:firstLine="480" w:firstLineChars="200"/>
              <w:rPr>
                <w:bCs/>
              </w:rPr>
            </w:pP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Align w:val="center"/>
          </w:tcPr>
          <w:p>
            <w:pPr>
              <w:pStyle w:val="68"/>
              <w:kinsoku w:val="0"/>
              <w:overflowPunct w:val="0"/>
              <w:jc w:val="center"/>
              <w:rPr>
                <w:rFonts w:hint="eastAsia" w:ascii="Times New Roman" w:hAnsi="Times New Roman" w:eastAsia="宋体" w:cs="Times New Roman"/>
                <w:bCs/>
                <w:sz w:val="24"/>
                <w:szCs w:val="24"/>
                <w:highlight w:val="none"/>
                <w:lang w:val="en-US" w:eastAsia="zh-CN" w:bidi="ar-SA"/>
              </w:rPr>
            </w:pPr>
            <w:r>
              <w:rPr>
                <w:rFonts w:hint="eastAsia" w:ascii="Times New Roman" w:hAnsi="Times New Roman" w:eastAsia="宋体" w:cs="Times New Roman"/>
                <w:bCs/>
                <w:sz w:val="24"/>
                <w:szCs w:val="24"/>
                <w:highlight w:val="none"/>
                <w:lang w:val="en-US" w:eastAsia="zh-CN" w:bidi="ar-SA"/>
              </w:rPr>
              <w:t>前向散射仪（含天气现象）</w:t>
            </w:r>
          </w:p>
        </w:tc>
        <w:tc>
          <w:tcPr>
            <w:tcW w:w="1656" w:type="dxa"/>
            <w:vAlign w:val="center"/>
          </w:tcPr>
          <w:p>
            <w:pPr>
              <w:pStyle w:val="68"/>
              <w:kinsoku w:val="0"/>
              <w:overflowPunct w:val="0"/>
              <w:jc w:val="center"/>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749" w:type="dxa"/>
            <w:vAlign w:val="center"/>
          </w:tcPr>
          <w:p>
            <w:pPr>
              <w:pStyle w:val="68"/>
              <w:kinsoku w:val="0"/>
              <w:overflowPunct w:val="0"/>
              <w:jc w:val="center"/>
              <w:rPr>
                <w:rFonts w:hint="eastAsia" w:ascii="Times New Roman" w:hAnsi="Times New Roman" w:eastAsia="宋体" w:cs="Times New Roman"/>
                <w:bCs/>
                <w:sz w:val="24"/>
                <w:szCs w:val="24"/>
                <w:highlight w:val="none"/>
                <w:lang w:val="en-US" w:eastAsia="zh-CN" w:bidi="ar-SA"/>
              </w:rPr>
            </w:pPr>
            <w:r>
              <w:rPr>
                <w:rFonts w:hint="eastAsia" w:ascii="Times New Roman" w:hAnsi="Times New Roman" w:eastAsia="宋体" w:cs="Times New Roman"/>
                <w:bCs/>
                <w:sz w:val="24"/>
                <w:szCs w:val="24"/>
                <w:highlight w:val="none"/>
                <w:lang w:val="en-US" w:eastAsia="zh-CN" w:bidi="ar-SA"/>
              </w:rPr>
              <w:t>云高仪</w:t>
            </w:r>
          </w:p>
        </w:tc>
        <w:tc>
          <w:tcPr>
            <w:tcW w:w="1656" w:type="dxa"/>
            <w:vAlign w:val="center"/>
          </w:tcPr>
          <w:p>
            <w:pPr>
              <w:pStyle w:val="68"/>
              <w:kinsoku w:val="0"/>
              <w:overflowPunct w:val="0"/>
              <w:jc w:val="center"/>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749" w:type="dxa"/>
            <w:vAlign w:val="center"/>
          </w:tcPr>
          <w:p>
            <w:pPr>
              <w:pStyle w:val="68"/>
              <w:kinsoku w:val="0"/>
              <w:overflowPunct w:val="0"/>
              <w:jc w:val="center"/>
              <w:rPr>
                <w:rFonts w:hint="eastAsia" w:ascii="Times New Roman" w:hAnsi="Times New Roman" w:eastAsia="宋体" w:cs="Times New Roman"/>
                <w:bCs/>
                <w:sz w:val="24"/>
                <w:szCs w:val="24"/>
                <w:highlight w:val="none"/>
                <w:lang w:val="en-US" w:eastAsia="zh-CN" w:bidi="ar-SA"/>
              </w:rPr>
            </w:pPr>
            <w:r>
              <w:rPr>
                <w:rFonts w:hint="eastAsia" w:ascii="Times New Roman" w:hAnsi="Times New Roman" w:eastAsia="宋体" w:cs="Times New Roman"/>
                <w:bCs/>
                <w:sz w:val="24"/>
                <w:szCs w:val="24"/>
                <w:highlight w:val="none"/>
                <w:lang w:val="en-US" w:eastAsia="zh-CN" w:bidi="ar-SA"/>
              </w:rPr>
              <w:t>终端显示设备</w:t>
            </w:r>
          </w:p>
        </w:tc>
        <w:tc>
          <w:tcPr>
            <w:tcW w:w="1656" w:type="dxa"/>
            <w:vAlign w:val="center"/>
          </w:tcPr>
          <w:p>
            <w:pPr>
              <w:pStyle w:val="68"/>
              <w:kinsoku w:val="0"/>
              <w:overflowPunct w:val="0"/>
              <w:jc w:val="center"/>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749" w:type="dxa"/>
            <w:vAlign w:val="center"/>
          </w:tcPr>
          <w:p>
            <w:pPr>
              <w:pStyle w:val="68"/>
              <w:kinsoku w:val="0"/>
              <w:overflowPunct w:val="0"/>
              <w:jc w:val="center"/>
              <w:rPr>
                <w:rFonts w:hint="eastAsia" w:ascii="Times New Roman" w:hAnsi="Times New Roman" w:eastAsia="宋体" w:cs="Times New Roman"/>
                <w:bCs/>
                <w:sz w:val="24"/>
                <w:szCs w:val="24"/>
                <w:highlight w:val="none"/>
                <w:lang w:val="en-US" w:eastAsia="zh-CN" w:bidi="ar-SA"/>
              </w:rPr>
            </w:pPr>
            <w:r>
              <w:rPr>
                <w:rFonts w:hint="eastAsia" w:ascii="Times New Roman" w:hAnsi="Times New Roman" w:eastAsia="宋体" w:cs="Times New Roman"/>
                <w:bCs/>
                <w:sz w:val="24"/>
                <w:szCs w:val="24"/>
                <w:highlight w:val="none"/>
                <w:lang w:val="en-US" w:eastAsia="zh-CN" w:bidi="ar-SA"/>
              </w:rPr>
              <w:t>无线传输设备</w:t>
            </w:r>
          </w:p>
        </w:tc>
        <w:tc>
          <w:tcPr>
            <w:tcW w:w="1656" w:type="dxa"/>
            <w:vAlign w:val="center"/>
          </w:tcPr>
          <w:p>
            <w:pPr>
              <w:pStyle w:val="68"/>
              <w:kinsoku w:val="0"/>
              <w:overflowPunct w:val="0"/>
              <w:jc w:val="center"/>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Align w:val="center"/>
          </w:tcPr>
          <w:p>
            <w:pPr>
              <w:pStyle w:val="68"/>
              <w:kinsoku w:val="0"/>
              <w:overflowPunct w:val="0"/>
              <w:jc w:val="center"/>
              <w:rPr>
                <w:rFonts w:hint="eastAsia" w:ascii="Times New Roman" w:hAnsi="Times New Roman" w:eastAsia="宋体" w:cs="Times New Roman"/>
                <w:bCs/>
                <w:sz w:val="24"/>
                <w:szCs w:val="24"/>
                <w:highlight w:val="none"/>
                <w:lang w:val="en-US" w:eastAsia="zh-CN" w:bidi="ar-SA"/>
              </w:rPr>
            </w:pPr>
            <w:r>
              <w:rPr>
                <w:rFonts w:hint="eastAsia" w:ascii="Times New Roman" w:hAnsi="Times New Roman" w:eastAsia="宋体" w:cs="Times New Roman"/>
                <w:bCs/>
                <w:sz w:val="24"/>
                <w:szCs w:val="24"/>
                <w:highlight w:val="none"/>
                <w:lang w:val="en-US" w:eastAsia="zh-CN" w:bidi="ar-SA"/>
              </w:rPr>
              <w:t>观测场围栏及防雷接地</w:t>
            </w:r>
          </w:p>
        </w:tc>
        <w:tc>
          <w:tcPr>
            <w:tcW w:w="1656" w:type="dxa"/>
            <w:vAlign w:val="center"/>
          </w:tcPr>
          <w:p>
            <w:pPr>
              <w:pStyle w:val="68"/>
              <w:kinsoku w:val="0"/>
              <w:overflowPunct w:val="0"/>
              <w:jc w:val="center"/>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Align w:val="center"/>
          </w:tcPr>
          <w:p>
            <w:pPr>
              <w:pStyle w:val="68"/>
              <w:kinsoku w:val="0"/>
              <w:overflowPunct w:val="0"/>
              <w:jc w:val="center"/>
              <w:rPr>
                <w:rFonts w:hint="eastAsia" w:ascii="Times New Roman" w:hAnsi="Times New Roman" w:eastAsia="宋体" w:cs="Times New Roman"/>
                <w:bCs/>
                <w:sz w:val="24"/>
                <w:szCs w:val="24"/>
                <w:highlight w:val="none"/>
                <w:lang w:val="en-US" w:eastAsia="zh-CN" w:bidi="ar-SA"/>
              </w:rPr>
            </w:pPr>
            <w:r>
              <w:rPr>
                <w:rFonts w:hint="eastAsia" w:ascii="Times New Roman" w:hAnsi="Times New Roman" w:eastAsia="宋体" w:cs="Times New Roman"/>
                <w:bCs/>
                <w:sz w:val="24"/>
                <w:szCs w:val="24"/>
                <w:highlight w:val="none"/>
                <w:lang w:val="en-US" w:eastAsia="zh-CN" w:bidi="ar-SA"/>
              </w:rPr>
              <w:t>观测期设备维护</w:t>
            </w:r>
          </w:p>
        </w:tc>
        <w:tc>
          <w:tcPr>
            <w:tcW w:w="1656" w:type="dxa"/>
            <w:vAlign w:val="center"/>
          </w:tcPr>
          <w:p>
            <w:pPr>
              <w:pStyle w:val="68"/>
              <w:kinsoku w:val="0"/>
              <w:overflowPunct w:val="0"/>
              <w:jc w:val="center"/>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749" w:type="dxa"/>
            <w:vAlign w:val="center"/>
          </w:tcPr>
          <w:p>
            <w:pPr>
              <w:adjustRightInd w:val="0"/>
              <w:snapToGrid w:val="0"/>
              <w:rPr>
                <w:rFonts w:hint="eastAsia" w:eastAsia="宋体"/>
                <w:bCs/>
                <w:lang w:eastAsia="zh-CN"/>
              </w:rPr>
            </w:pPr>
            <w:r>
              <w:rPr>
                <w:rFonts w:hint="eastAsia"/>
                <w:bCs/>
                <w:lang w:eastAsia="zh-CN"/>
              </w:rPr>
              <w:t>后期运行维护</w:t>
            </w: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49" w:type="dxa"/>
            <w:vAlign w:val="center"/>
          </w:tcPr>
          <w:p>
            <w:pPr>
              <w:adjustRightInd w:val="0"/>
              <w:snapToGrid w:val="0"/>
              <w:rPr>
                <w:rFonts w:hint="eastAsia" w:eastAsia="宋体"/>
                <w:bCs/>
                <w:lang w:eastAsia="zh-CN"/>
              </w:rPr>
            </w:pPr>
            <w:r>
              <w:rPr>
                <w:rFonts w:hint="eastAsia"/>
                <w:bCs/>
                <w:lang w:eastAsia="zh-CN"/>
              </w:rPr>
              <w:t>其他费用</w:t>
            </w: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749" w:type="dxa"/>
            <w:vAlign w:val="center"/>
          </w:tcPr>
          <w:p>
            <w:pPr>
              <w:adjustRightInd w:val="0"/>
              <w:snapToGrid w:val="0"/>
              <w:rPr>
                <w:bCs/>
              </w:rPr>
            </w:pPr>
            <w:r>
              <w:rPr>
                <w:rFonts w:hint="eastAsia"/>
                <w:bCs/>
              </w:rPr>
              <w:t>投标总报价（元）</w:t>
            </w:r>
          </w:p>
        </w:tc>
        <w:tc>
          <w:tcPr>
            <w:tcW w:w="165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996" w:type="dxa"/>
            <w:vAlign w:val="center"/>
          </w:tcPr>
          <w:p>
            <w:pPr>
              <w:adjustRightInd w:val="0"/>
              <w:snapToGrid w:val="0"/>
              <w:ind w:firstLine="480" w:firstLineChars="200"/>
              <w:rPr>
                <w:bCs/>
              </w:rPr>
            </w:pPr>
          </w:p>
        </w:tc>
        <w:tc>
          <w:tcPr>
            <w:tcW w:w="1608"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c>
          <w:tcPr>
            <w:tcW w:w="1236" w:type="dxa"/>
            <w:vAlign w:val="center"/>
          </w:tcPr>
          <w:p>
            <w:pPr>
              <w:adjustRightInd w:val="0"/>
              <w:snapToGrid w:val="0"/>
              <w:ind w:firstLine="480" w:firstLineChars="200"/>
              <w:rPr>
                <w:bCs/>
              </w:rPr>
            </w:pPr>
          </w:p>
        </w:tc>
      </w:tr>
    </w:tbl>
    <w:p>
      <w:pPr>
        <w:adjustRightInd w:val="0"/>
        <w:snapToGrid w:val="0"/>
        <w:rPr>
          <w:bCs/>
        </w:rPr>
      </w:pPr>
      <w:r>
        <w:rPr>
          <w:rFonts w:hint="eastAsia"/>
          <w:bCs/>
        </w:rPr>
        <w:t xml:space="preserve">            </w:t>
      </w:r>
    </w:p>
    <w:p>
      <w:pPr>
        <w:widowControl w:val="0"/>
        <w:wordWrap/>
        <w:autoSpaceDE w:val="0"/>
        <w:autoSpaceDN w:val="0"/>
        <w:adjustRightInd w:val="0"/>
        <w:snapToGrid/>
        <w:spacing w:line="440" w:lineRule="exact"/>
        <w:ind w:left="482" w:hanging="422" w:hangingChars="200"/>
        <w:jc w:val="left"/>
        <w:textAlignment w:val="auto"/>
        <w:rPr>
          <w:rFonts w:hint="eastAsia" w:ascii="宋体" w:hAnsi="宋体" w:eastAsia="宋体" w:cs="宋体"/>
          <w:sz w:val="21"/>
          <w:szCs w:val="21"/>
        </w:rPr>
      </w:pPr>
      <w:r>
        <w:rPr>
          <w:rFonts w:hint="eastAsia"/>
          <w:b/>
          <w:bCs/>
          <w:sz w:val="21"/>
          <w:szCs w:val="21"/>
        </w:rPr>
        <w:t>注：本</w:t>
      </w:r>
      <w:r>
        <w:rPr>
          <w:rFonts w:hint="eastAsia"/>
          <w:b/>
          <w:bCs/>
          <w:sz w:val="21"/>
          <w:szCs w:val="21"/>
          <w:lang w:eastAsia="zh-CN"/>
        </w:rPr>
        <w:t>采购</w:t>
      </w:r>
      <w:r>
        <w:rPr>
          <w:rFonts w:hint="eastAsia"/>
          <w:b/>
          <w:bCs/>
          <w:sz w:val="21"/>
          <w:szCs w:val="21"/>
        </w:rPr>
        <w:t>范围如有任何漏项，但确实是投标</w:t>
      </w:r>
      <w:r>
        <w:rPr>
          <w:rFonts w:hint="eastAsia"/>
          <w:b/>
          <w:bCs/>
          <w:sz w:val="21"/>
          <w:szCs w:val="21"/>
          <w:lang w:eastAsia="zh-CN"/>
        </w:rPr>
        <w:t>供应商</w:t>
      </w:r>
      <w:r>
        <w:rPr>
          <w:rFonts w:hint="eastAsia"/>
          <w:b/>
          <w:bCs/>
          <w:sz w:val="21"/>
          <w:szCs w:val="21"/>
        </w:rPr>
        <w:t>供货范围中应该有的，并且是满足技术规范及国家或行业有关标准要求所必须的，均应由投标</w:t>
      </w:r>
      <w:r>
        <w:rPr>
          <w:rFonts w:hint="eastAsia"/>
          <w:b/>
          <w:bCs/>
          <w:sz w:val="21"/>
          <w:szCs w:val="21"/>
          <w:lang w:eastAsia="zh-CN"/>
        </w:rPr>
        <w:t>供应商</w:t>
      </w:r>
      <w:r>
        <w:rPr>
          <w:rFonts w:hint="eastAsia"/>
          <w:b/>
          <w:bCs/>
          <w:sz w:val="21"/>
          <w:szCs w:val="21"/>
        </w:rPr>
        <w:t>负责将漏项补齐并填报在对应分项的“其它”栏中，在备注栏中予以说明。</w:t>
      </w:r>
      <w:r>
        <w:rPr>
          <w:rFonts w:hint="eastAsia" w:ascii="Times New Roman" w:hAnsi="Times New Roman" w:eastAsia="宋体" w:cs="Times New Roman"/>
          <w:b/>
          <w:bCs/>
          <w:sz w:val="21"/>
          <w:szCs w:val="21"/>
        </w:rPr>
        <w:t>供应商未填单价或合价、漏报的项目，在实施后，采购人不予以支付，并视为该项费用已包含在其他有价款的单价或合价内。</w:t>
      </w:r>
    </w:p>
    <w:p>
      <w:pPr>
        <w:jc w:val="left"/>
      </w:pPr>
    </w:p>
    <w:p>
      <w:pPr>
        <w:spacing w:line="440" w:lineRule="exact"/>
        <w:ind w:firstLine="535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jc w:val="right"/>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6307" w:firstLineChars="2650"/>
        <w:rPr>
          <w:rFonts w:ascii="宋体" w:hAnsi="宋体"/>
          <w:b/>
          <w:color w:val="auto"/>
          <w:sz w:val="21"/>
          <w:szCs w:val="21"/>
        </w:rPr>
      </w:pP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18"/>
        <w:widowControl w:val="0"/>
        <w:kinsoku w:val="0"/>
        <w:wordWrap/>
        <w:overflowPunct w:val="0"/>
        <w:autoSpaceDE w:val="0"/>
        <w:autoSpaceDN w:val="0"/>
        <w:adjustRightInd w:val="0"/>
        <w:snapToGrid/>
        <w:spacing w:before="57" w:line="440" w:lineRule="exact"/>
        <w:ind w:left="0" w:leftChars="0" w:right="232" w:firstLine="0" w:firstLineChars="0"/>
        <w:jc w:val="both"/>
        <w:textAlignment w:val="auto"/>
        <w:rPr>
          <w:rFonts w:hint="eastAsia"/>
          <w:b/>
          <w:bCs/>
          <w:color w:val="000000"/>
          <w:sz w:val="30"/>
          <w:szCs w:val="30"/>
        </w:rPr>
      </w:pPr>
    </w:p>
    <w:p>
      <w:pPr>
        <w:pStyle w:val="18"/>
        <w:widowControl w:val="0"/>
        <w:numPr>
          <w:ilvl w:val="0"/>
          <w:numId w:val="1"/>
        </w:numPr>
        <w:kinsoku w:val="0"/>
        <w:wordWrap/>
        <w:overflowPunct w:val="0"/>
        <w:autoSpaceDE w:val="0"/>
        <w:autoSpaceDN w:val="0"/>
        <w:adjustRightInd w:val="0"/>
        <w:snapToGrid/>
        <w:spacing w:before="57" w:line="440" w:lineRule="exact"/>
        <w:ind w:left="398" w:leftChars="0" w:right="232" w:firstLine="0" w:firstLineChars="0"/>
        <w:jc w:val="center"/>
        <w:textAlignment w:val="auto"/>
        <w:rPr>
          <w:rFonts w:hint="eastAsia"/>
          <w:b/>
          <w:bCs/>
          <w:color w:val="000000"/>
          <w:sz w:val="30"/>
          <w:szCs w:val="30"/>
        </w:rPr>
      </w:pPr>
      <w:r>
        <w:rPr>
          <w:rFonts w:hint="eastAsia"/>
          <w:b/>
          <w:bCs/>
          <w:color w:val="000000"/>
          <w:sz w:val="30"/>
          <w:szCs w:val="30"/>
        </w:rPr>
        <w:t>最终报价单</w:t>
      </w:r>
    </w:p>
    <w:p>
      <w:pPr>
        <w:pStyle w:val="19"/>
        <w:numPr>
          <w:ilvl w:val="0"/>
          <w:numId w:val="0"/>
        </w:numPr>
        <w:ind w:left="398" w:leftChars="0"/>
        <w:rPr>
          <w:rFonts w:hint="eastAsia"/>
          <w:lang w:val="en-US" w:eastAsia="zh-CN"/>
        </w:rPr>
      </w:pPr>
    </w:p>
    <w:p>
      <w:pPr>
        <w:jc w:val="both"/>
        <w:rPr>
          <w:rFonts w:hint="eastAsia"/>
          <w:highlight w:val="none"/>
          <w:u w:val="single"/>
          <w:lang w:val="en-US" w:eastAsia="zh-CN"/>
        </w:rPr>
      </w:pPr>
      <w:r>
        <w:rPr>
          <w:rFonts w:hint="eastAsia"/>
          <w:lang w:val="en-US" w:eastAsia="zh-CN"/>
        </w:rPr>
        <w:t xml:space="preserve">                                                        </w:t>
      </w:r>
      <w:r>
        <w:rPr>
          <w:rFonts w:hint="eastAsia"/>
          <w:highlight w:val="none"/>
          <w:u w:val="single"/>
          <w:lang w:val="en-US" w:eastAsia="zh-CN"/>
        </w:rPr>
        <w:t>参考投标报价明细表格式</w:t>
      </w:r>
    </w:p>
    <w:p>
      <w:pPr>
        <w:pStyle w:val="2"/>
        <w:rPr>
          <w:rFonts w:hint="eastAsia"/>
          <w:lang w:val="en-US" w:eastAsia="zh-CN"/>
        </w:rPr>
      </w:pPr>
    </w:p>
    <w:p>
      <w:pPr>
        <w:jc w:val="center"/>
        <w:rPr>
          <w:rFonts w:hint="default"/>
          <w:u w:val="none"/>
          <w:lang w:val="en-US" w:eastAsia="zh-CN"/>
        </w:rPr>
      </w:pPr>
      <w:r>
        <w:rPr>
          <w:rFonts w:hint="eastAsia"/>
          <w:highlight w:val="none"/>
          <w:u w:val="none"/>
          <w:lang w:val="en-US" w:eastAsia="zh-CN"/>
        </w:rPr>
        <w:t>注意：（二次报价时提供）</w:t>
      </w:r>
    </w:p>
    <w:p>
      <w:pPr>
        <w:pStyle w:val="18"/>
        <w:widowControl w:val="0"/>
        <w:kinsoku w:val="0"/>
        <w:wordWrap/>
        <w:overflowPunct w:val="0"/>
        <w:autoSpaceDE w:val="0"/>
        <w:autoSpaceDN w:val="0"/>
        <w:adjustRightInd w:val="0"/>
        <w:snapToGrid/>
        <w:spacing w:before="57" w:line="440" w:lineRule="exact"/>
        <w:ind w:left="0" w:right="232" w:firstLine="753" w:firstLineChars="250"/>
        <w:jc w:val="both"/>
        <w:textAlignment w:val="auto"/>
        <w:rPr>
          <w:rFonts w:hint="eastAsia"/>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0" w:right="232" w:firstLine="753" w:firstLineChars="250"/>
        <w:jc w:val="both"/>
        <w:textAlignment w:val="auto"/>
        <w:rPr>
          <w:rFonts w:hint="eastAsia"/>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right="232" w:firstLine="3313" w:firstLineChars="1100"/>
        <w:jc w:val="both"/>
        <w:textAlignment w:val="auto"/>
        <w:rPr>
          <w:rFonts w:eastAsia="Times New Roman"/>
          <w:b/>
          <w:bCs/>
          <w:color w:val="000000"/>
          <w:sz w:val="30"/>
          <w:szCs w:val="30"/>
        </w:rPr>
      </w:pPr>
      <w:r>
        <w:rPr>
          <w:rFonts w:hint="eastAsia"/>
          <w:b/>
          <w:bCs/>
          <w:color w:val="000000"/>
          <w:sz w:val="30"/>
          <w:szCs w:val="30"/>
          <w:lang w:val="en-US" w:eastAsia="zh-CN"/>
        </w:rPr>
        <w:t>五</w:t>
      </w:r>
      <w:r>
        <w:rPr>
          <w:rFonts w:hint="eastAsia"/>
          <w:b/>
          <w:bCs/>
          <w:color w:val="000000"/>
          <w:sz w:val="30"/>
          <w:szCs w:val="30"/>
        </w:rPr>
        <w:t>、供应商概况</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b/>
          <w:bCs/>
          <w:color w:val="000000"/>
          <w:sz w:val="30"/>
          <w:szCs w:val="30"/>
          <w:lang w:val="en-US" w:eastAsia="zh-CN"/>
        </w:rPr>
      </w:pPr>
    </w:p>
    <w:p>
      <w:pPr>
        <w:widowControl w:val="0"/>
        <w:tabs>
          <w:tab w:val="left" w:pos="1660"/>
          <w:tab w:val="left" w:pos="9453"/>
        </w:tabs>
        <w:wordWrap/>
        <w:autoSpaceDE w:val="0"/>
        <w:autoSpaceDN w:val="0"/>
        <w:adjustRightInd w:val="0"/>
        <w:snapToGrid/>
        <w:spacing w:line="500" w:lineRule="exact"/>
        <w:jc w:val="left"/>
        <w:textAlignment w:val="auto"/>
        <w:rPr>
          <w:rFonts w:hint="eastAsia" w:ascii="宋体" w:hAnsi="宋体" w:eastAsia="宋体" w:cs="宋体"/>
          <w:kern w:val="0"/>
        </w:rPr>
      </w:pPr>
      <w:r>
        <w:rPr>
          <w:rFonts w:hint="eastAsia" w:ascii="宋体" w:hAnsi="宋体" w:eastAsia="宋体" w:cs="宋体"/>
          <w:kern w:val="0"/>
        </w:rPr>
        <w:t>1、</w:t>
      </w:r>
      <w:r>
        <w:rPr>
          <w:rFonts w:hint="eastAsia" w:ascii="宋体" w:hAnsi="宋体" w:eastAsia="宋体" w:cs="宋体"/>
          <w:kern w:val="0"/>
          <w:lang w:eastAsia="zh-CN"/>
        </w:rPr>
        <w:t>供应商</w:t>
      </w:r>
      <w:r>
        <w:rPr>
          <w:rFonts w:hint="eastAsia" w:ascii="宋体" w:hAnsi="宋体" w:eastAsia="宋体" w:cs="宋体"/>
          <w:kern w:val="0"/>
        </w:rPr>
        <w:t>名称：</w:t>
      </w:r>
      <w:r>
        <w:rPr>
          <w:rFonts w:hint="eastAsia" w:ascii="宋体" w:hAnsi="宋体" w:eastAsia="宋体" w:cs="宋体"/>
          <w:kern w:val="0"/>
        </w:rPr>
        <w:tab/>
      </w:r>
    </w:p>
    <w:p>
      <w:pPr>
        <w:widowControl w:val="0"/>
        <w:tabs>
          <w:tab w:val="left" w:pos="1660"/>
          <w:tab w:val="left" w:pos="9453"/>
        </w:tabs>
        <w:wordWrap/>
        <w:autoSpaceDE w:val="0"/>
        <w:autoSpaceDN w:val="0"/>
        <w:adjustRightInd w:val="0"/>
        <w:snapToGrid/>
        <w:spacing w:line="500" w:lineRule="exact"/>
        <w:jc w:val="left"/>
        <w:textAlignment w:val="auto"/>
        <w:rPr>
          <w:rFonts w:hint="eastAsia" w:ascii="宋体" w:hAnsi="宋体" w:eastAsia="宋体" w:cs="宋体"/>
          <w:kern w:val="0"/>
        </w:rPr>
      </w:pPr>
      <w:r>
        <w:rPr>
          <w:rFonts w:hint="eastAsia" w:ascii="宋体" w:hAnsi="宋体" w:eastAsia="宋体" w:cs="宋体"/>
          <w:kern w:val="0"/>
        </w:rPr>
        <w:t>2、资质等级：</w:t>
      </w:r>
      <w:r>
        <w:rPr>
          <w:rFonts w:hint="eastAsia" w:ascii="宋体" w:hAnsi="宋体" w:eastAsia="宋体" w:cs="宋体"/>
          <w:kern w:val="0"/>
        </w:rPr>
        <w:tab/>
      </w:r>
    </w:p>
    <w:p>
      <w:pPr>
        <w:widowControl w:val="0"/>
        <w:tabs>
          <w:tab w:val="left" w:pos="1660"/>
          <w:tab w:val="left" w:pos="9453"/>
        </w:tabs>
        <w:wordWrap/>
        <w:autoSpaceDE w:val="0"/>
        <w:autoSpaceDN w:val="0"/>
        <w:adjustRightInd w:val="0"/>
        <w:snapToGrid/>
        <w:spacing w:line="500" w:lineRule="exact"/>
        <w:jc w:val="left"/>
        <w:textAlignment w:val="auto"/>
        <w:rPr>
          <w:rFonts w:hint="eastAsia" w:ascii="宋体" w:hAnsi="宋体" w:eastAsia="宋体" w:cs="宋体"/>
          <w:kern w:val="0"/>
        </w:rPr>
      </w:pPr>
      <w:r>
        <w:rPr>
          <w:rFonts w:hint="eastAsia" w:ascii="宋体" w:hAnsi="宋体" w:eastAsia="宋体" w:cs="宋体"/>
          <w:kern w:val="0"/>
        </w:rPr>
        <w:t>3、</w:t>
      </w:r>
      <w:r>
        <w:rPr>
          <w:rFonts w:hint="eastAsia" w:ascii="宋体" w:hAnsi="宋体" w:eastAsia="宋体" w:cs="宋体"/>
          <w:kern w:val="0"/>
          <w:lang w:eastAsia="zh-CN"/>
        </w:rPr>
        <w:t>供应商</w:t>
      </w:r>
      <w:r>
        <w:rPr>
          <w:rFonts w:hint="eastAsia" w:ascii="宋体" w:hAnsi="宋体" w:eastAsia="宋体" w:cs="宋体"/>
          <w:kern w:val="0"/>
        </w:rPr>
        <w:t>地址：</w:t>
      </w:r>
      <w:r>
        <w:rPr>
          <w:rFonts w:hint="eastAsia" w:ascii="宋体" w:hAnsi="宋体" w:eastAsia="宋体" w:cs="宋体"/>
          <w:kern w:val="0"/>
        </w:rPr>
        <w:tab/>
      </w:r>
    </w:p>
    <w:p>
      <w:pPr>
        <w:widowControl w:val="0"/>
        <w:tabs>
          <w:tab w:val="left" w:pos="1660"/>
          <w:tab w:val="left" w:pos="9453"/>
        </w:tabs>
        <w:wordWrap/>
        <w:autoSpaceDE w:val="0"/>
        <w:autoSpaceDN w:val="0"/>
        <w:adjustRightInd w:val="0"/>
        <w:snapToGrid/>
        <w:spacing w:line="500" w:lineRule="exact"/>
        <w:jc w:val="left"/>
        <w:textAlignment w:val="auto"/>
        <w:rPr>
          <w:rFonts w:hint="eastAsia" w:ascii="宋体" w:hAnsi="宋体" w:eastAsia="宋体" w:cs="宋体"/>
          <w:kern w:val="0"/>
        </w:rPr>
      </w:pPr>
      <w:r>
        <w:rPr>
          <w:rFonts w:hint="eastAsia" w:ascii="宋体" w:hAnsi="宋体" w:eastAsia="宋体" w:cs="宋体"/>
          <w:kern w:val="0"/>
        </w:rPr>
        <w:t>4、经营范围：</w:t>
      </w:r>
      <w:r>
        <w:rPr>
          <w:rFonts w:hint="eastAsia" w:ascii="宋体" w:hAnsi="宋体" w:eastAsia="宋体" w:cs="宋体"/>
          <w:kern w:val="0"/>
        </w:rPr>
        <w:tab/>
      </w:r>
    </w:p>
    <w:p>
      <w:pPr>
        <w:widowControl w:val="0"/>
        <w:tabs>
          <w:tab w:val="left" w:pos="9453"/>
        </w:tabs>
        <w:wordWrap/>
        <w:autoSpaceDE w:val="0"/>
        <w:autoSpaceDN w:val="0"/>
        <w:adjustRightInd w:val="0"/>
        <w:snapToGrid/>
        <w:spacing w:line="500" w:lineRule="exact"/>
        <w:jc w:val="left"/>
        <w:textAlignment w:val="auto"/>
        <w:rPr>
          <w:rFonts w:hint="eastAsia" w:ascii="宋体" w:hAnsi="宋体" w:eastAsia="宋体" w:cs="宋体"/>
          <w:kern w:val="0"/>
        </w:rPr>
      </w:pPr>
      <w:r>
        <w:rPr>
          <w:rFonts w:hint="eastAsia" w:ascii="宋体" w:hAnsi="宋体" w:eastAsia="宋体" w:cs="宋体"/>
          <w:kern w:val="0"/>
        </w:rPr>
        <w:t>5、</w:t>
      </w:r>
      <w:r>
        <w:rPr>
          <w:rFonts w:hint="eastAsia" w:ascii="宋体" w:hAnsi="宋体" w:eastAsia="宋体" w:cs="宋体"/>
          <w:kern w:val="0"/>
          <w:lang w:eastAsia="zh-CN"/>
        </w:rPr>
        <w:t>供应商</w:t>
      </w:r>
      <w:r>
        <w:rPr>
          <w:rFonts w:hint="eastAsia" w:ascii="宋体" w:hAnsi="宋体" w:eastAsia="宋体" w:cs="宋体"/>
          <w:kern w:val="0"/>
        </w:rPr>
        <w:t>自我介绍：</w:t>
      </w:r>
    </w:p>
    <w:p>
      <w:pPr>
        <w:widowControl w:val="0"/>
        <w:wordWrap/>
        <w:autoSpaceDE w:val="0"/>
        <w:autoSpaceDN w:val="0"/>
        <w:adjustRightInd w:val="0"/>
        <w:snapToGrid/>
        <w:spacing w:line="500" w:lineRule="exact"/>
        <w:jc w:val="center"/>
        <w:textAlignment w:val="auto"/>
        <w:rPr>
          <w:rFonts w:hint="eastAsia" w:ascii="宋体" w:hAnsi="宋体" w:eastAsia="宋体" w:cs="宋体"/>
          <w:kern w:val="0"/>
        </w:rPr>
      </w:pPr>
    </w:p>
    <w:p>
      <w:pPr>
        <w:pStyle w:val="18"/>
        <w:widowControl w:val="0"/>
        <w:kinsoku w:val="0"/>
        <w:wordWrap/>
        <w:overflowPunct w:val="0"/>
        <w:autoSpaceDE w:val="0"/>
        <w:autoSpaceDN w:val="0"/>
        <w:adjustRightInd w:val="0"/>
        <w:snapToGrid/>
        <w:spacing w:before="57" w:line="440" w:lineRule="exact"/>
        <w:ind w:left="0" w:leftChars="0" w:right="232" w:firstLine="0" w:firstLineChars="0"/>
        <w:jc w:val="both"/>
        <w:textAlignment w:val="auto"/>
        <w:rPr>
          <w:rFonts w:hint="eastAsia"/>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b/>
          <w:bCs/>
          <w:color w:val="000000"/>
          <w:sz w:val="30"/>
          <w:szCs w:val="30"/>
          <w:lang w:val="en-US" w:eastAsia="zh-CN"/>
        </w:rPr>
      </w:pPr>
    </w:p>
    <w:p>
      <w:pPr>
        <w:pStyle w:val="19"/>
        <w:rPr>
          <w:rFonts w:hint="eastAsia"/>
          <w:b/>
          <w:bCs/>
          <w:color w:val="000000"/>
          <w:sz w:val="30"/>
          <w:szCs w:val="30"/>
          <w:lang w:val="en-US" w:eastAsia="zh-CN"/>
        </w:rPr>
      </w:pPr>
    </w:p>
    <w:p>
      <w:pPr>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2"/>
        <w:rPr>
          <w:rFonts w:hint="eastAsia"/>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center"/>
        <w:textAlignment w:val="auto"/>
        <w:rPr>
          <w:b/>
          <w:bCs/>
          <w:color w:val="000000"/>
          <w:sz w:val="30"/>
          <w:szCs w:val="30"/>
        </w:rPr>
      </w:pPr>
      <w:r>
        <w:rPr>
          <w:rFonts w:hint="eastAsia"/>
          <w:b/>
          <w:bCs/>
          <w:color w:val="000000"/>
          <w:sz w:val="30"/>
          <w:szCs w:val="30"/>
          <w:lang w:val="en-US" w:eastAsia="zh-CN"/>
        </w:rPr>
        <w:t>六</w:t>
      </w:r>
      <w:r>
        <w:rPr>
          <w:rFonts w:hint="eastAsia"/>
          <w:b/>
          <w:bCs/>
          <w:color w:val="000000"/>
          <w:sz w:val="30"/>
          <w:szCs w:val="30"/>
        </w:rPr>
        <w:t>、</w:t>
      </w:r>
      <w:r>
        <w:rPr>
          <w:rFonts w:hint="eastAsia" w:cs="宋体"/>
          <w:b/>
          <w:bCs/>
          <w:color w:val="000000"/>
          <w:sz w:val="30"/>
          <w:szCs w:val="30"/>
        </w:rPr>
        <w:t>近三年类似项目业绩表（2019年</w:t>
      </w:r>
      <w:r>
        <w:rPr>
          <w:rFonts w:hint="eastAsia" w:cs="宋体"/>
          <w:b/>
          <w:bCs/>
          <w:color w:val="000000"/>
          <w:sz w:val="30"/>
          <w:szCs w:val="30"/>
          <w:lang w:val="en-US" w:eastAsia="zh-CN"/>
        </w:rPr>
        <w:t>7</w:t>
      </w:r>
      <w:r>
        <w:rPr>
          <w:rFonts w:hint="eastAsia" w:cs="宋体"/>
          <w:b/>
          <w:bCs/>
          <w:color w:val="000000"/>
          <w:sz w:val="30"/>
          <w:szCs w:val="30"/>
        </w:rPr>
        <w:t>月-至今）</w:t>
      </w:r>
    </w:p>
    <w:tbl>
      <w:tblPr>
        <w:tblStyle w:val="45"/>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项目名称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项目所在地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发包人名称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发包人地址</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发包人联系人及电话</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合同价格</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开工日期</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竣工日期</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承担的工作</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工程质量</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项目负责人</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技术负责人</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vAlign w:val="center"/>
          </w:tcPr>
          <w:p>
            <w:pPr>
              <w:jc w:val="center"/>
              <w:rPr>
                <w:rFonts w:eastAsia="Times New Roman"/>
              </w:rPr>
            </w:pPr>
            <w:r>
              <w:rPr>
                <w:rFonts w:hint="eastAsia" w:ascii="宋体" w:hAnsi="宋体"/>
              </w:rPr>
              <w:t>项目描述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备注</w:t>
            </w:r>
          </w:p>
        </w:tc>
        <w:tc>
          <w:tcPr>
            <w:tcW w:w="6116" w:type="dxa"/>
            <w:vAlign w:val="center"/>
          </w:tcPr>
          <w:p>
            <w:pPr>
              <w:jc w:val="center"/>
              <w:rPr>
                <w:rFonts w:eastAsia="Times New Roman"/>
              </w:rPr>
            </w:pPr>
          </w:p>
        </w:tc>
      </w:tr>
    </w:tbl>
    <w:p>
      <w:pPr>
        <w:spacing w:line="360" w:lineRule="auto"/>
        <w:ind w:firstLine="480" w:firstLineChars="200"/>
        <w:rPr>
          <w:rFonts w:hint="eastAsia" w:ascii="宋体" w:hAnsi="宋体"/>
        </w:rPr>
      </w:pPr>
    </w:p>
    <w:p>
      <w:pPr>
        <w:spacing w:line="360" w:lineRule="auto"/>
        <w:ind w:firstLine="720" w:firstLineChars="300"/>
        <w:rPr>
          <w:rFonts w:eastAsia="Times New Roman"/>
        </w:rPr>
      </w:pPr>
      <w:r>
        <w:rPr>
          <w:rFonts w:hint="eastAsia" w:ascii="宋体" w:hAnsi="宋体"/>
        </w:rPr>
        <w:t>备注：本表后附已完</w:t>
      </w:r>
      <w:r>
        <w:rPr>
          <w:rFonts w:hint="eastAsia" w:ascii="宋体" w:hAnsi="宋体"/>
          <w:lang w:eastAsia="zh-CN"/>
        </w:rPr>
        <w:t>类似</w:t>
      </w:r>
      <w:r>
        <w:rPr>
          <w:rFonts w:hint="eastAsia" w:ascii="宋体" w:hAnsi="宋体"/>
        </w:rPr>
        <w:t>工程合同协议书原件的扫描件</w:t>
      </w:r>
      <w:r>
        <w:rPr>
          <w:rFonts w:hint="eastAsia" w:ascii="宋体" w:hAnsi="宋体"/>
          <w:lang w:eastAsia="zh-CN"/>
        </w:rPr>
        <w:t>。</w:t>
      </w:r>
      <w:r>
        <w:rPr>
          <w:rFonts w:hint="eastAsia" w:ascii="宋体" w:hAnsi="宋体"/>
        </w:rPr>
        <w:t xml:space="preserve"> </w:t>
      </w:r>
    </w:p>
    <w:p>
      <w:pPr>
        <w:spacing w:line="440" w:lineRule="exact"/>
        <w:ind w:firstLine="5355" w:firstLineChars="2250"/>
        <w:rPr>
          <w:rFonts w:hint="eastAsia" w:ascii="PQPMNW+ËÎÌå" w:hAnsi="PQPMNW+ËÎÌå" w:cs="PQPMNW+ËÎÌå"/>
          <w:spacing w:val="-1"/>
        </w:rPr>
      </w:pPr>
    </w:p>
    <w:p>
      <w:pPr>
        <w:spacing w:line="440" w:lineRule="exact"/>
        <w:ind w:firstLine="5355" w:firstLineChars="2250"/>
        <w:rPr>
          <w:rFonts w:hint="eastAsia" w:ascii="PQPMNW+ËÎÌå" w:hAnsi="PQPMNW+ËÎÌå" w:cs="PQPMNW+ËÎÌå"/>
          <w:spacing w:val="-1"/>
        </w:rPr>
      </w:pPr>
    </w:p>
    <w:p>
      <w:pPr>
        <w:spacing w:line="440" w:lineRule="exact"/>
        <w:ind w:firstLine="535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jc w:val="right"/>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6307" w:firstLineChars="2650"/>
        <w:rPr>
          <w:rFonts w:ascii="宋体" w:hAnsi="宋体"/>
          <w:b/>
          <w:color w:val="auto"/>
          <w:sz w:val="21"/>
          <w:szCs w:val="21"/>
        </w:rPr>
      </w:pP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0" w:leftChars="0" w:right="232" w:firstLine="0" w:firstLineChars="0"/>
        <w:jc w:val="both"/>
        <w:textAlignment w:val="auto"/>
        <w:rPr>
          <w:rFonts w:hint="eastAsia"/>
          <w:b/>
          <w:bCs/>
          <w:color w:val="000000"/>
          <w:sz w:val="30"/>
          <w:szCs w:val="30"/>
          <w:lang w:val="en-US" w:eastAsia="zh-CN"/>
        </w:rPr>
      </w:pPr>
    </w:p>
    <w:p>
      <w:pPr>
        <w:pStyle w:val="18"/>
        <w:widowControl w:val="0"/>
        <w:numPr>
          <w:ilvl w:val="0"/>
          <w:numId w:val="4"/>
        </w:numPr>
        <w:kinsoku w:val="0"/>
        <w:wordWrap/>
        <w:overflowPunct w:val="0"/>
        <w:autoSpaceDE w:val="0"/>
        <w:autoSpaceDN w:val="0"/>
        <w:adjustRightInd w:val="0"/>
        <w:snapToGrid/>
        <w:spacing w:before="57" w:line="440" w:lineRule="exact"/>
        <w:ind w:left="1920" w:leftChars="0" w:right="232" w:firstLine="480" w:firstLineChars="0"/>
        <w:jc w:val="center"/>
        <w:textAlignment w:val="auto"/>
        <w:rPr>
          <w:rFonts w:hint="eastAsia"/>
          <w:b/>
          <w:bCs/>
          <w:color w:val="000000"/>
          <w:sz w:val="30"/>
          <w:szCs w:val="30"/>
        </w:rPr>
      </w:pPr>
      <w:r>
        <w:rPr>
          <w:rFonts w:hint="eastAsia"/>
          <w:b/>
          <w:bCs/>
          <w:color w:val="000000"/>
          <w:sz w:val="30"/>
          <w:szCs w:val="30"/>
        </w:rPr>
        <w:t>项目负责人简历</w:t>
      </w:r>
    </w:p>
    <w:p>
      <w:pPr>
        <w:pStyle w:val="19"/>
        <w:widowControl w:val="0"/>
        <w:numPr>
          <w:ilvl w:val="0"/>
          <w:numId w:val="0"/>
        </w:numPr>
        <w:autoSpaceDE w:val="0"/>
        <w:autoSpaceDN w:val="0"/>
        <w:adjustRightInd w:val="0"/>
      </w:pPr>
    </w:p>
    <w:p>
      <w:pPr>
        <w:spacing w:line="360" w:lineRule="auto"/>
        <w:rPr>
          <w:rFonts w:ascii="宋体" w:eastAsia="Times New Roman"/>
          <w:lang w:val="zh-CN"/>
        </w:rPr>
      </w:pPr>
      <w:r>
        <w:rPr>
          <w:rFonts w:ascii="宋体" w:hAnsi="宋体"/>
          <w:lang w:val="zh-CN"/>
        </w:rPr>
        <w:t>1</w:t>
      </w:r>
      <w:r>
        <w:rPr>
          <w:rFonts w:hint="eastAsia" w:ascii="宋体" w:hAnsi="宋体"/>
          <w:lang w:val="zh-CN"/>
        </w:rPr>
        <w:t>、项目负责人介绍应包括：姓名、性别、年龄、职称</w:t>
      </w:r>
      <w:r>
        <w:rPr>
          <w:rFonts w:hint="eastAsia" w:ascii="宋体" w:hAnsi="宋体"/>
        </w:rPr>
        <w:t xml:space="preserve"> </w:t>
      </w:r>
      <w:r>
        <w:rPr>
          <w:rFonts w:hint="eastAsia" w:ascii="宋体" w:hAnsi="宋体"/>
          <w:lang w:val="zh-CN"/>
        </w:rPr>
        <w:t>、学历、参加工作时间、从事项目管理年限以及其他内容。</w:t>
      </w:r>
    </w:p>
    <w:p>
      <w:pPr>
        <w:spacing w:line="360" w:lineRule="auto"/>
        <w:rPr>
          <w:rFonts w:ascii="宋体" w:eastAsia="Times New Roman"/>
          <w:lang w:val="zh-CN"/>
        </w:rPr>
      </w:pPr>
      <w:r>
        <w:rPr>
          <w:rFonts w:ascii="宋体" w:hAnsi="宋体"/>
          <w:lang w:val="zh-CN"/>
        </w:rPr>
        <w:t>2</w:t>
      </w:r>
      <w:r>
        <w:rPr>
          <w:rFonts w:hint="eastAsia" w:ascii="宋体" w:hAnsi="宋体"/>
          <w:lang w:val="zh-CN"/>
        </w:rPr>
        <w:t>、项目负责人近</w:t>
      </w:r>
      <w:r>
        <w:rPr>
          <w:rFonts w:ascii="宋体" w:hAnsi="宋体"/>
          <w:lang w:val="zh-CN"/>
        </w:rPr>
        <w:t>3</w:t>
      </w:r>
      <w:r>
        <w:rPr>
          <w:rFonts w:hint="eastAsia" w:ascii="宋体" w:hAnsi="宋体"/>
          <w:lang w:val="zh-CN"/>
        </w:rPr>
        <w:t>年内工程经历应按下表提供。</w:t>
      </w:r>
    </w:p>
    <w:p>
      <w:pPr>
        <w:spacing w:line="360" w:lineRule="auto"/>
        <w:jc w:val="center"/>
        <w:rPr>
          <w:rFonts w:ascii="宋体" w:eastAsia="Times New Roman"/>
          <w:lang w:val="zh-CN"/>
        </w:rPr>
      </w:pPr>
      <w:r>
        <w:rPr>
          <w:rFonts w:hint="eastAsia" w:ascii="宋体" w:hAnsi="宋体"/>
          <w:lang w:val="zh-CN"/>
        </w:rPr>
        <w:t>项目负责人近</w:t>
      </w:r>
      <w:r>
        <w:rPr>
          <w:rFonts w:ascii="宋体" w:hAnsi="宋体"/>
          <w:lang w:val="zh-CN"/>
        </w:rPr>
        <w:t>3</w:t>
      </w:r>
      <w:r>
        <w:rPr>
          <w:rFonts w:hint="eastAsia" w:ascii="宋体" w:hAnsi="宋体"/>
          <w:lang w:val="zh-CN"/>
        </w:rPr>
        <w:t>年内工程经历一览表</w:t>
      </w:r>
    </w:p>
    <w:tbl>
      <w:tblPr>
        <w:tblStyle w:val="45"/>
        <w:tblW w:w="9873"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472"/>
        <w:gridCol w:w="1574"/>
        <w:gridCol w:w="1470"/>
        <w:gridCol w:w="2099"/>
        <w:gridCol w:w="2106"/>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质量</w:t>
            </w:r>
          </w:p>
        </w:tc>
        <w:tc>
          <w:tcPr>
            <w:tcW w:w="1152"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rPr>
                <w:rFonts w:ascii="宋体" w:eastAsia="Times New Roman"/>
              </w:rPr>
            </w:pPr>
            <w:r>
              <w:rPr>
                <w:rFonts w:hint="eastAsia" w:ascii="宋体" w:hAnsi="宋体"/>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宋体" w:eastAsia="Times New Roman"/>
              </w:rPr>
            </w:pPr>
          </w:p>
        </w:tc>
      </w:tr>
    </w:tbl>
    <w:p>
      <w:pPr>
        <w:tabs>
          <w:tab w:val="left" w:pos="9453"/>
        </w:tabs>
        <w:spacing w:line="360" w:lineRule="auto"/>
        <w:ind w:left="360" w:hanging="360" w:hangingChars="150"/>
        <w:rPr>
          <w:rFonts w:ascii="宋体" w:hAnsi="宋体"/>
        </w:rPr>
      </w:pPr>
    </w:p>
    <w:p>
      <w:pPr>
        <w:tabs>
          <w:tab w:val="left" w:pos="9453"/>
        </w:tabs>
        <w:spacing w:line="360" w:lineRule="auto"/>
        <w:ind w:left="360" w:hanging="360" w:hangingChars="150"/>
        <w:rPr>
          <w:rFonts w:ascii="宋体" w:eastAsia="Times New Roman"/>
        </w:rPr>
      </w:pPr>
      <w:r>
        <w:rPr>
          <w:rFonts w:ascii="宋体" w:hAnsi="宋体"/>
        </w:rPr>
        <w:t>3</w:t>
      </w:r>
      <w:r>
        <w:rPr>
          <w:rFonts w:hint="eastAsia" w:ascii="宋体" w:hAnsi="宋体"/>
          <w:lang w:val="zh-CN"/>
        </w:rPr>
        <w:t>、项目负责人简历中</w:t>
      </w:r>
      <w:r>
        <w:rPr>
          <w:rFonts w:hint="eastAsia" w:ascii="宋体" w:hAnsi="宋体"/>
        </w:rPr>
        <w:t>须</w:t>
      </w:r>
      <w:r>
        <w:rPr>
          <w:rFonts w:hint="eastAsia" w:ascii="宋体" w:hAnsi="宋体"/>
          <w:lang w:eastAsia="zh-CN"/>
        </w:rPr>
        <w:t>附</w:t>
      </w:r>
      <w:r>
        <w:rPr>
          <w:rFonts w:hint="eastAsia" w:ascii="宋体" w:hAnsi="宋体"/>
        </w:rPr>
        <w:t>身份证、</w:t>
      </w:r>
      <w:r>
        <w:rPr>
          <w:rFonts w:hint="eastAsia" w:ascii="宋体" w:hAnsi="宋体"/>
          <w:lang w:val="zh-CN"/>
        </w:rPr>
        <w:t>职称证</w:t>
      </w:r>
      <w:r>
        <w:rPr>
          <w:rFonts w:hint="eastAsia" w:ascii="宋体" w:hAnsi="宋体"/>
        </w:rPr>
        <w:t>及</w:t>
      </w:r>
      <w:r>
        <w:rPr>
          <w:rFonts w:hint="eastAsia" w:ascii="宋体" w:hAnsi="宋体"/>
          <w:lang w:val="zh-CN"/>
        </w:rPr>
        <w:t>其本单位社保证明原件的扫描件；近三年（</w:t>
      </w:r>
      <w:r>
        <w:rPr>
          <w:rFonts w:ascii="宋体" w:hAnsi="宋体"/>
          <w:lang w:val="zh-CN"/>
        </w:rPr>
        <w:t>201</w:t>
      </w:r>
      <w:r>
        <w:rPr>
          <w:rFonts w:hint="eastAsia" w:ascii="宋体" w:hAnsi="宋体"/>
        </w:rPr>
        <w:t>9</w:t>
      </w:r>
      <w:r>
        <w:rPr>
          <w:rFonts w:hint="eastAsia" w:ascii="宋体" w:hAnsi="宋体"/>
          <w:lang w:val="zh-CN"/>
        </w:rPr>
        <w:t>年</w:t>
      </w:r>
      <w:r>
        <w:rPr>
          <w:rFonts w:hint="eastAsia" w:ascii="宋体" w:hAnsi="宋体"/>
          <w:lang w:val="en-US" w:eastAsia="zh-CN"/>
        </w:rPr>
        <w:t>7</w:t>
      </w:r>
      <w:r>
        <w:rPr>
          <w:rFonts w:hint="eastAsia" w:ascii="宋体" w:hAnsi="宋体"/>
          <w:lang w:val="zh-CN"/>
        </w:rPr>
        <w:t>月</w:t>
      </w:r>
      <w:r>
        <w:rPr>
          <w:rFonts w:ascii="宋体" w:hAnsi="宋体"/>
          <w:lang w:val="zh-CN"/>
        </w:rPr>
        <w:t>-</w:t>
      </w:r>
      <w:r>
        <w:rPr>
          <w:rFonts w:hint="eastAsia" w:ascii="宋体" w:hAnsi="宋体"/>
          <w:lang w:val="zh-CN"/>
        </w:rPr>
        <w:t>至今）的业绩原件的扫描件（须提供中标</w:t>
      </w:r>
      <w:r>
        <w:rPr>
          <w:rFonts w:hint="eastAsia" w:ascii="宋体" w:hAnsi="宋体"/>
        </w:rPr>
        <w:t>通知书</w:t>
      </w:r>
      <w:r>
        <w:rPr>
          <w:rFonts w:hint="eastAsia" w:ascii="宋体" w:hAnsi="宋体"/>
          <w:lang w:eastAsia="zh-CN"/>
        </w:rPr>
        <w:t>或</w:t>
      </w:r>
      <w:r>
        <w:rPr>
          <w:rFonts w:hint="eastAsia" w:ascii="宋体" w:hAnsi="宋体"/>
        </w:rPr>
        <w:t>合同协议书等）。</w:t>
      </w:r>
    </w:p>
    <w:p/>
    <w:p>
      <w:pPr>
        <w:pStyle w:val="2"/>
        <w:ind w:left="0" w:leftChars="0" w:firstLine="0" w:firstLineChars="0"/>
      </w:pPr>
    </w:p>
    <w:p>
      <w:pPr>
        <w:spacing w:line="440" w:lineRule="exact"/>
        <w:ind w:firstLine="535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046" w:firstLineChars="17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6307" w:firstLineChars="2650"/>
        <w:rPr>
          <w:rFonts w:ascii="宋体" w:hAnsi="宋体"/>
          <w:b/>
          <w:color w:val="auto"/>
          <w:sz w:val="21"/>
          <w:szCs w:val="21"/>
        </w:rPr>
      </w:pP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2"/>
        <w:ind w:left="0" w:leftChars="0" w:firstLine="0" w:firstLineChars="0"/>
      </w:pPr>
    </w:p>
    <w:p>
      <w:pPr>
        <w:pStyle w:val="2"/>
      </w:pPr>
    </w:p>
    <w:p>
      <w:pPr>
        <w:pStyle w:val="2"/>
        <w:ind w:left="0" w:leftChars="0" w:firstLine="0" w:firstLineChars="0"/>
      </w:pPr>
    </w:p>
    <w:p>
      <w:pPr>
        <w:pStyle w:val="18"/>
        <w:widowControl w:val="0"/>
        <w:numPr>
          <w:ilvl w:val="0"/>
          <w:numId w:val="4"/>
        </w:numPr>
        <w:kinsoku w:val="0"/>
        <w:wordWrap/>
        <w:overflowPunct w:val="0"/>
        <w:autoSpaceDE w:val="0"/>
        <w:autoSpaceDN w:val="0"/>
        <w:adjustRightInd w:val="0"/>
        <w:snapToGrid/>
        <w:spacing w:before="57" w:line="440" w:lineRule="exact"/>
        <w:ind w:left="1920" w:leftChars="0" w:right="232" w:firstLine="480" w:firstLineChars="0"/>
        <w:jc w:val="center"/>
        <w:textAlignment w:val="auto"/>
        <w:rPr>
          <w:rFonts w:hint="eastAsia"/>
          <w:b/>
          <w:bCs/>
          <w:color w:val="000000"/>
          <w:sz w:val="30"/>
          <w:szCs w:val="30"/>
          <w:lang w:val="en-US" w:eastAsia="zh-CN"/>
        </w:rPr>
      </w:pPr>
      <w:r>
        <w:rPr>
          <w:rFonts w:hint="eastAsia"/>
          <w:b/>
          <w:bCs/>
          <w:color w:val="000000"/>
          <w:sz w:val="30"/>
          <w:szCs w:val="30"/>
          <w:lang w:val="en-US" w:eastAsia="zh-CN"/>
        </w:rPr>
        <w:t>项目管理机构配备情况表</w:t>
      </w:r>
    </w:p>
    <w:p>
      <w:pPr>
        <w:pStyle w:val="19"/>
        <w:widowControl w:val="0"/>
        <w:numPr>
          <w:ilvl w:val="0"/>
          <w:numId w:val="0"/>
        </w:numPr>
        <w:autoSpaceDE w:val="0"/>
        <w:autoSpaceDN w:val="0"/>
        <w:adjustRightInd w:val="0"/>
        <w:rPr>
          <w:rFonts w:hint="eastAsia"/>
          <w:lang w:val="en-US" w:eastAsia="zh-CN"/>
        </w:rPr>
      </w:pPr>
    </w:p>
    <w:p>
      <w:pPr>
        <w:rPr>
          <w:rFonts w:hint="eastAsia"/>
          <w:lang w:val="en-US" w:eastAsia="zh-CN"/>
        </w:rPr>
      </w:pPr>
    </w:p>
    <w:tbl>
      <w:tblPr>
        <w:tblStyle w:val="45"/>
        <w:tblW w:w="9039" w:type="dxa"/>
        <w:tblInd w:w="6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1"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项目组所任职务</w:t>
            </w: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姓名</w:t>
            </w: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性别</w:t>
            </w: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年龄</w:t>
            </w: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职称</w:t>
            </w: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从事本工作时间</w:t>
            </w: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典型业务</w:t>
            </w:r>
          </w:p>
          <w:p>
            <w:pPr>
              <w:pStyle w:val="28"/>
              <w:jc w:val="center"/>
              <w:rPr>
                <w:rFonts w:ascii="宋体" w:hAnsi="宋体"/>
                <w:sz w:val="21"/>
                <w:szCs w:val="21"/>
              </w:rPr>
            </w:pPr>
            <w:r>
              <w:rPr>
                <w:rFonts w:hint="eastAsia" w:ascii="宋体" w:hAnsi="宋体"/>
                <w:sz w:val="21"/>
                <w:szCs w:val="21"/>
              </w:rPr>
              <w:t>与技术专长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1</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2</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3</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4</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5</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6</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7</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8</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9</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10</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bl>
    <w:p>
      <w:pPr>
        <w:pStyle w:val="2"/>
        <w:rPr>
          <w:rFonts w:hint="eastAsia"/>
          <w:lang w:val="en-US" w:eastAsia="zh-CN"/>
        </w:rPr>
      </w:pPr>
    </w:p>
    <w:p>
      <w:pPr>
        <w:spacing w:line="360" w:lineRule="auto"/>
        <w:ind w:firstLine="480" w:firstLineChars="200"/>
        <w:rPr>
          <w:rFonts w:ascii="宋体" w:hAnsi="宋体"/>
          <w:b/>
          <w:bCs/>
          <w:color w:val="000000"/>
        </w:rPr>
      </w:pPr>
      <w:r>
        <w:rPr>
          <w:rFonts w:hint="eastAsia" w:ascii="宋体" w:hAnsi="宋体"/>
        </w:rPr>
        <w:t>注：</w:t>
      </w:r>
      <w:r>
        <w:rPr>
          <w:rFonts w:hint="eastAsia" w:ascii="宋体" w:hAnsi="宋体"/>
          <w:b/>
          <w:bCs/>
          <w:color w:val="000000"/>
        </w:rPr>
        <w:t>1、“项目组人员”指投标</w:t>
      </w:r>
      <w:r>
        <w:rPr>
          <w:rFonts w:hint="eastAsia" w:ascii="宋体" w:hAnsi="宋体"/>
          <w:b/>
          <w:bCs/>
          <w:color w:val="000000"/>
          <w:lang w:eastAsia="zh-CN"/>
        </w:rPr>
        <w:t>供应商</w:t>
      </w:r>
      <w:r>
        <w:rPr>
          <w:rFonts w:hint="eastAsia" w:ascii="宋体" w:hAnsi="宋体"/>
          <w:b/>
          <w:bCs/>
          <w:color w:val="000000"/>
        </w:rPr>
        <w:t>针对该项目</w:t>
      </w:r>
      <w:r>
        <w:rPr>
          <w:rFonts w:hint="eastAsia" w:ascii="宋体" w:hAnsi="宋体"/>
          <w:b/>
          <w:bCs/>
          <w:color w:val="000000"/>
          <w:lang w:eastAsia="zh-CN"/>
        </w:rPr>
        <w:t>主要施工安装、采购、运营维护、</w:t>
      </w:r>
      <w:r>
        <w:rPr>
          <w:rFonts w:hint="eastAsia" w:ascii="宋体" w:hAnsi="宋体" w:eastAsia="宋体" w:cs="宋体"/>
          <w:b/>
          <w:bCs/>
          <w:color w:val="000000"/>
          <w:szCs w:val="21"/>
          <w:lang w:val="en-US" w:eastAsia="zh-CN"/>
        </w:rPr>
        <w:t>气象条件分析报告编制</w:t>
      </w:r>
      <w:r>
        <w:rPr>
          <w:rFonts w:hint="eastAsia" w:ascii="宋体" w:hAnsi="宋体"/>
          <w:b/>
          <w:bCs/>
          <w:color w:val="000000"/>
        </w:rPr>
        <w:t>等完成本项目所配备的人员。</w:t>
      </w:r>
    </w:p>
    <w:p>
      <w:pPr>
        <w:spacing w:line="360" w:lineRule="auto"/>
        <w:ind w:firstLine="964" w:firstLineChars="400"/>
        <w:rPr>
          <w:rFonts w:ascii="宋体" w:hAnsi="宋体"/>
          <w:b/>
          <w:bCs/>
          <w:color w:val="000000"/>
        </w:rPr>
      </w:pPr>
      <w:r>
        <w:rPr>
          <w:rFonts w:hint="eastAsia" w:ascii="宋体" w:hAnsi="宋体"/>
          <w:b/>
          <w:bCs/>
          <w:color w:val="000000"/>
        </w:rPr>
        <w:t>2、各专业人员简历</w:t>
      </w:r>
      <w:r>
        <w:rPr>
          <w:rFonts w:hint="eastAsia" w:ascii="宋体" w:hAnsi="宋体"/>
          <w:b/>
          <w:bCs/>
          <w:color w:val="000000"/>
          <w:lang w:eastAsia="zh-CN"/>
        </w:rPr>
        <w:t>中附</w:t>
      </w:r>
      <w:r>
        <w:rPr>
          <w:rFonts w:hint="eastAsia" w:ascii="宋体" w:hAnsi="宋体" w:eastAsia="宋体" w:cs="Times New Roman"/>
          <w:b/>
          <w:bCs/>
          <w:color w:val="000000"/>
        </w:rPr>
        <w:t>身份证、</w:t>
      </w:r>
      <w:r>
        <w:rPr>
          <w:rFonts w:hint="eastAsia" w:ascii="宋体" w:hAnsi="宋体" w:eastAsia="宋体" w:cs="Times New Roman"/>
          <w:b/>
          <w:bCs/>
          <w:color w:val="000000"/>
          <w:lang w:val="zh-CN"/>
        </w:rPr>
        <w:t>职称证</w:t>
      </w:r>
      <w:r>
        <w:rPr>
          <w:rFonts w:hint="eastAsia" w:ascii="宋体" w:hAnsi="宋体" w:eastAsia="宋体" w:cs="Times New Roman"/>
          <w:b/>
          <w:bCs/>
          <w:color w:val="000000"/>
        </w:rPr>
        <w:t>及</w:t>
      </w:r>
      <w:r>
        <w:rPr>
          <w:rFonts w:hint="eastAsia" w:ascii="宋体" w:hAnsi="宋体" w:eastAsia="宋体" w:cs="Times New Roman"/>
          <w:b/>
          <w:bCs/>
          <w:color w:val="000000"/>
          <w:lang w:val="zh-CN"/>
        </w:rPr>
        <w:t>其本单位社保证明及业绩相关证明材料原件的扫描件</w:t>
      </w:r>
      <w:r>
        <w:rPr>
          <w:rFonts w:hint="eastAsia" w:ascii="宋体" w:hAnsi="宋体"/>
          <w:b/>
          <w:bCs/>
          <w:color w:val="000000"/>
        </w:rPr>
        <w:t>；</w:t>
      </w:r>
    </w:p>
    <w:p>
      <w:pPr>
        <w:spacing w:line="360" w:lineRule="auto"/>
        <w:ind w:firstLine="964" w:firstLineChars="400"/>
        <w:rPr>
          <w:rFonts w:hint="eastAsia" w:ascii="宋体" w:hAnsi="宋体"/>
          <w:b/>
          <w:bCs/>
          <w:color w:val="000000"/>
        </w:rPr>
      </w:pPr>
      <w:r>
        <w:rPr>
          <w:rFonts w:hint="eastAsia" w:ascii="宋体" w:hAnsi="宋体"/>
          <w:b/>
          <w:bCs/>
          <w:color w:val="000000"/>
        </w:rPr>
        <w:t>3、表格不够填写可添加。</w:t>
      </w:r>
    </w:p>
    <w:p>
      <w:pPr>
        <w:pStyle w:val="2"/>
        <w:rPr>
          <w:rFonts w:hint="eastAsia" w:ascii="宋体" w:hAnsi="宋体"/>
          <w:b/>
          <w:bCs/>
          <w:color w:val="000000"/>
        </w:rPr>
      </w:pPr>
    </w:p>
    <w:p>
      <w:pPr>
        <w:pStyle w:val="2"/>
        <w:rPr>
          <w:rFonts w:hint="eastAsia" w:ascii="宋体" w:hAnsi="宋体"/>
          <w:b/>
          <w:bCs/>
          <w:color w:val="000000"/>
        </w:rPr>
      </w:pPr>
    </w:p>
    <w:p>
      <w:pPr>
        <w:pStyle w:val="2"/>
        <w:rPr>
          <w:rFonts w:hint="eastAsia"/>
          <w:lang w:val="en-US" w:eastAsia="zh-CN"/>
        </w:rPr>
      </w:pPr>
    </w:p>
    <w:p>
      <w:pPr>
        <w:spacing w:line="440" w:lineRule="exact"/>
        <w:ind w:firstLine="535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522" w:firstLineChars="19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6307" w:firstLineChars="2650"/>
        <w:rPr>
          <w:rFonts w:ascii="宋体" w:hAnsi="宋体"/>
          <w:b/>
          <w:color w:val="auto"/>
          <w:sz w:val="21"/>
          <w:szCs w:val="21"/>
        </w:rPr>
      </w:pP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b/>
          <w:bCs/>
          <w:color w:val="000000"/>
          <w:sz w:val="30"/>
          <w:szCs w:val="30"/>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18"/>
        <w:widowControl w:val="0"/>
        <w:numPr>
          <w:ilvl w:val="0"/>
          <w:numId w:val="4"/>
        </w:numPr>
        <w:kinsoku w:val="0"/>
        <w:wordWrap/>
        <w:overflowPunct w:val="0"/>
        <w:autoSpaceDE w:val="0"/>
        <w:autoSpaceDN w:val="0"/>
        <w:adjustRightInd w:val="0"/>
        <w:snapToGrid/>
        <w:spacing w:before="57" w:line="440" w:lineRule="exact"/>
        <w:ind w:left="1920" w:leftChars="0" w:right="232" w:firstLine="480" w:firstLineChars="0"/>
        <w:jc w:val="center"/>
        <w:textAlignment w:val="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技术方案</w:t>
      </w:r>
    </w:p>
    <w:p>
      <w:pPr>
        <w:pStyle w:val="19"/>
        <w:widowControl w:val="0"/>
        <w:numPr>
          <w:ilvl w:val="0"/>
          <w:numId w:val="0"/>
        </w:numPr>
        <w:autoSpaceDE w:val="0"/>
        <w:autoSpaceDN w:val="0"/>
        <w:adjustRightInd w:val="0"/>
        <w:rPr>
          <w:rFonts w:hint="eastAsia"/>
          <w:lang w:val="en-US" w:eastAsia="zh-CN"/>
        </w:rPr>
      </w:pPr>
    </w:p>
    <w:p>
      <w:pPr>
        <w:rPr>
          <w:rFonts w:hint="eastAsia"/>
          <w:lang w:val="en-US" w:eastAsia="zh-CN"/>
        </w:rPr>
      </w:pPr>
    </w:p>
    <w:p>
      <w:pPr>
        <w:widowControl w:val="0"/>
        <w:wordWrap/>
        <w:autoSpaceDE w:val="0"/>
        <w:autoSpaceDN w:val="0"/>
        <w:adjustRightInd w:val="0"/>
        <w:snapToGrid/>
        <w:spacing w:line="500" w:lineRule="exact"/>
        <w:ind w:firstLine="480" w:firstLineChars="200"/>
        <w:textAlignment w:val="auto"/>
        <w:rPr>
          <w:color w:val="000000"/>
        </w:rPr>
      </w:pPr>
      <w:r>
        <w:rPr>
          <w:rFonts w:hint="eastAsia"/>
          <w:color w:val="000000"/>
        </w:rPr>
        <w:t>投标</w:t>
      </w:r>
      <w:r>
        <w:rPr>
          <w:rFonts w:hint="eastAsia"/>
          <w:color w:val="000000"/>
          <w:lang w:eastAsia="zh-CN"/>
        </w:rPr>
        <w:t>供应商</w:t>
      </w:r>
      <w:r>
        <w:rPr>
          <w:rFonts w:hint="eastAsia"/>
          <w:color w:val="000000"/>
        </w:rPr>
        <w:t>须提交拟完成本项目的技术方案，技术方案的格式和内容由投标</w:t>
      </w:r>
      <w:r>
        <w:rPr>
          <w:rFonts w:hint="eastAsia"/>
          <w:color w:val="000000"/>
          <w:lang w:eastAsia="zh-CN"/>
        </w:rPr>
        <w:t>供应商</w:t>
      </w:r>
      <w:r>
        <w:rPr>
          <w:rFonts w:hint="eastAsia"/>
          <w:color w:val="000000"/>
        </w:rPr>
        <w:t>根据本项目的具体情况自行拟定，但应包含以下内容：</w:t>
      </w:r>
    </w:p>
    <w:p>
      <w:pPr>
        <w:widowControl w:val="0"/>
        <w:wordWrap/>
        <w:autoSpaceDE w:val="0"/>
        <w:autoSpaceDN w:val="0"/>
        <w:adjustRightInd w:val="0"/>
        <w:snapToGrid/>
        <w:spacing w:line="500" w:lineRule="exact"/>
        <w:ind w:firstLine="480" w:firstLineChars="200"/>
        <w:textAlignment w:val="auto"/>
        <w:rPr>
          <w:rFonts w:hint="eastAsia"/>
          <w:color w:val="000000"/>
          <w:lang w:val="en-US" w:eastAsia="zh-CN"/>
        </w:rPr>
      </w:pPr>
      <w:r>
        <w:rPr>
          <w:rFonts w:hint="eastAsia"/>
          <w:color w:val="000000"/>
          <w:lang w:val="en-US" w:eastAsia="zh-CN"/>
        </w:rPr>
        <w:t>1、对项目的理解和认识</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w:t>
      </w:r>
      <w:r>
        <w:rPr>
          <w:rFonts w:hint="eastAsia" w:ascii="宋体" w:hAnsi="宋体" w:eastAsia="宋体" w:cs="宋体"/>
          <w:color w:val="000000"/>
          <w:lang w:eastAsia="zh-CN"/>
        </w:rPr>
        <w:t>设备采购方案：</w:t>
      </w:r>
      <w:r>
        <w:rPr>
          <w:rFonts w:hint="eastAsia" w:ascii="宋体" w:hAnsi="宋体" w:eastAsia="宋体" w:cs="宋体"/>
          <w:color w:val="000000"/>
        </w:rPr>
        <w:t>投标</w:t>
      </w:r>
      <w:r>
        <w:rPr>
          <w:rFonts w:hint="eastAsia" w:ascii="宋体" w:hAnsi="宋体" w:eastAsia="宋体" w:cs="宋体"/>
          <w:color w:val="000000"/>
          <w:lang w:eastAsia="zh-CN"/>
        </w:rPr>
        <w:t>供应商</w:t>
      </w:r>
      <w:r>
        <w:rPr>
          <w:rFonts w:hint="eastAsia" w:ascii="宋体" w:hAnsi="宋体" w:eastAsia="宋体" w:cs="宋体"/>
          <w:color w:val="000000"/>
        </w:rPr>
        <w:t>详细描述本次投标货物的技术参数、产品性能、可靠性、寿命等信息，并说明对第</w:t>
      </w:r>
      <w:r>
        <w:rPr>
          <w:rFonts w:hint="eastAsia" w:ascii="宋体" w:hAnsi="宋体" w:eastAsia="宋体" w:cs="宋体"/>
          <w:color w:val="000000"/>
          <w:lang w:eastAsia="zh-CN"/>
        </w:rPr>
        <w:t>三</w:t>
      </w:r>
      <w:r>
        <w:rPr>
          <w:rFonts w:hint="eastAsia" w:ascii="宋体" w:hAnsi="宋体" w:eastAsia="宋体" w:cs="宋体"/>
          <w:color w:val="000000"/>
        </w:rPr>
        <w:t>章“技术标准和要求”规定的质量要求、使用标准和技术要求的满足程度。</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3</w:t>
      </w:r>
      <w:r>
        <w:rPr>
          <w:rFonts w:hint="eastAsia" w:ascii="宋体" w:hAnsi="宋体" w:eastAsia="宋体" w:cs="宋体"/>
          <w:color w:val="000000"/>
        </w:rPr>
        <w:t>、</w:t>
      </w:r>
      <w:r>
        <w:rPr>
          <w:rFonts w:hint="eastAsia" w:ascii="宋体" w:hAnsi="宋体" w:eastAsia="宋体" w:cs="宋体"/>
          <w:color w:val="000000"/>
          <w:lang w:eastAsia="zh-CN"/>
        </w:rPr>
        <w:t>施工组织设计</w:t>
      </w:r>
    </w:p>
    <w:p>
      <w:pPr>
        <w:widowControl w:val="0"/>
        <w:wordWrap/>
        <w:autoSpaceDE w:val="0"/>
        <w:autoSpaceDN w:val="0"/>
        <w:adjustRightInd w:val="0"/>
        <w:snapToGrid/>
        <w:spacing w:line="500" w:lineRule="exact"/>
        <w:ind w:firstLine="600" w:firstLineChars="250"/>
        <w:textAlignment w:val="auto"/>
        <w:rPr>
          <w:rFonts w:hint="eastAsia" w:ascii="宋体" w:hAnsi="宋体" w:eastAsia="宋体" w:cs="宋体"/>
          <w:color w:val="000000"/>
        </w:rPr>
      </w:pPr>
      <w:r>
        <w:rPr>
          <w:rFonts w:hint="eastAsia" w:ascii="宋体" w:hAnsi="宋体" w:eastAsia="宋体" w:cs="宋体"/>
          <w:color w:val="000000"/>
        </w:rPr>
        <w:t>（1）施工方案与技术措施；</w:t>
      </w:r>
    </w:p>
    <w:p>
      <w:pPr>
        <w:widowControl w:val="0"/>
        <w:wordWrap/>
        <w:autoSpaceDE w:val="0"/>
        <w:autoSpaceDN w:val="0"/>
        <w:adjustRightInd w:val="0"/>
        <w:snapToGrid/>
        <w:spacing w:line="500" w:lineRule="exact"/>
        <w:ind w:firstLine="600" w:firstLineChars="250"/>
        <w:textAlignment w:val="auto"/>
        <w:rPr>
          <w:rFonts w:hint="eastAsia" w:ascii="宋体" w:hAnsi="宋体" w:eastAsia="宋体" w:cs="宋体"/>
          <w:color w:val="000000"/>
        </w:rPr>
      </w:pPr>
      <w:r>
        <w:rPr>
          <w:rFonts w:hint="eastAsia" w:ascii="宋体" w:hAnsi="宋体" w:eastAsia="宋体" w:cs="宋体"/>
          <w:color w:val="000000"/>
        </w:rPr>
        <w:t>（2）质量管理体系与措施；</w:t>
      </w:r>
    </w:p>
    <w:p>
      <w:pPr>
        <w:widowControl w:val="0"/>
        <w:wordWrap/>
        <w:autoSpaceDE w:val="0"/>
        <w:autoSpaceDN w:val="0"/>
        <w:adjustRightInd w:val="0"/>
        <w:snapToGrid/>
        <w:spacing w:line="500" w:lineRule="exact"/>
        <w:ind w:firstLine="600" w:firstLineChars="250"/>
        <w:textAlignment w:val="auto"/>
        <w:rPr>
          <w:rFonts w:hint="eastAsia" w:ascii="宋体" w:hAnsi="宋体" w:eastAsia="宋体" w:cs="宋体"/>
          <w:color w:val="000000"/>
        </w:rPr>
      </w:pPr>
      <w:r>
        <w:rPr>
          <w:rFonts w:hint="eastAsia" w:ascii="宋体" w:hAnsi="宋体" w:eastAsia="宋体" w:cs="宋体"/>
          <w:color w:val="000000"/>
        </w:rPr>
        <w:t>（3）安全管理体系与措施；</w:t>
      </w:r>
    </w:p>
    <w:p>
      <w:pPr>
        <w:widowControl w:val="0"/>
        <w:wordWrap/>
        <w:autoSpaceDE w:val="0"/>
        <w:autoSpaceDN w:val="0"/>
        <w:adjustRightInd w:val="0"/>
        <w:snapToGrid/>
        <w:spacing w:line="500" w:lineRule="exact"/>
        <w:ind w:firstLine="600" w:firstLineChars="250"/>
        <w:textAlignment w:val="auto"/>
        <w:rPr>
          <w:rFonts w:hint="eastAsia" w:ascii="宋体" w:hAnsi="宋体" w:eastAsia="宋体" w:cs="宋体"/>
          <w:color w:val="000000"/>
        </w:rPr>
      </w:pPr>
      <w:r>
        <w:rPr>
          <w:rFonts w:hint="eastAsia" w:ascii="宋体" w:hAnsi="宋体" w:eastAsia="宋体" w:cs="宋体"/>
          <w:color w:val="000000"/>
        </w:rPr>
        <w:t>（4）环境保护管理体系与措施；</w:t>
      </w:r>
    </w:p>
    <w:p>
      <w:pPr>
        <w:widowControl w:val="0"/>
        <w:wordWrap/>
        <w:autoSpaceDE w:val="0"/>
        <w:autoSpaceDN w:val="0"/>
        <w:adjustRightInd w:val="0"/>
        <w:snapToGrid/>
        <w:spacing w:line="500" w:lineRule="exact"/>
        <w:ind w:firstLine="600" w:firstLineChars="250"/>
        <w:textAlignment w:val="auto"/>
        <w:rPr>
          <w:rFonts w:hint="eastAsia" w:ascii="宋体" w:hAnsi="宋体" w:eastAsia="宋体" w:cs="宋体"/>
          <w:color w:val="000000"/>
        </w:rPr>
      </w:pPr>
      <w:r>
        <w:rPr>
          <w:rFonts w:hint="eastAsia" w:ascii="宋体" w:hAnsi="宋体" w:eastAsia="宋体" w:cs="宋体"/>
          <w:color w:val="000000"/>
        </w:rPr>
        <w:t>（5）工程进度计划与保证措施；</w:t>
      </w:r>
    </w:p>
    <w:p>
      <w:pPr>
        <w:widowControl w:val="0"/>
        <w:wordWrap/>
        <w:autoSpaceDE w:val="0"/>
        <w:autoSpaceDN w:val="0"/>
        <w:adjustRightInd w:val="0"/>
        <w:snapToGrid/>
        <w:spacing w:line="500" w:lineRule="exact"/>
        <w:ind w:firstLine="600" w:firstLineChars="250"/>
        <w:textAlignment w:val="auto"/>
        <w:rPr>
          <w:rFonts w:hint="eastAsia" w:ascii="宋体" w:hAnsi="宋体" w:eastAsia="宋体" w:cs="宋体"/>
          <w:color w:val="000000"/>
        </w:rPr>
      </w:pPr>
      <w:r>
        <w:rPr>
          <w:rFonts w:hint="eastAsia" w:ascii="宋体" w:hAnsi="宋体" w:eastAsia="宋体" w:cs="宋体"/>
          <w:color w:val="000000"/>
        </w:rPr>
        <w:t>（6）资源配备计划；</w:t>
      </w:r>
    </w:p>
    <w:p>
      <w:pPr>
        <w:widowControl w:val="0"/>
        <w:wordWrap/>
        <w:autoSpaceDE w:val="0"/>
        <w:autoSpaceDN w:val="0"/>
        <w:adjustRightInd w:val="0"/>
        <w:snapToGrid/>
        <w:spacing w:line="500" w:lineRule="exact"/>
        <w:ind w:firstLine="600" w:firstLineChars="250"/>
        <w:textAlignment w:val="auto"/>
        <w:rPr>
          <w:rFonts w:hint="eastAsia" w:ascii="宋体" w:hAnsi="宋体" w:eastAsia="宋体" w:cs="宋体"/>
          <w:color w:val="000000"/>
          <w:lang w:val="en-US" w:eastAsia="zh-CN"/>
        </w:rPr>
      </w:pPr>
      <w:r>
        <w:rPr>
          <w:rFonts w:hint="eastAsia" w:ascii="宋体" w:hAnsi="宋体" w:eastAsia="宋体" w:cs="宋体"/>
          <w:color w:val="000000"/>
        </w:rPr>
        <w:t>（7）合理化建议及其它。</w:t>
      </w:r>
    </w:p>
    <w:p>
      <w:pPr>
        <w:pStyle w:val="2"/>
        <w:widowControl w:val="0"/>
        <w:wordWrap/>
        <w:autoSpaceDE w:val="0"/>
        <w:autoSpaceDN w:val="0"/>
        <w:adjustRightInd w:val="0"/>
        <w:snapToGrid/>
        <w:spacing w:line="500" w:lineRule="exact"/>
        <w:textAlignment w:val="auto"/>
        <w:rPr>
          <w:rFonts w:hint="eastAsia" w:ascii="宋体" w:hAnsi="宋体" w:eastAsia="宋体" w:cs="宋体"/>
          <w:lang w:val="en-US" w:eastAsia="zh-CN"/>
        </w:rPr>
      </w:pPr>
      <w:r>
        <w:rPr>
          <w:rFonts w:hint="eastAsia" w:ascii="宋体" w:hAnsi="宋体" w:cs="宋体"/>
          <w:color w:val="000000"/>
          <w:lang w:val="en-US" w:eastAsia="zh-CN"/>
        </w:rPr>
        <w:t>4、</w:t>
      </w:r>
      <w:r>
        <w:rPr>
          <w:rFonts w:hint="eastAsia"/>
        </w:rPr>
        <w:t>气象数据分析报告编制方案</w:t>
      </w:r>
    </w:p>
    <w:p>
      <w:pPr>
        <w:widowControl w:val="0"/>
        <w:wordWrap/>
        <w:autoSpaceDE w:val="0"/>
        <w:autoSpaceDN w:val="0"/>
        <w:adjustRightInd w:val="0"/>
        <w:snapToGrid/>
        <w:spacing w:line="500" w:lineRule="exact"/>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w:t>
      </w:r>
      <w:r>
        <w:rPr>
          <w:rFonts w:hint="eastAsia"/>
        </w:rPr>
        <w:t>系统</w:t>
      </w:r>
      <w:r>
        <w:rPr>
          <w:rFonts w:hint="eastAsia"/>
          <w:lang w:eastAsia="zh-CN"/>
        </w:rPr>
        <w:t>运维</w:t>
      </w:r>
      <w:r>
        <w:rPr>
          <w:rFonts w:hint="eastAsia"/>
        </w:rPr>
        <w:t>方案和售后服务方案</w:t>
      </w:r>
    </w:p>
    <w:p>
      <w:pPr>
        <w:widowControl w:val="0"/>
        <w:wordWrap/>
        <w:autoSpaceDE w:val="0"/>
        <w:autoSpaceDN w:val="0"/>
        <w:adjustRightInd w:val="0"/>
        <w:snapToGrid/>
        <w:spacing w:line="500" w:lineRule="exact"/>
        <w:ind w:firstLine="480" w:firstLineChars="200"/>
        <w:jc w:val="both"/>
        <w:textAlignment w:val="auto"/>
        <w:rPr>
          <w:rFonts w:hint="eastAsia" w:ascii="宋体" w:hAnsi="宋体" w:eastAsia="宋体" w:cs="宋体"/>
        </w:rPr>
      </w:pPr>
      <w:r>
        <w:rPr>
          <w:rFonts w:hint="eastAsia" w:ascii="宋体" w:hAnsi="宋体" w:eastAsia="宋体" w:cs="宋体"/>
          <w:color w:val="000000"/>
          <w:lang w:val="en-US" w:eastAsia="zh-CN"/>
        </w:rPr>
        <w:t>6</w:t>
      </w:r>
      <w:r>
        <w:rPr>
          <w:rFonts w:hint="eastAsia" w:ascii="宋体" w:hAnsi="宋体" w:eastAsia="宋体" w:cs="宋体"/>
          <w:color w:val="000000"/>
        </w:rPr>
        <w:t>、</w:t>
      </w:r>
      <w:r>
        <w:rPr>
          <w:rFonts w:hint="eastAsia" w:ascii="宋体" w:hAnsi="宋体" w:eastAsia="宋体" w:cs="宋体"/>
        </w:rPr>
        <w:t>投标</w:t>
      </w:r>
      <w:r>
        <w:rPr>
          <w:rFonts w:hint="eastAsia" w:ascii="宋体" w:hAnsi="宋体" w:eastAsia="宋体" w:cs="宋体"/>
          <w:lang w:eastAsia="zh-CN"/>
        </w:rPr>
        <w:t>供应商</w:t>
      </w:r>
      <w:r>
        <w:rPr>
          <w:rFonts w:hint="eastAsia" w:ascii="宋体" w:hAnsi="宋体" w:eastAsia="宋体" w:cs="宋体"/>
        </w:rPr>
        <w:t>认为应提供的其他材料。</w:t>
      </w:r>
    </w:p>
    <w:p>
      <w:pPr>
        <w:widowControl w:val="0"/>
        <w:wordWrap/>
        <w:autoSpaceDE w:val="0"/>
        <w:autoSpaceDN w:val="0"/>
        <w:adjustRightInd w:val="0"/>
        <w:snapToGrid/>
        <w:spacing w:line="500" w:lineRule="exact"/>
        <w:textAlignment w:val="auto"/>
        <w:rPr>
          <w:rFonts w:hint="eastAsia" w:ascii="宋体" w:hAnsi="宋体" w:eastAsia="宋体" w:cs="宋体"/>
          <w:color w:val="000000"/>
        </w:rPr>
      </w:pPr>
    </w:p>
    <w:p>
      <w:pPr>
        <w:spacing w:line="360" w:lineRule="auto"/>
        <w:rPr>
          <w:color w:val="000000"/>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center"/>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center"/>
        <w:textAlignment w:val="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十、资格证明文件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1.投标供应商企业法人营业执</w:t>
      </w:r>
      <w:r>
        <w:rPr>
          <w:rFonts w:hint="eastAsia" w:ascii="宋体" w:hAnsi="宋体" w:eastAsia="宋体" w:cs="宋体"/>
          <w:b w:val="0"/>
          <w:bCs w:val="0"/>
          <w:color w:val="000000"/>
          <w:sz w:val="24"/>
          <w:szCs w:val="24"/>
        </w:rPr>
        <w:t>照（须有二维码）、《基本账户开户许可证》原件的扫描件；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企业资质证书、</w:t>
      </w:r>
      <w:r>
        <w:rPr>
          <w:rFonts w:hint="eastAsia" w:ascii="宋体" w:hAnsi="宋体" w:eastAsia="宋体" w:cs="宋体"/>
          <w:b w:val="0"/>
          <w:bCs w:val="0"/>
          <w:color w:val="000000"/>
          <w:sz w:val="24"/>
          <w:szCs w:val="24"/>
          <w:lang w:val="en-US" w:eastAsia="zh-CN"/>
        </w:rPr>
        <w:t>安全生产许可证、项目负责人的注册建造师执业资格证书及安全生产考核合格证书（B类证），以上均提供原件的扫描件；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.具有履行合同所必须的设备和专业技术能力,投标供应商须提供书面声明（格式自拟）；</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.财务状况、缴纳税收和社会保障资金证明；</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a、经第三方机构出具的上一年度财务状况审计报告或财务会计报表（含资产负债表、现金流量表、利润表）原件的扫描件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b、投标人近一年连续3个月的依法缴纳税收证明和近一年连续3个月社会保障资金记录的证明材料原件的扫描件</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5.供应商通过“信用中国”和“中国政府采购网”渠道查询的加盖公章的主体信用记录网页截图；</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6.磋商保证金缴纳凭证；</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9"/>
        <w:rPr>
          <w:rFonts w:hint="eastAsia" w:ascii="宋体" w:hAnsi="宋体" w:eastAsia="宋体" w:cs="宋体"/>
          <w:b/>
          <w:bCs/>
          <w:color w:val="000000"/>
          <w:sz w:val="30"/>
          <w:szCs w:val="30"/>
          <w:lang w:val="en-US" w:eastAsia="zh-CN"/>
        </w:rPr>
      </w:pPr>
    </w:p>
    <w:p>
      <w:pPr>
        <w:rPr>
          <w:rFonts w:hint="eastAsia" w:ascii="宋体" w:hAnsi="宋体" w:eastAsia="宋体" w:cs="宋体"/>
          <w:b/>
          <w:bCs/>
          <w:color w:val="000000"/>
          <w:sz w:val="30"/>
          <w:szCs w:val="30"/>
          <w:lang w:val="en-US" w:eastAsia="zh-CN"/>
        </w:rPr>
      </w:pPr>
    </w:p>
    <w:p>
      <w:pPr>
        <w:pStyle w:val="2"/>
        <w:rPr>
          <w:rFonts w:hint="eastAsia" w:ascii="宋体" w:hAnsi="宋体" w:eastAsia="宋体" w:cs="宋体"/>
          <w:b/>
          <w:bCs/>
          <w:color w:val="000000"/>
          <w:sz w:val="30"/>
          <w:szCs w:val="30"/>
          <w:lang w:val="en-US" w:eastAsia="zh-CN"/>
        </w:rPr>
      </w:pPr>
    </w:p>
    <w:p>
      <w:pPr>
        <w:pStyle w:val="2"/>
        <w:rPr>
          <w:rFonts w:hint="eastAsia" w:ascii="宋体" w:hAnsi="宋体" w:eastAsia="宋体" w:cs="宋体"/>
          <w:b/>
          <w:bCs/>
          <w:color w:val="000000"/>
          <w:sz w:val="30"/>
          <w:szCs w:val="30"/>
          <w:lang w:val="en-US" w:eastAsia="zh-CN"/>
        </w:rPr>
      </w:pPr>
    </w:p>
    <w:p>
      <w:pPr>
        <w:pStyle w:val="2"/>
        <w:rPr>
          <w:rFonts w:hint="eastAsia" w:ascii="宋体" w:hAnsi="宋体" w:eastAsia="宋体" w:cs="宋体"/>
          <w:b/>
          <w:bCs/>
          <w:color w:val="000000"/>
          <w:sz w:val="30"/>
          <w:szCs w:val="30"/>
          <w:lang w:val="en-US" w:eastAsia="zh-CN"/>
        </w:rPr>
      </w:pPr>
    </w:p>
    <w:p>
      <w:pPr>
        <w:pStyle w:val="2"/>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numPr>
          <w:ilvl w:val="0"/>
          <w:numId w:val="0"/>
        </w:numPr>
        <w:kinsoku w:val="0"/>
        <w:wordWrap/>
        <w:overflowPunct w:val="0"/>
        <w:autoSpaceDE w:val="0"/>
        <w:autoSpaceDN w:val="0"/>
        <w:adjustRightInd w:val="0"/>
        <w:snapToGrid/>
        <w:spacing w:before="57" w:line="440" w:lineRule="exact"/>
        <w:ind w:left="2400" w:leftChars="0" w:right="232"/>
        <w:jc w:val="both"/>
        <w:textAlignment w:val="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十一、投标单位（供应商）反商业贿赂承诺书</w:t>
      </w:r>
    </w:p>
    <w:p>
      <w:pPr>
        <w:pStyle w:val="19"/>
        <w:widowControl w:val="0"/>
        <w:numPr>
          <w:ilvl w:val="0"/>
          <w:numId w:val="0"/>
        </w:numPr>
        <w:autoSpaceDE w:val="0"/>
        <w:autoSpaceDN w:val="0"/>
        <w:adjustRightInd w:val="0"/>
        <w:rPr>
          <w:rFonts w:hint="eastAsia"/>
          <w:lang w:val="en-US" w:eastAsia="zh-CN"/>
        </w:rPr>
      </w:pPr>
    </w:p>
    <w:p>
      <w:pPr>
        <w:rPr>
          <w:rFonts w:hint="eastAsia"/>
          <w:lang w:val="en-US" w:eastAsia="zh-CN"/>
        </w:rPr>
      </w:pPr>
    </w:p>
    <w:p>
      <w:pPr>
        <w:jc w:val="center"/>
        <w:rPr>
          <w:rFonts w:hint="eastAsia" w:ascii="宋体" w:hAnsi="宋体" w:cs="宋体"/>
          <w:b/>
          <w:szCs w:val="21"/>
        </w:rPr>
      </w:pPr>
    </w:p>
    <w:p>
      <w:pPr>
        <w:jc w:val="center"/>
        <w:rPr>
          <w:rFonts w:hint="eastAsia" w:ascii="宋体" w:hAnsi="宋体" w:cs="宋体"/>
          <w:b/>
          <w:szCs w:val="21"/>
        </w:rPr>
      </w:pPr>
      <w:r>
        <w:rPr>
          <w:rFonts w:hint="eastAsia" w:ascii="宋体" w:hAnsi="宋体" w:cs="宋体"/>
          <w:b/>
          <w:szCs w:val="21"/>
        </w:rPr>
        <w:t>投标单位（供应商）反商业贿赂承诺书</w:t>
      </w:r>
    </w:p>
    <w:p>
      <w:pPr>
        <w:rPr>
          <w:rFonts w:hint="eastAsia" w:ascii="宋体" w:hAnsi="宋体" w:cs="宋体"/>
          <w:szCs w:val="21"/>
        </w:rPr>
      </w:pPr>
    </w:p>
    <w:p>
      <w:pPr>
        <w:widowControl/>
        <w:spacing w:before="100" w:beforeAutospacing="1" w:after="100" w:afterAutospacing="1" w:line="360" w:lineRule="auto"/>
        <w:jc w:val="left"/>
        <w:rPr>
          <w:rFonts w:hint="eastAsia" w:ascii="宋体" w:hAnsi="宋体" w:cs="宋体"/>
          <w:szCs w:val="21"/>
        </w:rPr>
      </w:pPr>
      <w:r>
        <w:rPr>
          <w:rFonts w:hint="eastAsia" w:ascii="宋体" w:hAnsi="宋体" w:cs="宋体"/>
          <w:b/>
          <w:bCs/>
          <w:szCs w:val="21"/>
        </w:rPr>
        <w:t> </w:t>
      </w:r>
      <w:r>
        <w:rPr>
          <w:rFonts w:hint="eastAsia" w:ascii="宋体" w:hAnsi="宋体" w:cs="宋体"/>
          <w:szCs w:val="21"/>
        </w:rPr>
        <w:t>   我公司承诺在</w:t>
      </w:r>
      <w:r>
        <w:rPr>
          <w:rFonts w:hint="eastAsia" w:ascii="宋体" w:hAnsi="宋体" w:cs="宋体"/>
          <w:szCs w:val="21"/>
          <w:u w:val="single"/>
        </w:rPr>
        <w:t>（项目编号、项目名称）</w:t>
      </w:r>
      <w:r>
        <w:rPr>
          <w:rFonts w:hint="eastAsia" w:ascii="宋体" w:hAnsi="宋体" w:cs="宋体"/>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899"/>
        <w:jc w:val="left"/>
        <w:rPr>
          <w:rFonts w:hint="eastAsia" w:ascii="宋体" w:hAnsi="宋体" w:cs="宋体"/>
          <w:szCs w:val="21"/>
        </w:rPr>
      </w:pPr>
      <w:r>
        <w:rPr>
          <w:rFonts w:hint="eastAsia" w:ascii="宋体" w:hAnsi="宋体" w:cs="宋体"/>
          <w:szCs w:val="21"/>
        </w:rPr>
        <w:t>公司法人代表：</w:t>
      </w:r>
    </w:p>
    <w:p>
      <w:pPr>
        <w:widowControl/>
        <w:spacing w:before="100" w:beforeAutospacing="1" w:after="100" w:afterAutospacing="1" w:line="320" w:lineRule="exact"/>
        <w:ind w:firstLine="899"/>
        <w:jc w:val="left"/>
        <w:rPr>
          <w:rFonts w:hint="eastAsia" w:ascii="宋体" w:hAnsi="宋体" w:cs="宋体"/>
          <w:szCs w:val="21"/>
        </w:rPr>
      </w:pPr>
      <w:r>
        <w:rPr>
          <w:rFonts w:hint="eastAsia" w:ascii="宋体" w:hAnsi="宋体" w:cs="宋体"/>
          <w:szCs w:val="21"/>
        </w:rPr>
        <w:t>法人授权代表：</w:t>
      </w:r>
    </w:p>
    <w:p>
      <w:pPr>
        <w:widowControl/>
        <w:spacing w:before="100" w:beforeAutospacing="1" w:after="100" w:afterAutospacing="1" w:line="320" w:lineRule="exact"/>
        <w:ind w:firstLine="897"/>
        <w:jc w:val="left"/>
        <w:rPr>
          <w:rFonts w:hint="eastAsia" w:ascii="宋体" w:hAnsi="宋体" w:cs="宋体"/>
          <w:szCs w:val="21"/>
        </w:rPr>
      </w:pPr>
      <w:r>
        <w:rPr>
          <w:rFonts w:hint="eastAsia" w:ascii="宋体" w:hAnsi="宋体" w:cs="宋体"/>
          <w:szCs w:val="21"/>
        </w:rPr>
        <w:t>项目经办人：</w:t>
      </w:r>
    </w:p>
    <w:p>
      <w:pPr>
        <w:spacing w:line="320" w:lineRule="exact"/>
        <w:rPr>
          <w:rFonts w:hint="eastAsia" w:ascii="宋体" w:hAnsi="宋体" w:cs="宋体"/>
          <w:szCs w:val="21"/>
        </w:rPr>
      </w:pPr>
      <w:r>
        <w:rPr>
          <w:rFonts w:hint="eastAsia" w:ascii="宋体" w:hAnsi="宋体" w:cs="宋体"/>
          <w:szCs w:val="21"/>
        </w:rPr>
        <w:t xml:space="preserve">                                        日期：</w:t>
      </w:r>
    </w:p>
    <w:p>
      <w:pPr>
        <w:widowControl/>
        <w:spacing w:before="100" w:beforeAutospacing="1" w:after="100" w:afterAutospacing="1" w:line="360" w:lineRule="auto"/>
        <w:outlineLvl w:val="0"/>
        <w:rPr>
          <w:rFonts w:hint="eastAsia" w:ascii="宋体" w:hAnsi="宋体" w:cs="宋体"/>
          <w:b/>
          <w:szCs w:val="21"/>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center"/>
        <w:textAlignment w:val="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十二、中小企业声明函</w:t>
      </w: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keepNext w:val="0"/>
        <w:keepLines w:val="0"/>
        <w:widowControl/>
        <w:suppressLineNumbers w:val="0"/>
        <w:jc w:val="center"/>
      </w:pPr>
      <w:r>
        <w:rPr>
          <w:rFonts w:hint="eastAsia" w:ascii="宋体" w:hAnsi="宋体" w:eastAsia="宋体" w:cs="宋体"/>
          <w:b/>
          <w:szCs w:val="21"/>
          <w:lang w:val="en-US" w:eastAsia="zh-CN"/>
        </w:rPr>
        <w:t>中小企业声明函（工程）</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720" w:firstLineChars="300"/>
        <w:jc w:val="left"/>
        <w:textAlignment w:val="auto"/>
        <w:rPr>
          <w:rFonts w:hint="eastAsia" w:ascii="宋体" w:hAnsi="宋体" w:eastAsia="宋体" w:cs="宋体"/>
          <w:szCs w:val="21"/>
        </w:rPr>
      </w:pPr>
      <w:r>
        <w:rPr>
          <w:rFonts w:hint="eastAsia" w:ascii="宋体" w:hAnsi="宋体" w:eastAsia="宋体" w:cs="宋体"/>
          <w:szCs w:val="21"/>
          <w:lang w:val="en-US" w:eastAsia="zh-CN"/>
        </w:rPr>
        <w:t>本公司郑重声明，根据《政府采购促进中小企业发展管理办法》（财库﹝2020﹞46 号）的规定，本公司参加</w:t>
      </w:r>
      <w:r>
        <w:rPr>
          <w:rFonts w:hint="eastAsia" w:ascii="宋体" w:hAnsi="宋体" w:eastAsia="宋体" w:cs="宋体"/>
          <w:szCs w:val="21"/>
          <w:u w:val="single"/>
          <w:lang w:val="en-US" w:eastAsia="zh-CN"/>
        </w:rPr>
        <w:t>（单位名称）</w:t>
      </w:r>
      <w:r>
        <w:rPr>
          <w:rFonts w:hint="eastAsia" w:ascii="宋体" w:hAnsi="宋体" w:eastAsia="宋体" w:cs="宋体"/>
          <w:szCs w:val="21"/>
          <w:lang w:val="en-US" w:eastAsia="zh-CN"/>
        </w:rPr>
        <w:t>的</w:t>
      </w:r>
      <w:r>
        <w:rPr>
          <w:rFonts w:hint="eastAsia" w:ascii="宋体" w:hAnsi="宋体" w:eastAsia="宋体" w:cs="宋体"/>
          <w:szCs w:val="21"/>
          <w:u w:val="single"/>
          <w:lang w:val="en-US" w:eastAsia="zh-CN"/>
        </w:rPr>
        <w:t>（项目名称）</w:t>
      </w:r>
      <w:r>
        <w:rPr>
          <w:rFonts w:hint="eastAsia" w:ascii="宋体" w:hAnsi="宋体" w:eastAsia="宋体" w:cs="宋体"/>
          <w:szCs w:val="21"/>
          <w:lang w:val="en-US" w:eastAsia="zh-CN"/>
        </w:rPr>
        <w:t>采购活动，工程的施工单位全部为符合政策要求的中小企业。相关企业的具体情况如下：</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1. </w:t>
      </w:r>
      <w:r>
        <w:rPr>
          <w:rFonts w:hint="eastAsia" w:ascii="宋体" w:hAnsi="宋体" w:eastAsia="宋体" w:cs="宋体"/>
          <w:szCs w:val="21"/>
          <w:u w:val="single"/>
          <w:lang w:val="en-US" w:eastAsia="zh-CN"/>
        </w:rPr>
        <w:t>（标的名称）</w:t>
      </w:r>
      <w:r>
        <w:rPr>
          <w:rFonts w:hint="eastAsia" w:ascii="宋体" w:hAnsi="宋体" w:eastAsia="宋体" w:cs="宋体"/>
          <w:szCs w:val="21"/>
          <w:lang w:val="en-US" w:eastAsia="zh-CN"/>
        </w:rPr>
        <w:t xml:space="preserve"> ，属于</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建筑</w:t>
      </w:r>
      <w:r>
        <w:rPr>
          <w:rFonts w:hint="eastAsia" w:cs="宋体"/>
          <w:szCs w:val="21"/>
          <w:u w:val="single"/>
          <w:lang w:val="en-US" w:eastAsia="zh-CN"/>
        </w:rPr>
        <w:t>业</w:t>
      </w:r>
      <w:r>
        <w:rPr>
          <w:rFonts w:hint="eastAsia" w:ascii="宋体" w:hAnsi="宋体" w:eastAsia="宋体" w:cs="宋体"/>
          <w:szCs w:val="21"/>
          <w:lang w:val="en-US" w:eastAsia="zh-CN"/>
        </w:rPr>
        <w:t>；承建企业为</w:t>
      </w:r>
      <w:r>
        <w:rPr>
          <w:rFonts w:hint="eastAsia" w:ascii="宋体" w:hAnsi="宋体" w:eastAsia="宋体" w:cs="宋体"/>
          <w:szCs w:val="21"/>
          <w:u w:val="single"/>
          <w:lang w:val="en-US" w:eastAsia="zh-CN"/>
        </w:rPr>
        <w:t>（企业名称）</w:t>
      </w:r>
      <w:r>
        <w:rPr>
          <w:rFonts w:hint="eastAsia" w:ascii="宋体" w:hAnsi="宋体" w:eastAsia="宋体" w:cs="宋体"/>
          <w:szCs w:val="21"/>
          <w:lang w:val="en-US" w:eastAsia="zh-CN"/>
        </w:rPr>
        <w:t>，从业人员</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人，营业收入为</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万元，资产总额为</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万元</w:t>
      </w:r>
      <w:r>
        <w:rPr>
          <w:rFonts w:hint="eastAsia" w:ascii="宋体" w:hAnsi="宋体" w:eastAsia="宋体" w:cs="宋体"/>
          <w:szCs w:val="21"/>
          <w:vertAlign w:val="superscript"/>
          <w:lang w:val="en-US" w:eastAsia="zh-CN"/>
        </w:rPr>
        <w:t>1</w:t>
      </w:r>
      <w:r>
        <w:rPr>
          <w:rFonts w:hint="eastAsia" w:ascii="宋体" w:hAnsi="宋体" w:eastAsia="宋体" w:cs="宋体"/>
          <w:szCs w:val="21"/>
          <w:lang w:val="en-US" w:eastAsia="zh-CN"/>
        </w:rPr>
        <w:t>，属于</w:t>
      </w:r>
      <w:r>
        <w:rPr>
          <w:rFonts w:hint="eastAsia" w:ascii="宋体" w:hAnsi="宋体" w:eastAsia="宋体" w:cs="宋体"/>
          <w:szCs w:val="21"/>
          <w:u w:val="single"/>
          <w:lang w:val="en-US" w:eastAsia="zh-CN"/>
        </w:rPr>
        <w:t>（中型企业、小型企业、微型企业）</w:t>
      </w:r>
      <w:r>
        <w:rPr>
          <w:rFonts w:hint="eastAsia" w:ascii="宋体" w:hAnsi="宋体" w:eastAsia="宋体" w:cs="宋体"/>
          <w:szCs w:val="21"/>
          <w:lang w:val="en-US" w:eastAsia="zh-CN"/>
        </w:rPr>
        <w:t xml:space="preserve">； </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2.  </w:t>
      </w:r>
      <w:r>
        <w:rPr>
          <w:rFonts w:hint="eastAsia" w:ascii="宋体" w:hAnsi="宋体" w:eastAsia="宋体" w:cs="宋体"/>
          <w:szCs w:val="21"/>
          <w:u w:val="single"/>
          <w:lang w:val="en-US" w:eastAsia="zh-CN"/>
        </w:rPr>
        <w:t>（标的名称）</w:t>
      </w:r>
      <w:r>
        <w:rPr>
          <w:rFonts w:hint="eastAsia" w:ascii="宋体" w:hAnsi="宋体" w:eastAsia="宋体" w:cs="宋体"/>
          <w:szCs w:val="21"/>
          <w:lang w:val="en-US" w:eastAsia="zh-CN"/>
        </w:rPr>
        <w:t xml:space="preserve"> ，属于</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建筑</w:t>
      </w:r>
      <w:r>
        <w:rPr>
          <w:rFonts w:hint="eastAsia" w:cs="宋体"/>
          <w:szCs w:val="21"/>
          <w:u w:val="single"/>
          <w:lang w:val="en-US" w:eastAsia="zh-CN"/>
        </w:rPr>
        <w:t>业</w:t>
      </w:r>
      <w:r>
        <w:rPr>
          <w:rFonts w:hint="eastAsia" w:ascii="宋体" w:hAnsi="宋体" w:eastAsia="宋体" w:cs="宋体"/>
          <w:szCs w:val="21"/>
          <w:lang w:val="en-US" w:eastAsia="zh-CN"/>
        </w:rPr>
        <w:t>；承建企业为</w:t>
      </w:r>
      <w:r>
        <w:rPr>
          <w:rFonts w:hint="eastAsia" w:ascii="宋体" w:hAnsi="宋体" w:eastAsia="宋体" w:cs="宋体"/>
          <w:szCs w:val="21"/>
          <w:u w:val="single"/>
          <w:lang w:val="en-US" w:eastAsia="zh-CN"/>
        </w:rPr>
        <w:t>（企业名称）</w:t>
      </w:r>
      <w:r>
        <w:rPr>
          <w:rFonts w:hint="eastAsia" w:ascii="宋体" w:hAnsi="宋体" w:eastAsia="宋体" w:cs="宋体"/>
          <w:szCs w:val="21"/>
          <w:lang w:val="en-US" w:eastAsia="zh-CN"/>
        </w:rPr>
        <w:t>，从业人员</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人，营业收入为</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万元，资产总额为</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万元</w:t>
      </w:r>
      <w:r>
        <w:rPr>
          <w:rFonts w:hint="eastAsia" w:ascii="宋体" w:hAnsi="宋体" w:eastAsia="宋体" w:cs="宋体"/>
          <w:szCs w:val="21"/>
          <w:vertAlign w:val="superscript"/>
          <w:lang w:val="en-US" w:eastAsia="zh-CN"/>
        </w:rPr>
        <w:t>1</w:t>
      </w:r>
      <w:r>
        <w:rPr>
          <w:rFonts w:hint="eastAsia" w:ascii="宋体" w:hAnsi="宋体" w:eastAsia="宋体" w:cs="宋体"/>
          <w:szCs w:val="21"/>
          <w:lang w:val="en-US" w:eastAsia="zh-CN"/>
        </w:rPr>
        <w:t>，属于</w:t>
      </w:r>
      <w:r>
        <w:rPr>
          <w:rFonts w:hint="eastAsia" w:ascii="宋体" w:hAnsi="宋体" w:eastAsia="宋体" w:cs="宋体"/>
          <w:szCs w:val="21"/>
          <w:u w:val="single"/>
          <w:lang w:val="en-US" w:eastAsia="zh-CN"/>
        </w:rPr>
        <w:t>（中型企业、小型企业、微型企业）</w:t>
      </w:r>
      <w:r>
        <w:rPr>
          <w:rFonts w:hint="eastAsia" w:ascii="宋体" w:hAnsi="宋体" w:eastAsia="宋体" w:cs="宋体"/>
          <w:szCs w:val="21"/>
          <w:lang w:val="en-US" w:eastAsia="zh-CN"/>
        </w:rPr>
        <w:t>；</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jc w:val="left"/>
        <w:textAlignment w:val="auto"/>
        <w:rPr>
          <w:rFonts w:hint="eastAsia" w:ascii="宋体" w:hAnsi="宋体" w:eastAsia="宋体" w:cs="宋体"/>
          <w:szCs w:val="21"/>
        </w:rPr>
      </w:pPr>
      <w:r>
        <w:rPr>
          <w:rFonts w:hint="eastAsia" w:ascii="宋体" w:hAnsi="宋体" w:eastAsia="宋体" w:cs="宋体"/>
          <w:szCs w:val="21"/>
          <w:lang w:val="en-US" w:eastAsia="zh-CN"/>
        </w:rPr>
        <w:t>……</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48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48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本企业对上述声明内容的真实性负责。如有虚假，将依法承担相应责任。 </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6000" w:firstLineChars="2500"/>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企业名称（盖章）： </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6000" w:firstLineChars="2500"/>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日 期： </w:t>
      </w: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pPr>
      <w:r>
        <w:rPr>
          <w:rFonts w:hint="default" w:ascii="Times New Roman" w:hAnsi="Times New Roman" w:eastAsia="宋体" w:cs="Times New Roman"/>
          <w:b/>
          <w:bCs/>
          <w:color w:val="000000"/>
          <w:kern w:val="0"/>
          <w:sz w:val="11"/>
          <w:szCs w:val="11"/>
          <w:lang w:val="en-US" w:eastAsia="zh-CN" w:bidi="ar"/>
        </w:rPr>
        <w:t xml:space="preserve">1 </w:t>
      </w:r>
      <w:r>
        <w:rPr>
          <w:rFonts w:hint="eastAsia" w:ascii="宋体" w:hAnsi="宋体" w:eastAsia="宋体" w:cs="宋体"/>
          <w:b/>
          <w:bCs/>
          <w:color w:val="000000"/>
          <w:kern w:val="0"/>
          <w:sz w:val="18"/>
          <w:szCs w:val="18"/>
          <w:lang w:val="en-US" w:eastAsia="zh-CN" w:bidi="ar"/>
        </w:rPr>
        <w:t>从业人员、营业收入、资产总额填报上一年度数据，无上一年度数据的新成立企业可不填报。</w:t>
      </w:r>
    </w:p>
    <w:p>
      <w:pPr>
        <w:widowControl/>
        <w:spacing w:before="100" w:beforeAutospacing="1" w:after="100" w:afterAutospacing="1" w:line="400" w:lineRule="exact"/>
        <w:ind w:firstLine="550"/>
        <w:jc w:val="right"/>
        <w:rPr>
          <w:rFonts w:hint="eastAsia" w:ascii="宋体" w:hAnsi="宋体" w:cs="宋体"/>
          <w:szCs w:val="21"/>
        </w:rPr>
      </w:pPr>
      <w:r>
        <w:rPr>
          <w:rFonts w:hint="eastAsia" w:ascii="宋体" w:hAnsi="宋体" w:cs="宋体"/>
          <w:szCs w:val="21"/>
        </w:rPr>
        <w:t>　</w:t>
      </w:r>
    </w:p>
    <w:p>
      <w:pPr>
        <w:pStyle w:val="18"/>
        <w:widowControl w:val="0"/>
        <w:kinsoku w:val="0"/>
        <w:wordWrap/>
        <w:overflowPunct w:val="0"/>
        <w:autoSpaceDE w:val="0"/>
        <w:autoSpaceDN w:val="0"/>
        <w:adjustRightInd w:val="0"/>
        <w:snapToGrid/>
        <w:spacing w:before="57" w:line="440" w:lineRule="exact"/>
        <w:ind w:left="0" w:leftChars="0" w:right="232" w:firstLine="0" w:firstLineChars="0"/>
        <w:jc w:val="both"/>
        <w:textAlignment w:val="auto"/>
        <w:rPr>
          <w:rFonts w:hint="eastAsia" w:ascii="宋体" w:hAnsi="宋体" w:eastAsia="宋体" w:cs="宋体"/>
          <w:b/>
          <w:bCs/>
          <w:color w:val="000000"/>
          <w:sz w:val="30"/>
          <w:szCs w:val="30"/>
          <w:lang w:val="en-US" w:eastAsia="zh-CN"/>
        </w:rPr>
      </w:pPr>
    </w:p>
    <w:p>
      <w:pPr>
        <w:pStyle w:val="19"/>
        <w:rPr>
          <w:rFonts w:hint="eastAsia" w:ascii="宋体" w:hAnsi="宋体" w:eastAsia="宋体" w:cs="宋体"/>
          <w:b/>
          <w:bCs/>
          <w:color w:val="000000"/>
          <w:sz w:val="30"/>
          <w:szCs w:val="30"/>
          <w:lang w:val="en-US" w:eastAsia="zh-CN"/>
        </w:rPr>
      </w:pPr>
    </w:p>
    <w:p>
      <w:pPr>
        <w:rPr>
          <w:rFonts w:hint="eastAsia"/>
          <w:lang w:val="en-US" w:eastAsia="zh-CN"/>
        </w:rPr>
      </w:pPr>
    </w:p>
    <w:p>
      <w:pPr>
        <w:pStyle w:val="18"/>
        <w:widowControl w:val="0"/>
        <w:kinsoku w:val="0"/>
        <w:wordWrap/>
        <w:overflowPunct w:val="0"/>
        <w:autoSpaceDE w:val="0"/>
        <w:autoSpaceDN w:val="0"/>
        <w:adjustRightInd w:val="0"/>
        <w:snapToGrid/>
        <w:spacing w:before="57" w:line="440" w:lineRule="exact"/>
        <w:ind w:left="111" w:right="232" w:firstLine="480"/>
        <w:jc w:val="both"/>
        <w:textAlignment w:val="auto"/>
        <w:rPr>
          <w:rFonts w:hint="eastAsia" w:ascii="宋体" w:hAnsi="宋体" w:eastAsia="宋体" w:cs="宋体"/>
          <w:b/>
          <w:bCs/>
          <w:color w:val="000000"/>
          <w:sz w:val="30"/>
          <w:szCs w:val="30"/>
          <w:lang w:val="en-US" w:eastAsia="zh-CN"/>
        </w:rPr>
      </w:pPr>
    </w:p>
    <w:p>
      <w:pPr>
        <w:pStyle w:val="18"/>
        <w:widowControl w:val="0"/>
        <w:numPr>
          <w:ilvl w:val="0"/>
          <w:numId w:val="5"/>
        </w:numPr>
        <w:kinsoku w:val="0"/>
        <w:wordWrap/>
        <w:overflowPunct w:val="0"/>
        <w:autoSpaceDE w:val="0"/>
        <w:autoSpaceDN w:val="0"/>
        <w:adjustRightInd w:val="0"/>
        <w:snapToGrid/>
        <w:spacing w:before="57" w:line="440" w:lineRule="exact"/>
        <w:ind w:left="0" w:leftChars="0" w:right="232" w:firstLine="0" w:firstLineChars="0"/>
        <w:jc w:val="center"/>
        <w:textAlignment w:val="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提供其它有利于投标的资料</w:t>
      </w:r>
    </w:p>
    <w:p>
      <w:pPr>
        <w:pStyle w:val="18"/>
        <w:widowControl w:val="0"/>
        <w:numPr>
          <w:ilvl w:val="0"/>
          <w:numId w:val="0"/>
        </w:numPr>
        <w:kinsoku w:val="0"/>
        <w:wordWrap/>
        <w:overflowPunct w:val="0"/>
        <w:autoSpaceDE w:val="0"/>
        <w:autoSpaceDN w:val="0"/>
        <w:adjustRightInd w:val="0"/>
        <w:snapToGrid/>
        <w:spacing w:before="57" w:line="440" w:lineRule="exact"/>
        <w:ind w:leftChars="0" w:right="232"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如获奖证书、ISO9001质量管理体系认证、ISO14001环境管理体系认证、OHSAS18001:2007职业健康安全管理体系认证、检验检测机构资质认定证书、工程咨询单位备案证书等。</w:t>
      </w:r>
    </w:p>
    <w:p>
      <w:pPr>
        <w:rPr>
          <w:rFonts w:hint="eastAsia" w:ascii="宋体" w:hAnsi="宋体" w:eastAsia="宋体" w:cs="宋体"/>
          <w:b w:val="0"/>
          <w:bCs w:val="0"/>
          <w:color w:val="000000"/>
          <w:sz w:val="24"/>
          <w:szCs w:val="24"/>
        </w:rPr>
      </w:pPr>
    </w:p>
    <w:p>
      <w:pPr>
        <w:rPr>
          <w:rFonts w:hint="eastAsia" w:ascii="宋体" w:hAnsi="宋体" w:eastAsia="宋体" w:cs="宋体"/>
          <w:b w:val="0"/>
          <w:bCs w:val="0"/>
          <w:color w:val="000000"/>
          <w:sz w:val="24"/>
          <w:szCs w:val="24"/>
        </w:rPr>
      </w:pPr>
    </w:p>
    <w:p>
      <w:pPr>
        <w:widowControl/>
        <w:adjustRightInd/>
        <w:rPr>
          <w:rFonts w:ascii="宋体" w:hAnsi="宋体"/>
          <w:b/>
          <w:sz w:val="30"/>
        </w:rPr>
      </w:pPr>
      <w:r>
        <w:rPr>
          <w:rFonts w:ascii="宋体" w:hAnsi="宋体"/>
          <w:b/>
          <w:sz w:val="30"/>
        </w:rPr>
        <w:br w:type="page"/>
      </w:r>
    </w:p>
    <w:p>
      <w:pPr>
        <w:widowControl/>
        <w:adjustRightInd/>
        <w:jc w:val="center"/>
      </w:pPr>
    </w:p>
    <w:p>
      <w:pPr>
        <w:pStyle w:val="2"/>
        <w:rPr>
          <w:rFonts w:ascii="PQPMNW+ËÎÌå" w:hAnsi="PQPMNW+ËÎÌå" w:cs="PQPMNW+ËÎÌå"/>
          <w:spacing w:val="-1"/>
        </w:rPr>
      </w:pPr>
    </w:p>
    <w:p>
      <w:pPr>
        <w:widowControl/>
        <w:adjustRightInd/>
        <w:jc w:val="center"/>
        <w:rPr>
          <w:rFonts w:eastAsia="Times New Roman"/>
          <w:b/>
          <w:bCs/>
          <w:w w:val="95"/>
          <w:sz w:val="32"/>
          <w:szCs w:val="32"/>
        </w:rPr>
      </w:pPr>
      <w:r>
        <w:rPr>
          <w:rFonts w:hint="eastAsia"/>
          <w:b/>
          <w:bCs/>
          <w:w w:val="95"/>
          <w:sz w:val="32"/>
          <w:szCs w:val="32"/>
        </w:rPr>
        <w:t>第</w:t>
      </w:r>
      <w:r>
        <w:rPr>
          <w:rFonts w:hint="eastAsia"/>
          <w:b/>
          <w:bCs/>
          <w:w w:val="95"/>
          <w:sz w:val="32"/>
          <w:szCs w:val="32"/>
          <w:lang w:eastAsia="zh-CN"/>
        </w:rPr>
        <w:t>五</w:t>
      </w:r>
      <w:r>
        <w:rPr>
          <w:rFonts w:hint="eastAsia"/>
          <w:b/>
          <w:bCs/>
          <w:w w:val="95"/>
          <w:sz w:val="32"/>
          <w:szCs w:val="32"/>
        </w:rPr>
        <w:t>章</w:t>
      </w:r>
      <w:r>
        <w:rPr>
          <w:rFonts w:hint="eastAsia"/>
          <w:b/>
          <w:bCs/>
          <w:w w:val="95"/>
          <w:sz w:val="32"/>
          <w:szCs w:val="32"/>
          <w:lang w:val="en-US" w:eastAsia="zh-CN"/>
        </w:rPr>
        <w:t xml:space="preserve">  </w:t>
      </w:r>
      <w:r>
        <w:rPr>
          <w:rFonts w:hint="eastAsia"/>
          <w:b/>
          <w:bCs/>
          <w:w w:val="95"/>
          <w:sz w:val="32"/>
          <w:szCs w:val="32"/>
        </w:rPr>
        <w:t>评审方法及标准</w:t>
      </w:r>
    </w:p>
    <w:p>
      <w:pPr>
        <w:pStyle w:val="3"/>
        <w:tabs>
          <w:tab w:val="left" w:pos="1283"/>
        </w:tabs>
        <w:kinsoku w:val="0"/>
        <w:overflowPunct w:val="0"/>
        <w:ind w:right="61"/>
        <w:jc w:val="center"/>
        <w:rPr>
          <w:rFonts w:eastAsia="Times New Roman"/>
          <w:w w:val="95"/>
        </w:rPr>
      </w:pPr>
    </w:p>
    <w:p>
      <w:pPr>
        <w:spacing w:line="440" w:lineRule="exact"/>
        <w:ind w:firstLine="472" w:firstLineChars="200"/>
        <w:rPr>
          <w:rFonts w:ascii="宋体" w:hAnsi="宋体" w:eastAsia="宋体"/>
        </w:rPr>
      </w:pPr>
      <w:r>
        <w:rPr>
          <w:rFonts w:ascii="宋体" w:hAnsi="宋体" w:eastAsia="宋体" w:cs="TMBCOU+ËÎÌå"/>
          <w:spacing w:val="-2"/>
        </w:rPr>
        <w:t>按照《中华人民共和国政府采购法》、七部委联合下发的《评标委员会和评标办法暂行规定》、《政</w:t>
      </w:r>
      <w:r>
        <w:rPr>
          <w:rFonts w:ascii="宋体" w:hAnsi="宋体" w:eastAsia="宋体" w:cs="TMBCOU+ËÎÌå"/>
          <w:spacing w:val="-1"/>
        </w:rPr>
        <w:t>府采购竞争性磋商采购方式管理暂行办法》等有关规定，结合本项目制定本办法。</w:t>
      </w:r>
    </w:p>
    <w:p>
      <w:pPr>
        <w:spacing w:line="440" w:lineRule="exact"/>
        <w:ind w:firstLine="482" w:firstLineChars="200"/>
        <w:rPr>
          <w:rFonts w:ascii="宋体" w:hAnsi="宋体" w:eastAsia="宋体" w:cs="TMBCOU+ËÎÌå"/>
          <w:b/>
        </w:rPr>
      </w:pPr>
      <w:r>
        <w:rPr>
          <w:rFonts w:ascii="宋体" w:hAnsi="宋体" w:eastAsia="宋体" w:cs="TMBCOU+ËÎÌå"/>
          <w:b/>
        </w:rPr>
        <w:t>一、</w:t>
      </w:r>
      <w:r>
        <w:rPr>
          <w:rFonts w:hint="eastAsia" w:ascii="宋体" w:hAnsi="宋体" w:eastAsia="宋体" w:cs="TMBCOU+ËÎÌå"/>
          <w:b/>
        </w:rPr>
        <w:t>磋商小组</w:t>
      </w:r>
      <w:r>
        <w:rPr>
          <w:rFonts w:ascii="宋体" w:hAnsi="宋体" w:eastAsia="宋体" w:cs="TMBCOU+ËÎÌå"/>
          <w:b/>
        </w:rPr>
        <w:t>组成：</w:t>
      </w:r>
    </w:p>
    <w:p>
      <w:pPr>
        <w:spacing w:line="440" w:lineRule="exact"/>
        <w:ind w:firstLine="476" w:firstLineChars="200"/>
        <w:rPr>
          <w:rFonts w:ascii="宋体" w:hAnsi="宋体" w:eastAsia="宋体" w:cs="TMBCOU+ËÎÌå"/>
          <w:spacing w:val="-1"/>
        </w:rPr>
      </w:pPr>
      <w:r>
        <w:rPr>
          <w:rFonts w:hint="eastAsia" w:ascii="宋体" w:hAnsi="宋体" w:eastAsia="宋体" w:cs="TMBCOU+ËÎÌå"/>
          <w:spacing w:val="-1"/>
        </w:rPr>
        <w:t>磋商小组</w:t>
      </w:r>
      <w:r>
        <w:rPr>
          <w:rFonts w:ascii="宋体" w:hAnsi="宋体" w:eastAsia="宋体" w:cs="TMBCOU+ËÎÌå"/>
          <w:spacing w:val="-1"/>
        </w:rPr>
        <w:t>由有关技术、经济等方面的</w:t>
      </w:r>
      <w:r>
        <w:t xml:space="preserve"> 3 </w:t>
      </w:r>
      <w:r>
        <w:rPr>
          <w:rFonts w:hint="eastAsia"/>
        </w:rPr>
        <w:t>人及以上的单数</w:t>
      </w:r>
      <w:r>
        <w:rPr>
          <w:rFonts w:hint="eastAsia"/>
          <w:lang w:eastAsia="zh-CN"/>
        </w:rPr>
        <w:t>专家</w:t>
      </w:r>
      <w:r>
        <w:rPr>
          <w:rFonts w:hint="eastAsia"/>
        </w:rPr>
        <w:t>组成</w:t>
      </w:r>
      <w:r>
        <w:rPr>
          <w:rFonts w:ascii="宋体" w:hAnsi="宋体" w:eastAsia="宋体" w:cs="TMBCOU+ËÎÌå"/>
          <w:spacing w:val="-2"/>
        </w:rPr>
        <w:t>。参加</w:t>
      </w:r>
      <w:r>
        <w:rPr>
          <w:rFonts w:hint="eastAsia" w:ascii="宋体" w:hAnsi="宋体" w:eastAsia="宋体" w:cs="TMBCOU+ËÎÌå"/>
          <w:spacing w:val="-2"/>
        </w:rPr>
        <w:t>磋商</w:t>
      </w:r>
      <w:r>
        <w:rPr>
          <w:rFonts w:ascii="宋体" w:hAnsi="宋体" w:eastAsia="宋体" w:cs="TMBCOU+ËÎÌå"/>
          <w:spacing w:val="-2"/>
        </w:rPr>
        <w:t>的专家由采购人在</w:t>
      </w:r>
      <w:r>
        <w:rPr>
          <w:rFonts w:ascii="宋体" w:hAnsi="宋体" w:eastAsia="宋体" w:cs="TMBCOU+ËÎÌå"/>
          <w:spacing w:val="-1"/>
        </w:rPr>
        <w:t>开标前从</w:t>
      </w:r>
      <w:r>
        <w:rPr>
          <w:rFonts w:hint="eastAsia" w:ascii="宋体" w:hAnsi="宋体" w:eastAsia="宋体" w:cs="TMBCOU+ËÎÌå"/>
          <w:spacing w:val="-1"/>
        </w:rPr>
        <w:t>政府采购</w:t>
      </w:r>
      <w:r>
        <w:rPr>
          <w:rFonts w:ascii="宋体" w:hAnsi="宋体" w:eastAsia="宋体" w:cs="TMBCOU+ËÎÌå"/>
          <w:spacing w:val="-1"/>
        </w:rPr>
        <w:t>专家库中随机抽取。</w:t>
      </w:r>
    </w:p>
    <w:p>
      <w:pPr>
        <w:spacing w:line="440" w:lineRule="exact"/>
        <w:ind w:firstLine="482" w:firstLineChars="200"/>
        <w:rPr>
          <w:rFonts w:ascii="宋体" w:hAnsi="宋体" w:eastAsia="宋体" w:cs="TMBCOU+ËÎÌå"/>
          <w:b/>
        </w:rPr>
      </w:pPr>
      <w:r>
        <w:rPr>
          <w:rFonts w:hint="eastAsia" w:ascii="宋体" w:hAnsi="宋体" w:eastAsia="宋体" w:cs="TMBCOU+ËÎÌå"/>
          <w:b/>
        </w:rPr>
        <w:t>二</w:t>
      </w:r>
      <w:r>
        <w:rPr>
          <w:rFonts w:ascii="宋体" w:hAnsi="宋体" w:eastAsia="宋体" w:cs="TMBCOU+ËÎÌå"/>
          <w:b/>
        </w:rPr>
        <w:t>、评审内容：</w:t>
      </w:r>
    </w:p>
    <w:p>
      <w:pPr>
        <w:spacing w:line="440" w:lineRule="exact"/>
        <w:ind w:firstLine="476" w:firstLineChars="200"/>
        <w:rPr>
          <w:rFonts w:ascii="宋体" w:hAnsi="宋体" w:eastAsia="宋体" w:cs="TMBCOU+ËÎÌå"/>
          <w:spacing w:val="-1"/>
        </w:rPr>
      </w:pPr>
      <w:r>
        <w:rPr>
          <w:rFonts w:ascii="宋体" w:hAnsi="宋体" w:eastAsia="宋体" w:cs="TMBCOU+ËÎÌå"/>
          <w:spacing w:val="-1"/>
        </w:rPr>
        <w:t>本评审分</w:t>
      </w:r>
      <w:r>
        <w:rPr>
          <w:rFonts w:hint="eastAsia" w:ascii="宋体" w:hAnsi="宋体" w:eastAsia="宋体" w:cs="TMBCOU+ËÎÌå"/>
          <w:spacing w:val="-1"/>
        </w:rPr>
        <w:t>符合性</w:t>
      </w:r>
      <w:r>
        <w:rPr>
          <w:rFonts w:ascii="宋体" w:hAnsi="宋体" w:eastAsia="宋体" w:cs="TMBCOU+ËÎÌå"/>
          <w:spacing w:val="-1"/>
        </w:rPr>
        <w:t>评审和详细评审两部分组成。</w:t>
      </w:r>
    </w:p>
    <w:p>
      <w:pPr>
        <w:spacing w:line="440" w:lineRule="exact"/>
        <w:ind w:firstLine="482" w:firstLineChars="200"/>
        <w:rPr>
          <w:rFonts w:ascii="宋体" w:hAnsi="宋体" w:eastAsia="宋体" w:cs="TMBCOU+ËÎÌå"/>
          <w:b/>
        </w:rPr>
      </w:pPr>
      <w:r>
        <w:rPr>
          <w:rFonts w:hint="eastAsia" w:ascii="宋体" w:hAnsi="宋体" w:eastAsia="宋体" w:cs="TMBCOU+ËÎÌå"/>
          <w:b/>
        </w:rPr>
        <w:t>三、符合性审查标准</w:t>
      </w:r>
    </w:p>
    <w:p>
      <w:pPr>
        <w:spacing w:line="440" w:lineRule="exact"/>
        <w:ind w:firstLine="480" w:firstLineChars="200"/>
        <w:rPr>
          <w:rFonts w:eastAsia="Times New Roman"/>
          <w:lang w:val="zh-CN"/>
        </w:rPr>
      </w:pPr>
      <w:r>
        <w:rPr>
          <w:rFonts w:ascii="宋体" w:hAnsi="宋体"/>
        </w:rPr>
        <w:t xml:space="preserve">3.1 </w:t>
      </w:r>
      <w:r>
        <w:rPr>
          <w:rFonts w:hint="eastAsia" w:ascii="宋体" w:hAnsi="宋体"/>
        </w:rPr>
        <w:t>磋商小组</w:t>
      </w:r>
      <w:r>
        <w:rPr>
          <w:rFonts w:hint="eastAsia" w:ascii="宋体" w:hAnsi="宋体"/>
          <w:lang w:val="zh-CN"/>
        </w:rPr>
        <w:t>应依据磋商文件的规定，对供应商的响应文件的有效性、完整性和对磋商文件的响应程度进行审查，以确定是否对磋商文件的要求做出实质性响应，对磋商文件的要求未做出实质性响应的供应商，不得进入具体评标程序。</w:t>
      </w:r>
    </w:p>
    <w:p>
      <w:pPr>
        <w:spacing w:line="440" w:lineRule="exact"/>
        <w:ind w:firstLine="480" w:firstLineChars="200"/>
        <w:rPr>
          <w:rFonts w:eastAsia="Times New Roman"/>
        </w:rPr>
      </w:pPr>
      <w:r>
        <w:rPr>
          <w:rFonts w:ascii="宋体" w:hAnsi="宋体"/>
        </w:rPr>
        <w:t xml:space="preserve">3.2 </w:t>
      </w:r>
      <w:r>
        <w:rPr>
          <w:rFonts w:hint="eastAsia" w:ascii="宋体" w:hAnsi="宋体"/>
        </w:rPr>
        <w:t>磋商小组应当根据磋商文件，审查并逐项列出每一个响应文件的全部投标偏差。投标偏差分为重大偏差和细微偏差。</w:t>
      </w:r>
    </w:p>
    <w:p>
      <w:pPr>
        <w:spacing w:line="440" w:lineRule="exact"/>
        <w:ind w:firstLine="480" w:firstLineChars="200"/>
        <w:rPr>
          <w:rFonts w:eastAsia="Times New Roman"/>
        </w:rPr>
      </w:pPr>
      <w:r>
        <w:rPr>
          <w:rFonts w:hint="eastAsia" w:ascii="宋体" w:hAnsi="宋体"/>
        </w:rPr>
        <w:t>（</w:t>
      </w:r>
      <w:r>
        <w:rPr>
          <w:rFonts w:ascii="宋体" w:hAnsi="宋体"/>
        </w:rPr>
        <w:t>1</w:t>
      </w:r>
      <w:r>
        <w:rPr>
          <w:rFonts w:hint="eastAsia" w:ascii="宋体" w:hAnsi="宋体"/>
        </w:rPr>
        <w:t>）细微偏差是指投标实质上响应了磋商文件要求，但在个别地方存在漏项或者提供了不完整的技术信息和数据等情况，并且补正这些遗漏或不完整不会对其他供应商造成不公平的结果。细微偏差不影响响应文件的有效性。</w:t>
      </w:r>
    </w:p>
    <w:p>
      <w:pPr>
        <w:spacing w:line="440"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）应当要求存在细小偏差的供应商在评标结束前以书面形式予以补正。拒绝补正的，在综合评审时可以对细微偏差作不利于该供应商的量化。</w:t>
      </w:r>
    </w:p>
    <w:p>
      <w:pPr>
        <w:spacing w:line="440" w:lineRule="exact"/>
        <w:ind w:firstLine="480" w:firstLineChars="200"/>
        <w:rPr>
          <w:rFonts w:eastAsia="Times New Roman"/>
        </w:rPr>
      </w:pPr>
      <w:r>
        <w:rPr>
          <w:rFonts w:hint="eastAsia" w:ascii="宋体" w:hAnsi="宋体"/>
        </w:rPr>
        <w:t>（</w:t>
      </w:r>
      <w:r>
        <w:rPr>
          <w:rFonts w:ascii="宋体" w:hAnsi="宋体"/>
        </w:rPr>
        <w:t>3</w:t>
      </w:r>
      <w:r>
        <w:rPr>
          <w:rFonts w:hint="eastAsia" w:ascii="宋体" w:hAnsi="宋体"/>
        </w:rPr>
        <w:t>）重大偏离或保留系指影响到磋商文件规定的招标范围、技术要求、质量要求和商务条款，响应文件中附有采购人不能接受的条件的，或限制了采购人的权力和义务的规定，和不符合磋商文件中规定的其他实质性要求的等。</w:t>
      </w:r>
    </w:p>
    <w:p>
      <w:pPr>
        <w:spacing w:line="440" w:lineRule="exact"/>
        <w:ind w:firstLine="480" w:firstLineChars="200"/>
        <w:rPr>
          <w:rFonts w:eastAsia="Times New Roman"/>
        </w:rPr>
      </w:pPr>
      <w:r>
        <w:rPr>
          <w:rFonts w:hint="eastAsia" w:ascii="宋体" w:hAnsi="宋体"/>
        </w:rPr>
        <w:t>（</w:t>
      </w:r>
      <w:r>
        <w:rPr>
          <w:rFonts w:ascii="宋体" w:hAnsi="宋体"/>
        </w:rPr>
        <w:t>4</w:t>
      </w:r>
      <w:r>
        <w:rPr>
          <w:rFonts w:hint="eastAsia" w:ascii="宋体" w:hAnsi="宋体"/>
        </w:rPr>
        <w:t>）发现有重大偏差时，磋商小组及其成员应按磋商文件中的规定，可以取消其投标的权利。</w:t>
      </w:r>
    </w:p>
    <w:p>
      <w:pPr>
        <w:spacing w:line="440" w:lineRule="exact"/>
        <w:ind w:firstLine="482" w:firstLineChars="200"/>
        <w:rPr>
          <w:rFonts w:hint="eastAsia" w:ascii="宋体" w:hAnsi="宋体"/>
          <w:b/>
        </w:rPr>
      </w:pPr>
      <w:r>
        <w:rPr>
          <w:rFonts w:ascii="宋体" w:hAnsi="宋体"/>
          <w:b/>
        </w:rPr>
        <w:t xml:space="preserve">3.3 </w:t>
      </w:r>
      <w:r>
        <w:rPr>
          <w:rFonts w:hint="eastAsia" w:ascii="宋体" w:hAnsi="宋体"/>
          <w:b/>
          <w:lang w:val="zh-CN"/>
        </w:rPr>
        <w:t>进行符合性审查时，磋商小组及成员</w:t>
      </w:r>
      <w:r>
        <w:rPr>
          <w:rFonts w:hint="eastAsia" w:ascii="宋体" w:hAnsi="宋体"/>
          <w:b/>
        </w:rPr>
        <w:t>应当审查每一个响应文件是否对磋商文件提出的所有实质性要求和条件作出响应。未能实质上响应的，视情况按照磋商文件的规定，应不得进入综合评审程序。主要有下列情况：</w:t>
      </w:r>
    </w:p>
    <w:p>
      <w:pPr>
        <w:pStyle w:val="44"/>
        <w:rPr>
          <w:rFonts w:hint="eastAsia" w:ascii="宋体" w:hAnsi="宋体"/>
          <w:b/>
        </w:rPr>
      </w:pPr>
    </w:p>
    <w:p>
      <w:pPr>
        <w:pStyle w:val="44"/>
        <w:rPr>
          <w:rFonts w:hint="eastAsia" w:ascii="宋体" w:hAnsi="宋体"/>
          <w:b/>
        </w:rPr>
      </w:pPr>
    </w:p>
    <w:p>
      <w:pPr>
        <w:pStyle w:val="44"/>
        <w:rPr>
          <w:rFonts w:hint="eastAsia" w:ascii="宋体" w:hAnsi="宋体"/>
          <w:b/>
        </w:rPr>
      </w:pPr>
    </w:p>
    <w:p>
      <w:pPr>
        <w:snapToGrid w:val="0"/>
        <w:spacing w:line="440" w:lineRule="exact"/>
        <w:ind w:firstLine="593" w:firstLineChars="246"/>
        <w:jc w:val="center"/>
        <w:rPr>
          <w:rFonts w:ascii="宋体" w:cs="宋体"/>
          <w:b/>
        </w:rPr>
      </w:pPr>
      <w:r>
        <w:rPr>
          <w:rFonts w:hint="eastAsia" w:ascii="宋体" w:hAnsi="宋体" w:cs="宋体"/>
          <w:b/>
        </w:rPr>
        <w:t>符合性审查表</w:t>
      </w:r>
    </w:p>
    <w:tbl>
      <w:tblPr>
        <w:tblStyle w:val="45"/>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375"/>
        <w:gridCol w:w="491"/>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982" w:type="dxa"/>
            <w:gridSpan w:val="2"/>
            <w:vMerge w:val="restart"/>
            <w:tcBorders>
              <w:top w:val="single" w:color="auto" w:sz="12" w:space="0"/>
              <w:right w:val="single" w:color="auto" w:sz="4" w:space="0"/>
            </w:tcBorders>
            <w:vAlign w:val="center"/>
          </w:tcPr>
          <w:p>
            <w:pPr>
              <w:jc w:val="center"/>
              <w:rPr>
                <w:rFonts w:ascii="宋体"/>
                <w:b/>
              </w:rPr>
            </w:pPr>
            <w:r>
              <w:rPr>
                <w:rFonts w:hint="eastAsia" w:ascii="宋体" w:hAnsi="宋体"/>
                <w:b/>
              </w:rPr>
              <w:t>评审内容</w:t>
            </w:r>
          </w:p>
        </w:tc>
        <w:tc>
          <w:tcPr>
            <w:tcW w:w="2266" w:type="dxa"/>
            <w:gridSpan w:val="4"/>
            <w:tcBorders>
              <w:top w:val="single" w:color="auto" w:sz="12" w:space="0"/>
              <w:left w:val="single" w:color="auto" w:sz="4" w:space="0"/>
              <w:bottom w:val="single" w:color="auto" w:sz="4" w:space="0"/>
            </w:tcBorders>
            <w:vAlign w:val="center"/>
          </w:tcPr>
          <w:p>
            <w:pPr>
              <w:jc w:val="center"/>
              <w:rPr>
                <w:rFonts w:ascii="宋体"/>
                <w:b/>
              </w:rPr>
            </w:pPr>
            <w:r>
              <w:rPr>
                <w:rFonts w:hint="eastAsia" w:ascii="宋体" w:hAnsi="宋体"/>
                <w:b/>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6982" w:type="dxa"/>
            <w:gridSpan w:val="2"/>
            <w:vMerge w:val="continue"/>
            <w:tcBorders>
              <w:right w:val="single" w:color="auto" w:sz="4" w:space="0"/>
            </w:tcBorders>
            <w:vAlign w:val="top"/>
          </w:tcPr>
          <w:p>
            <w:pPr>
              <w:rPr>
                <w:rFonts w:ascii="宋体"/>
                <w:b/>
                <w:szCs w:val="21"/>
              </w:rPr>
            </w:pPr>
          </w:p>
        </w:tc>
        <w:tc>
          <w:tcPr>
            <w:tcW w:w="49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ascii="宋体" w:hAnsi="宋体"/>
                <w:b/>
                <w:szCs w:val="21"/>
              </w:rPr>
              <w:t>1</w:t>
            </w:r>
          </w:p>
        </w:tc>
        <w:tc>
          <w:tcPr>
            <w:tcW w:w="608" w:type="dxa"/>
            <w:tcBorders>
              <w:top w:val="single" w:color="auto" w:sz="4" w:space="0"/>
              <w:left w:val="single" w:color="auto" w:sz="4" w:space="0"/>
            </w:tcBorders>
            <w:vAlign w:val="center"/>
          </w:tcPr>
          <w:p>
            <w:pPr>
              <w:jc w:val="center"/>
              <w:rPr>
                <w:rFonts w:ascii="宋体" w:hAnsi="宋体"/>
                <w:b/>
                <w:szCs w:val="21"/>
              </w:rPr>
            </w:pPr>
            <w:r>
              <w:rPr>
                <w:rFonts w:ascii="宋体" w:hAnsi="宋体"/>
                <w:b/>
                <w:szCs w:val="21"/>
              </w:rPr>
              <w:t>2</w:t>
            </w:r>
          </w:p>
        </w:tc>
        <w:tc>
          <w:tcPr>
            <w:tcW w:w="608" w:type="dxa"/>
            <w:vAlign w:val="center"/>
          </w:tcPr>
          <w:p>
            <w:pPr>
              <w:jc w:val="center"/>
              <w:rPr>
                <w:rFonts w:ascii="宋体" w:hAnsi="宋体"/>
                <w:b/>
                <w:szCs w:val="21"/>
              </w:rPr>
            </w:pPr>
            <w:r>
              <w:rPr>
                <w:rFonts w:ascii="宋体" w:hAnsi="宋体"/>
                <w:b/>
                <w:szCs w:val="21"/>
              </w:rPr>
              <w:t>3</w:t>
            </w:r>
          </w:p>
        </w:tc>
        <w:tc>
          <w:tcPr>
            <w:tcW w:w="559" w:type="dxa"/>
            <w:vAlign w:val="center"/>
          </w:tcPr>
          <w:p>
            <w:pPr>
              <w:jc w:val="center"/>
              <w:rPr>
                <w:rFonts w:asci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widowControl w:val="0"/>
              <w:wordWrap/>
              <w:autoSpaceDE w:val="0"/>
              <w:autoSpaceDN w:val="0"/>
              <w:adjustRightInd w:val="0"/>
              <w:snapToGrid/>
              <w:spacing w:line="440" w:lineRule="exact"/>
              <w:jc w:val="center"/>
              <w:textAlignment w:val="auto"/>
              <w:rPr>
                <w:rFonts w:ascii="宋体" w:hAnsi="宋体"/>
              </w:rPr>
            </w:pPr>
            <w:r>
              <w:rPr>
                <w:rFonts w:ascii="宋体" w:hAnsi="宋体"/>
              </w:rPr>
              <w:t>1</w:t>
            </w:r>
          </w:p>
        </w:tc>
        <w:tc>
          <w:tcPr>
            <w:tcW w:w="6375" w:type="dxa"/>
            <w:tcBorders>
              <w:right w:val="single" w:color="auto" w:sz="4" w:space="0"/>
            </w:tcBorders>
            <w:vAlign w:val="center"/>
          </w:tcPr>
          <w:p>
            <w:pPr>
              <w:pStyle w:val="18"/>
              <w:widowControl w:val="0"/>
              <w:kinsoku w:val="0"/>
              <w:wordWrap/>
              <w:overflowPunct w:val="0"/>
              <w:autoSpaceDE w:val="0"/>
              <w:autoSpaceDN w:val="0"/>
              <w:adjustRightInd w:val="0"/>
              <w:snapToGrid/>
              <w:spacing w:before="57" w:line="440" w:lineRule="exact"/>
              <w:ind w:left="0" w:leftChars="0" w:right="112" w:firstLine="0" w:firstLineChars="0"/>
              <w:jc w:val="both"/>
              <w:textAlignment w:val="auto"/>
              <w:rPr>
                <w:rFonts w:ascii="宋体"/>
              </w:rPr>
            </w:pPr>
            <w:r>
              <w:rPr>
                <w:rFonts w:hint="eastAsia"/>
                <w:b/>
              </w:rPr>
              <w:t>未按照磋商文件规定要求签署、盖章的；</w:t>
            </w:r>
          </w:p>
        </w:tc>
        <w:tc>
          <w:tcPr>
            <w:tcW w:w="49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vAlign w:val="top"/>
          </w:tcPr>
          <w:p>
            <w:pPr>
              <w:rPr>
                <w:rFonts w:ascii="宋体"/>
                <w:szCs w:val="21"/>
              </w:rPr>
            </w:pPr>
          </w:p>
        </w:tc>
        <w:tc>
          <w:tcPr>
            <w:tcW w:w="559" w:type="dxa"/>
            <w:tcBorders>
              <w:left w:val="single" w:color="auto" w:sz="4" w:space="0"/>
            </w:tcBorders>
            <w:vAlign w:val="top"/>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widowControl w:val="0"/>
              <w:wordWrap/>
              <w:autoSpaceDE w:val="0"/>
              <w:autoSpaceDN w:val="0"/>
              <w:adjustRightInd w:val="0"/>
              <w:snapToGrid/>
              <w:spacing w:line="440" w:lineRule="exact"/>
              <w:jc w:val="center"/>
              <w:textAlignment w:val="auto"/>
              <w:rPr>
                <w:rFonts w:ascii="宋体" w:hAnsi="宋体"/>
              </w:rPr>
            </w:pPr>
            <w:r>
              <w:rPr>
                <w:rFonts w:ascii="宋体" w:hAnsi="宋体"/>
              </w:rPr>
              <w:t>2</w:t>
            </w:r>
          </w:p>
        </w:tc>
        <w:tc>
          <w:tcPr>
            <w:tcW w:w="6375" w:type="dxa"/>
            <w:tcBorders>
              <w:right w:val="single" w:color="auto" w:sz="4" w:space="0"/>
            </w:tcBorders>
            <w:vAlign w:val="center"/>
          </w:tcPr>
          <w:p>
            <w:pPr>
              <w:widowControl w:val="0"/>
              <w:wordWrap/>
              <w:autoSpaceDE w:val="0"/>
              <w:autoSpaceDN w:val="0"/>
              <w:adjustRightInd w:val="0"/>
              <w:snapToGrid/>
              <w:spacing w:line="440" w:lineRule="exact"/>
              <w:textAlignment w:val="auto"/>
              <w:rPr>
                <w:rFonts w:ascii="宋体"/>
              </w:rPr>
            </w:pPr>
            <w:r>
              <w:rPr>
                <w:rFonts w:hint="eastAsia"/>
                <w:b/>
              </w:rPr>
              <w:t>响应文件明显不符合磋商文件规定的技术以及商务条款的实质性要求的；</w:t>
            </w:r>
          </w:p>
        </w:tc>
        <w:tc>
          <w:tcPr>
            <w:tcW w:w="49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vAlign w:val="top"/>
          </w:tcPr>
          <w:p>
            <w:pPr>
              <w:rPr>
                <w:rFonts w:ascii="宋体"/>
                <w:szCs w:val="21"/>
              </w:rPr>
            </w:pPr>
          </w:p>
        </w:tc>
        <w:tc>
          <w:tcPr>
            <w:tcW w:w="559" w:type="dxa"/>
            <w:tcBorders>
              <w:left w:val="single" w:color="auto" w:sz="4" w:space="0"/>
            </w:tcBorders>
            <w:vAlign w:val="top"/>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widowControl w:val="0"/>
              <w:wordWrap/>
              <w:autoSpaceDE w:val="0"/>
              <w:autoSpaceDN w:val="0"/>
              <w:adjustRightInd w:val="0"/>
              <w:snapToGrid/>
              <w:spacing w:line="440" w:lineRule="exact"/>
              <w:jc w:val="center"/>
              <w:textAlignment w:val="auto"/>
              <w:rPr>
                <w:rFonts w:ascii="宋体" w:hAnsi="宋体"/>
              </w:rPr>
            </w:pPr>
            <w:r>
              <w:rPr>
                <w:rFonts w:ascii="宋体" w:hAnsi="宋体"/>
              </w:rPr>
              <w:t>3</w:t>
            </w:r>
          </w:p>
        </w:tc>
        <w:tc>
          <w:tcPr>
            <w:tcW w:w="6375" w:type="dxa"/>
            <w:tcBorders>
              <w:right w:val="single" w:color="auto" w:sz="4" w:space="0"/>
            </w:tcBorders>
            <w:vAlign w:val="center"/>
          </w:tcPr>
          <w:p>
            <w:pPr>
              <w:pStyle w:val="18"/>
              <w:widowControl w:val="0"/>
              <w:kinsoku w:val="0"/>
              <w:wordWrap/>
              <w:overflowPunct w:val="0"/>
              <w:autoSpaceDE w:val="0"/>
              <w:autoSpaceDN w:val="0"/>
              <w:adjustRightInd w:val="0"/>
              <w:snapToGrid/>
              <w:spacing w:before="57" w:line="440" w:lineRule="exact"/>
              <w:ind w:left="0" w:leftChars="0" w:right="112" w:firstLine="0" w:firstLineChars="0"/>
              <w:jc w:val="both"/>
              <w:textAlignment w:val="auto"/>
              <w:rPr>
                <w:rFonts w:eastAsia="Times New Roman"/>
              </w:rPr>
            </w:pPr>
            <w:r>
              <w:rPr>
                <w:rFonts w:hint="eastAsia"/>
                <w:b/>
              </w:rPr>
              <w:t>响应文件载明的工期、质量标准等明显不符合磋商文件要求的；</w:t>
            </w:r>
          </w:p>
        </w:tc>
        <w:tc>
          <w:tcPr>
            <w:tcW w:w="49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vAlign w:val="top"/>
          </w:tcPr>
          <w:p>
            <w:pPr>
              <w:rPr>
                <w:rFonts w:ascii="宋体"/>
                <w:szCs w:val="21"/>
              </w:rPr>
            </w:pPr>
          </w:p>
        </w:tc>
        <w:tc>
          <w:tcPr>
            <w:tcW w:w="559" w:type="dxa"/>
            <w:tcBorders>
              <w:left w:val="single" w:color="auto" w:sz="4" w:space="0"/>
            </w:tcBorders>
            <w:vAlign w:val="top"/>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widowControl w:val="0"/>
              <w:wordWrap/>
              <w:autoSpaceDE w:val="0"/>
              <w:autoSpaceDN w:val="0"/>
              <w:adjustRightInd w:val="0"/>
              <w:snapToGrid/>
              <w:spacing w:line="440" w:lineRule="exact"/>
              <w:jc w:val="center"/>
              <w:textAlignment w:val="auto"/>
              <w:rPr>
                <w:rFonts w:ascii="宋体" w:hAnsi="宋体"/>
              </w:rPr>
            </w:pPr>
            <w:r>
              <w:rPr>
                <w:rFonts w:ascii="宋体" w:hAnsi="宋体"/>
              </w:rPr>
              <w:t>4</w:t>
            </w:r>
          </w:p>
        </w:tc>
        <w:tc>
          <w:tcPr>
            <w:tcW w:w="6375" w:type="dxa"/>
            <w:tcBorders>
              <w:right w:val="single" w:color="auto" w:sz="4" w:space="0"/>
            </w:tcBorders>
            <w:vAlign w:val="center"/>
          </w:tcPr>
          <w:p>
            <w:pPr>
              <w:widowControl w:val="0"/>
              <w:wordWrap/>
              <w:autoSpaceDE w:val="0"/>
              <w:autoSpaceDN w:val="0"/>
              <w:adjustRightInd w:val="0"/>
              <w:snapToGrid/>
              <w:spacing w:line="440" w:lineRule="exact"/>
              <w:textAlignment w:val="auto"/>
              <w:rPr>
                <w:rFonts w:ascii="宋体" w:hAnsi="宋体" w:cs="宋体"/>
              </w:rPr>
            </w:pPr>
            <w:r>
              <w:rPr>
                <w:rFonts w:hint="eastAsia"/>
                <w:b/>
              </w:rPr>
              <w:t>供应商对同一招标项目作出两个以上报价未明确效力的；</w:t>
            </w:r>
          </w:p>
        </w:tc>
        <w:tc>
          <w:tcPr>
            <w:tcW w:w="49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vAlign w:val="top"/>
          </w:tcPr>
          <w:p>
            <w:pPr>
              <w:rPr>
                <w:rFonts w:ascii="宋体"/>
                <w:szCs w:val="21"/>
              </w:rPr>
            </w:pPr>
          </w:p>
        </w:tc>
        <w:tc>
          <w:tcPr>
            <w:tcW w:w="559" w:type="dxa"/>
            <w:tcBorders>
              <w:left w:val="single" w:color="auto" w:sz="4" w:space="0"/>
            </w:tcBorders>
            <w:vAlign w:val="top"/>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widowControl w:val="0"/>
              <w:wordWrap/>
              <w:autoSpaceDE w:val="0"/>
              <w:autoSpaceDN w:val="0"/>
              <w:adjustRightInd w:val="0"/>
              <w:snapToGrid/>
              <w:spacing w:line="440" w:lineRule="exact"/>
              <w:jc w:val="center"/>
              <w:textAlignment w:val="auto"/>
              <w:rPr>
                <w:rFonts w:ascii="宋体"/>
              </w:rPr>
            </w:pPr>
            <w:r>
              <w:rPr>
                <w:rFonts w:ascii="宋体" w:hAnsi="宋体"/>
              </w:rPr>
              <w:t>5</w:t>
            </w:r>
          </w:p>
        </w:tc>
        <w:tc>
          <w:tcPr>
            <w:tcW w:w="6375" w:type="dxa"/>
            <w:tcBorders>
              <w:right w:val="single" w:color="auto" w:sz="4" w:space="0"/>
            </w:tcBorders>
            <w:vAlign w:val="center"/>
          </w:tcPr>
          <w:p>
            <w:pPr>
              <w:pStyle w:val="18"/>
              <w:widowControl w:val="0"/>
              <w:kinsoku w:val="0"/>
              <w:wordWrap/>
              <w:overflowPunct w:val="0"/>
              <w:autoSpaceDE w:val="0"/>
              <w:autoSpaceDN w:val="0"/>
              <w:adjustRightInd w:val="0"/>
              <w:snapToGrid/>
              <w:spacing w:before="57" w:line="440" w:lineRule="exact"/>
              <w:ind w:left="0" w:leftChars="0" w:right="112" w:firstLine="0" w:firstLineChars="0"/>
              <w:jc w:val="both"/>
              <w:textAlignment w:val="auto"/>
              <w:rPr>
                <w:rFonts w:ascii="宋体" w:cs="宋体"/>
                <w:bCs/>
              </w:rPr>
            </w:pPr>
            <w:r>
              <w:rPr>
                <w:rFonts w:hint="eastAsia"/>
                <w:b/>
              </w:rPr>
              <w:t>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tc>
        <w:tc>
          <w:tcPr>
            <w:tcW w:w="49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vAlign w:val="top"/>
          </w:tcPr>
          <w:p>
            <w:pPr>
              <w:rPr>
                <w:rFonts w:ascii="宋体"/>
                <w:szCs w:val="21"/>
              </w:rPr>
            </w:pPr>
          </w:p>
        </w:tc>
        <w:tc>
          <w:tcPr>
            <w:tcW w:w="559" w:type="dxa"/>
            <w:tcBorders>
              <w:left w:val="single" w:color="auto" w:sz="4" w:space="0"/>
            </w:tcBorders>
            <w:vAlign w:val="top"/>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widowControl w:val="0"/>
              <w:wordWrap/>
              <w:autoSpaceDE w:val="0"/>
              <w:autoSpaceDN w:val="0"/>
              <w:adjustRightInd w:val="0"/>
              <w:snapToGrid/>
              <w:spacing w:line="440" w:lineRule="exact"/>
              <w:jc w:val="center"/>
              <w:textAlignment w:val="auto"/>
              <w:rPr>
                <w:rFonts w:ascii="宋体"/>
              </w:rPr>
            </w:pPr>
            <w:r>
              <w:rPr>
                <w:rFonts w:ascii="宋体" w:hAnsi="宋体"/>
              </w:rPr>
              <w:t>6</w:t>
            </w:r>
          </w:p>
        </w:tc>
        <w:tc>
          <w:tcPr>
            <w:tcW w:w="6375" w:type="dxa"/>
            <w:tcBorders>
              <w:right w:val="single" w:color="auto" w:sz="4" w:space="0"/>
            </w:tcBorders>
            <w:vAlign w:val="center"/>
          </w:tcPr>
          <w:p>
            <w:pPr>
              <w:pStyle w:val="18"/>
              <w:widowControl w:val="0"/>
              <w:kinsoku w:val="0"/>
              <w:wordWrap/>
              <w:overflowPunct w:val="0"/>
              <w:autoSpaceDE w:val="0"/>
              <w:autoSpaceDN w:val="0"/>
              <w:adjustRightInd w:val="0"/>
              <w:snapToGrid/>
              <w:spacing w:before="57" w:line="440" w:lineRule="exact"/>
              <w:ind w:left="0" w:leftChars="0" w:right="112" w:firstLine="0" w:firstLineChars="0"/>
              <w:jc w:val="both"/>
              <w:textAlignment w:val="auto"/>
              <w:rPr>
                <w:rFonts w:hint="eastAsia" w:ascii="宋体" w:eastAsia="宋体"/>
                <w:lang w:val="en-US" w:eastAsia="zh-CN"/>
              </w:rPr>
            </w:pPr>
            <w:r>
              <w:rPr>
                <w:rFonts w:hint="eastAsia"/>
                <w:b/>
              </w:rPr>
              <w:t>供应商的投标报价超过最高限价，且采购人不能支付的；</w:t>
            </w:r>
          </w:p>
        </w:tc>
        <w:tc>
          <w:tcPr>
            <w:tcW w:w="49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vAlign w:val="top"/>
          </w:tcPr>
          <w:p>
            <w:pPr>
              <w:rPr>
                <w:rFonts w:ascii="宋体"/>
                <w:szCs w:val="21"/>
              </w:rPr>
            </w:pPr>
          </w:p>
        </w:tc>
        <w:tc>
          <w:tcPr>
            <w:tcW w:w="559" w:type="dxa"/>
            <w:tcBorders>
              <w:left w:val="single" w:color="auto" w:sz="4" w:space="0"/>
            </w:tcBorders>
            <w:vAlign w:val="top"/>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widowControl w:val="0"/>
              <w:wordWrap/>
              <w:autoSpaceDE w:val="0"/>
              <w:autoSpaceDN w:val="0"/>
              <w:adjustRightInd w:val="0"/>
              <w:snapToGrid/>
              <w:spacing w:line="440" w:lineRule="exact"/>
              <w:jc w:val="center"/>
              <w:textAlignment w:val="auto"/>
              <w:rPr>
                <w:rFonts w:ascii="宋体"/>
              </w:rPr>
            </w:pPr>
            <w:r>
              <w:rPr>
                <w:rFonts w:ascii="宋体" w:hAnsi="宋体"/>
              </w:rPr>
              <w:t>7</w:t>
            </w:r>
          </w:p>
        </w:tc>
        <w:tc>
          <w:tcPr>
            <w:tcW w:w="6375" w:type="dxa"/>
            <w:tcBorders>
              <w:right w:val="single" w:color="auto" w:sz="4" w:space="0"/>
            </w:tcBorders>
            <w:vAlign w:val="center"/>
          </w:tcPr>
          <w:p>
            <w:pPr>
              <w:pStyle w:val="18"/>
              <w:widowControl w:val="0"/>
              <w:kinsoku w:val="0"/>
              <w:wordWrap/>
              <w:overflowPunct w:val="0"/>
              <w:autoSpaceDE w:val="0"/>
              <w:autoSpaceDN w:val="0"/>
              <w:adjustRightInd w:val="0"/>
              <w:snapToGrid/>
              <w:spacing w:before="57" w:line="440" w:lineRule="exact"/>
              <w:ind w:left="0" w:leftChars="0" w:right="112" w:firstLine="0" w:firstLineChars="0"/>
              <w:jc w:val="both"/>
              <w:textAlignment w:val="auto"/>
              <w:rPr>
                <w:rFonts w:ascii="宋体" w:cs="宋体"/>
              </w:rPr>
            </w:pPr>
            <w:r>
              <w:rPr>
                <w:rFonts w:hint="eastAsia"/>
                <w:b/>
              </w:rPr>
              <w:t>在评标过程中，发现供应商以他人名义投标、串通投标、以行贿手段谋取成交或者以其他弄虚作假方式投标的；</w:t>
            </w:r>
          </w:p>
        </w:tc>
        <w:tc>
          <w:tcPr>
            <w:tcW w:w="49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vAlign w:val="top"/>
          </w:tcPr>
          <w:p>
            <w:pPr>
              <w:rPr>
                <w:rFonts w:ascii="宋体"/>
                <w:szCs w:val="21"/>
              </w:rPr>
            </w:pPr>
          </w:p>
        </w:tc>
        <w:tc>
          <w:tcPr>
            <w:tcW w:w="559" w:type="dxa"/>
            <w:tcBorders>
              <w:left w:val="single" w:color="auto" w:sz="4" w:space="0"/>
            </w:tcBorders>
            <w:vAlign w:val="top"/>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widowControl w:val="0"/>
              <w:wordWrap/>
              <w:autoSpaceDE w:val="0"/>
              <w:autoSpaceDN w:val="0"/>
              <w:adjustRightInd w:val="0"/>
              <w:snapToGrid/>
              <w:spacing w:line="440" w:lineRule="exact"/>
              <w:jc w:val="center"/>
              <w:textAlignment w:val="auto"/>
              <w:rPr>
                <w:rFonts w:ascii="宋体" w:hAnsi="宋体"/>
              </w:rPr>
            </w:pPr>
            <w:r>
              <w:rPr>
                <w:rFonts w:hint="eastAsia" w:ascii="宋体" w:hAnsi="宋体"/>
              </w:rPr>
              <w:t>8</w:t>
            </w:r>
          </w:p>
        </w:tc>
        <w:tc>
          <w:tcPr>
            <w:tcW w:w="6375" w:type="dxa"/>
            <w:tcBorders>
              <w:right w:val="single" w:color="auto" w:sz="4" w:space="0"/>
            </w:tcBorders>
            <w:vAlign w:val="center"/>
          </w:tcPr>
          <w:p>
            <w:pPr>
              <w:pStyle w:val="18"/>
              <w:widowControl w:val="0"/>
              <w:kinsoku w:val="0"/>
              <w:wordWrap/>
              <w:overflowPunct w:val="0"/>
              <w:autoSpaceDE w:val="0"/>
              <w:autoSpaceDN w:val="0"/>
              <w:adjustRightInd w:val="0"/>
              <w:snapToGrid/>
              <w:spacing w:before="57" w:line="440" w:lineRule="exact"/>
              <w:ind w:left="0" w:leftChars="0" w:right="112" w:firstLine="0" w:firstLineChars="0"/>
              <w:jc w:val="both"/>
              <w:textAlignment w:val="auto"/>
              <w:rPr>
                <w:rFonts w:ascii="宋体" w:cs="宋体"/>
                <w:bCs/>
              </w:rPr>
            </w:pPr>
            <w:r>
              <w:rPr>
                <w:rFonts w:hint="eastAsia"/>
                <w:b/>
              </w:rPr>
              <w:t>响应文件附有采购人不能接受的实质性条件的；</w:t>
            </w:r>
          </w:p>
        </w:tc>
        <w:tc>
          <w:tcPr>
            <w:tcW w:w="491" w:type="dxa"/>
            <w:tcBorders>
              <w:left w:val="single" w:color="auto" w:sz="4" w:space="0"/>
              <w:right w:val="single" w:color="auto" w:sz="4" w:space="0"/>
            </w:tcBorders>
            <w:vAlign w:val="center"/>
          </w:tcPr>
          <w:p>
            <w:pPr>
              <w:snapToGrid w:val="0"/>
              <w:spacing w:line="360" w:lineRule="auto"/>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vAlign w:val="top"/>
          </w:tcPr>
          <w:p>
            <w:pPr>
              <w:rPr>
                <w:rFonts w:ascii="宋体"/>
                <w:szCs w:val="21"/>
              </w:rPr>
            </w:pPr>
          </w:p>
        </w:tc>
        <w:tc>
          <w:tcPr>
            <w:tcW w:w="559" w:type="dxa"/>
            <w:tcBorders>
              <w:left w:val="single" w:color="auto" w:sz="4" w:space="0"/>
            </w:tcBorders>
            <w:vAlign w:val="top"/>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widowControl w:val="0"/>
              <w:wordWrap/>
              <w:autoSpaceDE w:val="0"/>
              <w:autoSpaceDN w:val="0"/>
              <w:adjustRightInd w:val="0"/>
              <w:snapToGrid/>
              <w:spacing w:line="440" w:lineRule="exact"/>
              <w:jc w:val="center"/>
              <w:textAlignment w:val="auto"/>
              <w:rPr>
                <w:rFonts w:ascii="宋体" w:hAnsi="宋体"/>
              </w:rPr>
            </w:pPr>
            <w:r>
              <w:rPr>
                <w:rFonts w:hint="eastAsia" w:ascii="宋体" w:hAnsi="宋体"/>
              </w:rPr>
              <w:t>9</w:t>
            </w:r>
          </w:p>
        </w:tc>
        <w:tc>
          <w:tcPr>
            <w:tcW w:w="6375" w:type="dxa"/>
            <w:tcBorders>
              <w:right w:val="single" w:color="auto" w:sz="4" w:space="0"/>
            </w:tcBorders>
            <w:vAlign w:val="center"/>
          </w:tcPr>
          <w:p>
            <w:pPr>
              <w:pStyle w:val="18"/>
              <w:widowControl w:val="0"/>
              <w:kinsoku w:val="0"/>
              <w:wordWrap/>
              <w:overflowPunct w:val="0"/>
              <w:autoSpaceDE w:val="0"/>
              <w:autoSpaceDN w:val="0"/>
              <w:adjustRightInd w:val="0"/>
              <w:snapToGrid/>
              <w:spacing w:before="57" w:line="440" w:lineRule="exact"/>
              <w:ind w:left="0" w:leftChars="0" w:right="112" w:firstLine="0" w:firstLineChars="0"/>
              <w:jc w:val="both"/>
              <w:textAlignment w:val="auto"/>
              <w:rPr>
                <w:rFonts w:ascii="宋体" w:cs="宋体"/>
                <w:bCs/>
              </w:rPr>
            </w:pPr>
            <w:r>
              <w:rPr>
                <w:rFonts w:hint="eastAsia"/>
                <w:b/>
              </w:rPr>
              <w:t>响应文件不符合磋商文件规定的其他实质性要求的。</w:t>
            </w:r>
          </w:p>
        </w:tc>
        <w:tc>
          <w:tcPr>
            <w:tcW w:w="491" w:type="dxa"/>
            <w:tcBorders>
              <w:left w:val="single" w:color="auto" w:sz="4" w:space="0"/>
              <w:right w:val="single" w:color="auto" w:sz="4" w:space="0"/>
            </w:tcBorders>
            <w:vAlign w:val="center"/>
          </w:tcPr>
          <w:p>
            <w:pPr>
              <w:snapToGrid w:val="0"/>
              <w:spacing w:line="360" w:lineRule="auto"/>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vAlign w:val="top"/>
          </w:tcPr>
          <w:p>
            <w:pPr>
              <w:rPr>
                <w:rFonts w:ascii="宋体"/>
                <w:szCs w:val="21"/>
              </w:rPr>
            </w:pPr>
          </w:p>
        </w:tc>
        <w:tc>
          <w:tcPr>
            <w:tcW w:w="559" w:type="dxa"/>
            <w:tcBorders>
              <w:left w:val="single" w:color="auto" w:sz="4" w:space="0"/>
            </w:tcBorders>
            <w:vAlign w:val="top"/>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982" w:type="dxa"/>
            <w:gridSpan w:val="2"/>
            <w:tcBorders>
              <w:bottom w:val="single" w:color="auto" w:sz="12" w:space="0"/>
              <w:right w:val="single" w:color="auto" w:sz="4" w:space="0"/>
            </w:tcBorders>
            <w:vAlign w:val="top"/>
          </w:tcPr>
          <w:p>
            <w:pPr>
              <w:rPr>
                <w:rFonts w:ascii="宋体"/>
              </w:rPr>
            </w:pPr>
            <w:r>
              <w:rPr>
                <w:rFonts w:hint="eastAsia" w:ascii="宋体" w:hAnsi="宋体"/>
              </w:rPr>
              <w:t>结论：是否通过评审</w:t>
            </w:r>
          </w:p>
        </w:tc>
        <w:tc>
          <w:tcPr>
            <w:tcW w:w="491" w:type="dxa"/>
            <w:tcBorders>
              <w:left w:val="single" w:color="auto" w:sz="4" w:space="0"/>
              <w:bottom w:val="single" w:color="auto" w:sz="12" w:space="0"/>
              <w:right w:val="single" w:color="auto" w:sz="4" w:space="0"/>
            </w:tcBorders>
            <w:vAlign w:val="top"/>
          </w:tcPr>
          <w:p>
            <w:pPr>
              <w:rPr>
                <w:rFonts w:ascii="宋体"/>
                <w:szCs w:val="21"/>
              </w:rPr>
            </w:pPr>
          </w:p>
        </w:tc>
        <w:tc>
          <w:tcPr>
            <w:tcW w:w="608" w:type="dxa"/>
            <w:tcBorders>
              <w:left w:val="single" w:color="auto" w:sz="4" w:space="0"/>
              <w:bottom w:val="single" w:color="auto" w:sz="12" w:space="0"/>
            </w:tcBorders>
            <w:vAlign w:val="top"/>
          </w:tcPr>
          <w:p>
            <w:pPr>
              <w:rPr>
                <w:rFonts w:ascii="宋体"/>
                <w:szCs w:val="21"/>
              </w:rPr>
            </w:pPr>
          </w:p>
        </w:tc>
        <w:tc>
          <w:tcPr>
            <w:tcW w:w="608" w:type="dxa"/>
            <w:tcBorders>
              <w:bottom w:val="single" w:color="auto" w:sz="12" w:space="0"/>
            </w:tcBorders>
            <w:vAlign w:val="top"/>
          </w:tcPr>
          <w:p>
            <w:pPr>
              <w:rPr>
                <w:rFonts w:ascii="宋体"/>
                <w:szCs w:val="21"/>
              </w:rPr>
            </w:pPr>
          </w:p>
        </w:tc>
        <w:tc>
          <w:tcPr>
            <w:tcW w:w="559" w:type="dxa"/>
            <w:tcBorders>
              <w:bottom w:val="single" w:color="auto" w:sz="12" w:space="0"/>
            </w:tcBorders>
            <w:vAlign w:val="top"/>
          </w:tcPr>
          <w:p>
            <w:pPr>
              <w:rPr>
                <w:rFonts w:ascii="宋体"/>
                <w:szCs w:val="21"/>
              </w:rPr>
            </w:pPr>
          </w:p>
        </w:tc>
      </w:tr>
    </w:tbl>
    <w:p>
      <w:pPr>
        <w:pStyle w:val="18"/>
        <w:kinsoku w:val="0"/>
        <w:overflowPunct w:val="0"/>
        <w:spacing w:before="57" w:line="440" w:lineRule="exact"/>
        <w:ind w:left="0" w:right="112"/>
        <w:jc w:val="both"/>
        <w:rPr>
          <w:rFonts w:eastAsia="宋体"/>
          <w:b/>
        </w:rPr>
      </w:pPr>
    </w:p>
    <w:p>
      <w:pPr>
        <w:spacing w:line="360" w:lineRule="auto"/>
        <w:ind w:firstLine="480" w:firstLineChars="200"/>
        <w:rPr>
          <w:rFonts w:eastAsia="Times New Roman"/>
        </w:rPr>
      </w:pPr>
      <w:r>
        <w:rPr>
          <w:rFonts w:ascii="宋体" w:hAnsi="宋体"/>
        </w:rPr>
        <w:t xml:space="preserve">3.4 </w:t>
      </w:r>
      <w:r>
        <w:rPr>
          <w:rFonts w:hint="eastAsia" w:ascii="宋体" w:hAnsi="宋体"/>
        </w:rPr>
        <w:t>磋商小组根据上述规定否决不合格投标或者界定为废标后，因有效投标不足三个使得投标明显缺乏竞争性时，根据《中华人民共和国政府采购法》及磋商文件的相关规定，可以作出废标处理，并由采购人依法重新组织采购活动。</w:t>
      </w:r>
    </w:p>
    <w:p>
      <w:pPr>
        <w:spacing w:line="440" w:lineRule="exact"/>
        <w:ind w:firstLine="478" w:firstLineChars="200"/>
        <w:rPr>
          <w:rFonts w:ascii="宋体" w:hAnsi="宋体" w:eastAsia="宋体" w:cs="TMBCOU+ËÎÌå"/>
          <w:b/>
          <w:spacing w:val="-1"/>
        </w:rPr>
      </w:pPr>
      <w:r>
        <w:rPr>
          <w:rFonts w:hint="eastAsia" w:ascii="宋体" w:hAnsi="宋体" w:eastAsia="宋体" w:cs="TMBCOU+ËÎÌå"/>
          <w:b/>
          <w:spacing w:val="-1"/>
        </w:rPr>
        <w:t>四</w:t>
      </w:r>
      <w:r>
        <w:rPr>
          <w:rFonts w:ascii="宋体" w:hAnsi="宋体" w:eastAsia="宋体" w:cs="TMBCOU+ËÎÌå"/>
          <w:b/>
          <w:spacing w:val="-1"/>
        </w:rPr>
        <w:t>、详细评审标准</w:t>
      </w:r>
    </w:p>
    <w:p>
      <w:pPr>
        <w:spacing w:line="440" w:lineRule="exact"/>
        <w:ind w:firstLine="476" w:firstLineChars="200"/>
        <w:rPr>
          <w:rFonts w:ascii="宋体" w:hAnsi="宋体" w:eastAsia="宋体" w:cs="TMBCOU+ËÎÌå"/>
          <w:spacing w:val="-1"/>
        </w:rPr>
      </w:pPr>
      <w:r>
        <w:rPr>
          <w:rFonts w:hint="eastAsia" w:ascii="宋体" w:hAnsi="宋体" w:eastAsia="宋体" w:cs="TMBCOU+ËÎÌå"/>
          <w:spacing w:val="-1"/>
        </w:rPr>
        <w:t>4</w:t>
      </w:r>
      <w:r>
        <w:rPr>
          <w:rFonts w:ascii="宋体" w:hAnsi="宋体" w:eastAsia="宋体" w:cs="TMBCOU+ËÎÌå"/>
          <w:spacing w:val="-1"/>
        </w:rPr>
        <w:t>.1竞争性磋商步骤</w:t>
      </w:r>
    </w:p>
    <w:p>
      <w:pPr>
        <w:pStyle w:val="82"/>
        <w:widowControl w:val="0"/>
        <w:autoSpaceDE w:val="0"/>
        <w:autoSpaceDN w:val="0"/>
        <w:spacing w:before="0" w:after="0" w:line="440" w:lineRule="exact"/>
        <w:ind w:firstLine="360" w:firstLineChars="150"/>
        <w:jc w:val="left"/>
        <w:rPr>
          <w:rFonts w:ascii="宋体" w:hAnsi="宋体" w:eastAsia="宋体"/>
          <w:sz w:val="24"/>
          <w:szCs w:val="24"/>
          <w:lang w:eastAsia="zh-CN"/>
        </w:rPr>
      </w:pPr>
      <w:r>
        <w:rPr>
          <w:rFonts w:hint="eastAsia" w:ascii="宋体" w:hAnsi="宋体" w:eastAsia="宋体"/>
          <w:sz w:val="24"/>
          <w:szCs w:val="24"/>
          <w:lang w:eastAsia="zh-CN"/>
        </w:rPr>
        <w:t>（1）</w:t>
      </w:r>
      <w:r>
        <w:rPr>
          <w:rFonts w:ascii="宋体" w:hAnsi="宋体" w:eastAsia="宋体"/>
          <w:sz w:val="24"/>
          <w:szCs w:val="24"/>
          <w:lang w:eastAsia="zh-CN"/>
        </w:rPr>
        <w:t>磋商小组全体成员集中与单一供应商就采购需求、质量和服务等分别进行磋商。逐家磋商一次为一个轮次，磋商轮次由磋商小组视情况决定。</w:t>
      </w:r>
    </w:p>
    <w:p>
      <w:pPr>
        <w:pStyle w:val="18"/>
        <w:kinsoku w:val="0"/>
        <w:overflowPunct w:val="0"/>
        <w:spacing w:line="440" w:lineRule="exact"/>
        <w:ind w:left="111" w:right="110" w:firstLine="240" w:firstLineChars="100"/>
        <w:rPr>
          <w:rFonts w:eastAsia="Times New Roman"/>
        </w:rPr>
      </w:pPr>
      <w:r>
        <w:rPr>
          <w:rFonts w:hint="eastAsia" w:ascii="宋体" w:hAnsi="宋体" w:eastAsia="宋体"/>
        </w:rPr>
        <w:t>（2）</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8"/>
        <w:kinsoku w:val="0"/>
        <w:overflowPunct w:val="0"/>
        <w:spacing w:before="56" w:line="440" w:lineRule="exact"/>
        <w:ind w:left="111" w:right="110" w:firstLine="240" w:firstLineChars="100"/>
      </w:pPr>
      <w:r>
        <w:rPr>
          <w:rFonts w:hint="eastAsia" w:ascii="宋体" w:hAnsi="宋体" w:eastAsia="宋体"/>
        </w:rPr>
        <w:t>（3）</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8"/>
        <w:kinsoku w:val="0"/>
        <w:overflowPunct w:val="0"/>
        <w:spacing w:line="440" w:lineRule="exact"/>
        <w:ind w:left="111" w:right="110" w:firstLine="240" w:firstLineChars="100"/>
      </w:pPr>
      <w:r>
        <w:rPr>
          <w:rFonts w:hint="eastAsia" w:ascii="宋体" w:hAnsi="宋体" w:eastAsia="宋体"/>
        </w:rPr>
        <w:t>（</w:t>
      </w:r>
      <w:r>
        <w:rPr>
          <w:rFonts w:hint="eastAsia"/>
        </w:rPr>
        <w:t>4）</w:t>
      </w:r>
      <w:r>
        <w:t>磋商结束后，磋商小组将要求实质性响应</w:t>
      </w:r>
      <w:r>
        <w:rPr>
          <w:rFonts w:hint="eastAsia"/>
          <w:lang w:eastAsia="zh-CN"/>
        </w:rPr>
        <w:t>磋商</w:t>
      </w:r>
      <w:r>
        <w:t>文件的供应商在规定时间内</w:t>
      </w:r>
      <w:r>
        <w:rPr>
          <w:rFonts w:hint="eastAsia"/>
        </w:rPr>
        <w:t>在线</w:t>
      </w:r>
      <w:r>
        <w:t>提交最后报价</w:t>
      </w:r>
      <w:r>
        <w:rPr>
          <w:rFonts w:hint="eastAsia"/>
        </w:rPr>
        <w:t>，</w:t>
      </w:r>
      <w:r>
        <w:t>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18"/>
        <w:kinsoku w:val="0"/>
        <w:overflowPunct w:val="0"/>
        <w:spacing w:line="440" w:lineRule="exact"/>
        <w:ind w:left="111" w:right="110" w:firstLine="240" w:firstLineChars="100"/>
      </w:pPr>
      <w:r>
        <w:rPr>
          <w:rFonts w:hint="eastAsia"/>
        </w:rPr>
        <w:t>（5）磋商结束后，参加磋商的供应商应当对磋商达成的意向，以书面形式由全权代表签字确认后提交。</w:t>
      </w:r>
    </w:p>
    <w:p>
      <w:pPr>
        <w:pStyle w:val="18"/>
        <w:kinsoku w:val="0"/>
        <w:overflowPunct w:val="0"/>
        <w:spacing w:before="56" w:line="440" w:lineRule="exact"/>
        <w:ind w:left="111" w:right="110" w:firstLine="240" w:firstLineChars="100"/>
        <w:rPr>
          <w:rFonts w:eastAsia="宋体"/>
        </w:rPr>
      </w:pPr>
      <w:r>
        <w:rPr>
          <w:rFonts w:hint="eastAsia"/>
        </w:rPr>
        <w:t>（6）磋商小组依据本须知</w:t>
      </w:r>
      <w:r>
        <w:t>35.5</w:t>
      </w:r>
      <w:r>
        <w:rPr>
          <w:rFonts w:hint="eastAsi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spacing w:line="440" w:lineRule="exact"/>
        <w:ind w:firstLine="476" w:firstLineChars="200"/>
        <w:rPr>
          <w:rFonts w:ascii="宋体" w:hAnsi="宋体" w:eastAsia="宋体" w:cs="TMBCOU+ËÎÌå"/>
          <w:spacing w:val="-1"/>
        </w:rPr>
      </w:pPr>
      <w:r>
        <w:rPr>
          <w:rFonts w:hint="eastAsia" w:ascii="宋体" w:hAnsi="宋体" w:eastAsia="宋体" w:cs="TMBCOU+ËÎÌå"/>
          <w:spacing w:val="-1"/>
        </w:rPr>
        <w:t>4</w:t>
      </w:r>
      <w:r>
        <w:rPr>
          <w:rFonts w:ascii="宋体" w:hAnsi="宋体" w:eastAsia="宋体" w:cs="TMBCOU+ËÎÌå"/>
          <w:spacing w:val="-1"/>
        </w:rPr>
        <w:t>.2、评审方法及标准：</w:t>
      </w:r>
    </w:p>
    <w:p>
      <w:pPr>
        <w:spacing w:line="440" w:lineRule="exact"/>
        <w:ind w:firstLine="476" w:firstLineChars="200"/>
        <w:rPr>
          <w:rFonts w:ascii="宋体" w:hAnsi="宋体" w:eastAsia="宋体" w:cs="TMBCOU+ËÎÌå"/>
          <w:spacing w:val="-1"/>
        </w:rPr>
      </w:pPr>
      <w:r>
        <w:rPr>
          <w:rFonts w:ascii="宋体" w:hAnsi="宋体" w:eastAsia="宋体" w:cs="TMBCOU+ËÎÌå"/>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宋体" w:hAnsi="宋体" w:eastAsia="宋体" w:cs="TMBCOU+ËÎÌå"/>
          <w:spacing w:val="-1"/>
        </w:rPr>
        <w:t>前3</w:t>
      </w:r>
      <w:r>
        <w:rPr>
          <w:rFonts w:ascii="宋体" w:hAnsi="宋体" w:eastAsia="宋体" w:cs="TMBCOU+ËÎÌå"/>
          <w:spacing w:val="-1"/>
        </w:rPr>
        <w:t>名成交候选供应商；评审总得分相同的按最后报价由低到高顺序排列，评审总得分且最终报价相同的，按技术部分得分顺序排列。</w:t>
      </w:r>
    </w:p>
    <w:p>
      <w:pPr>
        <w:spacing w:line="440" w:lineRule="exact"/>
        <w:ind w:firstLine="476" w:firstLineChars="200"/>
        <w:rPr>
          <w:rFonts w:ascii="TMBCOU+ËÎÌå" w:hAnsi="TMBCOU+ËÎÌå" w:cs="TMBCOU+ËÎÌå"/>
          <w:spacing w:val="-1"/>
        </w:rPr>
      </w:pPr>
      <w:r>
        <w:rPr>
          <w:rFonts w:ascii="TMBCOU+ËÎÌå" w:hAnsi="TMBCOU+ËÎÌå" w:cs="TMBCOU+ËÎÌå"/>
          <w:spacing w:val="-1"/>
        </w:rPr>
        <w:t>详细评审标准：</w:t>
      </w:r>
    </w:p>
    <w:tbl>
      <w:tblPr>
        <w:tblStyle w:val="45"/>
        <w:tblW w:w="987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46"/>
        <w:gridCol w:w="1459"/>
        <w:gridCol w:w="675"/>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7" w:type="dxa"/>
            <w:shd w:val="clear" w:color="000000" w:fill="FFFFFF"/>
            <w:vAlign w:val="center"/>
          </w:tcPr>
          <w:p>
            <w:pPr>
              <w:widowControl/>
              <w:spacing w:line="360" w:lineRule="exact"/>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105" w:type="dxa"/>
            <w:gridSpan w:val="2"/>
            <w:shd w:val="clear" w:color="000000" w:fill="FFFFFF"/>
            <w:vAlign w:val="center"/>
          </w:tcPr>
          <w:p>
            <w:pPr>
              <w:widowControl/>
              <w:spacing w:line="360" w:lineRule="exact"/>
              <w:jc w:val="center"/>
              <w:rPr>
                <w:rFonts w:ascii="宋体" w:hAnsi="宋体" w:eastAsia="宋体" w:cs="宋体"/>
                <w:b/>
                <w:bCs/>
                <w:color w:val="auto"/>
                <w:sz w:val="21"/>
                <w:szCs w:val="21"/>
              </w:rPr>
            </w:pPr>
            <w:r>
              <w:rPr>
                <w:rFonts w:hint="eastAsia" w:ascii="宋体" w:hAnsi="宋体" w:eastAsia="宋体" w:cs="宋体"/>
                <w:b/>
                <w:bCs/>
                <w:color w:val="auto"/>
                <w:sz w:val="21"/>
                <w:szCs w:val="21"/>
              </w:rPr>
              <w:t>评审</w:t>
            </w:r>
          </w:p>
          <w:p>
            <w:pPr>
              <w:widowControl/>
              <w:spacing w:line="360" w:lineRule="exact"/>
              <w:jc w:val="center"/>
              <w:rPr>
                <w:rFonts w:ascii="宋体" w:hAnsi="宋体" w:eastAsia="宋体" w:cs="宋体"/>
                <w:b/>
                <w:bCs/>
                <w:color w:val="auto"/>
                <w:sz w:val="21"/>
                <w:szCs w:val="21"/>
              </w:rPr>
            </w:pPr>
            <w:r>
              <w:rPr>
                <w:rFonts w:hint="eastAsia" w:ascii="宋体" w:hAnsi="宋体" w:eastAsia="宋体" w:cs="宋体"/>
                <w:b/>
                <w:bCs/>
                <w:color w:val="auto"/>
                <w:sz w:val="21"/>
                <w:szCs w:val="21"/>
              </w:rPr>
              <w:t>因素</w:t>
            </w:r>
          </w:p>
        </w:tc>
        <w:tc>
          <w:tcPr>
            <w:tcW w:w="675" w:type="dxa"/>
            <w:shd w:val="clear" w:color="000000" w:fill="FFFFFF"/>
            <w:vAlign w:val="center"/>
          </w:tcPr>
          <w:p>
            <w:pPr>
              <w:widowControl/>
              <w:spacing w:line="360" w:lineRule="exact"/>
              <w:jc w:val="center"/>
              <w:rPr>
                <w:rFonts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6666" w:type="dxa"/>
            <w:shd w:val="clear" w:color="000000" w:fill="FFFFFF"/>
            <w:vAlign w:val="center"/>
          </w:tcPr>
          <w:p>
            <w:pPr>
              <w:widowControl/>
              <w:spacing w:line="360" w:lineRule="exact"/>
              <w:jc w:val="center"/>
              <w:rPr>
                <w:rFonts w:ascii="宋体" w:hAnsi="宋体" w:eastAsia="宋体" w:cs="宋体"/>
                <w:b/>
                <w:bCs/>
                <w:color w:val="auto"/>
                <w:sz w:val="21"/>
                <w:szCs w:val="21"/>
              </w:rPr>
            </w:pPr>
            <w:r>
              <w:rPr>
                <w:rFonts w:hint="eastAsia" w:ascii="宋体" w:hAnsi="宋体" w:eastAsia="宋体" w:cs="宋体"/>
                <w:b/>
                <w:bCs/>
                <w:color w:val="auto"/>
                <w:sz w:val="21"/>
                <w:szCs w:val="21"/>
              </w:rPr>
              <w:t>评审标准说明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7" w:type="dxa"/>
            <w:shd w:val="clear" w:color="000000" w:fill="FFFFFF"/>
            <w:vAlign w:val="center"/>
          </w:tcPr>
          <w:p>
            <w:pPr>
              <w:widowControl/>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2105" w:type="dxa"/>
            <w:gridSpan w:val="2"/>
            <w:shd w:val="clear" w:color="000000" w:fill="FFFFFF"/>
            <w:vAlign w:val="center"/>
          </w:tcPr>
          <w:p>
            <w:pPr>
              <w:widowControl/>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lang w:eastAsia="zh-CN"/>
              </w:rPr>
              <w:t>企业综合</w:t>
            </w:r>
            <w:bookmarkStart w:id="494" w:name="_GoBack"/>
            <w:bookmarkEnd w:id="494"/>
            <w:r>
              <w:rPr>
                <w:rFonts w:hint="eastAsia" w:ascii="宋体" w:hAnsi="宋体" w:eastAsia="宋体" w:cs="宋体"/>
                <w:color w:val="auto"/>
                <w:sz w:val="21"/>
                <w:szCs w:val="21"/>
              </w:rPr>
              <w:t>实力</w:t>
            </w:r>
          </w:p>
        </w:tc>
        <w:tc>
          <w:tcPr>
            <w:tcW w:w="675" w:type="dxa"/>
            <w:shd w:val="clear" w:color="000000" w:fill="FFFFFF"/>
            <w:vAlign w:val="center"/>
          </w:tcPr>
          <w:p>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6666" w:type="dxa"/>
            <w:shd w:val="clear" w:color="000000" w:fill="FFFFFF"/>
            <w:vAlign w:val="center"/>
          </w:tcPr>
          <w:p>
            <w:pPr>
              <w:widowControl/>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具有ISO9001(GB/T19001)质量管理体系认证、ISO14001(GB/T24001)环境管理体系认证、ISO45001(GB/T45001)职业健康安全管理体系认证的且在有效期内的得3分，每缺一项扣1分，扣完为止。【提供认证证书原件的扫描件，否则不得分】</w:t>
            </w:r>
          </w:p>
          <w:p>
            <w:pPr>
              <w:widowControl/>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）供应商具有</w:t>
            </w:r>
            <w:r>
              <w:rPr>
                <w:rFonts w:hint="eastAsia" w:ascii="宋体" w:hAnsi="宋体" w:eastAsia="宋体" w:cs="宋体"/>
                <w:color w:val="auto"/>
                <w:sz w:val="21"/>
                <w:szCs w:val="21"/>
                <w:highlight w:val="none"/>
                <w:lang w:val="en-US" w:eastAsia="zh-CN"/>
              </w:rPr>
              <w:t>检验检测机构资质认定证书的得1分。</w:t>
            </w:r>
            <w:r>
              <w:rPr>
                <w:rFonts w:hint="eastAsia" w:ascii="宋体" w:hAnsi="宋体" w:eastAsia="宋体" w:cs="宋体"/>
                <w:color w:val="auto"/>
                <w:sz w:val="21"/>
                <w:szCs w:val="21"/>
                <w:highlight w:val="none"/>
              </w:rPr>
              <w:t>【提供认</w:t>
            </w: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证书原件的扫描件，否则不得分】</w:t>
            </w:r>
          </w:p>
          <w:p>
            <w:pPr>
              <w:widowControl/>
              <w:spacing w:line="36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）供应商具有</w:t>
            </w:r>
            <w:r>
              <w:rPr>
                <w:rFonts w:hint="eastAsia" w:ascii="宋体" w:hAnsi="宋体" w:eastAsia="宋体" w:cs="宋体"/>
                <w:color w:val="auto"/>
                <w:sz w:val="21"/>
                <w:szCs w:val="21"/>
                <w:highlight w:val="none"/>
                <w:lang w:val="en-US" w:eastAsia="zh-CN"/>
              </w:rPr>
              <w:t>工程咨询单位备案证书的得1分。</w:t>
            </w:r>
            <w:r>
              <w:rPr>
                <w:rFonts w:hint="eastAsia" w:ascii="宋体" w:hAnsi="宋体" w:eastAsia="宋体" w:cs="宋体"/>
                <w:color w:val="auto"/>
                <w:sz w:val="21"/>
                <w:szCs w:val="21"/>
                <w:highlight w:val="none"/>
              </w:rPr>
              <w:t>【提供证书原件的扫描件，否则不得分】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7" w:type="dxa"/>
            <w:shd w:val="clear" w:color="000000" w:fill="FFFFFF"/>
            <w:vAlign w:val="center"/>
          </w:tcPr>
          <w:p>
            <w:pPr>
              <w:widowControl/>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2105" w:type="dxa"/>
            <w:gridSpan w:val="2"/>
            <w:shd w:val="clear" w:color="000000" w:fill="FFFFFF"/>
            <w:vAlign w:val="center"/>
          </w:tcPr>
          <w:p>
            <w:pPr>
              <w:widowControl/>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lang w:eastAsia="zh-CN"/>
              </w:rPr>
              <w:t>项目管理机构配备</w:t>
            </w:r>
          </w:p>
        </w:tc>
        <w:tc>
          <w:tcPr>
            <w:tcW w:w="675" w:type="dxa"/>
            <w:shd w:val="clear" w:color="000000" w:fill="FFFFFF"/>
            <w:vAlign w:val="center"/>
          </w:tcPr>
          <w:p>
            <w:pPr>
              <w:widowControl/>
              <w:spacing w:line="360" w:lineRule="exact"/>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10</w:t>
            </w:r>
          </w:p>
        </w:tc>
        <w:tc>
          <w:tcPr>
            <w:tcW w:w="6666" w:type="dxa"/>
            <w:shd w:val="clear" w:color="000000" w:fill="FFFFFF"/>
            <w:vAlign w:val="center"/>
          </w:tcPr>
          <w:p>
            <w:pPr>
              <w:widowControl/>
              <w:spacing w:line="360" w:lineRule="exact"/>
              <w:rPr>
                <w:rFonts w:ascii="宋体" w:hAnsi="宋体" w:eastAsia="宋体" w:cs="宋体"/>
                <w:color w:val="auto"/>
                <w:sz w:val="21"/>
                <w:szCs w:val="21"/>
              </w:rPr>
            </w:pPr>
            <w:r>
              <w:rPr>
                <w:rFonts w:hint="eastAsia" w:ascii="宋体" w:hAnsi="宋体" w:eastAsia="宋体" w:cs="宋体"/>
                <w:color w:val="auto"/>
                <w:sz w:val="21"/>
                <w:szCs w:val="21"/>
              </w:rPr>
              <w:t>（1）根据项目负责人的专业性、从业年限、成功案例等情况综合对比，优得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分；良得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分；一般得1分。</w:t>
            </w:r>
          </w:p>
          <w:p>
            <w:pPr>
              <w:widowControl/>
              <w:spacing w:line="360" w:lineRule="exact"/>
              <w:rPr>
                <w:rFonts w:ascii="宋体" w:hAnsi="宋体" w:eastAsia="宋体" w:cs="宋体"/>
                <w:color w:val="auto"/>
                <w:sz w:val="21"/>
                <w:szCs w:val="21"/>
              </w:rPr>
            </w:pPr>
            <w:r>
              <w:rPr>
                <w:rFonts w:hint="eastAsia" w:ascii="宋体" w:hAnsi="宋体" w:eastAsia="宋体" w:cs="宋体"/>
                <w:color w:val="auto"/>
                <w:sz w:val="21"/>
                <w:szCs w:val="21"/>
              </w:rPr>
              <w:t>（2）根据</w:t>
            </w:r>
            <w:r>
              <w:rPr>
                <w:rFonts w:hint="eastAsia" w:ascii="宋体" w:hAnsi="宋体" w:eastAsia="宋体" w:cs="宋体"/>
                <w:color w:val="auto"/>
                <w:sz w:val="21"/>
                <w:szCs w:val="21"/>
                <w:lang w:eastAsia="zh-CN"/>
              </w:rPr>
              <w:t>项目组人员</w:t>
            </w:r>
            <w:r>
              <w:rPr>
                <w:rFonts w:hint="eastAsia" w:ascii="宋体" w:hAnsi="宋体" w:eastAsia="宋体" w:cs="宋体"/>
                <w:color w:val="auto"/>
                <w:sz w:val="21"/>
                <w:szCs w:val="21"/>
              </w:rPr>
              <w:t>配置（施工项目部关键岗位人员</w:t>
            </w:r>
            <w:r>
              <w:rPr>
                <w:rFonts w:hint="eastAsia" w:ascii="宋体" w:hAnsi="宋体" w:eastAsia="宋体" w:cs="宋体"/>
                <w:color w:val="auto"/>
                <w:sz w:val="21"/>
                <w:szCs w:val="21"/>
                <w:lang w:eastAsia="zh-CN"/>
              </w:rPr>
              <w:t>、运维人员、气象分析及论证报告编制人员等）</w:t>
            </w:r>
            <w:r>
              <w:rPr>
                <w:rFonts w:hint="eastAsia" w:ascii="宋体" w:hAnsi="宋体" w:eastAsia="宋体" w:cs="宋体"/>
                <w:color w:val="auto"/>
                <w:sz w:val="21"/>
                <w:szCs w:val="21"/>
              </w:rPr>
              <w:t>情况综合对比，优得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分；良得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7" w:type="dxa"/>
            <w:shd w:val="clear" w:color="000000" w:fill="FFFFFF"/>
            <w:vAlign w:val="center"/>
          </w:tcPr>
          <w:p>
            <w:pPr>
              <w:widowControl/>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2105" w:type="dxa"/>
            <w:gridSpan w:val="2"/>
            <w:shd w:val="clear" w:color="000000" w:fill="FFFFFF"/>
            <w:vAlign w:val="center"/>
          </w:tcPr>
          <w:p>
            <w:pPr>
              <w:widowControl/>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企业类似业绩</w:t>
            </w:r>
          </w:p>
        </w:tc>
        <w:tc>
          <w:tcPr>
            <w:tcW w:w="675" w:type="dxa"/>
            <w:shd w:val="clear" w:color="000000" w:fill="FFFFFF"/>
            <w:vAlign w:val="center"/>
          </w:tcPr>
          <w:p>
            <w:pPr>
              <w:widowControl/>
              <w:spacing w:line="360" w:lineRule="exact"/>
              <w:jc w:val="center"/>
              <w:rPr>
                <w:rFonts w:ascii="宋体" w:hAnsi="宋体" w:eastAsia="宋体" w:cs="宋体"/>
                <w:color w:val="auto"/>
                <w:sz w:val="21"/>
                <w:szCs w:val="21"/>
                <w:highlight w:val="yellow"/>
              </w:rPr>
            </w:pPr>
            <w:r>
              <w:rPr>
                <w:rFonts w:hint="eastAsia" w:ascii="宋体" w:hAnsi="宋体" w:eastAsia="宋体" w:cs="宋体"/>
                <w:color w:val="auto"/>
                <w:sz w:val="21"/>
                <w:szCs w:val="21"/>
              </w:rPr>
              <w:t>9</w:t>
            </w:r>
          </w:p>
        </w:tc>
        <w:tc>
          <w:tcPr>
            <w:tcW w:w="6666" w:type="dxa"/>
            <w:shd w:val="clear" w:color="000000" w:fill="FFFFFF"/>
            <w:vAlign w:val="center"/>
          </w:tcPr>
          <w:p>
            <w:pPr>
              <w:widowControl/>
              <w:spacing w:line="360" w:lineRule="exact"/>
              <w:rPr>
                <w:rFonts w:ascii="宋体" w:hAnsi="宋体" w:eastAsia="宋体" w:cs="宋体"/>
                <w:color w:val="auto"/>
                <w:sz w:val="21"/>
                <w:szCs w:val="21"/>
              </w:rPr>
            </w:pPr>
            <w:r>
              <w:rPr>
                <w:rFonts w:hint="eastAsia" w:ascii="宋体" w:hAnsi="宋体" w:eastAsia="宋体" w:cs="宋体"/>
                <w:color w:val="auto"/>
                <w:sz w:val="21"/>
                <w:szCs w:val="21"/>
              </w:rPr>
              <w:t>供应商近三年承担过类似项目业绩的，每提供一个得3分，最高得9分。（响应文件中附合同原件的扫描件）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427" w:type="dxa"/>
            <w:vMerge w:val="restart"/>
            <w:shd w:val="clear" w:color="000000" w:fill="FFFFFF"/>
            <w:vAlign w:val="center"/>
          </w:tcPr>
          <w:p>
            <w:pPr>
              <w:widowControl/>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p>
            <w:pPr>
              <w:widowControl/>
              <w:spacing w:line="360" w:lineRule="exact"/>
              <w:jc w:val="center"/>
              <w:rPr>
                <w:rFonts w:hint="eastAsia" w:ascii="宋体" w:hAnsi="宋体" w:eastAsia="宋体" w:cs="宋体"/>
                <w:color w:val="auto"/>
                <w:sz w:val="21"/>
                <w:szCs w:val="21"/>
                <w:lang w:val="en-US" w:eastAsia="zh-CN"/>
              </w:rPr>
            </w:pPr>
          </w:p>
        </w:tc>
        <w:tc>
          <w:tcPr>
            <w:tcW w:w="646" w:type="dxa"/>
            <w:vMerge w:val="restart"/>
            <w:shd w:val="clear" w:color="000000" w:fill="FFFFFF"/>
            <w:vAlign w:val="center"/>
          </w:tcPr>
          <w:p>
            <w:pPr>
              <w:widowControl/>
              <w:spacing w:line="3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技术方案</w:t>
            </w:r>
          </w:p>
        </w:tc>
        <w:tc>
          <w:tcPr>
            <w:tcW w:w="1459" w:type="dxa"/>
            <w:shd w:val="clear" w:color="000000" w:fill="FFFFFF"/>
            <w:vAlign w:val="center"/>
          </w:tcPr>
          <w:p>
            <w:pPr>
              <w:widowControl/>
              <w:spacing w:line="3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设备采购方案</w:t>
            </w:r>
          </w:p>
        </w:tc>
        <w:tc>
          <w:tcPr>
            <w:tcW w:w="675" w:type="dxa"/>
            <w:shd w:val="clear" w:color="000000" w:fill="FFFFFF"/>
            <w:vAlign w:val="center"/>
          </w:tcPr>
          <w:p>
            <w:pPr>
              <w:widowControl/>
              <w:spacing w:line="36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6666" w:type="dxa"/>
            <w:shd w:val="clear" w:color="000000" w:fill="FFFFFF"/>
            <w:vAlign w:val="top"/>
          </w:tcPr>
          <w:p>
            <w:pPr>
              <w:widowControl/>
              <w:wordWrap/>
              <w:autoSpaceDE w:val="0"/>
              <w:autoSpaceDN w:val="0"/>
              <w:adjustRightInd w:val="0"/>
              <w:snapToGrid/>
              <w:spacing w:line="36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产品性能指标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与</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文件要求技术指标的响应程度及</w:t>
            </w:r>
            <w:r>
              <w:rPr>
                <w:rFonts w:hint="eastAsia" w:ascii="宋体" w:hAnsi="宋体" w:eastAsia="宋体" w:cs="宋体"/>
                <w:color w:val="auto"/>
                <w:sz w:val="21"/>
                <w:szCs w:val="21"/>
                <w:lang w:val="en-US" w:eastAsia="zh-CN"/>
              </w:rPr>
              <w:t>所投</w:t>
            </w:r>
            <w:r>
              <w:rPr>
                <w:rFonts w:hint="eastAsia" w:ascii="宋体" w:hAnsi="宋体" w:eastAsia="宋体" w:cs="宋体"/>
                <w:color w:val="auto"/>
                <w:sz w:val="21"/>
                <w:szCs w:val="21"/>
              </w:rPr>
              <w:t>产品的技术性能优越性，评委根据</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文件情况分为一般、良、优。多项指标优于</w:t>
            </w:r>
            <w:r>
              <w:rPr>
                <w:rFonts w:hint="eastAsia" w:ascii="宋体" w:hAnsi="宋体" w:cs="宋体"/>
                <w:color w:val="auto"/>
                <w:sz w:val="21"/>
                <w:szCs w:val="21"/>
                <w:lang w:eastAsia="zh-CN"/>
              </w:rPr>
              <w:t>磋商</w:t>
            </w:r>
            <w:r>
              <w:rPr>
                <w:rFonts w:hint="eastAsia" w:ascii="宋体" w:hAnsi="宋体" w:eastAsia="宋体" w:cs="宋体"/>
                <w:color w:val="auto"/>
                <w:sz w:val="21"/>
                <w:szCs w:val="21"/>
              </w:rPr>
              <w:t>文件要求为优，基本符合</w:t>
            </w:r>
            <w:r>
              <w:rPr>
                <w:rFonts w:hint="eastAsia" w:ascii="宋体" w:hAnsi="宋体" w:cs="宋体"/>
                <w:color w:val="auto"/>
                <w:sz w:val="21"/>
                <w:szCs w:val="21"/>
                <w:lang w:eastAsia="zh-CN"/>
              </w:rPr>
              <w:t>磋商</w:t>
            </w:r>
            <w:r>
              <w:rPr>
                <w:rFonts w:hint="eastAsia" w:ascii="宋体" w:hAnsi="宋体" w:eastAsia="宋体" w:cs="宋体"/>
                <w:color w:val="auto"/>
                <w:sz w:val="21"/>
                <w:szCs w:val="21"/>
              </w:rPr>
              <w:t>文件要求为良，对</w:t>
            </w:r>
            <w:r>
              <w:rPr>
                <w:rFonts w:hint="eastAsia" w:ascii="宋体" w:hAnsi="宋体" w:cs="宋体"/>
                <w:color w:val="auto"/>
                <w:sz w:val="21"/>
                <w:szCs w:val="21"/>
                <w:lang w:eastAsia="zh-CN"/>
              </w:rPr>
              <w:t>磋商</w:t>
            </w:r>
            <w:r>
              <w:rPr>
                <w:rFonts w:hint="eastAsia" w:ascii="宋体" w:hAnsi="宋体" w:eastAsia="宋体" w:cs="宋体"/>
                <w:color w:val="auto"/>
                <w:sz w:val="21"/>
                <w:szCs w:val="21"/>
              </w:rPr>
              <w:t>文件要求有偏离为一般。优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分；良</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分；一般</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pPr>
              <w:pStyle w:val="2"/>
              <w:wordWrap/>
              <w:autoSpaceDE w:val="0"/>
              <w:autoSpaceDN w:val="0"/>
              <w:adjustRightInd w:val="0"/>
              <w:snapToGrid/>
              <w:spacing w:line="3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SA"/>
              </w:rPr>
              <w:t>（2）对采购工作程序、采购执行计划、采买、催交与检验、运输与交付、仓储管理等内容进行评分。</w:t>
            </w: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分；良</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分；一般</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trPr>
        <w:tc>
          <w:tcPr>
            <w:tcW w:w="427" w:type="dxa"/>
            <w:vMerge w:val="continue"/>
            <w:shd w:val="clear" w:color="000000" w:fill="FFFFFF"/>
            <w:vAlign w:val="center"/>
          </w:tcPr>
          <w:p>
            <w:pPr>
              <w:widowControl/>
              <w:spacing w:line="360" w:lineRule="exact"/>
              <w:jc w:val="center"/>
              <w:rPr>
                <w:rFonts w:ascii="宋体" w:hAnsi="宋体" w:eastAsia="宋体" w:cs="宋体"/>
                <w:color w:val="auto"/>
                <w:sz w:val="21"/>
                <w:szCs w:val="21"/>
              </w:rPr>
            </w:pPr>
          </w:p>
        </w:tc>
        <w:tc>
          <w:tcPr>
            <w:tcW w:w="646" w:type="dxa"/>
            <w:vMerge w:val="continue"/>
            <w:shd w:val="clear" w:color="000000" w:fill="FFFFFF"/>
            <w:vAlign w:val="center"/>
          </w:tcPr>
          <w:p>
            <w:pPr>
              <w:spacing w:line="360" w:lineRule="exact"/>
              <w:jc w:val="center"/>
              <w:rPr>
                <w:rFonts w:ascii="宋体" w:hAnsi="宋体" w:eastAsia="宋体" w:cs="宋体"/>
                <w:color w:val="auto"/>
                <w:sz w:val="21"/>
                <w:szCs w:val="21"/>
              </w:rPr>
            </w:pPr>
          </w:p>
        </w:tc>
        <w:tc>
          <w:tcPr>
            <w:tcW w:w="1459" w:type="dxa"/>
            <w:shd w:val="clear" w:color="000000" w:fill="FFFFFF"/>
            <w:vAlign w:val="center"/>
          </w:tcPr>
          <w:p>
            <w:pPr>
              <w:spacing w:line="3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p>
        </w:tc>
        <w:tc>
          <w:tcPr>
            <w:tcW w:w="675" w:type="dxa"/>
            <w:shd w:val="clear" w:color="000000" w:fill="FFFFFF"/>
            <w:vAlign w:val="center"/>
          </w:tcPr>
          <w:p>
            <w:pPr>
              <w:widowControl/>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12</w:t>
            </w:r>
          </w:p>
        </w:tc>
        <w:tc>
          <w:tcPr>
            <w:tcW w:w="6666" w:type="dxa"/>
            <w:shd w:val="clear" w:color="000000" w:fill="FFFFFF"/>
            <w:vAlign w:val="center"/>
          </w:tcPr>
          <w:p>
            <w:pPr>
              <w:widowControl/>
              <w:spacing w:line="360" w:lineRule="exact"/>
              <w:rPr>
                <w:rFonts w:ascii="宋体" w:hAnsi="宋体" w:eastAsia="宋体" w:cs="宋体"/>
                <w:color w:val="auto"/>
                <w:sz w:val="21"/>
                <w:szCs w:val="21"/>
              </w:rPr>
            </w:pPr>
            <w:r>
              <w:rPr>
                <w:rFonts w:hint="eastAsia" w:ascii="宋体" w:hAnsi="宋体" w:eastAsia="宋体" w:cs="宋体"/>
                <w:color w:val="auto"/>
                <w:sz w:val="21"/>
                <w:szCs w:val="21"/>
              </w:rPr>
              <w:t>（1）施工方案能符合工程实际情况，提高生产率、缩短工期、提高质量；得0-2分。</w:t>
            </w:r>
          </w:p>
          <w:p>
            <w:pPr>
              <w:widowControl/>
              <w:spacing w:line="360" w:lineRule="exact"/>
              <w:rPr>
                <w:rFonts w:ascii="宋体" w:hAnsi="宋体" w:eastAsia="宋体" w:cs="宋体"/>
                <w:color w:val="auto"/>
                <w:sz w:val="21"/>
                <w:szCs w:val="21"/>
              </w:rPr>
            </w:pPr>
            <w:r>
              <w:rPr>
                <w:rFonts w:hint="eastAsia" w:ascii="宋体" w:hAnsi="宋体" w:eastAsia="宋体" w:cs="宋体"/>
                <w:color w:val="auto"/>
                <w:sz w:val="21"/>
                <w:szCs w:val="21"/>
              </w:rPr>
              <w:t>（2）质量保证措施应符合科学的施工规律、国家规定的强制性标准并有针对性，同时要符合实际情况，切实可行；得0-2分。</w:t>
            </w:r>
          </w:p>
          <w:p>
            <w:pPr>
              <w:widowControl/>
              <w:spacing w:line="360" w:lineRule="exact"/>
              <w:rPr>
                <w:rFonts w:ascii="宋体" w:hAnsi="宋体" w:eastAsia="宋体" w:cs="宋体"/>
                <w:color w:val="auto"/>
                <w:sz w:val="21"/>
                <w:szCs w:val="21"/>
              </w:rPr>
            </w:pPr>
            <w:r>
              <w:rPr>
                <w:rFonts w:hint="eastAsia" w:ascii="宋体" w:hAnsi="宋体" w:eastAsia="宋体" w:cs="宋体"/>
                <w:color w:val="auto"/>
                <w:sz w:val="21"/>
                <w:szCs w:val="21"/>
              </w:rPr>
              <w:t>（3）安全保证措施应符合国家规定的强制性标准并有针对性，切实可行；得0-2分。</w:t>
            </w:r>
          </w:p>
          <w:p>
            <w:pPr>
              <w:widowControl/>
              <w:spacing w:line="360" w:lineRule="exact"/>
              <w:rPr>
                <w:rFonts w:ascii="宋体" w:hAnsi="宋体" w:eastAsia="宋体" w:cs="宋体"/>
                <w:color w:val="auto"/>
                <w:sz w:val="21"/>
                <w:szCs w:val="21"/>
              </w:rPr>
            </w:pPr>
            <w:r>
              <w:rPr>
                <w:rFonts w:hint="eastAsia" w:ascii="宋体" w:hAnsi="宋体" w:eastAsia="宋体" w:cs="宋体"/>
                <w:color w:val="auto"/>
                <w:sz w:val="21"/>
                <w:szCs w:val="21"/>
              </w:rPr>
              <w:t>（4）环境保护保证措施应有建立健全的环保体系、施工各环节中环保措施的落实，切实可行；得0-2分。</w:t>
            </w:r>
          </w:p>
          <w:p>
            <w:pPr>
              <w:widowControl/>
              <w:spacing w:line="360" w:lineRule="exact"/>
              <w:rPr>
                <w:rFonts w:ascii="宋体" w:hAnsi="宋体" w:eastAsia="宋体" w:cs="宋体"/>
                <w:color w:val="auto"/>
                <w:sz w:val="21"/>
                <w:szCs w:val="21"/>
              </w:rPr>
            </w:pPr>
            <w:r>
              <w:rPr>
                <w:rFonts w:hint="eastAsia" w:ascii="宋体" w:hAnsi="宋体" w:eastAsia="宋体" w:cs="宋体"/>
                <w:color w:val="auto"/>
                <w:sz w:val="21"/>
                <w:szCs w:val="21"/>
              </w:rPr>
              <w:t>（5）进度计划在空间和时间上合理统筹安排且符合施工的科学规律的；得0-2分。</w:t>
            </w:r>
          </w:p>
          <w:p>
            <w:pPr>
              <w:widowControl/>
              <w:spacing w:line="360" w:lineRule="exact"/>
              <w:rPr>
                <w:rFonts w:ascii="宋体" w:hAnsi="宋体" w:eastAsia="宋体" w:cs="宋体"/>
                <w:color w:val="auto"/>
                <w:sz w:val="21"/>
                <w:szCs w:val="21"/>
              </w:rPr>
            </w:pPr>
            <w:r>
              <w:rPr>
                <w:rFonts w:hint="eastAsia" w:ascii="宋体" w:hAnsi="宋体" w:eastAsia="宋体" w:cs="宋体"/>
                <w:color w:val="auto"/>
                <w:sz w:val="21"/>
                <w:szCs w:val="21"/>
              </w:rPr>
              <w:t>（6）资源配备、合理化建议符合实际情况，切实可行；；得0-2分。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27" w:type="dxa"/>
            <w:vMerge w:val="continue"/>
            <w:shd w:val="clear" w:color="000000" w:fill="FFFFFF"/>
            <w:vAlign w:val="center"/>
          </w:tcPr>
          <w:p>
            <w:pPr>
              <w:widowControl/>
              <w:spacing w:line="360" w:lineRule="exact"/>
              <w:jc w:val="center"/>
              <w:rPr>
                <w:rFonts w:ascii="宋体" w:hAnsi="宋体" w:eastAsia="宋体" w:cs="宋体"/>
                <w:color w:val="FF0000"/>
                <w:sz w:val="21"/>
                <w:szCs w:val="21"/>
              </w:rPr>
            </w:pPr>
          </w:p>
        </w:tc>
        <w:tc>
          <w:tcPr>
            <w:tcW w:w="646" w:type="dxa"/>
            <w:vMerge w:val="continue"/>
            <w:shd w:val="clear" w:color="000000" w:fill="FFFFFF"/>
            <w:vAlign w:val="center"/>
          </w:tcPr>
          <w:p>
            <w:pPr>
              <w:widowControl/>
              <w:spacing w:line="360" w:lineRule="exact"/>
              <w:jc w:val="center"/>
              <w:rPr>
                <w:rFonts w:ascii="宋体" w:hAnsi="宋体" w:eastAsia="宋体" w:cs="宋体"/>
                <w:color w:val="FF0000"/>
                <w:sz w:val="21"/>
                <w:szCs w:val="21"/>
              </w:rPr>
            </w:pPr>
          </w:p>
        </w:tc>
        <w:tc>
          <w:tcPr>
            <w:tcW w:w="1459" w:type="dxa"/>
            <w:shd w:val="clear" w:color="000000" w:fill="FFFFFF"/>
            <w:vAlign w:val="center"/>
          </w:tcPr>
          <w:p>
            <w:pPr>
              <w:widowControl/>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气象数据分析报告编制方案</w:t>
            </w:r>
          </w:p>
        </w:tc>
        <w:tc>
          <w:tcPr>
            <w:tcW w:w="675" w:type="dxa"/>
            <w:shd w:val="clear" w:color="000000" w:fill="FFFFFF"/>
            <w:vAlign w:val="center"/>
          </w:tcPr>
          <w:p>
            <w:pPr>
              <w:widowControl/>
              <w:spacing w:line="36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666" w:type="dxa"/>
            <w:shd w:val="clear" w:color="000000" w:fill="FFFFFF"/>
            <w:vAlign w:val="center"/>
          </w:tcPr>
          <w:p>
            <w:pPr>
              <w:widowControl/>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评委横向比较各投标</w:t>
            </w:r>
            <w:r>
              <w:rPr>
                <w:rFonts w:hint="eastAsia" w:ascii="宋体" w:hAnsi="宋体" w:eastAsia="宋体" w:cs="宋体"/>
                <w:color w:val="auto"/>
                <w:sz w:val="21"/>
                <w:szCs w:val="21"/>
                <w:lang w:eastAsia="zh-CN"/>
              </w:rPr>
              <w:t>供应商响应</w:t>
            </w:r>
            <w:r>
              <w:rPr>
                <w:rFonts w:hint="eastAsia" w:ascii="宋体" w:hAnsi="宋体" w:eastAsia="宋体" w:cs="宋体"/>
                <w:color w:val="auto"/>
                <w:sz w:val="21"/>
                <w:szCs w:val="21"/>
              </w:rPr>
              <w:t>文件，对编制方案的详细程度、可行性，是否符合工程要求且是否合理有效等方面进行评价，评价优秀得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分，良好得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分，一般得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27" w:type="dxa"/>
            <w:vMerge w:val="continue"/>
            <w:shd w:val="clear" w:color="000000" w:fill="FFFFFF"/>
            <w:vAlign w:val="center"/>
          </w:tcPr>
          <w:p>
            <w:pPr>
              <w:widowControl/>
              <w:spacing w:line="360" w:lineRule="exact"/>
              <w:jc w:val="center"/>
              <w:rPr>
                <w:rFonts w:ascii="宋体" w:hAnsi="宋体" w:eastAsia="宋体" w:cs="宋体"/>
                <w:color w:val="FF0000"/>
                <w:sz w:val="21"/>
                <w:szCs w:val="21"/>
              </w:rPr>
            </w:pPr>
          </w:p>
        </w:tc>
        <w:tc>
          <w:tcPr>
            <w:tcW w:w="646" w:type="dxa"/>
            <w:vMerge w:val="continue"/>
            <w:shd w:val="clear" w:color="000000" w:fill="FFFFFF"/>
            <w:vAlign w:val="center"/>
          </w:tcPr>
          <w:p>
            <w:pPr>
              <w:widowControl/>
              <w:spacing w:line="360" w:lineRule="exact"/>
              <w:jc w:val="center"/>
              <w:rPr>
                <w:rFonts w:ascii="宋体" w:hAnsi="宋体" w:eastAsia="宋体" w:cs="宋体"/>
                <w:color w:val="FF0000"/>
                <w:sz w:val="21"/>
                <w:szCs w:val="21"/>
              </w:rPr>
            </w:pPr>
          </w:p>
        </w:tc>
        <w:tc>
          <w:tcPr>
            <w:tcW w:w="1459" w:type="dxa"/>
            <w:shd w:val="clear" w:color="000000" w:fill="FFFFFF"/>
            <w:vAlign w:val="center"/>
          </w:tcPr>
          <w:p>
            <w:pPr>
              <w:widowControl/>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系统</w:t>
            </w:r>
            <w:r>
              <w:rPr>
                <w:rFonts w:hint="eastAsia" w:ascii="宋体" w:hAnsi="宋体" w:eastAsia="宋体" w:cs="宋体"/>
                <w:color w:val="auto"/>
                <w:sz w:val="21"/>
                <w:szCs w:val="21"/>
                <w:lang w:eastAsia="zh-CN"/>
              </w:rPr>
              <w:t>运维</w:t>
            </w:r>
            <w:r>
              <w:rPr>
                <w:rFonts w:hint="eastAsia" w:ascii="宋体" w:hAnsi="宋体" w:eastAsia="宋体" w:cs="宋体"/>
                <w:color w:val="auto"/>
                <w:sz w:val="21"/>
                <w:szCs w:val="21"/>
              </w:rPr>
              <w:t>方案和售后服务方案</w:t>
            </w:r>
          </w:p>
        </w:tc>
        <w:tc>
          <w:tcPr>
            <w:tcW w:w="675" w:type="dxa"/>
            <w:shd w:val="clear" w:color="000000" w:fill="FFFFFF"/>
            <w:vAlign w:val="center"/>
          </w:tcPr>
          <w:p>
            <w:pPr>
              <w:widowControl/>
              <w:spacing w:line="36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666" w:type="dxa"/>
            <w:shd w:val="clear" w:color="000000" w:fill="FFFFFF"/>
            <w:vAlign w:val="center"/>
          </w:tcPr>
          <w:p>
            <w:pPr>
              <w:widowControl/>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评委横向比较各投标</w:t>
            </w:r>
            <w:r>
              <w:rPr>
                <w:rFonts w:hint="eastAsia" w:ascii="宋体" w:hAnsi="宋体" w:eastAsia="宋体" w:cs="宋体"/>
                <w:color w:val="auto"/>
                <w:sz w:val="21"/>
                <w:szCs w:val="21"/>
                <w:lang w:eastAsia="zh-CN"/>
              </w:rPr>
              <w:t>供应商响应</w:t>
            </w:r>
            <w:r>
              <w:rPr>
                <w:rFonts w:hint="eastAsia" w:ascii="宋体" w:hAnsi="宋体" w:eastAsia="宋体" w:cs="宋体"/>
                <w:color w:val="auto"/>
                <w:sz w:val="21"/>
                <w:szCs w:val="21"/>
              </w:rPr>
              <w:t>文件，对系统</w:t>
            </w:r>
            <w:r>
              <w:rPr>
                <w:rFonts w:hint="eastAsia" w:ascii="宋体" w:hAnsi="宋体" w:eastAsia="宋体" w:cs="宋体"/>
                <w:color w:val="auto"/>
                <w:sz w:val="21"/>
                <w:szCs w:val="21"/>
                <w:lang w:eastAsia="zh-CN"/>
              </w:rPr>
              <w:t>运维</w:t>
            </w:r>
            <w:r>
              <w:rPr>
                <w:rFonts w:hint="eastAsia" w:ascii="宋体" w:hAnsi="宋体" w:eastAsia="宋体" w:cs="宋体"/>
                <w:color w:val="auto"/>
                <w:sz w:val="21"/>
                <w:szCs w:val="21"/>
              </w:rPr>
              <w:t>方案和售后服务方案的整体性、可操作性、科学性进行评价，评价优秀得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分，良好得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分，一般得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427" w:type="dxa"/>
            <w:shd w:val="clear" w:color="000000" w:fill="FFFFFF"/>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105" w:type="dxa"/>
            <w:gridSpan w:val="2"/>
            <w:shd w:val="clear" w:color="000000" w:fill="FFFFFF"/>
            <w:vAlign w:val="center"/>
          </w:tcPr>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jc w:val="center"/>
              <w:rPr>
                <w:rFonts w:ascii="宋体" w:hAnsi="宋体" w:cs="宋体"/>
                <w:color w:val="auto"/>
                <w:szCs w:val="21"/>
              </w:rPr>
            </w:pPr>
            <w:r>
              <w:rPr>
                <w:rFonts w:hint="eastAsia" w:ascii="宋体" w:hAnsi="宋体" w:cs="宋体"/>
                <w:color w:val="auto"/>
                <w:szCs w:val="21"/>
              </w:rPr>
              <w:t>标函质量</w:t>
            </w:r>
          </w:p>
          <w:p>
            <w:pPr>
              <w:widowControl/>
              <w:spacing w:line="360" w:lineRule="exact"/>
              <w:ind w:firstLine="105" w:firstLineChars="50"/>
              <w:jc w:val="center"/>
              <w:rPr>
                <w:rFonts w:ascii="宋体" w:hAnsi="宋体" w:eastAsia="宋体" w:cs="宋体"/>
                <w:color w:val="auto"/>
                <w:sz w:val="21"/>
                <w:szCs w:val="21"/>
              </w:rPr>
            </w:pPr>
          </w:p>
        </w:tc>
        <w:tc>
          <w:tcPr>
            <w:tcW w:w="675" w:type="dxa"/>
            <w:shd w:val="clear" w:color="000000" w:fill="FFFFFF"/>
            <w:vAlign w:val="center"/>
          </w:tcPr>
          <w:p>
            <w:pPr>
              <w:widowControl/>
              <w:spacing w:line="3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6666" w:type="dxa"/>
            <w:shd w:val="clear" w:color="000000" w:fill="FFFFFF"/>
            <w:vAlign w:val="center"/>
          </w:tcPr>
          <w:p>
            <w:pPr>
              <w:pStyle w:val="2"/>
              <w:widowControl w:val="0"/>
              <w:wordWrap/>
              <w:autoSpaceDE w:val="0"/>
              <w:autoSpaceDN w:val="0"/>
              <w:adjustRightInd w:val="0"/>
              <w:snapToGrid/>
              <w:spacing w:line="360" w:lineRule="atLeast"/>
              <w:ind w:left="0" w:leftChars="0" w:firstLine="0" w:firstLineChars="0"/>
              <w:textAlignment w:val="auto"/>
              <w:rPr>
                <w:color w:val="auto"/>
              </w:rPr>
            </w:pPr>
            <w:r>
              <w:rPr>
                <w:rFonts w:hint="eastAsia" w:ascii="宋体" w:hAnsi="宋体" w:eastAsia="宋体" w:cs="宋体"/>
                <w:color w:val="auto"/>
                <w:sz w:val="21"/>
                <w:szCs w:val="21"/>
                <w:lang w:val="en-US" w:eastAsia="zh-CN" w:bidi="ar-SA"/>
              </w:rPr>
              <w:t>响应文件有目录索引、页码无错乱、标题、编号、正文、表格等排版规范,关联正确，根据响应文件制作的质量进行综合评分，满分3分；每出现一项不规范，减0.5分，3分减完为止。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27" w:type="dxa"/>
            <w:shd w:val="clear" w:color="000000" w:fill="FFFFFF"/>
            <w:vAlign w:val="center"/>
          </w:tcPr>
          <w:p>
            <w:pPr>
              <w:widowControl/>
              <w:spacing w:line="3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2105" w:type="dxa"/>
            <w:gridSpan w:val="2"/>
            <w:shd w:val="clear" w:color="000000" w:fill="FFFFFF"/>
            <w:vAlign w:val="center"/>
          </w:tcPr>
          <w:p>
            <w:pPr>
              <w:widowControl/>
              <w:spacing w:line="360" w:lineRule="exact"/>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价格</w:t>
            </w:r>
          </w:p>
          <w:p>
            <w:pPr>
              <w:widowControl/>
              <w:spacing w:line="360" w:lineRule="exact"/>
              <w:ind w:firstLine="105" w:firstLineChars="50"/>
              <w:rPr>
                <w:rFonts w:hint="eastAsia" w:ascii="宋体" w:hAnsi="宋体" w:eastAsia="宋体" w:cs="宋体"/>
                <w:color w:val="auto"/>
                <w:sz w:val="21"/>
                <w:szCs w:val="21"/>
              </w:rPr>
            </w:pPr>
            <w:r>
              <w:rPr>
                <w:rFonts w:hint="eastAsia" w:ascii="宋体" w:hAnsi="宋体" w:eastAsia="宋体" w:cs="宋体"/>
                <w:color w:val="auto"/>
                <w:sz w:val="21"/>
                <w:szCs w:val="21"/>
              </w:rPr>
              <w:t>评分</w:t>
            </w:r>
          </w:p>
        </w:tc>
        <w:tc>
          <w:tcPr>
            <w:tcW w:w="675" w:type="dxa"/>
            <w:shd w:val="clear" w:color="000000" w:fill="FFFFFF"/>
            <w:vAlign w:val="center"/>
          </w:tcPr>
          <w:p>
            <w:pPr>
              <w:widowControl/>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6666" w:type="dxa"/>
            <w:shd w:val="clear" w:color="000000" w:fill="FFFFFF"/>
            <w:vAlign w:val="center"/>
          </w:tcPr>
          <w:p>
            <w:pPr>
              <w:widowControl/>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综合评分法中的价格分统一采用低价优先法计算，即满足磋商文件要求且最后报价最低的供应商的价格为磋商基准价，其价格分为满分。其他供应商的价格分统一按照下列公式计算：</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磋商报价得分=（磋商基准价/最后磋商报价）×价格权值×100(保留两位小数)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27" w:type="dxa"/>
            <w:shd w:val="clear" w:color="000000" w:fill="FFFFFF"/>
            <w:vAlign w:val="center"/>
          </w:tcPr>
          <w:p>
            <w:pPr>
              <w:widowControl/>
              <w:spacing w:line="36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2105" w:type="dxa"/>
            <w:gridSpan w:val="2"/>
            <w:shd w:val="clear" w:color="000000" w:fill="FFFFFF"/>
            <w:vAlign w:val="center"/>
          </w:tcPr>
          <w:p>
            <w:pPr>
              <w:widowControl/>
              <w:spacing w:line="360" w:lineRule="exact"/>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合计</w:t>
            </w:r>
          </w:p>
        </w:tc>
        <w:tc>
          <w:tcPr>
            <w:tcW w:w="7341" w:type="dxa"/>
            <w:gridSpan w:val="2"/>
            <w:shd w:val="clear" w:color="000000" w:fill="FFFFFF"/>
            <w:vAlign w:val="center"/>
          </w:tcPr>
          <w:p>
            <w:pPr>
              <w:widowControl/>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100</w:t>
            </w:r>
          </w:p>
        </w:tc>
      </w:tr>
    </w:tbl>
    <w:p>
      <w:pPr>
        <w:pStyle w:val="24"/>
        <w:spacing w:line="360" w:lineRule="exact"/>
        <w:rPr>
          <w:rFonts w:hAnsi="宋体"/>
          <w:b/>
          <w:color w:val="000000"/>
        </w:rPr>
      </w:pPr>
    </w:p>
    <w:p>
      <w:pPr>
        <w:pStyle w:val="24"/>
        <w:spacing w:line="360" w:lineRule="exact"/>
        <w:rPr>
          <w:rFonts w:hAnsi="宋体"/>
          <w:b/>
          <w:color w:val="000000"/>
        </w:rPr>
      </w:pPr>
    </w:p>
    <w:p>
      <w:pPr>
        <w:pStyle w:val="24"/>
        <w:spacing w:line="360" w:lineRule="exact"/>
        <w:rPr>
          <w:rFonts w:hAnsi="宋体"/>
          <w:b/>
          <w:color w:val="000000"/>
        </w:rPr>
      </w:pPr>
    </w:p>
    <w:p>
      <w:pPr>
        <w:pStyle w:val="24"/>
        <w:spacing w:line="360" w:lineRule="auto"/>
        <w:rPr>
          <w:rFonts w:hint="eastAsia" w:hAnsi="宋体" w:eastAsia="宋体"/>
          <w:b/>
          <w:lang w:eastAsia="zh-CN"/>
        </w:rPr>
      </w:pPr>
      <w:r>
        <w:rPr>
          <w:rFonts w:hint="eastAsia" w:hAnsi="宋体"/>
          <w:b/>
          <w:color w:val="000000"/>
        </w:rPr>
        <w:t>中小企业和节能、环境标志产品评审优惠内容</w:t>
      </w:r>
      <w:r>
        <w:rPr>
          <w:rFonts w:hint="eastAsia" w:hAnsi="宋体"/>
          <w:b/>
        </w:rPr>
        <w:t>及加分幅度</w:t>
      </w:r>
      <w:r>
        <w:rPr>
          <w:rFonts w:hint="eastAsia" w:hAnsi="宋体"/>
          <w:b/>
          <w:lang w:eastAsia="zh-CN"/>
        </w:rPr>
        <w:t>（</w:t>
      </w:r>
      <w:r>
        <w:rPr>
          <w:rFonts w:hint="eastAsia" w:hAnsi="宋体"/>
          <w:b/>
          <w:lang w:val="en-US" w:eastAsia="zh-CN"/>
        </w:rPr>
        <w:t>本项目为中小企业/小微企业预留</w:t>
      </w:r>
      <w:r>
        <w:rPr>
          <w:rFonts w:hint="eastAsia" w:hAnsi="宋体"/>
          <w:b/>
          <w:lang w:eastAsia="zh-CN"/>
        </w:rPr>
        <w:t>）</w:t>
      </w:r>
    </w:p>
    <w:tbl>
      <w:tblPr>
        <w:tblStyle w:val="45"/>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24"/>
              <w:spacing w:line="360" w:lineRule="auto"/>
              <w:rPr>
                <w:rFonts w:hAnsi="宋体" w:cs="Courier New"/>
                <w:b/>
              </w:rPr>
            </w:pPr>
            <w:r>
              <w:rPr>
                <w:rFonts w:hint="eastAsia" w:hAnsi="宋体" w:cs="Courier New"/>
                <w:b/>
              </w:rPr>
              <w:t>属于中小企业评审优惠内容及价格扣除幅度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根据中华人民共和国财政部、中华人民共和国工业和信息化部《政府采购促进中小企业发展管理办法》（财库[2020]46号）文件</w:t>
            </w:r>
            <w:r>
              <w:rPr>
                <w:rFonts w:hint="eastAsia" w:ascii="宋体" w:hAnsi="宋体" w:eastAsia="宋体" w:cs="Courier New"/>
                <w:lang w:val="en-US" w:eastAsia="zh-CN"/>
              </w:rPr>
              <w:t>和财库（2022）19号文</w:t>
            </w:r>
            <w:r>
              <w:rPr>
                <w:rFonts w:hint="eastAsia" w:ascii="宋体" w:hAnsi="宋体" w:eastAsia="宋体" w:cs="Courier New"/>
              </w:rPr>
              <w:t>的规定，属于中小企业评审优惠内容及幅度如下：</w:t>
            </w:r>
          </w:p>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（一）中小企业（含中型、小型、微型企业）应当同时符合以下条件：</w:t>
            </w:r>
          </w:p>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①符合中小企业划分标准（按《关于印发中小企业划型标准规定的通知》（工信部联企业〔2011〕300号）执行）；</w:t>
            </w:r>
          </w:p>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②提供本企业制造的货物、承担的项目或者服务，或者提供其他中小企业制造的货物。本项所称货物不包括使用大型企业注册商标的货物；</w:t>
            </w:r>
          </w:p>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③小型、微型企业提供中型企业制造的货物的，视同为中型企业。</w:t>
            </w:r>
          </w:p>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（二）价格扣除办法：</w:t>
            </w:r>
          </w:p>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①对于非专门面向中小企业的项目，对小型和微型企业（或联合体各方均为小型、微型企业的）产品的价格给予</w:t>
            </w:r>
            <w:r>
              <w:rPr>
                <w:rFonts w:hint="eastAsia" w:ascii="宋体" w:hAnsi="宋体" w:eastAsia="宋体" w:cs="Courier New"/>
                <w:lang w:val="en-US" w:eastAsia="zh-CN"/>
              </w:rPr>
              <w:t>6</w:t>
            </w:r>
            <w:r>
              <w:rPr>
                <w:rFonts w:hint="eastAsia" w:ascii="宋体" w:hAnsi="宋体" w:eastAsia="宋体" w:cs="Courier New"/>
              </w:rPr>
              <w:t>%的扣除，用扣除后的价格参与价格分的评审。</w:t>
            </w:r>
          </w:p>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（三）小型和微型企业适用价格扣除办法时应提供的相关资料：</w:t>
            </w:r>
          </w:p>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①、《中小企业声明函》；</w:t>
            </w:r>
          </w:p>
          <w:p>
            <w:pPr>
              <w:pStyle w:val="24"/>
              <w:spacing w:line="360" w:lineRule="auto"/>
              <w:ind w:firstLine="480" w:firstLineChars="200"/>
              <w:rPr>
                <w:rFonts w:hint="eastAsia" w:ascii="宋体" w:hAnsi="宋体" w:eastAsia="宋体" w:cs="Courier New"/>
              </w:rPr>
            </w:pPr>
            <w:r>
              <w:rPr>
                <w:rFonts w:hint="eastAsia" w:ascii="宋体" w:hAnsi="宋体" w:eastAsia="宋体" w:cs="Courier New"/>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pStyle w:val="24"/>
              <w:spacing w:line="360" w:lineRule="auto"/>
              <w:ind w:firstLine="480" w:firstLineChars="200"/>
              <w:rPr>
                <w:rFonts w:hAnsi="宋体" w:cs="Courier New"/>
              </w:rPr>
            </w:pPr>
            <w:r>
              <w:rPr>
                <w:rFonts w:hint="eastAsia" w:ascii="宋体" w:hAnsi="宋体" w:eastAsia="宋体" w:cs="Courier New"/>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24"/>
              <w:spacing w:line="360" w:lineRule="auto"/>
              <w:rPr>
                <w:rFonts w:hAnsi="宋体" w:cs="Courier New"/>
              </w:rPr>
            </w:pPr>
            <w:r>
              <w:rPr>
                <w:rFonts w:hint="eastAsia" w:hAnsi="宋体" w:cs="Courier New"/>
                <w:b/>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24"/>
              <w:spacing w:line="360" w:lineRule="auto"/>
              <w:ind w:firstLine="480" w:firstLineChars="200"/>
              <w:rPr>
                <w:rFonts w:hAnsi="宋体" w:cs="Courier New"/>
              </w:rPr>
            </w:pPr>
            <w:r>
              <w:rPr>
                <w:rFonts w:hint="eastAsia" w:hAnsi="宋体" w:cs="Courier New"/>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4"/>
              <w:spacing w:line="360" w:lineRule="auto"/>
              <w:ind w:firstLine="480" w:firstLineChars="200"/>
              <w:rPr>
                <w:rFonts w:hAnsi="宋体" w:cs="Courier New"/>
              </w:rPr>
            </w:pPr>
            <w:r>
              <w:rPr>
                <w:rFonts w:hint="eastAsia" w:hAnsi="宋体" w:cs="Courier New"/>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24"/>
              <w:spacing w:line="360" w:lineRule="auto"/>
              <w:ind w:firstLine="480" w:firstLineChars="200"/>
              <w:rPr>
                <w:rFonts w:hAnsi="宋体" w:cs="Courier New"/>
              </w:rPr>
            </w:pPr>
            <w:r>
              <w:rPr>
                <w:rFonts w:hint="eastAsia" w:hAnsi="宋体" w:cs="Courier New"/>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24"/>
              <w:spacing w:line="360" w:lineRule="auto"/>
              <w:ind w:firstLine="480" w:firstLineChars="200"/>
              <w:rPr>
                <w:rFonts w:hAnsi="宋体" w:cs="Courier New"/>
              </w:rPr>
            </w:pPr>
            <w:r>
              <w:rPr>
                <w:rFonts w:hint="eastAsia" w:hAnsi="宋体" w:cs="Courier New"/>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24"/>
              <w:spacing w:line="360" w:lineRule="auto"/>
              <w:ind w:firstLine="480" w:firstLineChars="200"/>
              <w:rPr>
                <w:rFonts w:hAnsi="宋体" w:cs="Courier New"/>
              </w:rPr>
            </w:pPr>
            <w:r>
              <w:rPr>
                <w:rFonts w:hint="eastAsia" w:hAnsi="宋体" w:cs="Courier New"/>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24"/>
              <w:spacing w:line="360" w:lineRule="auto"/>
              <w:ind w:firstLine="480" w:firstLineChars="200"/>
              <w:rPr>
                <w:rFonts w:hAnsi="宋体" w:cs="Courier New"/>
              </w:rPr>
            </w:pPr>
            <w:r>
              <w:rPr>
                <w:rFonts w:hint="eastAsia" w:hAnsi="宋体" w:cs="Courier New"/>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24"/>
              <w:spacing w:line="360" w:lineRule="auto"/>
              <w:ind w:firstLine="480" w:firstLineChars="200"/>
              <w:rPr>
                <w:rFonts w:hAnsi="宋体" w:cs="Courier New"/>
              </w:rPr>
            </w:pPr>
            <w:r>
              <w:rPr>
                <w:rFonts w:hint="eastAsia" w:hAnsi="宋体" w:cs="Courier New"/>
              </w:rPr>
              <w:t>注：1、提供近两期《节能产品政府采购清单》关于投标产品当前页的打印件；</w:t>
            </w:r>
          </w:p>
          <w:p>
            <w:pPr>
              <w:pStyle w:val="24"/>
              <w:spacing w:line="360" w:lineRule="auto"/>
              <w:ind w:firstLine="480" w:firstLineChars="200"/>
              <w:rPr>
                <w:rFonts w:hAnsi="宋体" w:cs="Courier New"/>
              </w:rPr>
            </w:pPr>
            <w:r>
              <w:rPr>
                <w:rFonts w:hint="eastAsia" w:hAnsi="宋体" w:cs="Courier New"/>
              </w:rPr>
              <w:t>2、提供近两期《环境标志产品政府采购清单》关于投标产品当前页的打印件。</w:t>
            </w:r>
          </w:p>
          <w:p>
            <w:pPr>
              <w:pStyle w:val="24"/>
              <w:spacing w:line="360" w:lineRule="auto"/>
              <w:ind w:firstLine="480" w:firstLineChars="200"/>
              <w:rPr>
                <w:rFonts w:hAnsi="宋体" w:cs="Courier New"/>
              </w:rPr>
            </w:pPr>
            <w:r>
              <w:rPr>
                <w:rFonts w:hint="eastAsia" w:hAnsi="宋体" w:cs="Courier New"/>
              </w:rPr>
              <w:t>未单独分项报价且未提供属于清单内产品的证明资料的不给予加分</w:t>
            </w:r>
          </w:p>
        </w:tc>
      </w:tr>
    </w:tbl>
    <w:p>
      <w:pPr>
        <w:spacing w:line="560" w:lineRule="exact"/>
        <w:rPr>
          <w:rFonts w:ascii="宋体" w:cs="仿宋_GB2312"/>
          <w:bCs/>
          <w:szCs w:val="21"/>
        </w:rPr>
      </w:pPr>
    </w:p>
    <w:p>
      <w:pPr>
        <w:pStyle w:val="24"/>
        <w:spacing w:line="360" w:lineRule="auto"/>
        <w:ind w:firstLine="480" w:firstLineChars="200"/>
        <w:rPr>
          <w:rFonts w:hAnsi="宋体"/>
        </w:rPr>
      </w:pPr>
      <w:r>
        <w:rPr>
          <w:rFonts w:hint="eastAsia" w:hAnsi="宋体"/>
        </w:rPr>
        <w:t>评分说明：</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a.评标委员会小组成员打分时不得协商,应独立完成。</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b.未满足磋商文件要求的供应商,不予评分。</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c.供应商报价超财政预算的按无效投标处理。</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d.属于中小企业评审优惠内容及价格扣除幅度，本项目的价格扣除为6%。</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根据中华人民共和国财政部、中华人民共和国工业和信息化部《政府采购促进中小企业发展管理办法》（财库[2020]46号）文件</w:t>
      </w:r>
      <w:r>
        <w:rPr>
          <w:rFonts w:hint="eastAsia" w:ascii="宋体" w:hAnsi="宋体" w:eastAsia="宋体" w:cs="Times New Roman"/>
          <w:lang w:val="en-US" w:eastAsia="zh-CN"/>
        </w:rPr>
        <w:t>和财库（2022）19号文</w:t>
      </w:r>
      <w:r>
        <w:rPr>
          <w:rFonts w:hint="eastAsia" w:ascii="宋体" w:hAnsi="宋体" w:eastAsia="宋体" w:cs="Times New Roman"/>
        </w:rPr>
        <w:t>的规定，属于中小企业评审优惠内容及幅度如下：</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（一）中小企业（含中型、小型、微型企业）应当同时符合以下条件：</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①符合中小企业划分标准（按《关于印发中小企业划型标准规定的通知》（工信部联企业（2011）300号）执行）；</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②提供本企业制造的货物、承担的项目或者服务，或者提供其他中小企业制造的货物。本项所称货物不包括使用大型企业注册商标的货物；</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③小型、微型企业提供中型企业制造的货物的，视同为中型企业。</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价格扣除办法：</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对于非专门面向中小企业的项目，对小型和微型企业产品的价格给予</w:t>
      </w:r>
      <w:r>
        <w:rPr>
          <w:rFonts w:hint="eastAsia" w:ascii="宋体" w:hAnsi="宋体" w:eastAsia="宋体" w:cs="Times New Roman"/>
          <w:lang w:val="en-US" w:eastAsia="zh-CN"/>
        </w:rPr>
        <w:t>6</w:t>
      </w:r>
      <w:r>
        <w:rPr>
          <w:rFonts w:hint="eastAsia" w:ascii="宋体" w:hAnsi="宋体" w:eastAsia="宋体" w:cs="Times New Roman"/>
        </w:rPr>
        <w:t>%的扣除，用扣除后的价格参与价格分的评审。</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（三）小型和微型企业适用价格扣除办法时应提供的相关资料：</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①《中小企业声明函》;</w:t>
      </w:r>
    </w:p>
    <w:p>
      <w:pPr>
        <w:pStyle w:val="24"/>
        <w:spacing w:line="360" w:lineRule="auto"/>
        <w:ind w:firstLine="480" w:firstLineChars="200"/>
        <w:rPr>
          <w:rFonts w:hint="eastAsia" w:ascii="宋体" w:hAnsi="宋体" w:eastAsia="宋体" w:cs="Times New Roman"/>
        </w:rPr>
      </w:pPr>
      <w:r>
        <w:rPr>
          <w:rFonts w:hint="eastAsia" w:ascii="宋体" w:hAnsi="宋体" w:eastAsia="宋体" w:cs="Times New Roman"/>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pStyle w:val="24"/>
        <w:spacing w:line="360" w:lineRule="auto"/>
        <w:ind w:firstLine="480" w:firstLineChars="200"/>
        <w:rPr>
          <w:rFonts w:hint="eastAsia" w:hAnsi="宋体"/>
        </w:rPr>
      </w:pPr>
      <w:r>
        <w:rPr>
          <w:rFonts w:hint="eastAsia" w:ascii="宋体" w:hAnsi="宋体" w:eastAsia="宋体" w:cs="Times New Roman"/>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w:t>
      </w:r>
      <w:r>
        <w:rPr>
          <w:rFonts w:hint="eastAsia" w:ascii="宋体" w:hAnsi="宋体" w:eastAsia="宋体" w:cs="Times New Roman"/>
          <w:lang w:val="en-US" w:eastAsia="zh-CN"/>
        </w:rPr>
        <w:t>6</w:t>
      </w:r>
      <w:r>
        <w:rPr>
          <w:rFonts w:hint="eastAsia" w:ascii="宋体" w:hAnsi="宋体" w:eastAsia="宋体" w:cs="Times New Roman"/>
        </w:rPr>
        <w:t>%。</w:t>
      </w:r>
    </w:p>
    <w:p>
      <w:pPr>
        <w:spacing w:line="440" w:lineRule="exact"/>
        <w:ind w:firstLine="482" w:firstLineChars="200"/>
        <w:rPr>
          <w:rFonts w:ascii="GIUOHC+ËÎÌå" w:hAnsi="GIUOHC+ËÎÌå" w:cs="GIUOHC+ËÎÌå"/>
          <w:b/>
        </w:rPr>
      </w:pPr>
      <w:r>
        <w:rPr>
          <w:rFonts w:hint="eastAsia" w:ascii="GIUOHC+ËÎÌå" w:hAnsi="GIUOHC+ËÎÌå" w:cs="GIUOHC+ËÎÌå"/>
          <w:b/>
        </w:rPr>
        <w:t>五</w:t>
      </w:r>
      <w:r>
        <w:rPr>
          <w:rFonts w:ascii="GIUOHC+ËÎÌå" w:hAnsi="GIUOHC+ËÎÌå" w:cs="GIUOHC+ËÎÌå"/>
          <w:b/>
        </w:rPr>
        <w:t>、评标保密</w:t>
      </w:r>
    </w:p>
    <w:p>
      <w:pPr>
        <w:spacing w:line="440" w:lineRule="exact"/>
        <w:ind w:firstLine="480" w:firstLineChars="200"/>
        <w:rPr>
          <w:rFonts w:ascii="GIUOHC+ËÎÌå" w:hAnsi="GIUOHC+ËÎÌå" w:cs="GIUOHC+ËÎÌå"/>
        </w:rPr>
      </w:pPr>
      <w:r>
        <w:rPr>
          <w:rFonts w:ascii="GIUOHC+ËÎÌå" w:hAnsi="GIUOHC+ËÎÌå" w:cs="GIUOHC+ËÎÌå"/>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82" w:firstLineChars="200"/>
        <w:rPr>
          <w:rFonts w:ascii="TMBCOU+ËÎÌå" w:hAnsi="TMBCOU+ËÎÌå" w:cs="TMBCOU+ËÎÌå"/>
          <w:b/>
          <w:spacing w:val="-1"/>
        </w:rPr>
      </w:pPr>
      <w:r>
        <w:rPr>
          <w:rFonts w:hint="eastAsia" w:ascii="GIUOHC+ËÎÌå" w:hAnsi="GIUOHC+ËÎÌå" w:cs="GIUOHC+ËÎÌå"/>
          <w:b/>
        </w:rPr>
        <w:t>六</w:t>
      </w:r>
      <w:r>
        <w:rPr>
          <w:rFonts w:ascii="GIUOHC+ËÎÌå" w:hAnsi="GIUOHC+ËÎÌå" w:cs="GIUOHC+ËÎÌå"/>
          <w:b/>
        </w:rPr>
        <w:t>、成交通知</w:t>
      </w:r>
    </w:p>
    <w:p>
      <w:pPr>
        <w:spacing w:line="440" w:lineRule="exact"/>
        <w:ind w:firstLine="552" w:firstLineChars="200"/>
        <w:rPr>
          <w:rFonts w:ascii="GIUOHC+ËÎÌå" w:hAnsi="GIUOHC+ËÎÌå" w:cs="GIUOHC+ËÎÌå"/>
          <w:spacing w:val="-1"/>
        </w:rPr>
      </w:pPr>
      <w:r>
        <w:rPr>
          <w:rFonts w:hint="eastAsia" w:ascii="KFUIDB+ËÎÌå"/>
          <w:spacing w:val="18"/>
        </w:rPr>
        <w:t>6</w:t>
      </w:r>
      <w:r>
        <w:rPr>
          <w:rFonts w:ascii="KFUIDB+ËÎÌå"/>
          <w:spacing w:val="18"/>
        </w:rPr>
        <w:t>.1</w:t>
      </w:r>
      <w:r>
        <w:rPr>
          <w:rFonts w:ascii="GIUOHC+ËÎÌå" w:hAnsi="GIUOHC+ËÎÌå" w:cs="GIUOHC+ËÎÌå"/>
          <w:spacing w:val="-1"/>
        </w:rPr>
        <w:t>确定成交人</w:t>
      </w:r>
    </w:p>
    <w:p>
      <w:pPr>
        <w:spacing w:line="440" w:lineRule="exact"/>
        <w:ind w:firstLine="476" w:firstLineChars="200"/>
        <w:rPr>
          <w:rFonts w:ascii="GIUOHC+ËÎÌå" w:hAnsi="GIUOHC+ËÎÌå" w:cs="GIUOHC+ËÎÌå"/>
          <w:spacing w:val="-1"/>
        </w:rPr>
      </w:pPr>
      <w:r>
        <w:rPr>
          <w:rFonts w:ascii="GIUOHC+ËÎÌå" w:hAnsi="GIUOHC+ËÎÌå" w:cs="GIUOHC+ËÎÌå"/>
          <w:spacing w:val="-1"/>
        </w:rPr>
        <w:t>评标委员会根据最终评审向采购人推荐</w:t>
      </w:r>
      <w:r>
        <w:rPr>
          <w:rFonts w:hint="eastAsia" w:ascii="TMBCOU+ËÎÌå" w:hAnsi="TMBCOU+ËÎÌå" w:cs="TMBCOU+ËÎÌå"/>
          <w:spacing w:val="-1"/>
        </w:rPr>
        <w:t>前3</w:t>
      </w:r>
      <w:r>
        <w:rPr>
          <w:rFonts w:ascii="TMBCOU+ËÎÌå" w:hAnsi="TMBCOU+ËÎÌå" w:cs="TMBCOU+ËÎÌå"/>
          <w:spacing w:val="-1"/>
        </w:rPr>
        <w:t>名</w:t>
      </w:r>
      <w:r>
        <w:rPr>
          <w:rFonts w:ascii="GIUOHC+ËÎÌå" w:hAnsi="GIUOHC+ËÎÌå" w:cs="GIUOHC+ËÎÌå"/>
          <w:spacing w:val="-1"/>
        </w:rPr>
        <w:t>成交候选人。</w:t>
      </w:r>
    </w:p>
    <w:p>
      <w:pPr>
        <w:spacing w:line="440" w:lineRule="exact"/>
        <w:ind w:firstLine="552" w:firstLineChars="200"/>
        <w:rPr>
          <w:rFonts w:ascii="GIUOHC+ËÎÌå" w:hAnsi="GIUOHC+ËÎÌå" w:cs="GIUOHC+ËÎÌå"/>
          <w:spacing w:val="-1"/>
        </w:rPr>
      </w:pPr>
      <w:r>
        <w:rPr>
          <w:rFonts w:hint="eastAsia" w:ascii="KFUIDB+ËÎÌå"/>
          <w:spacing w:val="18"/>
        </w:rPr>
        <w:t>6</w:t>
      </w:r>
      <w:r>
        <w:rPr>
          <w:rFonts w:ascii="KFUIDB+ËÎÌå"/>
          <w:spacing w:val="18"/>
        </w:rPr>
        <w:t>.2</w:t>
      </w:r>
      <w:r>
        <w:rPr>
          <w:rFonts w:ascii="GIUOHC+ËÎÌå" w:hAnsi="GIUOHC+ËÎÌå" w:cs="GIUOHC+ËÎÌå"/>
          <w:spacing w:val="-1"/>
        </w:rPr>
        <w:t>中标通知</w:t>
      </w:r>
    </w:p>
    <w:p>
      <w:pPr>
        <w:spacing w:line="440" w:lineRule="exact"/>
        <w:ind w:firstLine="476" w:firstLineChars="200"/>
        <w:rPr>
          <w:rFonts w:ascii="TMBCOU+ËÎÌå" w:hAnsi="TMBCOU+ËÎÌå" w:cs="TMBCOU+ËÎÌå"/>
          <w:spacing w:val="-1"/>
        </w:rPr>
      </w:pPr>
      <w:r>
        <w:rPr>
          <w:rFonts w:ascii="GIUOHC+ËÎÌå" w:hAnsi="GIUOHC+ËÎÌå" w:cs="GIUOHC+ËÎÌå"/>
          <w:spacing w:val="-1"/>
        </w:rPr>
        <w:t>确定出成交人后，采购人将以书面形式通知成交的竞争性磋商响应人。</w:t>
      </w:r>
    </w:p>
    <w:p>
      <w:pPr>
        <w:spacing w:line="360" w:lineRule="auto"/>
        <w:rPr>
          <w:rFonts w:eastAsia="Times New Roman"/>
          <w:sz w:val="30"/>
        </w:rPr>
      </w:pPr>
    </w:p>
    <w:p>
      <w:pPr>
        <w:spacing w:line="440" w:lineRule="exact"/>
        <w:ind w:firstLine="600" w:firstLineChars="200"/>
        <w:rPr>
          <w:rFonts w:eastAsia="Times New Roman"/>
          <w:color w:val="FF0000"/>
          <w:sz w:val="30"/>
        </w:rPr>
      </w:pPr>
    </w:p>
    <w:sectPr>
      <w:footerReference r:id="rId11" w:type="default"/>
      <w:pgSz w:w="11910" w:h="16840"/>
      <w:pgMar w:top="1134" w:right="1080" w:bottom="567" w:left="1080" w:header="858" w:footer="997" w:gutter="0"/>
      <w:pgBorders>
        <w:top w:val="none" w:sz="0" w:space="0"/>
        <w:left w:val="none" w:sz="0" w:space="0"/>
        <w:bottom w:val="none" w:sz="0" w:space="0"/>
        <w:right w:val="none" w:sz="0" w:space="0"/>
      </w:pgBorders>
      <w:pgNumType w:start="4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RGEKD+??¨¬?">
    <w:altName w:val="Tahoma"/>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BRGEKD+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NTUWPH+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fldChar w:fldCharType="begin"/>
    </w:r>
    <w:r>
      <w:instrText xml:space="preserve"> PAGE   \* MERGEFORMAT </w:instrText>
    </w:r>
    <w:r>
      <w:fldChar w:fldCharType="separate"/>
    </w:r>
    <w:r>
      <w:rPr>
        <w:lang w:val="zh-CN"/>
      </w:rPr>
      <w:t>-</w:t>
    </w:r>
    <w:r>
      <w:t xml:space="preserve"> 24 -</w:t>
    </w:r>
    <w:r>
      <w:fldChar w:fldCharType="end"/>
    </w:r>
  </w:p>
  <w:p>
    <w:pPr>
      <w:pStyle w:val="18"/>
      <w:kinsoku w:val="0"/>
      <w:overflowPunct w:val="0"/>
      <w:spacing w:line="14" w:lineRule="auto"/>
      <w:ind w:left="0"/>
      <w:rPr>
        <w:rFonts w:eastAsia="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rFonts w:hint="eastAsia"/>
      </w:rPr>
    </w:pPr>
    <w:r>
      <w:fldChar w:fldCharType="begin"/>
    </w:r>
    <w:r>
      <w:instrText xml:space="preserve"> PAGE   \* MERGEFORMAT </w:instrText>
    </w:r>
    <w:r>
      <w:fldChar w:fldCharType="separate"/>
    </w:r>
    <w:r>
      <w:rPr>
        <w:lang w:val="zh-CN"/>
      </w:rPr>
      <w:t>39</w:t>
    </w:r>
    <w:r>
      <w:rPr>
        <w:lang w:val="zh-CN"/>
      </w:rPr>
      <w:fldChar w:fldCharType="end"/>
    </w:r>
  </w:p>
  <w:p>
    <w:pPr>
      <w:pStyle w:val="29"/>
      <w:jc w:val="right"/>
    </w:pPr>
  </w:p>
  <w:p>
    <w:pPr>
      <w:pStyle w:val="29"/>
      <w:ind w:right="360"/>
      <w:rPr>
        <w:rFonts w:hint="eastAsia" w:eastAsia="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fldChar w:fldCharType="begin"/>
    </w:r>
    <w:r>
      <w:instrText xml:space="preserve"> PAGE   \* MERGEFORMAT </w:instrText>
    </w:r>
    <w:r>
      <w:fldChar w:fldCharType="separate"/>
    </w:r>
    <w:r>
      <w:rPr>
        <w:lang w:val="zh-CN"/>
      </w:rPr>
      <w:t>24</w:t>
    </w:r>
    <w:r>
      <w:rPr>
        <w:lang w:val="zh-CN"/>
      </w:rPr>
      <w:fldChar w:fldCharType="end"/>
    </w:r>
  </w:p>
  <w:p>
    <w:pPr>
      <w:jc w:val="center"/>
      <w:rPr>
        <w:rFonts w:hint="eastAsia" w:eastAsia="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fldChar w:fldCharType="begin"/>
    </w:r>
    <w:r>
      <w:instrText xml:space="preserve"> PAGE   \* MERGEFORMAT </w:instrText>
    </w:r>
    <w:r>
      <w:fldChar w:fldCharType="separate"/>
    </w:r>
    <w:r>
      <w:rPr>
        <w:lang w:val="zh-CN"/>
      </w:rPr>
      <w:t>73</w:t>
    </w:r>
    <w:r>
      <w:rPr>
        <w:lang w:val="zh-CN"/>
      </w:rPr>
      <w:fldChar w:fldCharType="end"/>
    </w:r>
  </w:p>
  <w:p>
    <w:pPr>
      <w:pStyle w:val="18"/>
      <w:kinsoku w:val="0"/>
      <w:overflowPunct w:val="0"/>
      <w:spacing w:line="14" w:lineRule="auto"/>
      <w:ind w:left="0"/>
      <w:rPr>
        <w:rFonts w:hint="eastAsia" w:eastAsia="宋体"/>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2700" w:hanging="2700" w:hangingChars="1500"/>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90"/>
      <w:jc w:val="right"/>
    </w:pPr>
  </w:p>
  <w:p>
    <w:pPr>
      <w:pStyle w:val="30"/>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BB5A9"/>
    <w:multiLevelType w:val="multilevel"/>
    <w:tmpl w:val="DDDBB5A9"/>
    <w:lvl w:ilvl="0" w:tentative="0">
      <w:start w:val="1"/>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1">
    <w:nsid w:val="E7B2FB88"/>
    <w:multiLevelType w:val="multilevel"/>
    <w:tmpl w:val="E7B2FB88"/>
    <w:lvl w:ilvl="0" w:tentative="0">
      <w:start w:val="3"/>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
    <w:nsid w:val="ED6CD060"/>
    <w:multiLevelType w:val="multilevel"/>
    <w:tmpl w:val="ED6CD060"/>
    <w:lvl w:ilvl="0" w:tentative="0">
      <w:start w:val="1"/>
      <w:numFmt w:val="chineseCounting"/>
      <w:lvlText w:val="第%1章"/>
      <w:lvlJc w:val="left"/>
      <w:rPr>
        <w:rFonts w:ascii="Times New Roman" w:hAnsi="Times New Roman" w:eastAsia="宋体" w:cs="Times New Roman"/>
      </w:rPr>
    </w:lvl>
    <w:lvl w:ilvl="1" w:tentative="0">
      <w:start w:val="1"/>
      <w:numFmt w:val="decimal"/>
      <w:lvlText w:val="第"/>
      <w:lvlJc w:val="left"/>
      <w:rPr>
        <w:rFonts w:ascii="Times New Roman" w:hAnsi="Times New Roman" w:eastAsia="宋体" w:cs="Times New Roman"/>
      </w:rPr>
    </w:lvl>
    <w:lvl w:ilvl="2" w:tentative="0">
      <w:start w:val="1"/>
      <w:numFmt w:val="decimal"/>
      <w:lvlText w:val="第"/>
      <w:lvlJc w:val="left"/>
      <w:rPr>
        <w:rFonts w:ascii="Times New Roman" w:hAnsi="Times New Roman" w:eastAsia="宋体" w:cs="Times New Roman"/>
      </w:rPr>
    </w:lvl>
    <w:lvl w:ilvl="3" w:tentative="0">
      <w:start w:val="1"/>
      <w:numFmt w:val="decimal"/>
      <w:lvlText w:val="第"/>
      <w:lvlJc w:val="left"/>
      <w:rPr>
        <w:rFonts w:ascii="Times New Roman" w:hAnsi="Times New Roman" w:eastAsia="宋体" w:cs="Times New Roman"/>
      </w:rPr>
    </w:lvl>
    <w:lvl w:ilvl="4" w:tentative="0">
      <w:start w:val="1"/>
      <w:numFmt w:val="decimal"/>
      <w:lvlText w:val="第"/>
      <w:lvlJc w:val="left"/>
      <w:rPr>
        <w:rFonts w:ascii="Times New Roman" w:hAnsi="Times New Roman" w:eastAsia="宋体" w:cs="Times New Roman"/>
      </w:rPr>
    </w:lvl>
    <w:lvl w:ilvl="5" w:tentative="0">
      <w:start w:val="1"/>
      <w:numFmt w:val="decimal"/>
      <w:lvlText w:val="第"/>
      <w:lvlJc w:val="left"/>
      <w:rPr>
        <w:rFonts w:ascii="Times New Roman" w:hAnsi="Times New Roman" w:eastAsia="宋体" w:cs="Times New Roman"/>
      </w:rPr>
    </w:lvl>
    <w:lvl w:ilvl="6" w:tentative="0">
      <w:start w:val="1"/>
      <w:numFmt w:val="decimal"/>
      <w:lvlText w:val="第"/>
      <w:lvlJc w:val="left"/>
      <w:rPr>
        <w:rFonts w:ascii="Times New Roman" w:hAnsi="Times New Roman" w:eastAsia="宋体" w:cs="Times New Roman"/>
      </w:rPr>
    </w:lvl>
    <w:lvl w:ilvl="7" w:tentative="0">
      <w:start w:val="1"/>
      <w:numFmt w:val="decimal"/>
      <w:lvlText w:val="第"/>
      <w:lvlJc w:val="left"/>
      <w:rPr>
        <w:rFonts w:ascii="Times New Roman" w:hAnsi="Times New Roman" w:eastAsia="宋体" w:cs="Times New Roman"/>
      </w:rPr>
    </w:lvl>
    <w:lvl w:ilvl="8" w:tentative="0">
      <w:start w:val="1"/>
      <w:numFmt w:val="decimal"/>
      <w:lvlText w:val="第"/>
      <w:lvlJc w:val="left"/>
      <w:rPr>
        <w:rFonts w:ascii="Times New Roman" w:hAnsi="Times New Roman" w:eastAsia="宋体" w:cs="Times New Roman"/>
      </w:rPr>
    </w:lvl>
  </w:abstractNum>
  <w:abstractNum w:abstractNumId="3">
    <w:nsid w:val="1BFC86DE"/>
    <w:multiLevelType w:val="singleLevel"/>
    <w:tmpl w:val="1BFC86DE"/>
    <w:lvl w:ilvl="0" w:tentative="0">
      <w:start w:val="7"/>
      <w:numFmt w:val="chineseCounting"/>
      <w:suff w:val="nothing"/>
      <w:lvlText w:val="%1、"/>
      <w:lvlJc w:val="left"/>
      <w:pPr>
        <w:ind w:left="1809"/>
      </w:pPr>
      <w:rPr>
        <w:rFonts w:hint="eastAsia"/>
      </w:rPr>
    </w:lvl>
  </w:abstractNum>
  <w:abstractNum w:abstractNumId="4">
    <w:nsid w:val="4A05A8CE"/>
    <w:multiLevelType w:val="singleLevel"/>
    <w:tmpl w:val="4A05A8CE"/>
    <w:lvl w:ilvl="0" w:tentative="0">
      <w:start w:val="1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ShadeFormData w:val="1"/>
  <w:noPunctuationKerning w:val="1"/>
  <w:characterSpacingControl w:val="doNotCompress"/>
  <w:noLineBreaksAfter w:lang="zh-CN" w:val="([{·‘“〈《「『【〔〖（．［｛￡￥"/>
  <w:noLineBreaksBefore w:lang="zh-CN" w:val="!),.:;?]}¨·ˇˉ―‖’”…∶、。〃々〉》」』】〕〗！＂＇），．：；？］｀｜｝～￠"/>
  <w:compat>
    <w:spaceForUL/>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2UxN2U2OTc4OWQ3NTFlZjYyNjZhYThiNjBiOGYwZmUifQ=="/>
  </w:docVars>
  <w:rsids>
    <w:rsidRoot w:val="00426C94"/>
    <w:rsid w:val="00022672"/>
    <w:rsid w:val="00022CC4"/>
    <w:rsid w:val="000263C4"/>
    <w:rsid w:val="00026F64"/>
    <w:rsid w:val="000304EB"/>
    <w:rsid w:val="0003285D"/>
    <w:rsid w:val="0004604C"/>
    <w:rsid w:val="0005227A"/>
    <w:rsid w:val="00053305"/>
    <w:rsid w:val="0007061C"/>
    <w:rsid w:val="00073013"/>
    <w:rsid w:val="000834F8"/>
    <w:rsid w:val="00093338"/>
    <w:rsid w:val="000A4828"/>
    <w:rsid w:val="000A4879"/>
    <w:rsid w:val="000B06BF"/>
    <w:rsid w:val="000B3237"/>
    <w:rsid w:val="000B3A4C"/>
    <w:rsid w:val="000B3EBB"/>
    <w:rsid w:val="000B7856"/>
    <w:rsid w:val="000C4D97"/>
    <w:rsid w:val="000C7569"/>
    <w:rsid w:val="000D5342"/>
    <w:rsid w:val="000D5C33"/>
    <w:rsid w:val="000E4290"/>
    <w:rsid w:val="000F3FFF"/>
    <w:rsid w:val="000F5386"/>
    <w:rsid w:val="00120DBC"/>
    <w:rsid w:val="00121B4C"/>
    <w:rsid w:val="00124689"/>
    <w:rsid w:val="00125688"/>
    <w:rsid w:val="00126C57"/>
    <w:rsid w:val="0013387D"/>
    <w:rsid w:val="00135580"/>
    <w:rsid w:val="00135731"/>
    <w:rsid w:val="001408F5"/>
    <w:rsid w:val="0014206D"/>
    <w:rsid w:val="001428F9"/>
    <w:rsid w:val="00142DBD"/>
    <w:rsid w:val="00143922"/>
    <w:rsid w:val="00145634"/>
    <w:rsid w:val="001459A6"/>
    <w:rsid w:val="0014707B"/>
    <w:rsid w:val="00147127"/>
    <w:rsid w:val="00154CF9"/>
    <w:rsid w:val="00162702"/>
    <w:rsid w:val="00164B97"/>
    <w:rsid w:val="001650A6"/>
    <w:rsid w:val="00177A91"/>
    <w:rsid w:val="00180B0D"/>
    <w:rsid w:val="0018236E"/>
    <w:rsid w:val="001837C7"/>
    <w:rsid w:val="00195934"/>
    <w:rsid w:val="001A668D"/>
    <w:rsid w:val="001B1C34"/>
    <w:rsid w:val="001C7661"/>
    <w:rsid w:val="001E410F"/>
    <w:rsid w:val="001E5FB7"/>
    <w:rsid w:val="001F0144"/>
    <w:rsid w:val="001F0AEC"/>
    <w:rsid w:val="001F33EA"/>
    <w:rsid w:val="001F652C"/>
    <w:rsid w:val="001F7507"/>
    <w:rsid w:val="0021115F"/>
    <w:rsid w:val="00212EA6"/>
    <w:rsid w:val="002146A7"/>
    <w:rsid w:val="00225AE5"/>
    <w:rsid w:val="00227A20"/>
    <w:rsid w:val="002303A1"/>
    <w:rsid w:val="0023072F"/>
    <w:rsid w:val="0023556B"/>
    <w:rsid w:val="00236933"/>
    <w:rsid w:val="0024578D"/>
    <w:rsid w:val="00253632"/>
    <w:rsid w:val="00265EEF"/>
    <w:rsid w:val="002731F1"/>
    <w:rsid w:val="00273C4B"/>
    <w:rsid w:val="00273F70"/>
    <w:rsid w:val="00287332"/>
    <w:rsid w:val="002925DD"/>
    <w:rsid w:val="002B6548"/>
    <w:rsid w:val="002C47E7"/>
    <w:rsid w:val="002C5CBE"/>
    <w:rsid w:val="002E000D"/>
    <w:rsid w:val="002E51EF"/>
    <w:rsid w:val="002F236B"/>
    <w:rsid w:val="002F3F8E"/>
    <w:rsid w:val="002F70E7"/>
    <w:rsid w:val="00300B28"/>
    <w:rsid w:val="00300EBF"/>
    <w:rsid w:val="003012EB"/>
    <w:rsid w:val="00304A68"/>
    <w:rsid w:val="003203FC"/>
    <w:rsid w:val="00324978"/>
    <w:rsid w:val="00340EEC"/>
    <w:rsid w:val="00340F6A"/>
    <w:rsid w:val="00343366"/>
    <w:rsid w:val="00344AC9"/>
    <w:rsid w:val="0035486B"/>
    <w:rsid w:val="00363264"/>
    <w:rsid w:val="00366F0E"/>
    <w:rsid w:val="00374CBF"/>
    <w:rsid w:val="00375C70"/>
    <w:rsid w:val="00375F93"/>
    <w:rsid w:val="00390990"/>
    <w:rsid w:val="00393685"/>
    <w:rsid w:val="0039454F"/>
    <w:rsid w:val="00397AF4"/>
    <w:rsid w:val="003B0749"/>
    <w:rsid w:val="003B226A"/>
    <w:rsid w:val="003B47E1"/>
    <w:rsid w:val="003C1225"/>
    <w:rsid w:val="003C456E"/>
    <w:rsid w:val="003F1414"/>
    <w:rsid w:val="00404B8E"/>
    <w:rsid w:val="00417203"/>
    <w:rsid w:val="00417C5C"/>
    <w:rsid w:val="00426A96"/>
    <w:rsid w:val="00426C94"/>
    <w:rsid w:val="00427EB8"/>
    <w:rsid w:val="00430AB8"/>
    <w:rsid w:val="00435041"/>
    <w:rsid w:val="004368BD"/>
    <w:rsid w:val="0044287A"/>
    <w:rsid w:val="00442DF2"/>
    <w:rsid w:val="0044765F"/>
    <w:rsid w:val="00447B1E"/>
    <w:rsid w:val="004552C5"/>
    <w:rsid w:val="00456505"/>
    <w:rsid w:val="004725B9"/>
    <w:rsid w:val="00481867"/>
    <w:rsid w:val="004827B9"/>
    <w:rsid w:val="00490D39"/>
    <w:rsid w:val="004925BD"/>
    <w:rsid w:val="00493269"/>
    <w:rsid w:val="004A5D74"/>
    <w:rsid w:val="004B0FFA"/>
    <w:rsid w:val="004B503F"/>
    <w:rsid w:val="004B6FCE"/>
    <w:rsid w:val="004B7751"/>
    <w:rsid w:val="004D3AB5"/>
    <w:rsid w:val="004E4ED9"/>
    <w:rsid w:val="0050438A"/>
    <w:rsid w:val="005047ED"/>
    <w:rsid w:val="00505C93"/>
    <w:rsid w:val="00505FF6"/>
    <w:rsid w:val="00507E46"/>
    <w:rsid w:val="00513CB5"/>
    <w:rsid w:val="005179F7"/>
    <w:rsid w:val="0052248A"/>
    <w:rsid w:val="00524608"/>
    <w:rsid w:val="00524A94"/>
    <w:rsid w:val="00525595"/>
    <w:rsid w:val="005267F9"/>
    <w:rsid w:val="00532FAF"/>
    <w:rsid w:val="00546F1A"/>
    <w:rsid w:val="005526B3"/>
    <w:rsid w:val="005531ED"/>
    <w:rsid w:val="005654CB"/>
    <w:rsid w:val="00566B32"/>
    <w:rsid w:val="00567627"/>
    <w:rsid w:val="00573F19"/>
    <w:rsid w:val="00575563"/>
    <w:rsid w:val="005818BC"/>
    <w:rsid w:val="005A665F"/>
    <w:rsid w:val="005A69B1"/>
    <w:rsid w:val="005B3150"/>
    <w:rsid w:val="005B67CE"/>
    <w:rsid w:val="005B7AD0"/>
    <w:rsid w:val="005C0082"/>
    <w:rsid w:val="005C01B9"/>
    <w:rsid w:val="005C1EAA"/>
    <w:rsid w:val="005C24A7"/>
    <w:rsid w:val="005C55D6"/>
    <w:rsid w:val="005C58C9"/>
    <w:rsid w:val="005D306B"/>
    <w:rsid w:val="005D618A"/>
    <w:rsid w:val="005E0046"/>
    <w:rsid w:val="005E1184"/>
    <w:rsid w:val="005E373B"/>
    <w:rsid w:val="005F237E"/>
    <w:rsid w:val="00601A9A"/>
    <w:rsid w:val="006037BC"/>
    <w:rsid w:val="00605659"/>
    <w:rsid w:val="00611224"/>
    <w:rsid w:val="0061156C"/>
    <w:rsid w:val="00617D1F"/>
    <w:rsid w:val="00624C20"/>
    <w:rsid w:val="00626334"/>
    <w:rsid w:val="0063060D"/>
    <w:rsid w:val="00630D7A"/>
    <w:rsid w:val="0063272D"/>
    <w:rsid w:val="006406FF"/>
    <w:rsid w:val="00640D48"/>
    <w:rsid w:val="00652879"/>
    <w:rsid w:val="00655829"/>
    <w:rsid w:val="00663EAF"/>
    <w:rsid w:val="00665467"/>
    <w:rsid w:val="00666FFE"/>
    <w:rsid w:val="00671F76"/>
    <w:rsid w:val="0067533E"/>
    <w:rsid w:val="00681BF0"/>
    <w:rsid w:val="006922B4"/>
    <w:rsid w:val="00695C9B"/>
    <w:rsid w:val="006966C3"/>
    <w:rsid w:val="00697470"/>
    <w:rsid w:val="006A166F"/>
    <w:rsid w:val="006A2841"/>
    <w:rsid w:val="006B01CC"/>
    <w:rsid w:val="006B340C"/>
    <w:rsid w:val="006B5740"/>
    <w:rsid w:val="006B5D58"/>
    <w:rsid w:val="006C3D9F"/>
    <w:rsid w:val="006C4FF6"/>
    <w:rsid w:val="006D26B2"/>
    <w:rsid w:val="006D3CF8"/>
    <w:rsid w:val="006D7F37"/>
    <w:rsid w:val="006E2FE6"/>
    <w:rsid w:val="006F4588"/>
    <w:rsid w:val="006F5575"/>
    <w:rsid w:val="006F745C"/>
    <w:rsid w:val="006F7C57"/>
    <w:rsid w:val="007132CA"/>
    <w:rsid w:val="00730B5C"/>
    <w:rsid w:val="007320C2"/>
    <w:rsid w:val="00732896"/>
    <w:rsid w:val="0073346E"/>
    <w:rsid w:val="00744954"/>
    <w:rsid w:val="00747249"/>
    <w:rsid w:val="00752D23"/>
    <w:rsid w:val="007560FC"/>
    <w:rsid w:val="00756E5D"/>
    <w:rsid w:val="007626EC"/>
    <w:rsid w:val="00763632"/>
    <w:rsid w:val="00773949"/>
    <w:rsid w:val="00775DF2"/>
    <w:rsid w:val="007851AC"/>
    <w:rsid w:val="007872D4"/>
    <w:rsid w:val="007A105E"/>
    <w:rsid w:val="007A22D5"/>
    <w:rsid w:val="007A418C"/>
    <w:rsid w:val="007A57EB"/>
    <w:rsid w:val="007C25B0"/>
    <w:rsid w:val="007C25F8"/>
    <w:rsid w:val="007C5CBF"/>
    <w:rsid w:val="007D4F46"/>
    <w:rsid w:val="007E0475"/>
    <w:rsid w:val="007E5CA4"/>
    <w:rsid w:val="007E7842"/>
    <w:rsid w:val="007F1186"/>
    <w:rsid w:val="007F3CB8"/>
    <w:rsid w:val="007F5176"/>
    <w:rsid w:val="007F60B4"/>
    <w:rsid w:val="007F715E"/>
    <w:rsid w:val="008115DC"/>
    <w:rsid w:val="00820406"/>
    <w:rsid w:val="00821D5D"/>
    <w:rsid w:val="008227B6"/>
    <w:rsid w:val="0082524D"/>
    <w:rsid w:val="008402E0"/>
    <w:rsid w:val="00846B9C"/>
    <w:rsid w:val="00847084"/>
    <w:rsid w:val="008471B8"/>
    <w:rsid w:val="008536DF"/>
    <w:rsid w:val="008554CD"/>
    <w:rsid w:val="0086252B"/>
    <w:rsid w:val="00863708"/>
    <w:rsid w:val="0086584B"/>
    <w:rsid w:val="00866536"/>
    <w:rsid w:val="008804CC"/>
    <w:rsid w:val="008936FB"/>
    <w:rsid w:val="008B0AA5"/>
    <w:rsid w:val="008B78F6"/>
    <w:rsid w:val="008C1E39"/>
    <w:rsid w:val="008F26C9"/>
    <w:rsid w:val="008F46DB"/>
    <w:rsid w:val="008F5465"/>
    <w:rsid w:val="0091378C"/>
    <w:rsid w:val="009150EF"/>
    <w:rsid w:val="009163C3"/>
    <w:rsid w:val="00923E0F"/>
    <w:rsid w:val="00924E00"/>
    <w:rsid w:val="00927F2D"/>
    <w:rsid w:val="0094190A"/>
    <w:rsid w:val="00942447"/>
    <w:rsid w:val="009426B7"/>
    <w:rsid w:val="00943337"/>
    <w:rsid w:val="0095104C"/>
    <w:rsid w:val="00963093"/>
    <w:rsid w:val="009657BB"/>
    <w:rsid w:val="009759EC"/>
    <w:rsid w:val="00975AF1"/>
    <w:rsid w:val="0097740F"/>
    <w:rsid w:val="009801A5"/>
    <w:rsid w:val="0098409E"/>
    <w:rsid w:val="0098486C"/>
    <w:rsid w:val="00986DF8"/>
    <w:rsid w:val="00995579"/>
    <w:rsid w:val="009A1D5F"/>
    <w:rsid w:val="009B44B0"/>
    <w:rsid w:val="009B4614"/>
    <w:rsid w:val="009B4B44"/>
    <w:rsid w:val="009C2F4A"/>
    <w:rsid w:val="009C30BE"/>
    <w:rsid w:val="009C4467"/>
    <w:rsid w:val="009E5BC5"/>
    <w:rsid w:val="009F243B"/>
    <w:rsid w:val="00A0102A"/>
    <w:rsid w:val="00A01FD0"/>
    <w:rsid w:val="00A10165"/>
    <w:rsid w:val="00A126E7"/>
    <w:rsid w:val="00A12E59"/>
    <w:rsid w:val="00A13525"/>
    <w:rsid w:val="00A166B8"/>
    <w:rsid w:val="00A219DB"/>
    <w:rsid w:val="00A21AFF"/>
    <w:rsid w:val="00A2671D"/>
    <w:rsid w:val="00A268FD"/>
    <w:rsid w:val="00A27A6C"/>
    <w:rsid w:val="00A27B1B"/>
    <w:rsid w:val="00A36098"/>
    <w:rsid w:val="00A37A3B"/>
    <w:rsid w:val="00A41EEA"/>
    <w:rsid w:val="00A4524A"/>
    <w:rsid w:val="00A51239"/>
    <w:rsid w:val="00A5315B"/>
    <w:rsid w:val="00A636E3"/>
    <w:rsid w:val="00A6373B"/>
    <w:rsid w:val="00A6435A"/>
    <w:rsid w:val="00A6771F"/>
    <w:rsid w:val="00A73D3C"/>
    <w:rsid w:val="00A750DA"/>
    <w:rsid w:val="00A760DC"/>
    <w:rsid w:val="00A77947"/>
    <w:rsid w:val="00A840CA"/>
    <w:rsid w:val="00A84462"/>
    <w:rsid w:val="00A85884"/>
    <w:rsid w:val="00A9738D"/>
    <w:rsid w:val="00A97FDB"/>
    <w:rsid w:val="00AA2487"/>
    <w:rsid w:val="00AA2AFA"/>
    <w:rsid w:val="00AA40CF"/>
    <w:rsid w:val="00AB0E1D"/>
    <w:rsid w:val="00AB3F19"/>
    <w:rsid w:val="00AC4027"/>
    <w:rsid w:val="00AD2B39"/>
    <w:rsid w:val="00AD3573"/>
    <w:rsid w:val="00AD4B10"/>
    <w:rsid w:val="00AE0472"/>
    <w:rsid w:val="00AE30B0"/>
    <w:rsid w:val="00AF2CA3"/>
    <w:rsid w:val="00AF501C"/>
    <w:rsid w:val="00AF53EB"/>
    <w:rsid w:val="00AF62B3"/>
    <w:rsid w:val="00B027C5"/>
    <w:rsid w:val="00B1421F"/>
    <w:rsid w:val="00B14973"/>
    <w:rsid w:val="00B14CCA"/>
    <w:rsid w:val="00B23EFA"/>
    <w:rsid w:val="00B36756"/>
    <w:rsid w:val="00B42DC6"/>
    <w:rsid w:val="00B50004"/>
    <w:rsid w:val="00B533A2"/>
    <w:rsid w:val="00B57AC8"/>
    <w:rsid w:val="00B6204E"/>
    <w:rsid w:val="00B65158"/>
    <w:rsid w:val="00B7231E"/>
    <w:rsid w:val="00B739DA"/>
    <w:rsid w:val="00B772B7"/>
    <w:rsid w:val="00B85B0A"/>
    <w:rsid w:val="00B91DF0"/>
    <w:rsid w:val="00B9631E"/>
    <w:rsid w:val="00BA0E07"/>
    <w:rsid w:val="00BA3184"/>
    <w:rsid w:val="00BC21B4"/>
    <w:rsid w:val="00BC2D4A"/>
    <w:rsid w:val="00BC4D89"/>
    <w:rsid w:val="00BC5BA7"/>
    <w:rsid w:val="00BC6266"/>
    <w:rsid w:val="00BD47F5"/>
    <w:rsid w:val="00BE1560"/>
    <w:rsid w:val="00BE79CA"/>
    <w:rsid w:val="00BF17DA"/>
    <w:rsid w:val="00BF6F70"/>
    <w:rsid w:val="00C01840"/>
    <w:rsid w:val="00C06BC1"/>
    <w:rsid w:val="00C110B6"/>
    <w:rsid w:val="00C1296B"/>
    <w:rsid w:val="00C12B5D"/>
    <w:rsid w:val="00C16491"/>
    <w:rsid w:val="00C2516F"/>
    <w:rsid w:val="00C25A2C"/>
    <w:rsid w:val="00C4399C"/>
    <w:rsid w:val="00C52BCF"/>
    <w:rsid w:val="00C560BC"/>
    <w:rsid w:val="00C70886"/>
    <w:rsid w:val="00C70F5E"/>
    <w:rsid w:val="00C818F8"/>
    <w:rsid w:val="00C84CC1"/>
    <w:rsid w:val="00C87CC3"/>
    <w:rsid w:val="00C92F81"/>
    <w:rsid w:val="00C94CD5"/>
    <w:rsid w:val="00C966BA"/>
    <w:rsid w:val="00CA1177"/>
    <w:rsid w:val="00CA4555"/>
    <w:rsid w:val="00CA4A17"/>
    <w:rsid w:val="00CA6C45"/>
    <w:rsid w:val="00CB2B61"/>
    <w:rsid w:val="00CC23A2"/>
    <w:rsid w:val="00CC253A"/>
    <w:rsid w:val="00CC706D"/>
    <w:rsid w:val="00CD13A1"/>
    <w:rsid w:val="00CD17AC"/>
    <w:rsid w:val="00CD4CDB"/>
    <w:rsid w:val="00CD7AFE"/>
    <w:rsid w:val="00CF28E6"/>
    <w:rsid w:val="00CF6690"/>
    <w:rsid w:val="00D13E27"/>
    <w:rsid w:val="00D2110A"/>
    <w:rsid w:val="00D24C71"/>
    <w:rsid w:val="00D24DA1"/>
    <w:rsid w:val="00D27AB3"/>
    <w:rsid w:val="00D27AD2"/>
    <w:rsid w:val="00D34AD6"/>
    <w:rsid w:val="00D4251E"/>
    <w:rsid w:val="00D433F4"/>
    <w:rsid w:val="00D45B28"/>
    <w:rsid w:val="00D45F86"/>
    <w:rsid w:val="00D54605"/>
    <w:rsid w:val="00D553CF"/>
    <w:rsid w:val="00D555CE"/>
    <w:rsid w:val="00D55E09"/>
    <w:rsid w:val="00D64355"/>
    <w:rsid w:val="00D64A08"/>
    <w:rsid w:val="00D756B6"/>
    <w:rsid w:val="00D81F9C"/>
    <w:rsid w:val="00D821A0"/>
    <w:rsid w:val="00D83552"/>
    <w:rsid w:val="00D83892"/>
    <w:rsid w:val="00D86B92"/>
    <w:rsid w:val="00D906F8"/>
    <w:rsid w:val="00D91A61"/>
    <w:rsid w:val="00D92DAE"/>
    <w:rsid w:val="00D9493A"/>
    <w:rsid w:val="00DA07BF"/>
    <w:rsid w:val="00DA1B2A"/>
    <w:rsid w:val="00DA2B07"/>
    <w:rsid w:val="00DB02B8"/>
    <w:rsid w:val="00DC3347"/>
    <w:rsid w:val="00DC3A61"/>
    <w:rsid w:val="00DC5D49"/>
    <w:rsid w:val="00DD0ED3"/>
    <w:rsid w:val="00DD2F82"/>
    <w:rsid w:val="00DE20F5"/>
    <w:rsid w:val="00DE276F"/>
    <w:rsid w:val="00DE2889"/>
    <w:rsid w:val="00DE4F30"/>
    <w:rsid w:val="00DE5AFA"/>
    <w:rsid w:val="00E0018B"/>
    <w:rsid w:val="00E03FA5"/>
    <w:rsid w:val="00E04D11"/>
    <w:rsid w:val="00E05666"/>
    <w:rsid w:val="00E1430C"/>
    <w:rsid w:val="00E20FBC"/>
    <w:rsid w:val="00E2455E"/>
    <w:rsid w:val="00E24A3E"/>
    <w:rsid w:val="00E257BD"/>
    <w:rsid w:val="00E26AB7"/>
    <w:rsid w:val="00E31177"/>
    <w:rsid w:val="00E34355"/>
    <w:rsid w:val="00E355C1"/>
    <w:rsid w:val="00E4587A"/>
    <w:rsid w:val="00E45BA5"/>
    <w:rsid w:val="00E554F5"/>
    <w:rsid w:val="00E56A8D"/>
    <w:rsid w:val="00E57C43"/>
    <w:rsid w:val="00E62A2E"/>
    <w:rsid w:val="00E65477"/>
    <w:rsid w:val="00E749F8"/>
    <w:rsid w:val="00E74F2E"/>
    <w:rsid w:val="00E7587F"/>
    <w:rsid w:val="00E759DF"/>
    <w:rsid w:val="00E84268"/>
    <w:rsid w:val="00E8605B"/>
    <w:rsid w:val="00E871F7"/>
    <w:rsid w:val="00E904A5"/>
    <w:rsid w:val="00EA45B6"/>
    <w:rsid w:val="00EB05F6"/>
    <w:rsid w:val="00EB0BAA"/>
    <w:rsid w:val="00EB3380"/>
    <w:rsid w:val="00EB695B"/>
    <w:rsid w:val="00EC5749"/>
    <w:rsid w:val="00ED5010"/>
    <w:rsid w:val="00ED7377"/>
    <w:rsid w:val="00ED7D3C"/>
    <w:rsid w:val="00EE12BC"/>
    <w:rsid w:val="00EE465B"/>
    <w:rsid w:val="00EF48DE"/>
    <w:rsid w:val="00F03285"/>
    <w:rsid w:val="00F04FF2"/>
    <w:rsid w:val="00F07A91"/>
    <w:rsid w:val="00F12DF4"/>
    <w:rsid w:val="00F2409C"/>
    <w:rsid w:val="00F25722"/>
    <w:rsid w:val="00F318F3"/>
    <w:rsid w:val="00F41786"/>
    <w:rsid w:val="00F439C5"/>
    <w:rsid w:val="00F44F6F"/>
    <w:rsid w:val="00F47F02"/>
    <w:rsid w:val="00F57379"/>
    <w:rsid w:val="00F60F4C"/>
    <w:rsid w:val="00F62067"/>
    <w:rsid w:val="00F72346"/>
    <w:rsid w:val="00F7276E"/>
    <w:rsid w:val="00F73408"/>
    <w:rsid w:val="00F75A3E"/>
    <w:rsid w:val="00F836B5"/>
    <w:rsid w:val="00F83AB0"/>
    <w:rsid w:val="00F909BF"/>
    <w:rsid w:val="00F92FF6"/>
    <w:rsid w:val="00FB2C11"/>
    <w:rsid w:val="00FB7A8A"/>
    <w:rsid w:val="00FC24ED"/>
    <w:rsid w:val="00FC4BDA"/>
    <w:rsid w:val="00FD1ADE"/>
    <w:rsid w:val="00FE0441"/>
    <w:rsid w:val="00FE1101"/>
    <w:rsid w:val="00FE20D1"/>
    <w:rsid w:val="00FE48C2"/>
    <w:rsid w:val="00FE695C"/>
    <w:rsid w:val="00FE707D"/>
    <w:rsid w:val="01501B95"/>
    <w:rsid w:val="01643987"/>
    <w:rsid w:val="03141D11"/>
    <w:rsid w:val="035241C7"/>
    <w:rsid w:val="04A31C8E"/>
    <w:rsid w:val="04B11640"/>
    <w:rsid w:val="04BA3C6F"/>
    <w:rsid w:val="05665BB3"/>
    <w:rsid w:val="05CD4A90"/>
    <w:rsid w:val="06162C41"/>
    <w:rsid w:val="074B3FC7"/>
    <w:rsid w:val="07565621"/>
    <w:rsid w:val="083F0027"/>
    <w:rsid w:val="08E73603"/>
    <w:rsid w:val="09433035"/>
    <w:rsid w:val="096F2483"/>
    <w:rsid w:val="09932EAE"/>
    <w:rsid w:val="09DD1183"/>
    <w:rsid w:val="0A245DDD"/>
    <w:rsid w:val="0A6D7B38"/>
    <w:rsid w:val="0A8C3B79"/>
    <w:rsid w:val="0A8D2EAD"/>
    <w:rsid w:val="0B8C05C8"/>
    <w:rsid w:val="0C373EDF"/>
    <w:rsid w:val="0CAA5073"/>
    <w:rsid w:val="0D3261AF"/>
    <w:rsid w:val="0D4A1657"/>
    <w:rsid w:val="0D805053"/>
    <w:rsid w:val="0D8D6958"/>
    <w:rsid w:val="0D915C83"/>
    <w:rsid w:val="0EEB43BB"/>
    <w:rsid w:val="0F327D2E"/>
    <w:rsid w:val="0F3D3F7D"/>
    <w:rsid w:val="0FB62B7D"/>
    <w:rsid w:val="0FBE50CF"/>
    <w:rsid w:val="104B17E4"/>
    <w:rsid w:val="108605BC"/>
    <w:rsid w:val="11C37F4B"/>
    <w:rsid w:val="11C40F9F"/>
    <w:rsid w:val="11FC49FC"/>
    <w:rsid w:val="12036F87"/>
    <w:rsid w:val="124D2CE8"/>
    <w:rsid w:val="14495E2B"/>
    <w:rsid w:val="147321EF"/>
    <w:rsid w:val="155B515D"/>
    <w:rsid w:val="160A7272"/>
    <w:rsid w:val="17AF25D7"/>
    <w:rsid w:val="18D77728"/>
    <w:rsid w:val="192C38B8"/>
    <w:rsid w:val="19364F3E"/>
    <w:rsid w:val="19693EF6"/>
    <w:rsid w:val="196D7A80"/>
    <w:rsid w:val="1A1D6E85"/>
    <w:rsid w:val="1BE0016A"/>
    <w:rsid w:val="1C2C7853"/>
    <w:rsid w:val="1C7D36EF"/>
    <w:rsid w:val="1CFC7225"/>
    <w:rsid w:val="1DC96BC9"/>
    <w:rsid w:val="1E57781B"/>
    <w:rsid w:val="1F4A6E3A"/>
    <w:rsid w:val="1F9336CE"/>
    <w:rsid w:val="1FA0658E"/>
    <w:rsid w:val="1FC451C1"/>
    <w:rsid w:val="20E409AE"/>
    <w:rsid w:val="21464F13"/>
    <w:rsid w:val="22B300C2"/>
    <w:rsid w:val="231114AF"/>
    <w:rsid w:val="23DC6BE1"/>
    <w:rsid w:val="23DD13EB"/>
    <w:rsid w:val="242A2CEB"/>
    <w:rsid w:val="24675C29"/>
    <w:rsid w:val="251B1F01"/>
    <w:rsid w:val="253350E8"/>
    <w:rsid w:val="27E5180D"/>
    <w:rsid w:val="27EE00B2"/>
    <w:rsid w:val="27EE18FF"/>
    <w:rsid w:val="290C6A42"/>
    <w:rsid w:val="2AD541C0"/>
    <w:rsid w:val="2C285C34"/>
    <w:rsid w:val="2CC5627C"/>
    <w:rsid w:val="2D867DE4"/>
    <w:rsid w:val="2DBB27E5"/>
    <w:rsid w:val="2DF108ED"/>
    <w:rsid w:val="2E26725C"/>
    <w:rsid w:val="2E517792"/>
    <w:rsid w:val="2E8C64B8"/>
    <w:rsid w:val="2E913546"/>
    <w:rsid w:val="2ECC6F5D"/>
    <w:rsid w:val="314466CC"/>
    <w:rsid w:val="31705EE7"/>
    <w:rsid w:val="31715963"/>
    <w:rsid w:val="31925E6C"/>
    <w:rsid w:val="31E3722E"/>
    <w:rsid w:val="34740C06"/>
    <w:rsid w:val="376B0DD8"/>
    <w:rsid w:val="392A318C"/>
    <w:rsid w:val="39872E8A"/>
    <w:rsid w:val="3A6413D1"/>
    <w:rsid w:val="3AE85519"/>
    <w:rsid w:val="3B4200A1"/>
    <w:rsid w:val="3B6A5B23"/>
    <w:rsid w:val="3BE21F08"/>
    <w:rsid w:val="3D271E47"/>
    <w:rsid w:val="3D347271"/>
    <w:rsid w:val="3E48075A"/>
    <w:rsid w:val="3F1877C3"/>
    <w:rsid w:val="3F301331"/>
    <w:rsid w:val="3F7E6670"/>
    <w:rsid w:val="40C040EF"/>
    <w:rsid w:val="41391F47"/>
    <w:rsid w:val="41FB53B7"/>
    <w:rsid w:val="424A0301"/>
    <w:rsid w:val="42B46AFD"/>
    <w:rsid w:val="42BF02C6"/>
    <w:rsid w:val="43B50336"/>
    <w:rsid w:val="44BB17BC"/>
    <w:rsid w:val="44DC3315"/>
    <w:rsid w:val="453B7588"/>
    <w:rsid w:val="464B1A8F"/>
    <w:rsid w:val="46846E70"/>
    <w:rsid w:val="472E5BBF"/>
    <w:rsid w:val="48593A83"/>
    <w:rsid w:val="48A928A5"/>
    <w:rsid w:val="48D04AF6"/>
    <w:rsid w:val="49BF0745"/>
    <w:rsid w:val="4A1C2405"/>
    <w:rsid w:val="4A603C6A"/>
    <w:rsid w:val="4A765636"/>
    <w:rsid w:val="4B06733D"/>
    <w:rsid w:val="4B0C5484"/>
    <w:rsid w:val="4BCF2E19"/>
    <w:rsid w:val="4D456B0F"/>
    <w:rsid w:val="4DB778D3"/>
    <w:rsid w:val="4EBD0F5D"/>
    <w:rsid w:val="4FCA4EC2"/>
    <w:rsid w:val="507A1C34"/>
    <w:rsid w:val="50824E3D"/>
    <w:rsid w:val="50D878AE"/>
    <w:rsid w:val="516923D4"/>
    <w:rsid w:val="52DD620A"/>
    <w:rsid w:val="52E8648C"/>
    <w:rsid w:val="542D76E9"/>
    <w:rsid w:val="56296AD2"/>
    <w:rsid w:val="56D331C5"/>
    <w:rsid w:val="56EA2293"/>
    <w:rsid w:val="575E77C6"/>
    <w:rsid w:val="57A4224B"/>
    <w:rsid w:val="57C84CF5"/>
    <w:rsid w:val="59101387"/>
    <w:rsid w:val="593058FE"/>
    <w:rsid w:val="59DF41BF"/>
    <w:rsid w:val="5B13515F"/>
    <w:rsid w:val="5B6B6D49"/>
    <w:rsid w:val="5C0234E7"/>
    <w:rsid w:val="5CAF3C0A"/>
    <w:rsid w:val="5CFA7A39"/>
    <w:rsid w:val="5D7B62F3"/>
    <w:rsid w:val="60533348"/>
    <w:rsid w:val="60B847DE"/>
    <w:rsid w:val="61880654"/>
    <w:rsid w:val="61AA2941"/>
    <w:rsid w:val="6276114C"/>
    <w:rsid w:val="62CA226C"/>
    <w:rsid w:val="63335BCF"/>
    <w:rsid w:val="63EF4AAF"/>
    <w:rsid w:val="64020AE6"/>
    <w:rsid w:val="648864E0"/>
    <w:rsid w:val="652A37D1"/>
    <w:rsid w:val="66214650"/>
    <w:rsid w:val="66CB62AD"/>
    <w:rsid w:val="679260CB"/>
    <w:rsid w:val="68B25CFD"/>
    <w:rsid w:val="690507DD"/>
    <w:rsid w:val="69EA5EDE"/>
    <w:rsid w:val="6B5D3024"/>
    <w:rsid w:val="6B841E8D"/>
    <w:rsid w:val="6BE851E4"/>
    <w:rsid w:val="6D264D81"/>
    <w:rsid w:val="6D2E382B"/>
    <w:rsid w:val="6F1D3FB9"/>
    <w:rsid w:val="6F25764F"/>
    <w:rsid w:val="6F704DD5"/>
    <w:rsid w:val="7090092E"/>
    <w:rsid w:val="709E44C0"/>
    <w:rsid w:val="71AD7C63"/>
    <w:rsid w:val="720B4874"/>
    <w:rsid w:val="72605B7B"/>
    <w:rsid w:val="744050EE"/>
    <w:rsid w:val="746565D3"/>
    <w:rsid w:val="76562678"/>
    <w:rsid w:val="767F1BDF"/>
    <w:rsid w:val="76A71821"/>
    <w:rsid w:val="76BF5F6B"/>
    <w:rsid w:val="77142AC5"/>
    <w:rsid w:val="78CA2EA9"/>
    <w:rsid w:val="791201AB"/>
    <w:rsid w:val="7A8C558D"/>
    <w:rsid w:val="7AD15827"/>
    <w:rsid w:val="7B18614D"/>
    <w:rsid w:val="7E9E1801"/>
    <w:rsid w:val="7EBE6083"/>
    <w:rsid w:val="7EC14D4E"/>
    <w:rsid w:val="7F187203"/>
    <w:rsid w:val="7F1D0C1B"/>
    <w:rsid w:val="7F744AA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0" w:semiHidden="0" w:name="index 8"/>
    <w:lsdException w:qFormat="1" w:unhideWhenUsed="0"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iPriority="99" w:semiHidden="0" w:name="Balloon Text"/>
    <w:lsdException w:uiPriority="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link w:val="88"/>
    <w:qFormat/>
    <w:uiPriority w:val="9"/>
    <w:pPr>
      <w:outlineLvl w:val="0"/>
    </w:pPr>
    <w:rPr>
      <w:rFonts w:ascii="宋体" w:hAnsi="宋体"/>
      <w:b/>
      <w:sz w:val="32"/>
    </w:rPr>
  </w:style>
  <w:style w:type="paragraph" w:styleId="4">
    <w:name w:val="heading 2"/>
    <w:basedOn w:val="1"/>
    <w:next w:val="1"/>
    <w:link w:val="89"/>
    <w:qFormat/>
    <w:uiPriority w:val="9"/>
    <w:pPr>
      <w:spacing w:before="7"/>
      <w:outlineLvl w:val="1"/>
    </w:pPr>
    <w:rPr>
      <w:rFonts w:ascii="宋体" w:hAnsi="宋体"/>
      <w:b/>
      <w:sz w:val="30"/>
    </w:rPr>
  </w:style>
  <w:style w:type="paragraph" w:styleId="5">
    <w:name w:val="heading 3"/>
    <w:basedOn w:val="1"/>
    <w:next w:val="2"/>
    <w:link w:val="90"/>
    <w:qFormat/>
    <w:uiPriority w:val="9"/>
    <w:pPr>
      <w:spacing w:before="14"/>
      <w:ind w:left="711"/>
      <w:outlineLvl w:val="2"/>
    </w:pPr>
    <w:rPr>
      <w:rFonts w:ascii="宋体" w:hAnsi="宋体"/>
      <w:b/>
      <w:sz w:val="28"/>
    </w:rPr>
  </w:style>
  <w:style w:type="paragraph" w:styleId="6">
    <w:name w:val="heading 4"/>
    <w:basedOn w:val="1"/>
    <w:next w:val="1"/>
    <w:link w:val="91"/>
    <w:qFormat/>
    <w:uiPriority w:val="9"/>
    <w:pPr>
      <w:spacing w:before="14"/>
      <w:ind w:left="111"/>
      <w:outlineLvl w:val="3"/>
    </w:pPr>
    <w:rPr>
      <w:rFonts w:ascii="宋体" w:hAnsi="宋体"/>
      <w:sz w:val="28"/>
    </w:rPr>
  </w:style>
  <w:style w:type="paragraph" w:styleId="7">
    <w:name w:val="heading 5"/>
    <w:basedOn w:val="1"/>
    <w:next w:val="1"/>
    <w:link w:val="92"/>
    <w:qFormat/>
    <w:uiPriority w:val="9"/>
    <w:pPr>
      <w:spacing w:before="26"/>
      <w:ind w:left="591"/>
      <w:outlineLvl w:val="4"/>
    </w:pPr>
    <w:rPr>
      <w:rFonts w:ascii="宋体" w:hAnsi="宋体"/>
      <w:b/>
    </w:rPr>
  </w:style>
  <w:style w:type="paragraph" w:styleId="8">
    <w:name w:val="heading 6"/>
    <w:basedOn w:val="1"/>
    <w:next w:val="1"/>
    <w:link w:val="93"/>
    <w:qFormat/>
    <w:uiPriority w:val="9"/>
    <w:pPr>
      <w:keepNext/>
      <w:keepLines/>
      <w:widowControl/>
      <w:tabs>
        <w:tab w:val="left" w:pos="1152"/>
      </w:tabs>
      <w:adjustRightInd/>
      <w:spacing w:before="240" w:after="64" w:line="317" w:lineRule="auto"/>
      <w:outlineLvl w:val="5"/>
    </w:pPr>
    <w:rPr>
      <w:rFonts w:ascii="Arial" w:hAnsi="Arial" w:eastAsia="黑体"/>
      <w:b/>
    </w:rPr>
  </w:style>
  <w:style w:type="paragraph" w:styleId="9">
    <w:name w:val="heading 7"/>
    <w:basedOn w:val="1"/>
    <w:next w:val="1"/>
    <w:link w:val="94"/>
    <w:qFormat/>
    <w:uiPriority w:val="9"/>
    <w:pPr>
      <w:keepNext/>
      <w:keepLines/>
      <w:widowControl/>
      <w:tabs>
        <w:tab w:val="left" w:pos="1296"/>
      </w:tabs>
      <w:adjustRightInd/>
      <w:spacing w:before="240" w:after="64" w:line="317" w:lineRule="auto"/>
      <w:outlineLvl w:val="6"/>
    </w:pPr>
    <w:rPr>
      <w:b/>
    </w:rPr>
  </w:style>
  <w:style w:type="paragraph" w:styleId="10">
    <w:name w:val="heading 8"/>
    <w:basedOn w:val="1"/>
    <w:next w:val="1"/>
    <w:link w:val="95"/>
    <w:qFormat/>
    <w:uiPriority w:val="9"/>
    <w:pPr>
      <w:keepNext/>
      <w:keepLines/>
      <w:widowControl/>
      <w:tabs>
        <w:tab w:val="left" w:pos="1440"/>
      </w:tabs>
      <w:adjustRightInd/>
      <w:spacing w:before="240" w:after="64" w:line="317" w:lineRule="auto"/>
      <w:outlineLvl w:val="7"/>
    </w:pPr>
    <w:rPr>
      <w:rFonts w:ascii="Arial" w:hAnsi="Arial" w:eastAsia="黑体"/>
    </w:rPr>
  </w:style>
  <w:style w:type="paragraph" w:styleId="11">
    <w:name w:val="heading 9"/>
    <w:basedOn w:val="1"/>
    <w:next w:val="1"/>
    <w:link w:val="96"/>
    <w:qFormat/>
    <w:uiPriority w:val="9"/>
    <w:pPr>
      <w:keepNext/>
      <w:keepLines/>
      <w:widowControl/>
      <w:tabs>
        <w:tab w:val="left" w:pos="1584"/>
      </w:tabs>
      <w:adjustRightInd/>
      <w:spacing w:before="240" w:after="64" w:line="317" w:lineRule="auto"/>
      <w:outlineLvl w:val="8"/>
    </w:pPr>
    <w:rPr>
      <w:rFonts w:ascii="Arial" w:hAnsi="Arial" w:eastAsia="黑体"/>
      <w:sz w:val="21"/>
    </w:rPr>
  </w:style>
  <w:style w:type="character" w:default="1" w:styleId="46">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12">
    <w:name w:val="toc 7"/>
    <w:basedOn w:val="1"/>
    <w:next w:val="1"/>
    <w:unhideWhenUsed/>
    <w:qFormat/>
    <w:uiPriority w:val="39"/>
    <w:pPr>
      <w:adjustRightInd/>
      <w:ind w:left="2520" w:leftChars="1200"/>
      <w:jc w:val="both"/>
    </w:pPr>
    <w:rPr>
      <w:rFonts w:ascii="Calibri" w:hAnsi="Calibri"/>
      <w:kern w:val="2"/>
      <w:sz w:val="21"/>
    </w:rPr>
  </w:style>
  <w:style w:type="paragraph" w:styleId="13">
    <w:name w:val="index 8"/>
    <w:basedOn w:val="1"/>
    <w:next w:val="1"/>
    <w:qFormat/>
    <w:uiPriority w:val="0"/>
    <w:pPr>
      <w:spacing w:line="276" w:lineRule="auto"/>
      <w:jc w:val="left"/>
    </w:pPr>
    <w:rPr>
      <w:rFonts w:ascii="宋体" w:hAnsi="宋体"/>
      <w:color w:val="FF0000"/>
      <w:szCs w:val="21"/>
    </w:rPr>
  </w:style>
  <w:style w:type="paragraph" w:styleId="14">
    <w:name w:val="caption"/>
    <w:basedOn w:val="1"/>
    <w:next w:val="1"/>
    <w:qFormat/>
    <w:uiPriority w:val="35"/>
    <w:pPr>
      <w:adjustRightInd/>
      <w:jc w:val="both"/>
    </w:pPr>
    <w:rPr>
      <w:rFonts w:ascii="Cambria" w:hAnsi="Cambria" w:eastAsia="黑体"/>
      <w:kern w:val="2"/>
      <w:sz w:val="20"/>
    </w:rPr>
  </w:style>
  <w:style w:type="paragraph" w:styleId="15">
    <w:name w:val="Document Map"/>
    <w:basedOn w:val="1"/>
    <w:link w:val="597"/>
    <w:unhideWhenUsed/>
    <w:qFormat/>
    <w:uiPriority w:val="99"/>
    <w:pPr>
      <w:shd w:val="clear" w:color="auto" w:fill="000080"/>
      <w:adjustRightInd/>
      <w:jc w:val="both"/>
    </w:pPr>
    <w:rPr>
      <w:kern w:val="2"/>
      <w:sz w:val="21"/>
      <w:shd w:val="clear" w:color="auto" w:fill="000080"/>
    </w:rPr>
  </w:style>
  <w:style w:type="paragraph" w:styleId="16">
    <w:name w:val="annotation text"/>
    <w:basedOn w:val="1"/>
    <w:link w:val="627"/>
    <w:unhideWhenUsed/>
    <w:qFormat/>
    <w:uiPriority w:val="99"/>
    <w:pPr>
      <w:widowControl/>
      <w:adjustRightInd/>
      <w:spacing w:after="200" w:line="276" w:lineRule="auto"/>
    </w:pPr>
    <w:rPr>
      <w:rFonts w:ascii="Calibri" w:hAnsi="Calibri"/>
      <w:kern w:val="2"/>
      <w:sz w:val="22"/>
      <w:lang w:eastAsia="en-US"/>
    </w:rPr>
  </w:style>
  <w:style w:type="paragraph" w:styleId="17">
    <w:name w:val="Body Text 3"/>
    <w:basedOn w:val="1"/>
    <w:link w:val="617"/>
    <w:unhideWhenUsed/>
    <w:qFormat/>
    <w:uiPriority w:val="99"/>
    <w:pPr>
      <w:spacing w:after="120"/>
    </w:pPr>
    <w:rPr>
      <w:sz w:val="16"/>
    </w:rPr>
  </w:style>
  <w:style w:type="paragraph" w:styleId="18">
    <w:name w:val="Body Text"/>
    <w:basedOn w:val="1"/>
    <w:next w:val="19"/>
    <w:link w:val="602"/>
    <w:unhideWhenUsed/>
    <w:qFormat/>
    <w:uiPriority w:val="99"/>
    <w:pPr>
      <w:ind w:left="591"/>
    </w:pPr>
    <w:rPr>
      <w:rFonts w:ascii="宋体" w:hAnsi="宋体"/>
    </w:rPr>
  </w:style>
  <w:style w:type="paragraph" w:customStyle="1" w:styleId="19">
    <w:name w:val="目录 53"/>
    <w:basedOn w:val="1"/>
    <w:next w:val="1"/>
    <w:qFormat/>
    <w:uiPriority w:val="99"/>
    <w:pPr>
      <w:ind w:left="840"/>
    </w:pPr>
    <w:rPr>
      <w:sz w:val="18"/>
    </w:rPr>
  </w:style>
  <w:style w:type="paragraph" w:styleId="20">
    <w:name w:val="Body Text Indent"/>
    <w:basedOn w:val="1"/>
    <w:next w:val="1"/>
    <w:link w:val="592"/>
    <w:unhideWhenUsed/>
    <w:qFormat/>
    <w:uiPriority w:val="99"/>
    <w:pPr>
      <w:spacing w:after="120"/>
      <w:ind w:left="420" w:leftChars="200"/>
    </w:pPr>
  </w:style>
  <w:style w:type="paragraph" w:styleId="21">
    <w:name w:val="index 4"/>
    <w:basedOn w:val="1"/>
    <w:next w:val="1"/>
    <w:unhideWhenUsed/>
    <w:qFormat/>
    <w:uiPriority w:val="99"/>
    <w:pPr>
      <w:adjustRightInd/>
      <w:ind w:left="600" w:leftChars="600"/>
      <w:jc w:val="both"/>
    </w:pPr>
    <w:rPr>
      <w:kern w:val="2"/>
      <w:sz w:val="21"/>
    </w:rPr>
  </w:style>
  <w:style w:type="paragraph" w:styleId="22">
    <w:name w:val="toc 5"/>
    <w:basedOn w:val="1"/>
    <w:next w:val="1"/>
    <w:unhideWhenUsed/>
    <w:qFormat/>
    <w:uiPriority w:val="39"/>
    <w:pPr>
      <w:tabs>
        <w:tab w:val="right" w:leader="dot" w:pos="8296"/>
      </w:tabs>
      <w:adjustRightInd/>
      <w:ind w:left="1050" w:leftChars="500"/>
      <w:jc w:val="both"/>
    </w:pPr>
    <w:rPr>
      <w:rFonts w:ascii="Calibri" w:hAnsi="Calibri"/>
      <w:kern w:val="2"/>
      <w:sz w:val="21"/>
    </w:rPr>
  </w:style>
  <w:style w:type="paragraph" w:styleId="23">
    <w:name w:val="toc 3"/>
    <w:basedOn w:val="1"/>
    <w:next w:val="1"/>
    <w:unhideWhenUsed/>
    <w:qFormat/>
    <w:uiPriority w:val="39"/>
    <w:pPr>
      <w:adjustRightInd/>
      <w:ind w:left="840" w:leftChars="400"/>
      <w:jc w:val="both"/>
    </w:pPr>
    <w:rPr>
      <w:rFonts w:ascii="宋体" w:hAnsi="宋体"/>
      <w:kern w:val="2"/>
      <w:sz w:val="21"/>
    </w:rPr>
  </w:style>
  <w:style w:type="paragraph" w:styleId="24">
    <w:name w:val="Plain Text"/>
    <w:basedOn w:val="1"/>
    <w:link w:val="622"/>
    <w:unhideWhenUsed/>
    <w:qFormat/>
    <w:uiPriority w:val="99"/>
    <w:rPr>
      <w:rFonts w:ascii="宋体" w:hAnsi="Courier New"/>
    </w:rPr>
  </w:style>
  <w:style w:type="paragraph" w:styleId="25">
    <w:name w:val="toc 8"/>
    <w:basedOn w:val="1"/>
    <w:next w:val="1"/>
    <w:unhideWhenUsed/>
    <w:qFormat/>
    <w:uiPriority w:val="39"/>
    <w:pPr>
      <w:adjustRightInd/>
      <w:ind w:left="2940" w:leftChars="1400"/>
      <w:jc w:val="both"/>
    </w:pPr>
    <w:rPr>
      <w:rFonts w:ascii="Calibri" w:hAnsi="Calibri"/>
      <w:kern w:val="2"/>
      <w:sz w:val="21"/>
    </w:rPr>
  </w:style>
  <w:style w:type="paragraph" w:styleId="26">
    <w:name w:val="Date"/>
    <w:basedOn w:val="1"/>
    <w:next w:val="1"/>
    <w:link w:val="642"/>
    <w:unhideWhenUsed/>
    <w:qFormat/>
    <w:uiPriority w:val="99"/>
    <w:pPr>
      <w:adjustRightInd/>
      <w:ind w:left="100" w:leftChars="2500"/>
      <w:jc w:val="both"/>
    </w:pPr>
    <w:rPr>
      <w:rFonts w:ascii="宋体"/>
      <w:kern w:val="2"/>
      <w:sz w:val="28"/>
    </w:rPr>
  </w:style>
  <w:style w:type="paragraph" w:styleId="27">
    <w:name w:val="Body Text Indent 2"/>
    <w:basedOn w:val="1"/>
    <w:link w:val="647"/>
    <w:unhideWhenUsed/>
    <w:qFormat/>
    <w:uiPriority w:val="99"/>
    <w:pPr>
      <w:adjustRightInd/>
      <w:spacing w:line="440" w:lineRule="exact"/>
      <w:ind w:firstLine="412" w:firstLineChars="200"/>
      <w:jc w:val="both"/>
    </w:pPr>
    <w:rPr>
      <w:rFonts w:ascii="宋体" w:hAnsi="宋体"/>
      <w:b/>
      <w:kern w:val="2"/>
      <w:sz w:val="21"/>
    </w:rPr>
  </w:style>
  <w:style w:type="paragraph" w:styleId="28">
    <w:name w:val="Balloon Text"/>
    <w:basedOn w:val="1"/>
    <w:link w:val="652"/>
    <w:unhideWhenUsed/>
    <w:qFormat/>
    <w:uiPriority w:val="99"/>
    <w:pPr>
      <w:adjustRightInd/>
      <w:jc w:val="both"/>
    </w:pPr>
    <w:rPr>
      <w:kern w:val="2"/>
      <w:sz w:val="18"/>
    </w:rPr>
  </w:style>
  <w:style w:type="paragraph" w:styleId="29">
    <w:name w:val="footer"/>
    <w:basedOn w:val="1"/>
    <w:link w:val="662"/>
    <w:unhideWhenUsed/>
    <w:qFormat/>
    <w:uiPriority w:val="99"/>
    <w:pPr>
      <w:tabs>
        <w:tab w:val="center" w:pos="4153"/>
        <w:tab w:val="right" w:pos="8306"/>
      </w:tabs>
      <w:snapToGrid w:val="0"/>
    </w:pPr>
    <w:rPr>
      <w:sz w:val="18"/>
    </w:rPr>
  </w:style>
  <w:style w:type="paragraph" w:styleId="30">
    <w:name w:val="header"/>
    <w:basedOn w:val="1"/>
    <w:link w:val="637"/>
    <w:unhideWhenUsed/>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unhideWhenUsed/>
    <w:qFormat/>
    <w:uiPriority w:val="39"/>
    <w:pPr>
      <w:tabs>
        <w:tab w:val="right" w:leader="dot" w:pos="8296"/>
      </w:tabs>
      <w:adjustRightInd/>
      <w:jc w:val="both"/>
    </w:pPr>
    <w:rPr>
      <w:rFonts w:ascii="宋体" w:hAnsi="宋体"/>
      <w:kern w:val="2"/>
      <w:sz w:val="21"/>
      <w:lang w:val="zh-CN"/>
    </w:rPr>
  </w:style>
  <w:style w:type="paragraph" w:styleId="32">
    <w:name w:val="toc 4"/>
    <w:basedOn w:val="1"/>
    <w:next w:val="1"/>
    <w:unhideWhenUsed/>
    <w:qFormat/>
    <w:uiPriority w:val="39"/>
    <w:pPr>
      <w:tabs>
        <w:tab w:val="left" w:pos="1890"/>
        <w:tab w:val="right" w:leader="dot" w:pos="8296"/>
      </w:tabs>
      <w:adjustRightInd/>
      <w:ind w:left="630" w:leftChars="300"/>
      <w:jc w:val="both"/>
    </w:pPr>
    <w:rPr>
      <w:rFonts w:ascii="Calibri" w:hAnsi="Calibri"/>
      <w:kern w:val="2"/>
      <w:sz w:val="21"/>
    </w:rPr>
  </w:style>
  <w:style w:type="paragraph" w:styleId="33">
    <w:name w:val="Subtitle"/>
    <w:basedOn w:val="1"/>
    <w:next w:val="1"/>
    <w:link w:val="672"/>
    <w:qFormat/>
    <w:uiPriority w:val="11"/>
    <w:pPr>
      <w:widowControl/>
      <w:adjustRightInd/>
      <w:spacing w:after="200" w:line="276" w:lineRule="auto"/>
    </w:pPr>
    <w:rPr>
      <w:rFonts w:ascii="Cambria" w:hAnsi="Cambria"/>
      <w:i/>
      <w:spacing w:val="15"/>
      <w:kern w:val="2"/>
      <w:lang w:eastAsia="en-US"/>
    </w:rPr>
  </w:style>
  <w:style w:type="paragraph" w:styleId="34">
    <w:name w:val="List"/>
    <w:basedOn w:val="1"/>
    <w:qFormat/>
    <w:uiPriority w:val="99"/>
    <w:pPr>
      <w:ind w:left="200" w:hanging="200" w:hangingChars="200"/>
      <w:contextualSpacing/>
    </w:pPr>
  </w:style>
  <w:style w:type="paragraph" w:styleId="35">
    <w:name w:val="toc 6"/>
    <w:basedOn w:val="1"/>
    <w:next w:val="1"/>
    <w:unhideWhenUsed/>
    <w:qFormat/>
    <w:uiPriority w:val="39"/>
    <w:pPr>
      <w:adjustRightInd/>
      <w:ind w:left="2100" w:leftChars="1000"/>
      <w:jc w:val="both"/>
    </w:pPr>
    <w:rPr>
      <w:rFonts w:ascii="Calibri" w:hAnsi="Calibri"/>
      <w:kern w:val="2"/>
      <w:sz w:val="21"/>
    </w:rPr>
  </w:style>
  <w:style w:type="paragraph" w:styleId="36">
    <w:name w:val="Body Text Indent 3"/>
    <w:basedOn w:val="1"/>
    <w:link w:val="657"/>
    <w:unhideWhenUsed/>
    <w:qFormat/>
    <w:uiPriority w:val="99"/>
    <w:pPr>
      <w:adjustRightInd/>
      <w:spacing w:line="440" w:lineRule="exact"/>
      <w:ind w:firstLine="412" w:firstLineChars="200"/>
      <w:jc w:val="both"/>
    </w:pPr>
    <w:rPr>
      <w:rFonts w:ascii="宋体" w:hAnsi="宋体"/>
      <w:kern w:val="2"/>
      <w:sz w:val="21"/>
    </w:rPr>
  </w:style>
  <w:style w:type="paragraph" w:styleId="37">
    <w:name w:val="toc 2"/>
    <w:basedOn w:val="1"/>
    <w:next w:val="1"/>
    <w:unhideWhenUsed/>
    <w:qFormat/>
    <w:uiPriority w:val="39"/>
    <w:pPr>
      <w:adjustRightInd/>
      <w:ind w:left="420" w:leftChars="200"/>
      <w:jc w:val="both"/>
    </w:pPr>
    <w:rPr>
      <w:rFonts w:ascii="宋体" w:hAnsi="宋体"/>
      <w:kern w:val="2"/>
      <w:sz w:val="21"/>
    </w:rPr>
  </w:style>
  <w:style w:type="paragraph" w:styleId="38">
    <w:name w:val="toc 9"/>
    <w:basedOn w:val="1"/>
    <w:next w:val="1"/>
    <w:unhideWhenUsed/>
    <w:qFormat/>
    <w:uiPriority w:val="39"/>
    <w:pPr>
      <w:adjustRightInd/>
      <w:ind w:left="3360" w:leftChars="1600"/>
      <w:jc w:val="both"/>
    </w:pPr>
    <w:rPr>
      <w:rFonts w:ascii="Calibri" w:hAnsi="Calibri"/>
      <w:kern w:val="2"/>
      <w:sz w:val="21"/>
    </w:rPr>
  </w:style>
  <w:style w:type="paragraph" w:styleId="39">
    <w:name w:val="Body Text 2"/>
    <w:basedOn w:val="1"/>
    <w:link w:val="612"/>
    <w:unhideWhenUsed/>
    <w:qFormat/>
    <w:uiPriority w:val="99"/>
    <w:pPr>
      <w:adjustRightInd/>
      <w:jc w:val="both"/>
    </w:pPr>
    <w:rPr>
      <w:rFonts w:ascii="宋体" w:hAnsi="宋体"/>
      <w:kern w:val="2"/>
      <w:sz w:val="18"/>
    </w:rPr>
  </w:style>
  <w:style w:type="paragraph" w:styleId="40">
    <w:name w:val="List Continue 2"/>
    <w:basedOn w:val="1"/>
    <w:unhideWhenUsed/>
    <w:qFormat/>
    <w:uiPriority w:val="99"/>
    <w:pPr>
      <w:adjustRightInd/>
      <w:spacing w:after="120"/>
      <w:ind w:left="840" w:leftChars="400"/>
      <w:jc w:val="both"/>
    </w:pPr>
    <w:rPr>
      <w:kern w:val="2"/>
      <w:sz w:val="21"/>
    </w:rPr>
  </w:style>
  <w:style w:type="paragraph" w:styleId="41">
    <w:name w:val="Normal (Web)"/>
    <w:basedOn w:val="1"/>
    <w:unhideWhenUsed/>
    <w:qFormat/>
    <w:uiPriority w:val="0"/>
    <w:pPr>
      <w:widowControl/>
      <w:adjustRightInd/>
      <w:spacing w:before="100" w:beforeAutospacing="1" w:after="100" w:afterAutospacing="1"/>
    </w:pPr>
    <w:rPr>
      <w:rFonts w:ascii="宋体" w:hAnsi="宋体"/>
    </w:rPr>
  </w:style>
  <w:style w:type="paragraph" w:styleId="42">
    <w:name w:val="Title"/>
    <w:basedOn w:val="1"/>
    <w:link w:val="632"/>
    <w:qFormat/>
    <w:uiPriority w:val="10"/>
    <w:pPr>
      <w:adjustRightInd/>
      <w:spacing w:before="240" w:after="60"/>
      <w:jc w:val="center"/>
      <w:outlineLvl w:val="0"/>
    </w:pPr>
    <w:rPr>
      <w:rFonts w:ascii="新宋体" w:hAnsi="Arial" w:eastAsia="新宋体"/>
      <w:b/>
      <w:kern w:val="2"/>
      <w:sz w:val="40"/>
    </w:rPr>
  </w:style>
  <w:style w:type="paragraph" w:styleId="43">
    <w:name w:val="annotation subject"/>
    <w:basedOn w:val="16"/>
    <w:next w:val="16"/>
    <w:link w:val="667"/>
    <w:unhideWhenUsed/>
    <w:qFormat/>
    <w:uiPriority w:val="99"/>
    <w:rPr>
      <w:b/>
    </w:rPr>
  </w:style>
  <w:style w:type="paragraph" w:styleId="44">
    <w:name w:val="Body Text First Indent 2"/>
    <w:basedOn w:val="20"/>
    <w:link w:val="677"/>
    <w:unhideWhenUsed/>
    <w:qFormat/>
    <w:uiPriority w:val="99"/>
    <w:pPr>
      <w:spacing w:after="0"/>
      <w:ind w:left="0" w:leftChars="0" w:firstLine="200" w:firstLineChars="200"/>
    </w:pPr>
    <w:rPr>
      <w:sz w:val="28"/>
    </w:rPr>
  </w:style>
  <w:style w:type="character" w:styleId="47">
    <w:name w:val="Strong"/>
    <w:basedOn w:val="46"/>
    <w:qFormat/>
    <w:uiPriority w:val="22"/>
    <w:rPr>
      <w:rFonts w:cs="Times New Roman"/>
      <w:b/>
    </w:rPr>
  </w:style>
  <w:style w:type="character" w:styleId="48">
    <w:name w:val="page number"/>
    <w:basedOn w:val="46"/>
    <w:unhideWhenUsed/>
    <w:qFormat/>
    <w:uiPriority w:val="99"/>
    <w:rPr>
      <w:rFonts w:cs="Times New Roman"/>
    </w:rPr>
  </w:style>
  <w:style w:type="character" w:styleId="49">
    <w:name w:val="FollowedHyperlink"/>
    <w:basedOn w:val="46"/>
    <w:unhideWhenUsed/>
    <w:qFormat/>
    <w:uiPriority w:val="99"/>
    <w:rPr>
      <w:rFonts w:cs="Times New Roman"/>
      <w:color w:val="800080"/>
      <w:u w:val="single"/>
    </w:rPr>
  </w:style>
  <w:style w:type="character" w:styleId="50">
    <w:name w:val="Emphasis"/>
    <w:basedOn w:val="46"/>
    <w:qFormat/>
    <w:uiPriority w:val="20"/>
    <w:rPr>
      <w:rFonts w:cs="Times New Roman"/>
      <w:i/>
    </w:rPr>
  </w:style>
  <w:style w:type="character" w:styleId="51">
    <w:name w:val="Hyperlink"/>
    <w:basedOn w:val="46"/>
    <w:unhideWhenUsed/>
    <w:qFormat/>
    <w:uiPriority w:val="99"/>
    <w:rPr>
      <w:rFonts w:cs="Times New Roman"/>
      <w:color w:val="0000FF"/>
      <w:u w:val="single"/>
    </w:rPr>
  </w:style>
  <w:style w:type="character" w:styleId="52">
    <w:name w:val="annotation reference"/>
    <w:basedOn w:val="46"/>
    <w:unhideWhenUsed/>
    <w:qFormat/>
    <w:uiPriority w:val="99"/>
    <w:rPr>
      <w:rFonts w:cs="Times New Roman"/>
      <w:sz w:val="21"/>
    </w:rPr>
  </w:style>
  <w:style w:type="paragraph" w:customStyle="1" w:styleId="53">
    <w:name w:val="标题5"/>
    <w:basedOn w:val="5"/>
    <w:link w:val="112"/>
    <w:unhideWhenUsed/>
    <w:qFormat/>
    <w:uiPriority w:val="0"/>
    <w:pPr>
      <w:keepNext/>
      <w:keepLines/>
      <w:adjustRightInd/>
      <w:spacing w:before="260" w:after="260" w:line="413" w:lineRule="auto"/>
      <w:ind w:left="0"/>
      <w:jc w:val="both"/>
    </w:pPr>
    <w:rPr>
      <w:rFonts w:ascii="Arial" w:hAnsi="Arial"/>
      <w:kern w:val="2"/>
      <w:sz w:val="24"/>
    </w:rPr>
  </w:style>
  <w:style w:type="paragraph" w:customStyle="1" w:styleId="54">
    <w:name w:val="标题4"/>
    <w:basedOn w:val="4"/>
    <w:next w:val="21"/>
    <w:link w:val="190"/>
    <w:unhideWhenUsed/>
    <w:qFormat/>
    <w:uiPriority w:val="0"/>
    <w:pPr>
      <w:keepNext/>
      <w:keepLines/>
      <w:adjustRightInd/>
      <w:spacing w:before="260" w:after="260" w:line="413" w:lineRule="auto"/>
      <w:jc w:val="both"/>
    </w:pPr>
    <w:rPr>
      <w:rFonts w:ascii="Arial" w:hAnsi="Arial"/>
      <w:kern w:val="2"/>
      <w:sz w:val="24"/>
    </w:rPr>
  </w:style>
  <w:style w:type="paragraph" w:customStyle="1" w:styleId="55">
    <w:name w:val="flNote"/>
    <w:basedOn w:val="1"/>
    <w:unhideWhenUsed/>
    <w:qFormat/>
    <w:uiPriority w:val="0"/>
    <w:pPr>
      <w:spacing w:before="320" w:after="160" w:line="360" w:lineRule="atLeast"/>
      <w:jc w:val="center"/>
      <w:textAlignment w:val="baseline"/>
    </w:pPr>
    <w:rPr>
      <w:rFonts w:ascii="Arial" w:eastAsia="黑体"/>
      <w:sz w:val="30"/>
    </w:rPr>
  </w:style>
  <w:style w:type="paragraph" w:customStyle="1" w:styleId="56">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57">
    <w:name w:val="Char"/>
    <w:basedOn w:val="1"/>
    <w:unhideWhenUsed/>
    <w:qFormat/>
    <w:uiPriority w:val="0"/>
    <w:pPr>
      <w:adjustRightInd/>
      <w:jc w:val="both"/>
    </w:pPr>
    <w:rPr>
      <w:kern w:val="2"/>
      <w:sz w:val="21"/>
    </w:rPr>
  </w:style>
  <w:style w:type="paragraph" w:customStyle="1" w:styleId="58">
    <w:name w:val="Char Char Char"/>
    <w:basedOn w:val="1"/>
    <w:unhideWhenUsed/>
    <w:qFormat/>
    <w:uiPriority w:val="0"/>
    <w:pPr>
      <w:adjustRightInd/>
      <w:jc w:val="both"/>
    </w:pPr>
    <w:rPr>
      <w:kern w:val="2"/>
      <w:sz w:val="21"/>
    </w:rPr>
  </w:style>
  <w:style w:type="paragraph" w:customStyle="1" w:styleId="59">
    <w:name w:val="正文 New"/>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缺省文本"/>
    <w:unhideWhenUsed/>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Intense Quote"/>
    <w:basedOn w:val="1"/>
    <w:next w:val="1"/>
    <w:link w:val="607"/>
    <w:qFormat/>
    <w:uiPriority w:val="30"/>
    <w:pPr>
      <w:widowControl/>
      <w:pBdr>
        <w:bottom w:val="single" w:color="auto" w:sz="4" w:space="4"/>
      </w:pBdr>
      <w:adjustRightInd/>
      <w:spacing w:before="200" w:after="280" w:line="276" w:lineRule="auto"/>
      <w:ind w:left="936" w:right="936"/>
    </w:pPr>
    <w:rPr>
      <w:rFonts w:ascii="Calibri" w:hAnsi="Calibri"/>
      <w:b/>
      <w:i/>
      <w:kern w:val="2"/>
      <w:sz w:val="22"/>
      <w:lang w:eastAsia="en-US"/>
    </w:rPr>
  </w:style>
  <w:style w:type="paragraph" w:customStyle="1" w:styleId="62">
    <w:name w:val="样式 标题 2 + Times New Roman 四号 非加粗 段前: 5 磅 段后: 0 磅 行距: 固定值 20..."/>
    <w:basedOn w:val="4"/>
    <w:unhideWhenUsed/>
    <w:qFormat/>
    <w:uiPriority w:val="0"/>
    <w:pPr>
      <w:spacing w:before="100" w:line="400" w:lineRule="exact"/>
    </w:pPr>
    <w:rPr>
      <w:rFonts w:ascii="Times New Roman" w:hAnsi="Times New Roman"/>
      <w:b w:val="0"/>
      <w:sz w:val="28"/>
    </w:rPr>
  </w:style>
  <w:style w:type="paragraph" w:customStyle="1" w:styleId="63">
    <w:name w:val="font5"/>
    <w:basedOn w:val="1"/>
    <w:unhideWhenUsed/>
    <w:qFormat/>
    <w:uiPriority w:val="0"/>
    <w:pPr>
      <w:widowControl/>
      <w:adjustRightInd/>
      <w:spacing w:before="100" w:beforeAutospacing="1" w:after="100" w:afterAutospacing="1"/>
    </w:pPr>
    <w:rPr>
      <w:rFonts w:ascii="宋体" w:hAnsi="宋体"/>
      <w:sz w:val="18"/>
    </w:rPr>
  </w:style>
  <w:style w:type="paragraph" w:customStyle="1" w:styleId="64">
    <w:name w:val="GZTB表格样式"/>
    <w:basedOn w:val="1"/>
    <w:unhideWhenUsed/>
    <w:qFormat/>
    <w:uiPriority w:val="0"/>
    <w:pPr>
      <w:adjustRightInd/>
      <w:spacing w:after="200" w:line="440" w:lineRule="exact"/>
      <w:jc w:val="both"/>
    </w:pPr>
    <w:rPr>
      <w:rFonts w:ascii="新宋体" w:hAnsi="新宋体" w:eastAsia="新宋体"/>
      <w:kern w:val="2"/>
      <w:sz w:val="21"/>
    </w:rPr>
  </w:style>
  <w:style w:type="paragraph" w:customStyle="1" w:styleId="65">
    <w:name w:val="_Style 21"/>
    <w:basedOn w:val="1"/>
    <w:unhideWhenUsed/>
    <w:qFormat/>
    <w:uiPriority w:val="0"/>
    <w:pPr>
      <w:adjustRightInd/>
      <w:jc w:val="both"/>
    </w:pPr>
    <w:rPr>
      <w:kern w:val="2"/>
      <w:sz w:val="21"/>
    </w:rPr>
  </w:style>
  <w:style w:type="paragraph" w:customStyle="1" w:styleId="66">
    <w:name w:val="xl25"/>
    <w:basedOn w:val="1"/>
    <w:unhideWhenUsed/>
    <w:qFormat/>
    <w:uiPriority w:val="0"/>
    <w:pPr>
      <w:widowControl/>
      <w:adjustRightInd/>
      <w:spacing w:before="100" w:beforeAutospacing="1" w:after="100" w:afterAutospacing="1"/>
      <w:jc w:val="both"/>
      <w:textAlignment w:val="center"/>
    </w:pPr>
    <w:rPr>
      <w:rFonts w:ascii="宋体" w:hAnsi="宋体"/>
      <w:sz w:val="18"/>
    </w:rPr>
  </w:style>
  <w:style w:type="paragraph" w:customStyle="1" w:styleId="67">
    <w:name w:val="样式 标题 3 + (中文) 黑体 小四 非加粗 段前: 7.8 磅 段后: 0 磅 行距: 固定值 20 磅"/>
    <w:basedOn w:val="5"/>
    <w:unhideWhenUsed/>
    <w:qFormat/>
    <w:uiPriority w:val="0"/>
    <w:pPr>
      <w:spacing w:before="0" w:line="400" w:lineRule="exact"/>
      <w:ind w:left="0"/>
      <w:jc w:val="both"/>
    </w:pPr>
    <w:rPr>
      <w:rFonts w:eastAsia="黑体"/>
      <w:b w:val="0"/>
      <w:kern w:val="2"/>
      <w:sz w:val="24"/>
    </w:rPr>
  </w:style>
  <w:style w:type="paragraph" w:customStyle="1" w:styleId="68">
    <w:name w:val="Table Paragraph"/>
    <w:basedOn w:val="1"/>
    <w:unhideWhenUsed/>
    <w:qFormat/>
    <w:uiPriority w:val="1"/>
  </w:style>
  <w:style w:type="paragraph" w:customStyle="1" w:styleId="69">
    <w:name w:val="xl37"/>
    <w:basedOn w:val="1"/>
    <w:unhideWhenUsed/>
    <w:qFormat/>
    <w:uiPriority w:val="0"/>
    <w:pPr>
      <w:widowControl/>
      <w:pBdr>
        <w:left w:val="single" w:color="auto" w:sz="8" w:space="0"/>
        <w:right w:val="single" w:color="auto" w:sz="4" w:space="0"/>
      </w:pBdr>
      <w:adjustRightInd/>
      <w:spacing w:before="100" w:beforeAutospacing="1" w:after="100" w:afterAutospacing="1"/>
      <w:jc w:val="center"/>
      <w:textAlignment w:val="center"/>
    </w:pPr>
    <w:rPr>
      <w:rFonts w:ascii="宋体" w:hAnsi="宋体"/>
      <w:sz w:val="18"/>
    </w:rPr>
  </w:style>
  <w:style w:type="paragraph" w:customStyle="1" w:styleId="7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空半行"/>
    <w:basedOn w:val="1"/>
    <w:unhideWhenUsed/>
    <w:qFormat/>
    <w:uiPriority w:val="0"/>
    <w:pPr>
      <w:spacing w:line="120" w:lineRule="exact"/>
      <w:jc w:val="both"/>
      <w:textAlignment w:val="baseline"/>
    </w:pPr>
    <w:rPr>
      <w:rFonts w:eastAsia="仿宋_GB2312"/>
      <w:color w:val="FFFFFF"/>
      <w:sz w:val="30"/>
    </w:rPr>
  </w:style>
  <w:style w:type="paragraph" w:customStyle="1" w:styleId="72">
    <w:name w:val="Char1"/>
    <w:basedOn w:val="1"/>
    <w:unhideWhenUsed/>
    <w:qFormat/>
    <w:uiPriority w:val="0"/>
    <w:pPr>
      <w:adjustRightInd/>
      <w:jc w:val="both"/>
    </w:pPr>
    <w:rPr>
      <w:kern w:val="2"/>
      <w:sz w:val="21"/>
    </w:rPr>
  </w:style>
  <w:style w:type="paragraph" w:customStyle="1" w:styleId="73">
    <w:name w:val="List Paragraph"/>
    <w:basedOn w:val="1"/>
    <w:qFormat/>
    <w:uiPriority w:val="34"/>
    <w:pPr>
      <w:adjustRightInd/>
      <w:ind w:firstLine="420" w:firstLineChars="200"/>
      <w:jc w:val="both"/>
    </w:pPr>
    <w:rPr>
      <w:rFonts w:ascii="Calibri" w:hAnsi="Calibri"/>
      <w:kern w:val="2"/>
      <w:sz w:val="21"/>
    </w:rPr>
  </w:style>
  <w:style w:type="paragraph" w:customStyle="1" w:styleId="74">
    <w:name w:val="GZTB段落样式"/>
    <w:basedOn w:val="1"/>
    <w:unhideWhenUsed/>
    <w:qFormat/>
    <w:uiPriority w:val="0"/>
    <w:pPr>
      <w:adjustRightInd/>
      <w:spacing w:after="200" w:line="440" w:lineRule="exact"/>
      <w:ind w:firstLine="420" w:firstLineChars="200"/>
      <w:jc w:val="both"/>
    </w:pPr>
    <w:rPr>
      <w:rFonts w:ascii="新宋体" w:hAnsi="新宋体" w:eastAsia="新宋体"/>
      <w:kern w:val="2"/>
      <w:sz w:val="21"/>
    </w:rPr>
  </w:style>
  <w:style w:type="paragraph" w:customStyle="1" w:styleId="75">
    <w:name w:val="Quote"/>
    <w:basedOn w:val="1"/>
    <w:next w:val="1"/>
    <w:link w:val="682"/>
    <w:qFormat/>
    <w:uiPriority w:val="29"/>
    <w:pPr>
      <w:widowControl/>
      <w:adjustRightInd/>
      <w:spacing w:after="200" w:line="276" w:lineRule="auto"/>
    </w:pPr>
    <w:rPr>
      <w:rFonts w:ascii="Calibri" w:hAnsi="Calibri"/>
      <w:i/>
      <w:color w:val="000000"/>
      <w:kern w:val="2"/>
      <w:sz w:val="22"/>
      <w:lang w:eastAsia="en-US"/>
    </w:rPr>
  </w:style>
  <w:style w:type="paragraph" w:customStyle="1" w:styleId="76">
    <w:name w:val="TOC 标题1"/>
    <w:basedOn w:val="3"/>
    <w:next w:val="1"/>
    <w:qFormat/>
    <w:uiPriority w:val="39"/>
    <w:pPr>
      <w:keepNext/>
      <w:keepLines/>
      <w:adjustRightInd/>
      <w:spacing w:before="340" w:after="330" w:line="576" w:lineRule="auto"/>
      <w:jc w:val="both"/>
    </w:pPr>
    <w:rPr>
      <w:rFonts w:ascii="Calibri" w:hAnsi="Calibri"/>
      <w:kern w:val="44"/>
      <w:sz w:val="44"/>
    </w:rPr>
  </w:style>
  <w:style w:type="paragraph" w:customStyle="1" w:styleId="77">
    <w:name w:val="Default Text"/>
    <w:link w:val="687"/>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9">
    <w:name w:val="Normal_7"/>
    <w:qFormat/>
    <w:uiPriority w:val="0"/>
    <w:pPr>
      <w:spacing w:before="120" w:after="240"/>
      <w:jc w:val="both"/>
    </w:pPr>
    <w:rPr>
      <w:rFonts w:ascii="Times New Roman" w:hAnsi="Times New Roman" w:eastAsia="宋体" w:cs="Times New Roman"/>
      <w:sz w:val="22"/>
      <w:szCs w:val="22"/>
      <w:lang w:val="en-US" w:eastAsia="en-US" w:bidi="ar-SA"/>
    </w:rPr>
  </w:style>
  <w:style w:type="paragraph" w:customStyle="1" w:styleId="80">
    <w:name w:val="Normal_6"/>
    <w:qFormat/>
    <w:uiPriority w:val="0"/>
    <w:pPr>
      <w:spacing w:before="120" w:after="240"/>
      <w:jc w:val="both"/>
    </w:pPr>
    <w:rPr>
      <w:rFonts w:ascii="Times New Roman" w:hAnsi="Times New Roman" w:eastAsia="宋体" w:cs="Times New Roman"/>
      <w:sz w:val="22"/>
      <w:szCs w:val="22"/>
      <w:lang w:val="en-US" w:eastAsia="en-US" w:bidi="ar-SA"/>
    </w:rPr>
  </w:style>
  <w:style w:type="paragraph" w:customStyle="1" w:styleId="81">
    <w:name w:val="Normal_8"/>
    <w:qFormat/>
    <w:uiPriority w:val="0"/>
    <w:pPr>
      <w:spacing w:before="120" w:after="240"/>
      <w:jc w:val="both"/>
    </w:pPr>
    <w:rPr>
      <w:rFonts w:ascii="Times New Roman" w:hAnsi="Times New Roman" w:eastAsia="宋体" w:cs="Times New Roman"/>
      <w:sz w:val="22"/>
      <w:szCs w:val="22"/>
      <w:lang w:val="en-US" w:eastAsia="en-US" w:bidi="ar-SA"/>
    </w:rPr>
  </w:style>
  <w:style w:type="paragraph" w:customStyle="1" w:styleId="82">
    <w:name w:val="Normal_9"/>
    <w:qFormat/>
    <w:uiPriority w:val="0"/>
    <w:pPr>
      <w:spacing w:before="120" w:after="240"/>
      <w:jc w:val="both"/>
    </w:pPr>
    <w:rPr>
      <w:rFonts w:ascii="Times New Roman" w:hAnsi="Times New Roman" w:eastAsia="宋体" w:cs="Times New Roman"/>
      <w:sz w:val="22"/>
      <w:szCs w:val="22"/>
      <w:lang w:val="en-US" w:eastAsia="en-US" w:bidi="ar-SA"/>
    </w:rPr>
  </w:style>
  <w:style w:type="paragraph" w:customStyle="1" w:styleId="83">
    <w:name w:val="Normal_34"/>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84">
    <w:name w:val="Normal_33"/>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85">
    <w:name w:val="CM95"/>
    <w:basedOn w:val="86"/>
    <w:next w:val="86"/>
    <w:qFormat/>
    <w:uiPriority w:val="0"/>
    <w:pPr>
      <w:spacing w:after="115" w:afterLines="0"/>
    </w:pPr>
    <w:rPr>
      <w:color w:val="auto"/>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CM99"/>
    <w:basedOn w:val="86"/>
    <w:next w:val="86"/>
    <w:qFormat/>
    <w:uiPriority w:val="0"/>
    <w:pPr>
      <w:spacing w:after="443" w:afterLines="0"/>
    </w:pPr>
    <w:rPr>
      <w:color w:val="auto"/>
    </w:rPr>
  </w:style>
  <w:style w:type="character" w:customStyle="1" w:styleId="88">
    <w:name w:val="标题 1 Char"/>
    <w:basedOn w:val="46"/>
    <w:link w:val="3"/>
    <w:unhideWhenUsed/>
    <w:qFormat/>
    <w:locked/>
    <w:uiPriority w:val="0"/>
    <w:rPr>
      <w:rFonts w:cs="Times New Roman"/>
      <w:b/>
      <w:kern w:val="44"/>
      <w:sz w:val="44"/>
    </w:rPr>
  </w:style>
  <w:style w:type="character" w:customStyle="1" w:styleId="89">
    <w:name w:val="标题 2 Char"/>
    <w:basedOn w:val="46"/>
    <w:link w:val="4"/>
    <w:unhideWhenUsed/>
    <w:qFormat/>
    <w:locked/>
    <w:uiPriority w:val="9"/>
    <w:rPr>
      <w:rFonts w:ascii="Cambria" w:cs="Times New Roman"/>
      <w:b/>
      <w:sz w:val="32"/>
    </w:rPr>
  </w:style>
  <w:style w:type="character" w:customStyle="1" w:styleId="90">
    <w:name w:val="标题 3 Char"/>
    <w:basedOn w:val="46"/>
    <w:link w:val="5"/>
    <w:unhideWhenUsed/>
    <w:qFormat/>
    <w:locked/>
    <w:uiPriority w:val="9"/>
    <w:rPr>
      <w:rFonts w:cs="Times New Roman"/>
      <w:b/>
      <w:sz w:val="32"/>
    </w:rPr>
  </w:style>
  <w:style w:type="character" w:customStyle="1" w:styleId="91">
    <w:name w:val="标题 4 Char"/>
    <w:basedOn w:val="46"/>
    <w:link w:val="6"/>
    <w:unhideWhenUsed/>
    <w:qFormat/>
    <w:locked/>
    <w:uiPriority w:val="9"/>
    <w:rPr>
      <w:rFonts w:ascii="Cambria" w:cs="Times New Roman"/>
      <w:b/>
      <w:sz w:val="28"/>
    </w:rPr>
  </w:style>
  <w:style w:type="character" w:customStyle="1" w:styleId="92">
    <w:name w:val="标题 5 Char"/>
    <w:basedOn w:val="46"/>
    <w:link w:val="7"/>
    <w:unhideWhenUsed/>
    <w:qFormat/>
    <w:locked/>
    <w:uiPriority w:val="9"/>
    <w:rPr>
      <w:rFonts w:cs="Times New Roman"/>
      <w:b/>
      <w:sz w:val="28"/>
    </w:rPr>
  </w:style>
  <w:style w:type="character" w:customStyle="1" w:styleId="93">
    <w:name w:val="标题 6 Char"/>
    <w:basedOn w:val="46"/>
    <w:link w:val="8"/>
    <w:unhideWhenUsed/>
    <w:qFormat/>
    <w:locked/>
    <w:uiPriority w:val="9"/>
    <w:rPr>
      <w:rFonts w:ascii="Arial" w:hAnsi="Arial" w:eastAsia="黑体"/>
      <w:b/>
      <w:kern w:val="0"/>
      <w:sz w:val="24"/>
      <w:szCs w:val="24"/>
    </w:rPr>
  </w:style>
  <w:style w:type="character" w:customStyle="1" w:styleId="94">
    <w:name w:val="标题 7 Char"/>
    <w:basedOn w:val="46"/>
    <w:link w:val="9"/>
    <w:unhideWhenUsed/>
    <w:qFormat/>
    <w:locked/>
    <w:uiPriority w:val="9"/>
    <w:rPr>
      <w:b/>
      <w:kern w:val="0"/>
      <w:sz w:val="24"/>
      <w:szCs w:val="24"/>
    </w:rPr>
  </w:style>
  <w:style w:type="character" w:customStyle="1" w:styleId="95">
    <w:name w:val="标题 8 Char"/>
    <w:basedOn w:val="46"/>
    <w:link w:val="10"/>
    <w:unhideWhenUsed/>
    <w:qFormat/>
    <w:locked/>
    <w:uiPriority w:val="9"/>
    <w:rPr>
      <w:rFonts w:ascii="Arial" w:hAnsi="Arial" w:eastAsia="黑体"/>
      <w:kern w:val="0"/>
      <w:sz w:val="24"/>
      <w:szCs w:val="24"/>
    </w:rPr>
  </w:style>
  <w:style w:type="character" w:customStyle="1" w:styleId="96">
    <w:name w:val="标题 9 Char"/>
    <w:basedOn w:val="46"/>
    <w:link w:val="11"/>
    <w:unhideWhenUsed/>
    <w:qFormat/>
    <w:locked/>
    <w:uiPriority w:val="9"/>
    <w:rPr>
      <w:rFonts w:ascii="Arial" w:hAnsi="Arial" w:eastAsia="黑体"/>
      <w:kern w:val="0"/>
      <w:szCs w:val="24"/>
    </w:rPr>
  </w:style>
  <w:style w:type="character" w:customStyle="1" w:styleId="97">
    <w:name w:val="批注框文本 Char33"/>
    <w:unhideWhenUsed/>
    <w:qFormat/>
    <w:uiPriority w:val="99"/>
    <w:rPr>
      <w:sz w:val="18"/>
    </w:rPr>
  </w:style>
  <w:style w:type="character" w:customStyle="1" w:styleId="98">
    <w:name w:val="批注框文本 Char317"/>
    <w:basedOn w:val="46"/>
    <w:unhideWhenUsed/>
    <w:qFormat/>
    <w:uiPriority w:val="99"/>
    <w:rPr>
      <w:rFonts w:cs="Times New Roman"/>
      <w:sz w:val="18"/>
    </w:rPr>
  </w:style>
  <w:style w:type="character" w:customStyle="1" w:styleId="99">
    <w:name w:val="正文文本缩进 Char22"/>
    <w:unhideWhenUsed/>
    <w:qFormat/>
    <w:uiPriority w:val="99"/>
  </w:style>
  <w:style w:type="character" w:customStyle="1" w:styleId="100">
    <w:name w:val="标题 Char31"/>
    <w:unhideWhenUsed/>
    <w:qFormat/>
    <w:uiPriority w:val="10"/>
    <w:rPr>
      <w:rFonts w:ascii="Cambria"/>
      <w:b/>
      <w:sz w:val="32"/>
    </w:rPr>
  </w:style>
  <w:style w:type="character" w:customStyle="1" w:styleId="101">
    <w:name w:val="正文首行缩进 2 Char119"/>
    <w:basedOn w:val="102"/>
    <w:unhideWhenUsed/>
    <w:qFormat/>
    <w:uiPriority w:val="99"/>
  </w:style>
  <w:style w:type="character" w:customStyle="1" w:styleId="102">
    <w:name w:val="正文文本缩进 Char35"/>
    <w:basedOn w:val="46"/>
    <w:semiHidden/>
    <w:qFormat/>
    <w:uiPriority w:val="99"/>
    <w:rPr>
      <w:rFonts w:cs="Times New Roman"/>
      <w:kern w:val="0"/>
      <w:sz w:val="24"/>
      <w:szCs w:val="24"/>
    </w:rPr>
  </w:style>
  <w:style w:type="character" w:customStyle="1" w:styleId="103">
    <w:name w:val="正文文本 2 Char"/>
    <w:unhideWhenUsed/>
    <w:qFormat/>
    <w:locked/>
    <w:uiPriority w:val="0"/>
    <w:rPr>
      <w:rFonts w:ascii="宋体"/>
      <w:sz w:val="18"/>
    </w:rPr>
  </w:style>
  <w:style w:type="character" w:customStyle="1" w:styleId="104">
    <w:name w:val="标题 Char37"/>
    <w:unhideWhenUsed/>
    <w:qFormat/>
    <w:uiPriority w:val="10"/>
    <w:rPr>
      <w:rFonts w:ascii="Cambria"/>
      <w:b/>
      <w:sz w:val="32"/>
    </w:rPr>
  </w:style>
  <w:style w:type="character" w:customStyle="1" w:styleId="105">
    <w:name w:val="正文文本缩进 3 Char28"/>
    <w:unhideWhenUsed/>
    <w:qFormat/>
    <w:uiPriority w:val="99"/>
    <w:rPr>
      <w:sz w:val="16"/>
    </w:rPr>
  </w:style>
  <w:style w:type="character" w:customStyle="1" w:styleId="106">
    <w:name w:val="正文文本 Char37"/>
    <w:unhideWhenUsed/>
    <w:qFormat/>
    <w:uiPriority w:val="99"/>
  </w:style>
  <w:style w:type="character" w:customStyle="1" w:styleId="107">
    <w:name w:val="页脚 Char27"/>
    <w:unhideWhenUsed/>
    <w:qFormat/>
    <w:uiPriority w:val="99"/>
    <w:rPr>
      <w:sz w:val="18"/>
    </w:rPr>
  </w:style>
  <w:style w:type="character" w:customStyle="1" w:styleId="108">
    <w:name w:val="正文文本 2 Char221"/>
    <w:basedOn w:val="46"/>
    <w:unhideWhenUsed/>
    <w:qFormat/>
    <w:uiPriority w:val="99"/>
    <w:rPr>
      <w:rFonts w:cs="Times New Roman"/>
    </w:rPr>
  </w:style>
  <w:style w:type="character" w:customStyle="1" w:styleId="109">
    <w:name w:val="批注主题 Char410"/>
    <w:unhideWhenUsed/>
    <w:qFormat/>
    <w:uiPriority w:val="99"/>
    <w:rPr>
      <w:b/>
    </w:rPr>
  </w:style>
  <w:style w:type="character" w:customStyle="1" w:styleId="110">
    <w:name w:val="正文文本缩进 Char217"/>
    <w:basedOn w:val="46"/>
    <w:unhideWhenUsed/>
    <w:qFormat/>
    <w:uiPriority w:val="99"/>
    <w:rPr>
      <w:rFonts w:cs="Times New Roman"/>
    </w:rPr>
  </w:style>
  <w:style w:type="character" w:customStyle="1" w:styleId="111">
    <w:name w:val="引用 Char45"/>
    <w:basedOn w:val="46"/>
    <w:qFormat/>
    <w:uiPriority w:val="29"/>
    <w:rPr>
      <w:rFonts w:cs="Times New Roman"/>
      <w:i/>
      <w:iCs/>
      <w:color w:val="000000"/>
      <w:kern w:val="0"/>
      <w:sz w:val="24"/>
      <w:szCs w:val="24"/>
    </w:rPr>
  </w:style>
  <w:style w:type="character" w:customStyle="1" w:styleId="112">
    <w:name w:val="标题5 Char Char"/>
    <w:link w:val="53"/>
    <w:unhideWhenUsed/>
    <w:qFormat/>
    <w:locked/>
    <w:uiPriority w:val="0"/>
    <w:rPr>
      <w:rFonts w:ascii="Arial"/>
      <w:b/>
      <w:sz w:val="32"/>
    </w:rPr>
  </w:style>
  <w:style w:type="character" w:customStyle="1" w:styleId="113">
    <w:name w:val="批注框文本 Char319"/>
    <w:basedOn w:val="46"/>
    <w:unhideWhenUsed/>
    <w:qFormat/>
    <w:uiPriority w:val="99"/>
    <w:rPr>
      <w:rFonts w:cs="Times New Roman"/>
      <w:sz w:val="18"/>
    </w:rPr>
  </w:style>
  <w:style w:type="character" w:customStyle="1" w:styleId="114">
    <w:name w:val="批注文字 Char37"/>
    <w:unhideWhenUsed/>
    <w:qFormat/>
    <w:uiPriority w:val="99"/>
  </w:style>
  <w:style w:type="character" w:customStyle="1" w:styleId="115">
    <w:name w:val="纯文本 Char15"/>
    <w:unhideWhenUsed/>
    <w:qFormat/>
    <w:uiPriority w:val="99"/>
    <w:rPr>
      <w:rFonts w:ascii="宋体" w:hAnsi="Courier New"/>
    </w:rPr>
  </w:style>
  <w:style w:type="character" w:customStyle="1" w:styleId="116">
    <w:name w:val="正文文本缩进 2 Char35"/>
    <w:basedOn w:val="46"/>
    <w:semiHidden/>
    <w:qFormat/>
    <w:uiPriority w:val="99"/>
    <w:rPr>
      <w:rFonts w:cs="Times New Roman"/>
      <w:kern w:val="0"/>
      <w:sz w:val="24"/>
      <w:szCs w:val="24"/>
    </w:rPr>
  </w:style>
  <w:style w:type="character" w:customStyle="1" w:styleId="117">
    <w:name w:val="页眉 Char29"/>
    <w:unhideWhenUsed/>
    <w:qFormat/>
    <w:uiPriority w:val="99"/>
    <w:rPr>
      <w:sz w:val="18"/>
    </w:rPr>
  </w:style>
  <w:style w:type="character" w:customStyle="1" w:styleId="118">
    <w:name w:val="日期 Char513"/>
    <w:unhideWhenUsed/>
    <w:qFormat/>
    <w:uiPriority w:val="99"/>
  </w:style>
  <w:style w:type="character" w:customStyle="1" w:styleId="119">
    <w:name w:val="页脚 Char28"/>
    <w:unhideWhenUsed/>
    <w:qFormat/>
    <w:uiPriority w:val="99"/>
    <w:rPr>
      <w:sz w:val="18"/>
    </w:rPr>
  </w:style>
  <w:style w:type="character" w:customStyle="1" w:styleId="120">
    <w:name w:val="正文文本 2 Char2"/>
    <w:basedOn w:val="46"/>
    <w:unhideWhenUsed/>
    <w:qFormat/>
    <w:uiPriority w:val="99"/>
    <w:rPr>
      <w:rFonts w:cs="Times New Roman"/>
    </w:rPr>
  </w:style>
  <w:style w:type="character" w:customStyle="1" w:styleId="121">
    <w:name w:val="批注主题 Char411"/>
    <w:unhideWhenUsed/>
    <w:qFormat/>
    <w:uiPriority w:val="99"/>
    <w:rPr>
      <w:b/>
    </w:rPr>
  </w:style>
  <w:style w:type="character" w:customStyle="1" w:styleId="122">
    <w:name w:val="副标题 Char313"/>
    <w:unhideWhenUsed/>
    <w:qFormat/>
    <w:uiPriority w:val="11"/>
    <w:rPr>
      <w:rFonts w:ascii="Cambria"/>
      <w:b/>
      <w:kern w:val="28"/>
      <w:sz w:val="32"/>
    </w:rPr>
  </w:style>
  <w:style w:type="character" w:customStyle="1" w:styleId="123">
    <w:name w:val="日期 Char59"/>
    <w:unhideWhenUsed/>
    <w:qFormat/>
    <w:uiPriority w:val="99"/>
  </w:style>
  <w:style w:type="character" w:customStyle="1" w:styleId="124">
    <w:name w:val="明显引用 Char319"/>
    <w:basedOn w:val="46"/>
    <w:unhideWhenUsed/>
    <w:qFormat/>
    <w:uiPriority w:val="30"/>
    <w:rPr>
      <w:rFonts w:cs="Times New Roman"/>
      <w:b/>
      <w:i/>
    </w:rPr>
  </w:style>
  <w:style w:type="character" w:customStyle="1" w:styleId="125">
    <w:name w:val="批注文字 Char316"/>
    <w:basedOn w:val="46"/>
    <w:unhideWhenUsed/>
    <w:qFormat/>
    <w:uiPriority w:val="99"/>
    <w:rPr>
      <w:rFonts w:cs="Times New Roman"/>
    </w:rPr>
  </w:style>
  <w:style w:type="character" w:customStyle="1" w:styleId="126">
    <w:name w:val="副标题 Char36"/>
    <w:unhideWhenUsed/>
    <w:qFormat/>
    <w:uiPriority w:val="11"/>
    <w:rPr>
      <w:rFonts w:ascii="Cambria"/>
      <w:b/>
      <w:kern w:val="28"/>
      <w:sz w:val="32"/>
    </w:rPr>
  </w:style>
  <w:style w:type="character" w:customStyle="1" w:styleId="127">
    <w:name w:val="正文文本缩进 3 Char220"/>
    <w:basedOn w:val="46"/>
    <w:unhideWhenUsed/>
    <w:qFormat/>
    <w:uiPriority w:val="99"/>
    <w:rPr>
      <w:rFonts w:cs="Times New Roman"/>
      <w:sz w:val="16"/>
    </w:rPr>
  </w:style>
  <w:style w:type="character" w:customStyle="1" w:styleId="128">
    <w:name w:val="批注框文本 Char320"/>
    <w:basedOn w:val="46"/>
    <w:unhideWhenUsed/>
    <w:qFormat/>
    <w:uiPriority w:val="99"/>
    <w:rPr>
      <w:rFonts w:cs="Times New Roman"/>
      <w:sz w:val="18"/>
    </w:rPr>
  </w:style>
  <w:style w:type="character" w:customStyle="1" w:styleId="129">
    <w:name w:val="批注文字 Char38"/>
    <w:unhideWhenUsed/>
    <w:qFormat/>
    <w:uiPriority w:val="99"/>
  </w:style>
  <w:style w:type="character" w:customStyle="1" w:styleId="130">
    <w:name w:val="纯文本 Char16"/>
    <w:unhideWhenUsed/>
    <w:qFormat/>
    <w:uiPriority w:val="99"/>
    <w:rPr>
      <w:rFonts w:ascii="宋体" w:hAnsi="Courier New"/>
    </w:rPr>
  </w:style>
  <w:style w:type="character" w:customStyle="1" w:styleId="131">
    <w:name w:val="批注框文本 Char34"/>
    <w:unhideWhenUsed/>
    <w:qFormat/>
    <w:uiPriority w:val="99"/>
    <w:rPr>
      <w:sz w:val="18"/>
    </w:rPr>
  </w:style>
  <w:style w:type="character" w:customStyle="1" w:styleId="132">
    <w:name w:val="批注框文本 Char318"/>
    <w:basedOn w:val="46"/>
    <w:unhideWhenUsed/>
    <w:qFormat/>
    <w:uiPriority w:val="99"/>
    <w:rPr>
      <w:rFonts w:cs="Times New Roman"/>
      <w:sz w:val="18"/>
    </w:rPr>
  </w:style>
  <w:style w:type="character" w:customStyle="1" w:styleId="133">
    <w:name w:val="副标题 Char37"/>
    <w:unhideWhenUsed/>
    <w:qFormat/>
    <w:uiPriority w:val="11"/>
    <w:rPr>
      <w:rFonts w:ascii="Cambria"/>
      <w:b/>
      <w:kern w:val="28"/>
      <w:sz w:val="32"/>
    </w:rPr>
  </w:style>
  <w:style w:type="character" w:customStyle="1" w:styleId="134">
    <w:name w:val="标题 Char32"/>
    <w:unhideWhenUsed/>
    <w:qFormat/>
    <w:uiPriority w:val="10"/>
    <w:rPr>
      <w:rFonts w:ascii="Cambria"/>
      <w:b/>
      <w:sz w:val="32"/>
    </w:rPr>
  </w:style>
  <w:style w:type="character" w:customStyle="1" w:styleId="135">
    <w:name w:val="正文首行缩进 2 Char120"/>
    <w:basedOn w:val="102"/>
    <w:unhideWhenUsed/>
    <w:qFormat/>
    <w:uiPriority w:val="99"/>
  </w:style>
  <w:style w:type="character" w:customStyle="1" w:styleId="136">
    <w:name w:val="日期 Char57"/>
    <w:unhideWhenUsed/>
    <w:qFormat/>
    <w:uiPriority w:val="99"/>
  </w:style>
  <w:style w:type="character" w:customStyle="1" w:styleId="137">
    <w:name w:val="页眉 Char210"/>
    <w:unhideWhenUsed/>
    <w:qFormat/>
    <w:uiPriority w:val="99"/>
    <w:rPr>
      <w:sz w:val="18"/>
    </w:rPr>
  </w:style>
  <w:style w:type="character" w:customStyle="1" w:styleId="138">
    <w:name w:val="正文文本缩进 3 Char217"/>
    <w:basedOn w:val="46"/>
    <w:unhideWhenUsed/>
    <w:qFormat/>
    <w:uiPriority w:val="99"/>
    <w:rPr>
      <w:rFonts w:cs="Times New Roman"/>
      <w:sz w:val="16"/>
    </w:rPr>
  </w:style>
  <w:style w:type="character" w:customStyle="1" w:styleId="139">
    <w:name w:val="批注主题 Char46"/>
    <w:unhideWhenUsed/>
    <w:qFormat/>
    <w:uiPriority w:val="99"/>
    <w:rPr>
      <w:b/>
    </w:rPr>
  </w:style>
  <w:style w:type="character" w:customStyle="1" w:styleId="140">
    <w:name w:val="批注框文本 Char38"/>
    <w:unhideWhenUsed/>
    <w:qFormat/>
    <w:uiPriority w:val="99"/>
    <w:rPr>
      <w:sz w:val="18"/>
    </w:rPr>
  </w:style>
  <w:style w:type="character" w:customStyle="1" w:styleId="141">
    <w:name w:val="标题 Char316"/>
    <w:basedOn w:val="46"/>
    <w:unhideWhenUsed/>
    <w:qFormat/>
    <w:uiPriority w:val="10"/>
    <w:rPr>
      <w:rFonts w:ascii="Cambria" w:cs="Times New Roman"/>
      <w:b/>
      <w:sz w:val="32"/>
    </w:rPr>
  </w:style>
  <w:style w:type="character" w:customStyle="1" w:styleId="142">
    <w:name w:val="正文文本缩进 3 Char29"/>
    <w:unhideWhenUsed/>
    <w:qFormat/>
    <w:uiPriority w:val="99"/>
    <w:rPr>
      <w:sz w:val="16"/>
    </w:rPr>
  </w:style>
  <w:style w:type="character" w:customStyle="1" w:styleId="143">
    <w:name w:val="标题 Char45"/>
    <w:basedOn w:val="46"/>
    <w:qFormat/>
    <w:uiPriority w:val="10"/>
    <w:rPr>
      <w:rFonts w:ascii="Cambria" w:hAnsi="Cambria" w:cs="Times New Roman"/>
      <w:b/>
      <w:bCs/>
      <w:kern w:val="0"/>
      <w:sz w:val="32"/>
      <w:szCs w:val="32"/>
    </w:rPr>
  </w:style>
  <w:style w:type="character" w:customStyle="1" w:styleId="144">
    <w:name w:val="正文文本缩进 2 Char217"/>
    <w:basedOn w:val="46"/>
    <w:unhideWhenUsed/>
    <w:qFormat/>
    <w:uiPriority w:val="99"/>
    <w:rPr>
      <w:rFonts w:cs="Times New Roman"/>
    </w:rPr>
  </w:style>
  <w:style w:type="character" w:customStyle="1" w:styleId="145">
    <w:name w:val="日期 Char54"/>
    <w:unhideWhenUsed/>
    <w:qFormat/>
    <w:uiPriority w:val="99"/>
  </w:style>
  <w:style w:type="character" w:customStyle="1" w:styleId="146">
    <w:name w:val="正文文本缩进 Char24"/>
    <w:unhideWhenUsed/>
    <w:qFormat/>
    <w:uiPriority w:val="99"/>
  </w:style>
  <w:style w:type="character" w:customStyle="1" w:styleId="147">
    <w:name w:val="批注主题 Char43"/>
    <w:unhideWhenUsed/>
    <w:qFormat/>
    <w:uiPriority w:val="99"/>
    <w:rPr>
      <w:b/>
    </w:rPr>
  </w:style>
  <w:style w:type="character" w:customStyle="1" w:styleId="148">
    <w:name w:val="批注主题 Char41"/>
    <w:unhideWhenUsed/>
    <w:qFormat/>
    <w:uiPriority w:val="99"/>
    <w:rPr>
      <w:b/>
    </w:rPr>
  </w:style>
  <w:style w:type="character" w:customStyle="1" w:styleId="149">
    <w:name w:val="页脚 Char216"/>
    <w:basedOn w:val="46"/>
    <w:unhideWhenUsed/>
    <w:qFormat/>
    <w:uiPriority w:val="99"/>
    <w:rPr>
      <w:rFonts w:cs="Times New Roman"/>
      <w:sz w:val="18"/>
    </w:rPr>
  </w:style>
  <w:style w:type="character" w:customStyle="1" w:styleId="150">
    <w:name w:val="正文文本缩进 2 Char24"/>
    <w:unhideWhenUsed/>
    <w:qFormat/>
    <w:uiPriority w:val="99"/>
  </w:style>
  <w:style w:type="character" w:customStyle="1" w:styleId="151">
    <w:name w:val="页眉 Char218"/>
    <w:basedOn w:val="46"/>
    <w:unhideWhenUsed/>
    <w:qFormat/>
    <w:uiPriority w:val="99"/>
    <w:rPr>
      <w:rFonts w:cs="Times New Roman"/>
      <w:sz w:val="18"/>
    </w:rPr>
  </w:style>
  <w:style w:type="character" w:customStyle="1" w:styleId="152">
    <w:name w:val="正文文本缩进 Char219"/>
    <w:basedOn w:val="46"/>
    <w:unhideWhenUsed/>
    <w:qFormat/>
    <w:uiPriority w:val="99"/>
    <w:rPr>
      <w:rFonts w:cs="Times New Roman"/>
    </w:rPr>
  </w:style>
  <w:style w:type="character" w:customStyle="1" w:styleId="153">
    <w:name w:val="正文文本缩进 3 Char25"/>
    <w:unhideWhenUsed/>
    <w:qFormat/>
    <w:uiPriority w:val="99"/>
    <w:rPr>
      <w:sz w:val="16"/>
    </w:rPr>
  </w:style>
  <w:style w:type="character" w:customStyle="1" w:styleId="154">
    <w:name w:val="页脚 Char212"/>
    <w:unhideWhenUsed/>
    <w:qFormat/>
    <w:uiPriority w:val="99"/>
    <w:rPr>
      <w:sz w:val="18"/>
    </w:rPr>
  </w:style>
  <w:style w:type="character" w:customStyle="1" w:styleId="155">
    <w:name w:val="标题 Char34"/>
    <w:unhideWhenUsed/>
    <w:qFormat/>
    <w:uiPriority w:val="10"/>
    <w:rPr>
      <w:rFonts w:ascii="Cambria"/>
      <w:b/>
      <w:sz w:val="32"/>
    </w:rPr>
  </w:style>
  <w:style w:type="character" w:customStyle="1" w:styleId="156">
    <w:name w:val="副标题 Char314"/>
    <w:unhideWhenUsed/>
    <w:qFormat/>
    <w:uiPriority w:val="11"/>
    <w:rPr>
      <w:rFonts w:ascii="Cambria"/>
      <w:b/>
      <w:kern w:val="28"/>
      <w:sz w:val="32"/>
    </w:rPr>
  </w:style>
  <w:style w:type="character" w:customStyle="1" w:styleId="157">
    <w:name w:val="正文文本缩进 3 Char35"/>
    <w:basedOn w:val="46"/>
    <w:semiHidden/>
    <w:qFormat/>
    <w:uiPriority w:val="99"/>
    <w:rPr>
      <w:rFonts w:cs="Times New Roman"/>
      <w:kern w:val="0"/>
      <w:sz w:val="16"/>
      <w:szCs w:val="16"/>
    </w:rPr>
  </w:style>
  <w:style w:type="character" w:customStyle="1" w:styleId="158">
    <w:name w:val="页脚 Char210"/>
    <w:unhideWhenUsed/>
    <w:qFormat/>
    <w:uiPriority w:val="99"/>
    <w:rPr>
      <w:sz w:val="18"/>
    </w:rPr>
  </w:style>
  <w:style w:type="character" w:customStyle="1" w:styleId="159">
    <w:name w:val="日期 Char56"/>
    <w:unhideWhenUsed/>
    <w:qFormat/>
    <w:uiPriority w:val="99"/>
  </w:style>
  <w:style w:type="character" w:customStyle="1" w:styleId="160">
    <w:name w:val="页脚 Char215"/>
    <w:unhideWhenUsed/>
    <w:qFormat/>
    <w:uiPriority w:val="99"/>
    <w:rPr>
      <w:sz w:val="18"/>
    </w:rPr>
  </w:style>
  <w:style w:type="character" w:customStyle="1" w:styleId="161">
    <w:name w:val="正文文本缩进 2 Char23"/>
    <w:unhideWhenUsed/>
    <w:qFormat/>
    <w:uiPriority w:val="99"/>
  </w:style>
  <w:style w:type="character" w:customStyle="1" w:styleId="162">
    <w:name w:val="页眉 Char217"/>
    <w:basedOn w:val="46"/>
    <w:unhideWhenUsed/>
    <w:qFormat/>
    <w:uiPriority w:val="99"/>
    <w:rPr>
      <w:rFonts w:cs="Times New Roman"/>
      <w:sz w:val="18"/>
    </w:rPr>
  </w:style>
  <w:style w:type="character" w:customStyle="1" w:styleId="163">
    <w:name w:val="正文文本缩进 Char218"/>
    <w:basedOn w:val="46"/>
    <w:unhideWhenUsed/>
    <w:qFormat/>
    <w:uiPriority w:val="99"/>
    <w:rPr>
      <w:rFonts w:cs="Times New Roman"/>
    </w:rPr>
  </w:style>
  <w:style w:type="character" w:customStyle="1" w:styleId="164">
    <w:name w:val="纯文本 Char120"/>
    <w:basedOn w:val="46"/>
    <w:unhideWhenUsed/>
    <w:qFormat/>
    <w:uiPriority w:val="99"/>
    <w:rPr>
      <w:rFonts w:ascii="宋体" w:hAnsi="Courier New" w:cs="Times New Roman"/>
      <w:sz w:val="21"/>
    </w:rPr>
  </w:style>
  <w:style w:type="character" w:customStyle="1" w:styleId="165">
    <w:name w:val="正文文本 2 Char29"/>
    <w:unhideWhenUsed/>
    <w:qFormat/>
    <w:uiPriority w:val="99"/>
  </w:style>
  <w:style w:type="character" w:customStyle="1" w:styleId="166">
    <w:name w:val="批注主题 Char47"/>
    <w:unhideWhenUsed/>
    <w:qFormat/>
    <w:uiPriority w:val="99"/>
    <w:rPr>
      <w:b/>
    </w:rPr>
  </w:style>
  <w:style w:type="character" w:customStyle="1" w:styleId="167">
    <w:name w:val="页眉 Char211"/>
    <w:unhideWhenUsed/>
    <w:qFormat/>
    <w:uiPriority w:val="99"/>
    <w:rPr>
      <w:sz w:val="18"/>
    </w:rPr>
  </w:style>
  <w:style w:type="character" w:customStyle="1" w:styleId="168">
    <w:name w:val="明显引用 Char45"/>
    <w:basedOn w:val="46"/>
    <w:qFormat/>
    <w:uiPriority w:val="30"/>
    <w:rPr>
      <w:rFonts w:cs="Times New Roman"/>
      <w:b/>
      <w:bCs/>
      <w:i/>
      <w:iCs/>
      <w:color w:val="4F81BD"/>
      <w:kern w:val="0"/>
      <w:sz w:val="24"/>
      <w:szCs w:val="24"/>
    </w:rPr>
  </w:style>
  <w:style w:type="character" w:customStyle="1" w:styleId="169">
    <w:name w:val="书籍标题1"/>
    <w:basedOn w:val="46"/>
    <w:qFormat/>
    <w:uiPriority w:val="33"/>
    <w:rPr>
      <w:rFonts w:cs="Times New Roman"/>
      <w:b/>
      <w:smallCaps/>
      <w:spacing w:val="5"/>
    </w:rPr>
  </w:style>
  <w:style w:type="character" w:customStyle="1" w:styleId="170">
    <w:name w:val="日期 Char3"/>
    <w:unhideWhenUsed/>
    <w:qFormat/>
    <w:uiPriority w:val="0"/>
    <w:rPr>
      <w:rFonts w:ascii="宋体"/>
      <w:kern w:val="2"/>
    </w:rPr>
  </w:style>
  <w:style w:type="character" w:customStyle="1" w:styleId="171">
    <w:name w:val="页脚 Char211"/>
    <w:unhideWhenUsed/>
    <w:qFormat/>
    <w:uiPriority w:val="99"/>
    <w:rPr>
      <w:sz w:val="18"/>
    </w:rPr>
  </w:style>
  <w:style w:type="character" w:customStyle="1" w:styleId="172">
    <w:name w:val="标题 Char33"/>
    <w:unhideWhenUsed/>
    <w:qFormat/>
    <w:uiPriority w:val="10"/>
    <w:rPr>
      <w:rFonts w:ascii="Cambria"/>
      <w:b/>
      <w:sz w:val="32"/>
    </w:rPr>
  </w:style>
  <w:style w:type="character" w:customStyle="1" w:styleId="173">
    <w:name w:val="正文文本缩进 Char220"/>
    <w:basedOn w:val="46"/>
    <w:unhideWhenUsed/>
    <w:qFormat/>
    <w:uiPriority w:val="99"/>
    <w:rPr>
      <w:rFonts w:cs="Times New Roman"/>
    </w:rPr>
  </w:style>
  <w:style w:type="character" w:customStyle="1" w:styleId="174">
    <w:name w:val="页脚 Char35"/>
    <w:basedOn w:val="46"/>
    <w:semiHidden/>
    <w:qFormat/>
    <w:uiPriority w:val="99"/>
    <w:rPr>
      <w:rFonts w:cs="Times New Roman"/>
      <w:kern w:val="0"/>
      <w:sz w:val="18"/>
      <w:szCs w:val="18"/>
    </w:rPr>
  </w:style>
  <w:style w:type="character" w:customStyle="1" w:styleId="175">
    <w:name w:val="页脚 Char23"/>
    <w:unhideWhenUsed/>
    <w:qFormat/>
    <w:uiPriority w:val="99"/>
    <w:rPr>
      <w:sz w:val="18"/>
    </w:rPr>
  </w:style>
  <w:style w:type="character" w:customStyle="1" w:styleId="176">
    <w:name w:val="正文文本 2 Char213"/>
    <w:unhideWhenUsed/>
    <w:qFormat/>
    <w:uiPriority w:val="99"/>
  </w:style>
  <w:style w:type="character" w:customStyle="1" w:styleId="177">
    <w:name w:val="页眉 Char213"/>
    <w:unhideWhenUsed/>
    <w:qFormat/>
    <w:uiPriority w:val="99"/>
    <w:rPr>
      <w:sz w:val="18"/>
    </w:rPr>
  </w:style>
  <w:style w:type="character" w:customStyle="1" w:styleId="178">
    <w:name w:val="批注框文本 Char45"/>
    <w:basedOn w:val="46"/>
    <w:semiHidden/>
    <w:qFormat/>
    <w:uiPriority w:val="99"/>
    <w:rPr>
      <w:rFonts w:cs="Times New Roman"/>
      <w:kern w:val="0"/>
      <w:sz w:val="18"/>
      <w:szCs w:val="18"/>
    </w:rPr>
  </w:style>
  <w:style w:type="character" w:customStyle="1" w:styleId="179">
    <w:name w:val="正文文本缩进 2 Char219"/>
    <w:basedOn w:val="46"/>
    <w:unhideWhenUsed/>
    <w:qFormat/>
    <w:uiPriority w:val="99"/>
    <w:rPr>
      <w:rFonts w:cs="Times New Roman"/>
    </w:rPr>
  </w:style>
  <w:style w:type="character" w:customStyle="1" w:styleId="180">
    <w:name w:val="标题 Char35"/>
    <w:unhideWhenUsed/>
    <w:qFormat/>
    <w:uiPriority w:val="10"/>
    <w:rPr>
      <w:rFonts w:ascii="Cambria"/>
      <w:b/>
      <w:sz w:val="32"/>
    </w:rPr>
  </w:style>
  <w:style w:type="character" w:customStyle="1" w:styleId="181">
    <w:name w:val="页眉 Char215"/>
    <w:unhideWhenUsed/>
    <w:qFormat/>
    <w:uiPriority w:val="99"/>
    <w:rPr>
      <w:sz w:val="18"/>
    </w:rPr>
  </w:style>
  <w:style w:type="character" w:customStyle="1" w:styleId="182">
    <w:name w:val="纯文本 Char11"/>
    <w:unhideWhenUsed/>
    <w:qFormat/>
    <w:uiPriority w:val="99"/>
    <w:rPr>
      <w:rFonts w:ascii="宋体" w:hAnsi="Courier New"/>
      <w:sz w:val="21"/>
    </w:rPr>
  </w:style>
  <w:style w:type="character" w:customStyle="1" w:styleId="183">
    <w:name w:val="页脚 Char217"/>
    <w:basedOn w:val="46"/>
    <w:unhideWhenUsed/>
    <w:qFormat/>
    <w:uiPriority w:val="99"/>
    <w:rPr>
      <w:rFonts w:cs="Times New Roman"/>
      <w:sz w:val="18"/>
    </w:rPr>
  </w:style>
  <w:style w:type="character" w:customStyle="1" w:styleId="184">
    <w:name w:val="批注框文本 Char312"/>
    <w:unhideWhenUsed/>
    <w:qFormat/>
    <w:uiPriority w:val="99"/>
    <w:rPr>
      <w:sz w:val="18"/>
    </w:rPr>
  </w:style>
  <w:style w:type="character" w:customStyle="1" w:styleId="185">
    <w:name w:val="正文文本 2 Char215"/>
    <w:unhideWhenUsed/>
    <w:qFormat/>
    <w:uiPriority w:val="99"/>
  </w:style>
  <w:style w:type="character" w:customStyle="1" w:styleId="186">
    <w:name w:val="页眉 Char21"/>
    <w:unhideWhenUsed/>
    <w:qFormat/>
    <w:uiPriority w:val="99"/>
    <w:rPr>
      <w:sz w:val="18"/>
    </w:rPr>
  </w:style>
  <w:style w:type="character" w:customStyle="1" w:styleId="187">
    <w:name w:val="正文文本缩进 3 Char2"/>
    <w:basedOn w:val="46"/>
    <w:unhideWhenUsed/>
    <w:qFormat/>
    <w:uiPriority w:val="99"/>
    <w:rPr>
      <w:rFonts w:cs="Times New Roman"/>
      <w:sz w:val="16"/>
    </w:rPr>
  </w:style>
  <w:style w:type="character" w:customStyle="1" w:styleId="188">
    <w:name w:val="页脚 Char219"/>
    <w:basedOn w:val="46"/>
    <w:unhideWhenUsed/>
    <w:qFormat/>
    <w:uiPriority w:val="99"/>
    <w:rPr>
      <w:rFonts w:cs="Times New Roman"/>
      <w:sz w:val="18"/>
    </w:rPr>
  </w:style>
  <w:style w:type="character" w:customStyle="1" w:styleId="189">
    <w:name w:val="正文文本缩进 2 Char26"/>
    <w:unhideWhenUsed/>
    <w:qFormat/>
    <w:uiPriority w:val="99"/>
  </w:style>
  <w:style w:type="character" w:customStyle="1" w:styleId="190">
    <w:name w:val="标题4 Char Char"/>
    <w:link w:val="54"/>
    <w:unhideWhenUsed/>
    <w:qFormat/>
    <w:locked/>
    <w:uiPriority w:val="0"/>
    <w:rPr>
      <w:rFonts w:ascii="Arial"/>
      <w:b/>
      <w:sz w:val="32"/>
    </w:rPr>
  </w:style>
  <w:style w:type="character" w:customStyle="1" w:styleId="191">
    <w:name w:val="正文文本缩进 Char221"/>
    <w:basedOn w:val="46"/>
    <w:unhideWhenUsed/>
    <w:qFormat/>
    <w:uiPriority w:val="99"/>
    <w:rPr>
      <w:rFonts w:cs="Times New Roman"/>
    </w:rPr>
  </w:style>
  <w:style w:type="character" w:customStyle="1" w:styleId="192">
    <w:name w:val="正文文本 2 Char35"/>
    <w:basedOn w:val="46"/>
    <w:semiHidden/>
    <w:qFormat/>
    <w:uiPriority w:val="99"/>
    <w:rPr>
      <w:rFonts w:cs="Times New Roman"/>
      <w:kern w:val="0"/>
      <w:sz w:val="24"/>
      <w:szCs w:val="24"/>
    </w:rPr>
  </w:style>
  <w:style w:type="character" w:customStyle="1" w:styleId="193">
    <w:name w:val="标题 Char36"/>
    <w:unhideWhenUsed/>
    <w:qFormat/>
    <w:uiPriority w:val="10"/>
    <w:rPr>
      <w:rFonts w:ascii="Cambria"/>
      <w:b/>
      <w:sz w:val="32"/>
    </w:rPr>
  </w:style>
  <w:style w:type="character" w:customStyle="1" w:styleId="194">
    <w:name w:val="日期 Char514"/>
    <w:unhideWhenUsed/>
    <w:qFormat/>
    <w:uiPriority w:val="99"/>
  </w:style>
  <w:style w:type="character" w:customStyle="1" w:styleId="195">
    <w:name w:val="页眉 Char216"/>
    <w:basedOn w:val="46"/>
    <w:unhideWhenUsed/>
    <w:qFormat/>
    <w:uiPriority w:val="99"/>
    <w:rPr>
      <w:rFonts w:cs="Times New Roman"/>
      <w:sz w:val="18"/>
    </w:rPr>
  </w:style>
  <w:style w:type="character" w:customStyle="1" w:styleId="196">
    <w:name w:val="副标题 Char316"/>
    <w:basedOn w:val="46"/>
    <w:unhideWhenUsed/>
    <w:qFormat/>
    <w:uiPriority w:val="11"/>
    <w:rPr>
      <w:rFonts w:ascii="Cambria" w:cs="Times New Roman"/>
      <w:b/>
      <w:kern w:val="28"/>
      <w:sz w:val="32"/>
    </w:rPr>
  </w:style>
  <w:style w:type="character" w:customStyle="1" w:styleId="197">
    <w:name w:val="文档结构图 Char45"/>
    <w:basedOn w:val="46"/>
    <w:semiHidden/>
    <w:qFormat/>
    <w:uiPriority w:val="99"/>
    <w:rPr>
      <w:rFonts w:ascii="宋体" w:cs="Times New Roman"/>
      <w:kern w:val="0"/>
      <w:sz w:val="18"/>
      <w:szCs w:val="18"/>
    </w:rPr>
  </w:style>
  <w:style w:type="character" w:customStyle="1" w:styleId="198">
    <w:name w:val="明显引用 Char"/>
    <w:unhideWhenUsed/>
    <w:qFormat/>
    <w:locked/>
    <w:uiPriority w:val="0"/>
    <w:rPr>
      <w:rFonts w:ascii="Calibri"/>
      <w:b/>
      <w:i/>
      <w:sz w:val="22"/>
      <w:lang w:eastAsia="en-US"/>
    </w:rPr>
  </w:style>
  <w:style w:type="character" w:customStyle="1" w:styleId="199">
    <w:name w:val="批注主题 Char44"/>
    <w:unhideWhenUsed/>
    <w:qFormat/>
    <w:uiPriority w:val="99"/>
    <w:rPr>
      <w:b/>
    </w:rPr>
  </w:style>
  <w:style w:type="character" w:customStyle="1" w:styleId="200">
    <w:name w:val="页脚 Char220"/>
    <w:basedOn w:val="46"/>
    <w:unhideWhenUsed/>
    <w:qFormat/>
    <w:uiPriority w:val="99"/>
    <w:rPr>
      <w:rFonts w:cs="Times New Roman"/>
      <w:sz w:val="18"/>
    </w:rPr>
  </w:style>
  <w:style w:type="character" w:customStyle="1" w:styleId="201">
    <w:name w:val="正文文本缩进 2 Char27"/>
    <w:unhideWhenUsed/>
    <w:qFormat/>
    <w:uiPriority w:val="99"/>
  </w:style>
  <w:style w:type="character" w:customStyle="1" w:styleId="202">
    <w:name w:val="正文文本缩进 Char2"/>
    <w:basedOn w:val="46"/>
    <w:unhideWhenUsed/>
    <w:qFormat/>
    <w:uiPriority w:val="99"/>
    <w:rPr>
      <w:rFonts w:cs="Times New Roman"/>
    </w:rPr>
  </w:style>
  <w:style w:type="character" w:customStyle="1" w:styleId="203">
    <w:name w:val="文档结构图 Char1"/>
    <w:unhideWhenUsed/>
    <w:qFormat/>
    <w:uiPriority w:val="0"/>
    <w:rPr>
      <w:rFonts w:ascii="宋体"/>
      <w:kern w:val="2"/>
      <w:sz w:val="18"/>
    </w:rPr>
  </w:style>
  <w:style w:type="character" w:customStyle="1" w:styleId="204">
    <w:name w:val="纯文本 Char114"/>
    <w:unhideWhenUsed/>
    <w:qFormat/>
    <w:uiPriority w:val="99"/>
    <w:rPr>
      <w:rFonts w:ascii="宋体" w:hAnsi="Courier New"/>
    </w:rPr>
  </w:style>
  <w:style w:type="character" w:customStyle="1" w:styleId="205">
    <w:name w:val="正文文本缩进 3 Char216"/>
    <w:basedOn w:val="46"/>
    <w:unhideWhenUsed/>
    <w:qFormat/>
    <w:uiPriority w:val="99"/>
    <w:rPr>
      <w:rFonts w:cs="Times New Roman"/>
      <w:sz w:val="16"/>
    </w:rPr>
  </w:style>
  <w:style w:type="character" w:customStyle="1" w:styleId="206">
    <w:name w:val="Char Char12"/>
    <w:unhideWhenUsed/>
    <w:qFormat/>
    <w:uiPriority w:val="0"/>
    <w:rPr>
      <w:rFonts w:ascii="Calibri"/>
      <w:kern w:val="2"/>
      <w:sz w:val="18"/>
    </w:rPr>
  </w:style>
  <w:style w:type="character" w:customStyle="1" w:styleId="207">
    <w:name w:val="页脚 Char221"/>
    <w:basedOn w:val="46"/>
    <w:unhideWhenUsed/>
    <w:qFormat/>
    <w:uiPriority w:val="99"/>
    <w:rPr>
      <w:rFonts w:cs="Times New Roman"/>
      <w:sz w:val="18"/>
    </w:rPr>
  </w:style>
  <w:style w:type="character" w:customStyle="1" w:styleId="208">
    <w:name w:val="批注框文本 Char314"/>
    <w:unhideWhenUsed/>
    <w:qFormat/>
    <w:uiPriority w:val="99"/>
    <w:rPr>
      <w:sz w:val="18"/>
    </w:rPr>
  </w:style>
  <w:style w:type="character" w:customStyle="1" w:styleId="209">
    <w:name w:val="正文文本 2 Char219"/>
    <w:basedOn w:val="46"/>
    <w:unhideWhenUsed/>
    <w:qFormat/>
    <w:uiPriority w:val="99"/>
    <w:rPr>
      <w:rFonts w:cs="Times New Roman"/>
    </w:rPr>
  </w:style>
  <w:style w:type="character" w:customStyle="1" w:styleId="210">
    <w:name w:val="正文文本 Char31"/>
    <w:unhideWhenUsed/>
    <w:qFormat/>
    <w:uiPriority w:val="99"/>
  </w:style>
  <w:style w:type="character" w:customStyle="1" w:styleId="211">
    <w:name w:val="批注文字 Char319"/>
    <w:basedOn w:val="46"/>
    <w:unhideWhenUsed/>
    <w:qFormat/>
    <w:uiPriority w:val="99"/>
    <w:rPr>
      <w:rFonts w:cs="Times New Roman"/>
    </w:rPr>
  </w:style>
  <w:style w:type="character" w:customStyle="1" w:styleId="212">
    <w:name w:val="批注框文本 Char321"/>
    <w:basedOn w:val="46"/>
    <w:unhideWhenUsed/>
    <w:qFormat/>
    <w:uiPriority w:val="99"/>
    <w:rPr>
      <w:rFonts w:cs="Times New Roman"/>
      <w:sz w:val="18"/>
    </w:rPr>
  </w:style>
  <w:style w:type="character" w:customStyle="1" w:styleId="213">
    <w:name w:val="正文文本缩进 2 Char2"/>
    <w:basedOn w:val="46"/>
    <w:unhideWhenUsed/>
    <w:qFormat/>
    <w:uiPriority w:val="99"/>
    <w:rPr>
      <w:rFonts w:cs="Times New Roman"/>
    </w:rPr>
  </w:style>
  <w:style w:type="character" w:customStyle="1" w:styleId="214">
    <w:name w:val="日期 Char518"/>
    <w:basedOn w:val="46"/>
    <w:unhideWhenUsed/>
    <w:qFormat/>
    <w:uiPriority w:val="99"/>
    <w:rPr>
      <w:rFonts w:cs="Times New Roman"/>
    </w:rPr>
  </w:style>
  <w:style w:type="character" w:customStyle="1" w:styleId="215">
    <w:name w:val="正文文本缩进 3 Char218"/>
    <w:basedOn w:val="46"/>
    <w:unhideWhenUsed/>
    <w:qFormat/>
    <w:uiPriority w:val="99"/>
    <w:rPr>
      <w:rFonts w:cs="Times New Roman"/>
      <w:sz w:val="16"/>
    </w:rPr>
  </w:style>
  <w:style w:type="character" w:customStyle="1" w:styleId="216">
    <w:name w:val="正文文本 2 Char27"/>
    <w:unhideWhenUsed/>
    <w:qFormat/>
    <w:uiPriority w:val="99"/>
  </w:style>
  <w:style w:type="character" w:customStyle="1" w:styleId="217">
    <w:name w:val="正文文本缩进 Char212"/>
    <w:unhideWhenUsed/>
    <w:qFormat/>
    <w:uiPriority w:val="99"/>
  </w:style>
  <w:style w:type="character" w:customStyle="1" w:styleId="218">
    <w:name w:val="标题 Char313"/>
    <w:unhideWhenUsed/>
    <w:qFormat/>
    <w:uiPriority w:val="10"/>
    <w:rPr>
      <w:rFonts w:ascii="Cambria"/>
      <w:b/>
      <w:sz w:val="32"/>
    </w:rPr>
  </w:style>
  <w:style w:type="character" w:customStyle="1" w:styleId="219">
    <w:name w:val="页眉 Char27"/>
    <w:unhideWhenUsed/>
    <w:qFormat/>
    <w:uiPriority w:val="99"/>
    <w:rPr>
      <w:sz w:val="18"/>
    </w:rPr>
  </w:style>
  <w:style w:type="character" w:customStyle="1" w:styleId="220">
    <w:name w:val="正文文本缩进 Char29"/>
    <w:unhideWhenUsed/>
    <w:qFormat/>
    <w:uiPriority w:val="99"/>
  </w:style>
  <w:style w:type="character" w:customStyle="1" w:styleId="221">
    <w:name w:val="正文文本 2 Char21"/>
    <w:unhideWhenUsed/>
    <w:qFormat/>
    <w:uiPriority w:val="99"/>
  </w:style>
  <w:style w:type="character" w:customStyle="1" w:styleId="222">
    <w:name w:val="正文文本缩进 2 Char212"/>
    <w:unhideWhenUsed/>
    <w:qFormat/>
    <w:uiPriority w:val="99"/>
  </w:style>
  <w:style w:type="character" w:customStyle="1" w:styleId="223">
    <w:name w:val="批注文字 Char311"/>
    <w:unhideWhenUsed/>
    <w:qFormat/>
    <w:uiPriority w:val="99"/>
  </w:style>
  <w:style w:type="character" w:customStyle="1" w:styleId="224">
    <w:name w:val="正文文本 3 Char1"/>
    <w:unhideWhenUsed/>
    <w:qFormat/>
    <w:uiPriority w:val="99"/>
    <w:rPr>
      <w:kern w:val="2"/>
      <w:sz w:val="16"/>
    </w:rPr>
  </w:style>
  <w:style w:type="character" w:customStyle="1" w:styleId="225">
    <w:name w:val="明显引用 Char1"/>
    <w:unhideWhenUsed/>
    <w:qFormat/>
    <w:uiPriority w:val="0"/>
    <w:rPr>
      <w:b/>
      <w:i/>
      <w:kern w:val="2"/>
      <w:sz w:val="21"/>
    </w:rPr>
  </w:style>
  <w:style w:type="character" w:customStyle="1" w:styleId="226">
    <w:name w:val="批注框文本 Char311"/>
    <w:unhideWhenUsed/>
    <w:qFormat/>
    <w:uiPriority w:val="99"/>
    <w:rPr>
      <w:sz w:val="18"/>
    </w:rPr>
  </w:style>
  <w:style w:type="character" w:customStyle="1" w:styleId="227">
    <w:name w:val="批注框文本 Char3"/>
    <w:basedOn w:val="46"/>
    <w:unhideWhenUsed/>
    <w:qFormat/>
    <w:uiPriority w:val="99"/>
    <w:rPr>
      <w:rFonts w:cs="Times New Roman"/>
      <w:sz w:val="18"/>
    </w:rPr>
  </w:style>
  <w:style w:type="character" w:customStyle="1" w:styleId="228">
    <w:name w:val="正文文本缩进 2 Char211"/>
    <w:unhideWhenUsed/>
    <w:qFormat/>
    <w:uiPriority w:val="99"/>
  </w:style>
  <w:style w:type="character" w:customStyle="1" w:styleId="229">
    <w:name w:val="日期 Char519"/>
    <w:basedOn w:val="46"/>
    <w:unhideWhenUsed/>
    <w:qFormat/>
    <w:uiPriority w:val="99"/>
    <w:rPr>
      <w:rFonts w:cs="Times New Roman"/>
    </w:rPr>
  </w:style>
  <w:style w:type="character" w:customStyle="1" w:styleId="230">
    <w:name w:val="正文首行缩进 2 Char19"/>
    <w:unhideWhenUsed/>
    <w:qFormat/>
    <w:uiPriority w:val="99"/>
  </w:style>
  <w:style w:type="character" w:customStyle="1" w:styleId="231">
    <w:name w:val="正文文本 3 Char29"/>
    <w:unhideWhenUsed/>
    <w:qFormat/>
    <w:uiPriority w:val="99"/>
    <w:rPr>
      <w:sz w:val="16"/>
    </w:rPr>
  </w:style>
  <w:style w:type="character" w:customStyle="1" w:styleId="232">
    <w:name w:val="文档结构图 Char34"/>
    <w:unhideWhenUsed/>
    <w:qFormat/>
    <w:uiPriority w:val="99"/>
    <w:rPr>
      <w:rFonts w:ascii="宋体"/>
      <w:sz w:val="18"/>
    </w:rPr>
  </w:style>
  <w:style w:type="character" w:customStyle="1" w:styleId="233">
    <w:name w:val="正文文本 3 Char221"/>
    <w:basedOn w:val="46"/>
    <w:unhideWhenUsed/>
    <w:qFormat/>
    <w:uiPriority w:val="99"/>
    <w:rPr>
      <w:rFonts w:cs="Times New Roman"/>
      <w:sz w:val="16"/>
    </w:rPr>
  </w:style>
  <w:style w:type="character" w:customStyle="1" w:styleId="234">
    <w:name w:val="不明显强调1"/>
    <w:basedOn w:val="46"/>
    <w:qFormat/>
    <w:uiPriority w:val="19"/>
    <w:rPr>
      <w:rFonts w:cs="Times New Roman"/>
      <w:i/>
      <w:color w:val="808080"/>
    </w:rPr>
  </w:style>
  <w:style w:type="character" w:customStyle="1" w:styleId="235">
    <w:name w:val="副标题 Char321"/>
    <w:basedOn w:val="46"/>
    <w:unhideWhenUsed/>
    <w:qFormat/>
    <w:uiPriority w:val="11"/>
    <w:rPr>
      <w:rFonts w:ascii="Cambria" w:cs="Times New Roman"/>
      <w:b/>
      <w:kern w:val="28"/>
      <w:sz w:val="32"/>
    </w:rPr>
  </w:style>
  <w:style w:type="character" w:customStyle="1" w:styleId="236">
    <w:name w:val="p141"/>
    <w:unhideWhenUsed/>
    <w:qFormat/>
    <w:uiPriority w:val="0"/>
    <w:rPr>
      <w:sz w:val="21"/>
    </w:rPr>
  </w:style>
  <w:style w:type="character" w:customStyle="1" w:styleId="237">
    <w:name w:val="正文文本 3 Char27"/>
    <w:unhideWhenUsed/>
    <w:qFormat/>
    <w:uiPriority w:val="99"/>
    <w:rPr>
      <w:sz w:val="16"/>
    </w:rPr>
  </w:style>
  <w:style w:type="character" w:customStyle="1" w:styleId="238">
    <w:name w:val="批注文字 Char33"/>
    <w:unhideWhenUsed/>
    <w:qFormat/>
    <w:uiPriority w:val="99"/>
  </w:style>
  <w:style w:type="character" w:customStyle="1" w:styleId="239">
    <w:name w:val="正文文本 Char3"/>
    <w:basedOn w:val="46"/>
    <w:unhideWhenUsed/>
    <w:qFormat/>
    <w:uiPriority w:val="99"/>
    <w:rPr>
      <w:rFonts w:cs="Times New Roman"/>
    </w:rPr>
  </w:style>
  <w:style w:type="character" w:customStyle="1" w:styleId="240">
    <w:name w:val="文档结构图 Char317"/>
    <w:basedOn w:val="46"/>
    <w:unhideWhenUsed/>
    <w:qFormat/>
    <w:uiPriority w:val="99"/>
    <w:rPr>
      <w:rFonts w:ascii="宋体" w:cs="Times New Roman"/>
      <w:sz w:val="18"/>
    </w:rPr>
  </w:style>
  <w:style w:type="character" w:customStyle="1" w:styleId="241">
    <w:name w:val="纯文本 Char119"/>
    <w:basedOn w:val="46"/>
    <w:unhideWhenUsed/>
    <w:qFormat/>
    <w:uiPriority w:val="99"/>
    <w:rPr>
      <w:rFonts w:ascii="宋体" w:hAnsi="Courier New" w:cs="Times New Roman"/>
      <w:sz w:val="21"/>
    </w:rPr>
  </w:style>
  <w:style w:type="character" w:customStyle="1" w:styleId="242">
    <w:name w:val="文档结构图 Char314"/>
    <w:unhideWhenUsed/>
    <w:qFormat/>
    <w:uiPriority w:val="99"/>
    <w:rPr>
      <w:rFonts w:ascii="宋体"/>
      <w:sz w:val="18"/>
    </w:rPr>
  </w:style>
  <w:style w:type="character" w:customStyle="1" w:styleId="243">
    <w:name w:val="Char Char11"/>
    <w:unhideWhenUsed/>
    <w:qFormat/>
    <w:uiPriority w:val="0"/>
    <w:rPr>
      <w:rFonts w:ascii="Calibri"/>
      <w:kern w:val="2"/>
      <w:sz w:val="18"/>
    </w:rPr>
  </w:style>
  <w:style w:type="character" w:customStyle="1" w:styleId="244">
    <w:name w:val="正文文本 3 Char218"/>
    <w:basedOn w:val="46"/>
    <w:unhideWhenUsed/>
    <w:qFormat/>
    <w:uiPriority w:val="99"/>
    <w:rPr>
      <w:rFonts w:cs="Times New Roman"/>
      <w:sz w:val="16"/>
    </w:rPr>
  </w:style>
  <w:style w:type="character" w:customStyle="1" w:styleId="245">
    <w:name w:val="纯文本 Char121"/>
    <w:basedOn w:val="46"/>
    <w:unhideWhenUsed/>
    <w:qFormat/>
    <w:uiPriority w:val="99"/>
    <w:rPr>
      <w:rFonts w:ascii="宋体" w:hAnsi="Courier New" w:cs="Times New Roman"/>
      <w:sz w:val="21"/>
    </w:rPr>
  </w:style>
  <w:style w:type="character" w:customStyle="1" w:styleId="246">
    <w:name w:val="纯文本 Char116"/>
    <w:basedOn w:val="46"/>
    <w:unhideWhenUsed/>
    <w:qFormat/>
    <w:uiPriority w:val="99"/>
    <w:rPr>
      <w:rFonts w:ascii="宋体" w:hAnsi="Courier New" w:cs="Times New Roman"/>
      <w:sz w:val="21"/>
    </w:rPr>
  </w:style>
  <w:style w:type="character" w:customStyle="1" w:styleId="247">
    <w:name w:val="正文首行缩进 2 Char114"/>
    <w:unhideWhenUsed/>
    <w:qFormat/>
    <w:uiPriority w:val="99"/>
  </w:style>
  <w:style w:type="character" w:customStyle="1" w:styleId="248">
    <w:name w:val="Char Char15"/>
    <w:unhideWhenUsed/>
    <w:qFormat/>
    <w:uiPriority w:val="0"/>
    <w:rPr>
      <w:rFonts w:ascii="Cambria"/>
      <w:i/>
      <w:lang w:eastAsia="en-US"/>
    </w:rPr>
  </w:style>
  <w:style w:type="character" w:customStyle="1" w:styleId="249">
    <w:name w:val="正文首行缩进 2 Char25"/>
    <w:basedOn w:val="102"/>
    <w:semiHidden/>
    <w:qFormat/>
    <w:uiPriority w:val="99"/>
  </w:style>
  <w:style w:type="character" w:customStyle="1" w:styleId="250">
    <w:name w:val="正文文本 3 Char213"/>
    <w:unhideWhenUsed/>
    <w:qFormat/>
    <w:uiPriority w:val="99"/>
    <w:rPr>
      <w:sz w:val="16"/>
    </w:rPr>
  </w:style>
  <w:style w:type="character" w:customStyle="1" w:styleId="251">
    <w:name w:val="正文文本 3 Char35"/>
    <w:basedOn w:val="46"/>
    <w:semiHidden/>
    <w:qFormat/>
    <w:uiPriority w:val="99"/>
    <w:rPr>
      <w:rFonts w:cs="Times New Roman"/>
      <w:kern w:val="0"/>
      <w:sz w:val="16"/>
      <w:szCs w:val="16"/>
    </w:rPr>
  </w:style>
  <w:style w:type="character" w:customStyle="1" w:styleId="252">
    <w:name w:val="Char Char22"/>
    <w:unhideWhenUsed/>
    <w:qFormat/>
    <w:uiPriority w:val="0"/>
    <w:rPr>
      <w:rFonts w:ascii="新宋体" w:hAnsi="Arial" w:eastAsia="新宋体"/>
      <w:b/>
      <w:kern w:val="2"/>
      <w:sz w:val="32"/>
    </w:rPr>
  </w:style>
  <w:style w:type="character" w:customStyle="1" w:styleId="253">
    <w:name w:val="纯文本 Char111"/>
    <w:unhideWhenUsed/>
    <w:qFormat/>
    <w:uiPriority w:val="99"/>
    <w:rPr>
      <w:rFonts w:ascii="宋体" w:hAnsi="Courier New"/>
    </w:rPr>
  </w:style>
  <w:style w:type="character" w:customStyle="1" w:styleId="254">
    <w:name w:val="正文文本缩进 3 Char24"/>
    <w:unhideWhenUsed/>
    <w:qFormat/>
    <w:uiPriority w:val="99"/>
    <w:rPr>
      <w:sz w:val="16"/>
    </w:rPr>
  </w:style>
  <w:style w:type="character" w:customStyle="1" w:styleId="255">
    <w:name w:val="Char Char5"/>
    <w:unhideWhenUsed/>
    <w:qFormat/>
    <w:uiPriority w:val="0"/>
    <w:rPr>
      <w:rFonts w:ascii="宋体"/>
      <w:sz w:val="22"/>
      <w:lang w:eastAsia="en-US"/>
    </w:rPr>
  </w:style>
  <w:style w:type="character" w:customStyle="1" w:styleId="256">
    <w:name w:val="文档结构图 Char39"/>
    <w:unhideWhenUsed/>
    <w:qFormat/>
    <w:uiPriority w:val="99"/>
    <w:rPr>
      <w:rFonts w:ascii="宋体"/>
      <w:sz w:val="18"/>
    </w:rPr>
  </w:style>
  <w:style w:type="character" w:customStyle="1" w:styleId="257">
    <w:name w:val="副标题 Char33"/>
    <w:unhideWhenUsed/>
    <w:qFormat/>
    <w:uiPriority w:val="11"/>
    <w:rPr>
      <w:rFonts w:ascii="Cambria"/>
      <w:b/>
      <w:kern w:val="28"/>
      <w:sz w:val="32"/>
    </w:rPr>
  </w:style>
  <w:style w:type="character" w:customStyle="1" w:styleId="258">
    <w:name w:val="正文文本 3 Char214"/>
    <w:unhideWhenUsed/>
    <w:qFormat/>
    <w:uiPriority w:val="99"/>
    <w:rPr>
      <w:sz w:val="16"/>
    </w:rPr>
  </w:style>
  <w:style w:type="character" w:customStyle="1" w:styleId="259">
    <w:name w:val="日期 Char65"/>
    <w:basedOn w:val="46"/>
    <w:semiHidden/>
    <w:qFormat/>
    <w:uiPriority w:val="99"/>
    <w:rPr>
      <w:rFonts w:cs="Times New Roman"/>
      <w:kern w:val="0"/>
      <w:sz w:val="24"/>
      <w:szCs w:val="24"/>
    </w:rPr>
  </w:style>
  <w:style w:type="character" w:customStyle="1" w:styleId="260">
    <w:name w:val="批注文字 Char1"/>
    <w:unhideWhenUsed/>
    <w:qFormat/>
    <w:uiPriority w:val="0"/>
    <w:rPr>
      <w:kern w:val="2"/>
      <w:sz w:val="21"/>
    </w:rPr>
  </w:style>
  <w:style w:type="character" w:customStyle="1" w:styleId="261">
    <w:name w:val="文档结构图 Char320"/>
    <w:basedOn w:val="46"/>
    <w:unhideWhenUsed/>
    <w:qFormat/>
    <w:uiPriority w:val="99"/>
    <w:rPr>
      <w:rFonts w:ascii="宋体" w:cs="Times New Roman"/>
      <w:sz w:val="18"/>
    </w:rPr>
  </w:style>
  <w:style w:type="character" w:customStyle="1" w:styleId="262">
    <w:name w:val="Char Char9"/>
    <w:unhideWhenUsed/>
    <w:qFormat/>
    <w:uiPriority w:val="0"/>
    <w:rPr>
      <w:rFonts w:ascii="Calibri"/>
      <w:kern w:val="2"/>
      <w:sz w:val="18"/>
    </w:rPr>
  </w:style>
  <w:style w:type="character" w:customStyle="1" w:styleId="263">
    <w:name w:val="正文首行缩进 2 Char13"/>
    <w:unhideWhenUsed/>
    <w:qFormat/>
    <w:uiPriority w:val="99"/>
  </w:style>
  <w:style w:type="character" w:customStyle="1" w:styleId="264">
    <w:name w:val="正文首行缩进 2 Char18"/>
    <w:unhideWhenUsed/>
    <w:qFormat/>
    <w:uiPriority w:val="99"/>
  </w:style>
  <w:style w:type="character" w:customStyle="1" w:styleId="265">
    <w:name w:val="副标题 Char1"/>
    <w:unhideWhenUsed/>
    <w:qFormat/>
    <w:uiPriority w:val="0"/>
    <w:rPr>
      <w:rFonts w:ascii="Cambria"/>
      <w:b/>
      <w:kern w:val="28"/>
      <w:sz w:val="32"/>
    </w:rPr>
  </w:style>
  <w:style w:type="character" w:customStyle="1" w:styleId="266">
    <w:name w:val="页眉 Char219"/>
    <w:basedOn w:val="46"/>
    <w:unhideWhenUsed/>
    <w:qFormat/>
    <w:uiPriority w:val="99"/>
    <w:rPr>
      <w:rFonts w:cs="Times New Roman"/>
      <w:sz w:val="18"/>
    </w:rPr>
  </w:style>
  <w:style w:type="character" w:customStyle="1" w:styleId="267">
    <w:name w:val="正文首行缩进 2 Char117"/>
    <w:basedOn w:val="102"/>
    <w:unhideWhenUsed/>
    <w:qFormat/>
    <w:uiPriority w:val="99"/>
  </w:style>
  <w:style w:type="character" w:customStyle="1" w:styleId="268">
    <w:name w:val="正文首行缩进 2 Char115"/>
    <w:unhideWhenUsed/>
    <w:qFormat/>
    <w:uiPriority w:val="99"/>
  </w:style>
  <w:style w:type="character" w:customStyle="1" w:styleId="269">
    <w:name w:val="正文文本 3 Char23"/>
    <w:unhideWhenUsed/>
    <w:qFormat/>
    <w:uiPriority w:val="99"/>
    <w:rPr>
      <w:sz w:val="16"/>
    </w:rPr>
  </w:style>
  <w:style w:type="character" w:customStyle="1" w:styleId="270">
    <w:name w:val="批注主题 Char421"/>
    <w:basedOn w:val="271"/>
    <w:unhideWhenUsed/>
    <w:qFormat/>
    <w:uiPriority w:val="99"/>
    <w:rPr>
      <w:b/>
    </w:rPr>
  </w:style>
  <w:style w:type="character" w:customStyle="1" w:styleId="271">
    <w:name w:val="批注文字 Char45"/>
    <w:basedOn w:val="46"/>
    <w:semiHidden/>
    <w:qFormat/>
    <w:uiPriority w:val="99"/>
    <w:rPr>
      <w:rFonts w:cs="Times New Roman"/>
      <w:kern w:val="0"/>
      <w:sz w:val="24"/>
      <w:szCs w:val="24"/>
    </w:rPr>
  </w:style>
  <w:style w:type="character" w:customStyle="1" w:styleId="272">
    <w:name w:val="正文首行缩进 2 Char12"/>
    <w:unhideWhenUsed/>
    <w:qFormat/>
    <w:uiPriority w:val="99"/>
  </w:style>
  <w:style w:type="character" w:customStyle="1" w:styleId="273">
    <w:name w:val="正文文本 3 Char217"/>
    <w:basedOn w:val="46"/>
    <w:unhideWhenUsed/>
    <w:qFormat/>
    <w:uiPriority w:val="99"/>
    <w:rPr>
      <w:rFonts w:cs="Times New Roman"/>
      <w:sz w:val="16"/>
    </w:rPr>
  </w:style>
  <w:style w:type="character" w:customStyle="1" w:styleId="274">
    <w:name w:val="纯文本 Char118"/>
    <w:basedOn w:val="46"/>
    <w:unhideWhenUsed/>
    <w:qFormat/>
    <w:uiPriority w:val="99"/>
    <w:rPr>
      <w:rFonts w:ascii="宋体" w:hAnsi="Courier New" w:cs="Times New Roman"/>
      <w:sz w:val="21"/>
    </w:rPr>
  </w:style>
  <w:style w:type="character" w:customStyle="1" w:styleId="275">
    <w:name w:val="副标题 Char"/>
    <w:unhideWhenUsed/>
    <w:qFormat/>
    <w:locked/>
    <w:uiPriority w:val="0"/>
    <w:rPr>
      <w:rFonts w:ascii="Cambria"/>
      <w:i/>
      <w:spacing w:val="15"/>
      <w:lang w:eastAsia="en-US"/>
    </w:rPr>
  </w:style>
  <w:style w:type="character" w:customStyle="1" w:styleId="276">
    <w:name w:val="正文首行缩进 2 Char16"/>
    <w:unhideWhenUsed/>
    <w:qFormat/>
    <w:uiPriority w:val="99"/>
  </w:style>
  <w:style w:type="character" w:customStyle="1" w:styleId="277">
    <w:name w:val="纯文本 Char117"/>
    <w:basedOn w:val="46"/>
    <w:unhideWhenUsed/>
    <w:qFormat/>
    <w:uiPriority w:val="99"/>
    <w:rPr>
      <w:rFonts w:ascii="宋体" w:hAnsi="Courier New" w:cs="Times New Roman"/>
      <w:sz w:val="21"/>
    </w:rPr>
  </w:style>
  <w:style w:type="character" w:customStyle="1" w:styleId="278">
    <w:name w:val="批注主题 Char420"/>
    <w:basedOn w:val="271"/>
    <w:unhideWhenUsed/>
    <w:qFormat/>
    <w:uiPriority w:val="99"/>
    <w:rPr>
      <w:b/>
    </w:rPr>
  </w:style>
  <w:style w:type="character" w:customStyle="1" w:styleId="279">
    <w:name w:val="页眉 Char220"/>
    <w:basedOn w:val="46"/>
    <w:unhideWhenUsed/>
    <w:qFormat/>
    <w:uiPriority w:val="99"/>
    <w:rPr>
      <w:rFonts w:cs="Times New Roman"/>
      <w:sz w:val="18"/>
    </w:rPr>
  </w:style>
  <w:style w:type="character" w:customStyle="1" w:styleId="280">
    <w:name w:val="批注框文本 Char1"/>
    <w:unhideWhenUsed/>
    <w:qFormat/>
    <w:uiPriority w:val="0"/>
    <w:rPr>
      <w:kern w:val="2"/>
      <w:sz w:val="18"/>
    </w:rPr>
  </w:style>
  <w:style w:type="character" w:customStyle="1" w:styleId="281">
    <w:name w:val="正文文本缩进 3 Char23"/>
    <w:unhideWhenUsed/>
    <w:qFormat/>
    <w:uiPriority w:val="99"/>
    <w:rPr>
      <w:sz w:val="16"/>
    </w:rPr>
  </w:style>
  <w:style w:type="character" w:customStyle="1" w:styleId="282">
    <w:name w:val="正文首行缩进 2 Char116"/>
    <w:basedOn w:val="102"/>
    <w:unhideWhenUsed/>
    <w:qFormat/>
    <w:uiPriority w:val="99"/>
  </w:style>
  <w:style w:type="character" w:customStyle="1" w:styleId="283">
    <w:name w:val="页脚 Char29"/>
    <w:unhideWhenUsed/>
    <w:qFormat/>
    <w:uiPriority w:val="99"/>
    <w:rPr>
      <w:sz w:val="18"/>
    </w:rPr>
  </w:style>
  <w:style w:type="character" w:customStyle="1" w:styleId="284">
    <w:name w:val="正文文本缩进 3 Char210"/>
    <w:unhideWhenUsed/>
    <w:qFormat/>
    <w:uiPriority w:val="99"/>
    <w:rPr>
      <w:sz w:val="16"/>
    </w:rPr>
  </w:style>
  <w:style w:type="character" w:customStyle="1" w:styleId="285">
    <w:name w:val="日期 Char55"/>
    <w:unhideWhenUsed/>
    <w:qFormat/>
    <w:uiPriority w:val="99"/>
  </w:style>
  <w:style w:type="character" w:customStyle="1" w:styleId="286">
    <w:name w:val="纯文本 Char110"/>
    <w:unhideWhenUsed/>
    <w:qFormat/>
    <w:uiPriority w:val="99"/>
    <w:rPr>
      <w:rFonts w:ascii="宋体" w:hAnsi="Courier New"/>
    </w:rPr>
  </w:style>
  <w:style w:type="character" w:customStyle="1" w:styleId="287">
    <w:name w:val="页眉 Char35"/>
    <w:basedOn w:val="46"/>
    <w:semiHidden/>
    <w:qFormat/>
    <w:uiPriority w:val="99"/>
    <w:rPr>
      <w:rFonts w:cs="Times New Roman"/>
      <w:kern w:val="0"/>
      <w:sz w:val="18"/>
      <w:szCs w:val="18"/>
    </w:rPr>
  </w:style>
  <w:style w:type="character" w:customStyle="1" w:styleId="288">
    <w:name w:val="正文文本 2 Char23"/>
    <w:unhideWhenUsed/>
    <w:qFormat/>
    <w:uiPriority w:val="99"/>
  </w:style>
  <w:style w:type="character" w:customStyle="1" w:styleId="289">
    <w:name w:val="标题 Char39"/>
    <w:unhideWhenUsed/>
    <w:qFormat/>
    <w:uiPriority w:val="10"/>
    <w:rPr>
      <w:rFonts w:ascii="Cambria"/>
      <w:b/>
      <w:sz w:val="32"/>
    </w:rPr>
  </w:style>
  <w:style w:type="character" w:customStyle="1" w:styleId="290">
    <w:name w:val="日期 Char51"/>
    <w:unhideWhenUsed/>
    <w:qFormat/>
    <w:uiPriority w:val="99"/>
  </w:style>
  <w:style w:type="character" w:customStyle="1" w:styleId="291">
    <w:name w:val="日期 Char521"/>
    <w:basedOn w:val="46"/>
    <w:unhideWhenUsed/>
    <w:qFormat/>
    <w:uiPriority w:val="99"/>
    <w:rPr>
      <w:rFonts w:cs="Times New Roman"/>
    </w:rPr>
  </w:style>
  <w:style w:type="character" w:customStyle="1" w:styleId="292">
    <w:name w:val="正文文本缩进 3 Char214"/>
    <w:unhideWhenUsed/>
    <w:qFormat/>
    <w:uiPriority w:val="99"/>
    <w:rPr>
      <w:sz w:val="16"/>
    </w:rPr>
  </w:style>
  <w:style w:type="character" w:customStyle="1" w:styleId="293">
    <w:name w:val="正文文本缩进 3 Char213"/>
    <w:unhideWhenUsed/>
    <w:qFormat/>
    <w:uiPriority w:val="99"/>
    <w:rPr>
      <w:sz w:val="16"/>
    </w:rPr>
  </w:style>
  <w:style w:type="character" w:customStyle="1" w:styleId="294">
    <w:name w:val="页脚 Char213"/>
    <w:unhideWhenUsed/>
    <w:qFormat/>
    <w:uiPriority w:val="99"/>
    <w:rPr>
      <w:sz w:val="18"/>
    </w:rPr>
  </w:style>
  <w:style w:type="character" w:customStyle="1" w:styleId="295">
    <w:name w:val="正文文本 2 Char211"/>
    <w:unhideWhenUsed/>
    <w:qFormat/>
    <w:uiPriority w:val="99"/>
  </w:style>
  <w:style w:type="character" w:customStyle="1" w:styleId="296">
    <w:name w:val="日期 Char511"/>
    <w:unhideWhenUsed/>
    <w:qFormat/>
    <w:uiPriority w:val="99"/>
  </w:style>
  <w:style w:type="character" w:customStyle="1" w:styleId="297">
    <w:name w:val="批注文字 Char317"/>
    <w:basedOn w:val="46"/>
    <w:unhideWhenUsed/>
    <w:qFormat/>
    <w:uiPriority w:val="99"/>
    <w:rPr>
      <w:rFonts w:cs="Times New Roman"/>
    </w:rPr>
  </w:style>
  <w:style w:type="character" w:customStyle="1" w:styleId="298">
    <w:name w:val="批注文字 Char321"/>
    <w:basedOn w:val="46"/>
    <w:unhideWhenUsed/>
    <w:qFormat/>
    <w:uiPriority w:val="99"/>
    <w:rPr>
      <w:rFonts w:cs="Times New Roman"/>
    </w:rPr>
  </w:style>
  <w:style w:type="character" w:customStyle="1" w:styleId="299">
    <w:name w:val="正文文本缩进 Char23"/>
    <w:unhideWhenUsed/>
    <w:qFormat/>
    <w:uiPriority w:val="99"/>
  </w:style>
  <w:style w:type="character" w:customStyle="1" w:styleId="300">
    <w:name w:val="批注主题 Char42"/>
    <w:unhideWhenUsed/>
    <w:qFormat/>
    <w:uiPriority w:val="99"/>
    <w:rPr>
      <w:b/>
    </w:rPr>
  </w:style>
  <w:style w:type="character" w:customStyle="1" w:styleId="301">
    <w:name w:val="正文文本缩进 3 Char27"/>
    <w:unhideWhenUsed/>
    <w:qFormat/>
    <w:uiPriority w:val="99"/>
    <w:rPr>
      <w:sz w:val="16"/>
    </w:rPr>
  </w:style>
  <w:style w:type="character" w:customStyle="1" w:styleId="302">
    <w:name w:val="正文文本缩进 3 Char221"/>
    <w:basedOn w:val="46"/>
    <w:unhideWhenUsed/>
    <w:qFormat/>
    <w:uiPriority w:val="99"/>
    <w:rPr>
      <w:rFonts w:cs="Times New Roman"/>
      <w:sz w:val="16"/>
    </w:rPr>
  </w:style>
  <w:style w:type="character" w:customStyle="1" w:styleId="303">
    <w:name w:val="正文文本 2 Char28"/>
    <w:unhideWhenUsed/>
    <w:qFormat/>
    <w:uiPriority w:val="99"/>
  </w:style>
  <w:style w:type="character" w:customStyle="1" w:styleId="304">
    <w:name w:val="正文文本缩进 Char213"/>
    <w:unhideWhenUsed/>
    <w:qFormat/>
    <w:uiPriority w:val="99"/>
  </w:style>
  <w:style w:type="character" w:customStyle="1" w:styleId="305">
    <w:name w:val="标题 Char314"/>
    <w:unhideWhenUsed/>
    <w:qFormat/>
    <w:uiPriority w:val="10"/>
    <w:rPr>
      <w:rFonts w:ascii="Cambria"/>
      <w:b/>
      <w:sz w:val="32"/>
    </w:rPr>
  </w:style>
  <w:style w:type="character" w:customStyle="1" w:styleId="306">
    <w:name w:val="正文文本缩进 2 Char221"/>
    <w:basedOn w:val="46"/>
    <w:unhideWhenUsed/>
    <w:qFormat/>
    <w:uiPriority w:val="99"/>
    <w:rPr>
      <w:rFonts w:cs="Times New Roman"/>
    </w:rPr>
  </w:style>
  <w:style w:type="character" w:customStyle="1" w:styleId="307">
    <w:name w:val="页眉 Char28"/>
    <w:unhideWhenUsed/>
    <w:qFormat/>
    <w:uiPriority w:val="99"/>
    <w:rPr>
      <w:sz w:val="18"/>
    </w:rPr>
  </w:style>
  <w:style w:type="character" w:customStyle="1" w:styleId="308">
    <w:name w:val="副标题 Char312"/>
    <w:unhideWhenUsed/>
    <w:qFormat/>
    <w:uiPriority w:val="11"/>
    <w:rPr>
      <w:rFonts w:ascii="Cambria"/>
      <w:b/>
      <w:kern w:val="28"/>
      <w:sz w:val="32"/>
    </w:rPr>
  </w:style>
  <w:style w:type="character" w:customStyle="1" w:styleId="309">
    <w:name w:val="正文文本缩进 Char210"/>
    <w:unhideWhenUsed/>
    <w:qFormat/>
    <w:uiPriority w:val="99"/>
  </w:style>
  <w:style w:type="character" w:customStyle="1" w:styleId="310">
    <w:name w:val="页脚 Char22"/>
    <w:unhideWhenUsed/>
    <w:qFormat/>
    <w:uiPriority w:val="99"/>
    <w:rPr>
      <w:sz w:val="18"/>
    </w:rPr>
  </w:style>
  <w:style w:type="character" w:customStyle="1" w:styleId="311">
    <w:name w:val="正文文本缩进 2 Char210"/>
    <w:unhideWhenUsed/>
    <w:qFormat/>
    <w:uiPriority w:val="99"/>
  </w:style>
  <w:style w:type="character" w:customStyle="1" w:styleId="312">
    <w:name w:val="引用 Char320"/>
    <w:basedOn w:val="46"/>
    <w:unhideWhenUsed/>
    <w:qFormat/>
    <w:uiPriority w:val="29"/>
    <w:rPr>
      <w:rFonts w:cs="Times New Roman"/>
      <w:i/>
      <w:color w:val="000000"/>
    </w:rPr>
  </w:style>
  <w:style w:type="character" w:customStyle="1" w:styleId="313">
    <w:name w:val="批注文字 Char310"/>
    <w:unhideWhenUsed/>
    <w:qFormat/>
    <w:uiPriority w:val="99"/>
  </w:style>
  <w:style w:type="character" w:customStyle="1" w:styleId="314">
    <w:name w:val="引用 Char1"/>
    <w:unhideWhenUsed/>
    <w:qFormat/>
    <w:uiPriority w:val="0"/>
    <w:rPr>
      <w:i/>
      <w:color w:val="000000"/>
      <w:kern w:val="2"/>
      <w:sz w:val="21"/>
    </w:rPr>
  </w:style>
  <w:style w:type="character" w:customStyle="1" w:styleId="315">
    <w:name w:val="页脚 Char2"/>
    <w:basedOn w:val="46"/>
    <w:unhideWhenUsed/>
    <w:qFormat/>
    <w:uiPriority w:val="99"/>
    <w:rPr>
      <w:rFonts w:cs="Times New Roman"/>
      <w:sz w:val="18"/>
    </w:rPr>
  </w:style>
  <w:style w:type="character" w:customStyle="1" w:styleId="316">
    <w:name w:val="正文文本 2 Char220"/>
    <w:basedOn w:val="46"/>
    <w:unhideWhenUsed/>
    <w:qFormat/>
    <w:uiPriority w:val="99"/>
    <w:rPr>
      <w:rFonts w:cs="Times New Roman"/>
    </w:rPr>
  </w:style>
  <w:style w:type="character" w:customStyle="1" w:styleId="317">
    <w:name w:val="正文文本 Char32"/>
    <w:unhideWhenUsed/>
    <w:qFormat/>
    <w:uiPriority w:val="99"/>
  </w:style>
  <w:style w:type="character" w:customStyle="1" w:styleId="318">
    <w:name w:val="批注文字 Char320"/>
    <w:basedOn w:val="46"/>
    <w:unhideWhenUsed/>
    <w:qFormat/>
    <w:uiPriority w:val="99"/>
    <w:rPr>
      <w:rFonts w:cs="Times New Roman"/>
    </w:rPr>
  </w:style>
  <w:style w:type="character" w:customStyle="1" w:styleId="319">
    <w:name w:val="明显参考1"/>
    <w:basedOn w:val="46"/>
    <w:qFormat/>
    <w:uiPriority w:val="32"/>
    <w:rPr>
      <w:rFonts w:cs="Times New Roman"/>
      <w:b/>
      <w:smallCaps/>
      <w:spacing w:val="5"/>
      <w:u w:val="single"/>
    </w:rPr>
  </w:style>
  <w:style w:type="character" w:customStyle="1" w:styleId="320">
    <w:name w:val="页脚 Char25"/>
    <w:unhideWhenUsed/>
    <w:qFormat/>
    <w:uiPriority w:val="99"/>
    <w:rPr>
      <w:sz w:val="18"/>
    </w:rPr>
  </w:style>
  <w:style w:type="character" w:customStyle="1" w:styleId="321">
    <w:name w:val="正文文本 2 Char25"/>
    <w:unhideWhenUsed/>
    <w:qFormat/>
    <w:uiPriority w:val="99"/>
  </w:style>
  <w:style w:type="character" w:customStyle="1" w:styleId="322">
    <w:name w:val="正文文本缩进 2 Char215"/>
    <w:unhideWhenUsed/>
    <w:qFormat/>
    <w:uiPriority w:val="99"/>
  </w:style>
  <w:style w:type="character" w:customStyle="1" w:styleId="323">
    <w:name w:val="日期 Char52"/>
    <w:unhideWhenUsed/>
    <w:qFormat/>
    <w:uiPriority w:val="99"/>
  </w:style>
  <w:style w:type="character" w:customStyle="1" w:styleId="324">
    <w:name w:val="纯文本 Char18"/>
    <w:unhideWhenUsed/>
    <w:qFormat/>
    <w:uiPriority w:val="99"/>
    <w:rPr>
      <w:rFonts w:ascii="宋体" w:hAnsi="Courier New"/>
    </w:rPr>
  </w:style>
  <w:style w:type="character" w:customStyle="1" w:styleId="325">
    <w:name w:val="页脚 Char1"/>
    <w:unhideWhenUsed/>
    <w:qFormat/>
    <w:uiPriority w:val="99"/>
    <w:rPr>
      <w:kern w:val="2"/>
      <w:sz w:val="18"/>
    </w:rPr>
  </w:style>
  <w:style w:type="character" w:customStyle="1" w:styleId="326">
    <w:name w:val="Char Char23"/>
    <w:unhideWhenUsed/>
    <w:qFormat/>
    <w:uiPriority w:val="0"/>
    <w:rPr>
      <w:rFonts w:ascii="新宋体" w:hAnsi="宋体" w:eastAsia="新宋体"/>
      <w:b/>
      <w:kern w:val="44"/>
      <w:sz w:val="44"/>
    </w:rPr>
  </w:style>
  <w:style w:type="character" w:customStyle="1" w:styleId="327">
    <w:name w:val="正文文本 3 Char26"/>
    <w:unhideWhenUsed/>
    <w:qFormat/>
    <w:uiPriority w:val="99"/>
    <w:rPr>
      <w:sz w:val="16"/>
    </w:rPr>
  </w:style>
  <w:style w:type="character" w:customStyle="1" w:styleId="328">
    <w:name w:val="文档结构图 Char31"/>
    <w:unhideWhenUsed/>
    <w:qFormat/>
    <w:uiPriority w:val="99"/>
    <w:rPr>
      <w:rFonts w:ascii="宋体"/>
      <w:sz w:val="18"/>
    </w:rPr>
  </w:style>
  <w:style w:type="character" w:customStyle="1" w:styleId="329">
    <w:name w:val="批注文字 Char"/>
    <w:unhideWhenUsed/>
    <w:qFormat/>
    <w:locked/>
    <w:uiPriority w:val="0"/>
    <w:rPr>
      <w:rFonts w:ascii="Calibri"/>
      <w:sz w:val="22"/>
      <w:lang w:eastAsia="en-US"/>
    </w:rPr>
  </w:style>
  <w:style w:type="character" w:customStyle="1" w:styleId="330">
    <w:name w:val="引用 Char2"/>
    <w:unhideWhenUsed/>
    <w:qFormat/>
    <w:locked/>
    <w:uiPriority w:val="29"/>
    <w:rPr>
      <w:i/>
      <w:color w:val="000000"/>
    </w:rPr>
  </w:style>
  <w:style w:type="character" w:customStyle="1" w:styleId="331">
    <w:name w:val="页脚 Char24"/>
    <w:unhideWhenUsed/>
    <w:qFormat/>
    <w:uiPriority w:val="99"/>
    <w:rPr>
      <w:sz w:val="18"/>
    </w:rPr>
  </w:style>
  <w:style w:type="character" w:customStyle="1" w:styleId="332">
    <w:name w:val="正文文本 2 Char214"/>
    <w:unhideWhenUsed/>
    <w:qFormat/>
    <w:uiPriority w:val="99"/>
  </w:style>
  <w:style w:type="character" w:customStyle="1" w:styleId="333">
    <w:name w:val="页眉 Char214"/>
    <w:unhideWhenUsed/>
    <w:qFormat/>
    <w:uiPriority w:val="99"/>
    <w:rPr>
      <w:sz w:val="18"/>
    </w:rPr>
  </w:style>
  <w:style w:type="character" w:customStyle="1" w:styleId="334">
    <w:name w:val="Char Char19"/>
    <w:unhideWhenUsed/>
    <w:qFormat/>
    <w:uiPriority w:val="0"/>
    <w:rPr>
      <w:rFonts w:ascii="新宋体" w:hAnsi="宋体" w:eastAsia="新宋体"/>
      <w:b/>
      <w:kern w:val="2"/>
      <w:sz w:val="28"/>
    </w:rPr>
  </w:style>
  <w:style w:type="character" w:customStyle="1" w:styleId="335">
    <w:name w:val="明显引用 Char313"/>
    <w:unhideWhenUsed/>
    <w:qFormat/>
    <w:uiPriority w:val="30"/>
    <w:rPr>
      <w:b/>
      <w:i/>
    </w:rPr>
  </w:style>
  <w:style w:type="character" w:customStyle="1" w:styleId="336">
    <w:name w:val="批注文字 Char313"/>
    <w:unhideWhenUsed/>
    <w:qFormat/>
    <w:uiPriority w:val="99"/>
  </w:style>
  <w:style w:type="character" w:customStyle="1" w:styleId="337">
    <w:name w:val="正文首行缩进 2 Char118"/>
    <w:basedOn w:val="102"/>
    <w:unhideWhenUsed/>
    <w:qFormat/>
    <w:uiPriority w:val="99"/>
  </w:style>
  <w:style w:type="character" w:customStyle="1" w:styleId="338">
    <w:name w:val="日期 Char1"/>
    <w:unhideWhenUsed/>
    <w:qFormat/>
    <w:uiPriority w:val="0"/>
    <w:rPr>
      <w:kern w:val="2"/>
      <w:sz w:val="22"/>
    </w:rPr>
  </w:style>
  <w:style w:type="character" w:customStyle="1" w:styleId="339">
    <w:name w:val="正文文本缩进 2 Char"/>
    <w:unhideWhenUsed/>
    <w:qFormat/>
    <w:locked/>
    <w:uiPriority w:val="0"/>
    <w:rPr>
      <w:rFonts w:ascii="宋体"/>
      <w:b/>
    </w:rPr>
  </w:style>
  <w:style w:type="character" w:customStyle="1" w:styleId="340">
    <w:name w:val="正文文本缩进 2 Char21"/>
    <w:unhideWhenUsed/>
    <w:qFormat/>
    <w:uiPriority w:val="99"/>
  </w:style>
  <w:style w:type="character" w:customStyle="1" w:styleId="341">
    <w:name w:val="日期 Char517"/>
    <w:basedOn w:val="46"/>
    <w:unhideWhenUsed/>
    <w:qFormat/>
    <w:uiPriority w:val="99"/>
    <w:rPr>
      <w:rFonts w:cs="Times New Roman"/>
    </w:rPr>
  </w:style>
  <w:style w:type="character" w:customStyle="1" w:styleId="342">
    <w:name w:val="副标题 Char317"/>
    <w:basedOn w:val="46"/>
    <w:unhideWhenUsed/>
    <w:qFormat/>
    <w:uiPriority w:val="11"/>
    <w:rPr>
      <w:rFonts w:ascii="Cambria" w:cs="Times New Roman"/>
      <w:b/>
      <w:kern w:val="28"/>
      <w:sz w:val="32"/>
    </w:rPr>
  </w:style>
  <w:style w:type="character" w:customStyle="1" w:styleId="343">
    <w:name w:val="文档结构图 Char321"/>
    <w:basedOn w:val="46"/>
    <w:unhideWhenUsed/>
    <w:qFormat/>
    <w:uiPriority w:val="99"/>
    <w:rPr>
      <w:rFonts w:ascii="宋体" w:cs="Times New Roman"/>
      <w:sz w:val="18"/>
    </w:rPr>
  </w:style>
  <w:style w:type="character" w:customStyle="1" w:styleId="344">
    <w:name w:val="明显引用 Char314"/>
    <w:unhideWhenUsed/>
    <w:qFormat/>
    <w:uiPriority w:val="30"/>
    <w:rPr>
      <w:b/>
      <w:i/>
    </w:rPr>
  </w:style>
  <w:style w:type="character" w:customStyle="1" w:styleId="345">
    <w:name w:val="批注文字 Char314"/>
    <w:unhideWhenUsed/>
    <w:qFormat/>
    <w:uiPriority w:val="99"/>
  </w:style>
  <w:style w:type="character" w:customStyle="1" w:styleId="346">
    <w:name w:val="副标题 Char35"/>
    <w:unhideWhenUsed/>
    <w:qFormat/>
    <w:uiPriority w:val="11"/>
    <w:rPr>
      <w:rFonts w:ascii="Cambria"/>
      <w:b/>
      <w:kern w:val="28"/>
      <w:sz w:val="32"/>
    </w:rPr>
  </w:style>
  <w:style w:type="character" w:customStyle="1" w:styleId="347">
    <w:name w:val="纯文本 Char25"/>
    <w:basedOn w:val="46"/>
    <w:semiHidden/>
    <w:qFormat/>
    <w:uiPriority w:val="99"/>
    <w:rPr>
      <w:rFonts w:ascii="宋体" w:hAnsi="Courier New" w:cs="Courier New"/>
      <w:kern w:val="0"/>
    </w:rPr>
  </w:style>
  <w:style w:type="character" w:customStyle="1" w:styleId="348">
    <w:name w:val="标题 Char319"/>
    <w:basedOn w:val="46"/>
    <w:unhideWhenUsed/>
    <w:qFormat/>
    <w:uiPriority w:val="10"/>
    <w:rPr>
      <w:rFonts w:ascii="Cambria" w:cs="Times New Roman"/>
      <w:b/>
      <w:sz w:val="32"/>
    </w:rPr>
  </w:style>
  <w:style w:type="character" w:customStyle="1" w:styleId="349">
    <w:name w:val="文档结构图 Char319"/>
    <w:basedOn w:val="46"/>
    <w:unhideWhenUsed/>
    <w:qFormat/>
    <w:uiPriority w:val="99"/>
    <w:rPr>
      <w:rFonts w:ascii="宋体" w:cs="Times New Roman"/>
      <w:sz w:val="18"/>
    </w:rPr>
  </w:style>
  <w:style w:type="character" w:customStyle="1" w:styleId="350">
    <w:name w:val="正文文本缩进 3 Char21"/>
    <w:unhideWhenUsed/>
    <w:qFormat/>
    <w:uiPriority w:val="99"/>
    <w:rPr>
      <w:sz w:val="16"/>
    </w:rPr>
  </w:style>
  <w:style w:type="character" w:customStyle="1" w:styleId="351">
    <w:name w:val="正文文本缩进 3 Char"/>
    <w:unhideWhenUsed/>
    <w:qFormat/>
    <w:locked/>
    <w:uiPriority w:val="0"/>
    <w:rPr>
      <w:rFonts w:ascii="宋体"/>
    </w:rPr>
  </w:style>
  <w:style w:type="character" w:customStyle="1" w:styleId="352">
    <w:name w:val="副标题 Char320"/>
    <w:basedOn w:val="46"/>
    <w:unhideWhenUsed/>
    <w:qFormat/>
    <w:uiPriority w:val="11"/>
    <w:rPr>
      <w:rFonts w:ascii="Cambria" w:cs="Times New Roman"/>
      <w:b/>
      <w:kern w:val="28"/>
      <w:sz w:val="32"/>
    </w:rPr>
  </w:style>
  <w:style w:type="character" w:customStyle="1" w:styleId="353">
    <w:name w:val="明显强调1"/>
    <w:basedOn w:val="46"/>
    <w:qFormat/>
    <w:uiPriority w:val="21"/>
    <w:rPr>
      <w:rFonts w:cs="Times New Roman"/>
      <w:b/>
      <w:i/>
    </w:rPr>
  </w:style>
  <w:style w:type="character" w:customStyle="1" w:styleId="354">
    <w:name w:val="Char Char18"/>
    <w:unhideWhenUsed/>
    <w:qFormat/>
    <w:uiPriority w:val="0"/>
    <w:rPr>
      <w:rFonts w:ascii="新宋体" w:hAnsi="Arial" w:eastAsia="新宋体"/>
      <w:b/>
      <w:kern w:val="2"/>
    </w:rPr>
  </w:style>
  <w:style w:type="character" w:customStyle="1" w:styleId="355">
    <w:name w:val="正文文本 Char321"/>
    <w:basedOn w:val="46"/>
    <w:unhideWhenUsed/>
    <w:qFormat/>
    <w:uiPriority w:val="99"/>
    <w:rPr>
      <w:rFonts w:cs="Times New Roman"/>
    </w:rPr>
  </w:style>
  <w:style w:type="character" w:customStyle="1" w:styleId="356">
    <w:name w:val="文档结构图 Char316"/>
    <w:basedOn w:val="46"/>
    <w:unhideWhenUsed/>
    <w:qFormat/>
    <w:uiPriority w:val="99"/>
    <w:rPr>
      <w:rFonts w:ascii="宋体" w:cs="Times New Roman"/>
      <w:sz w:val="18"/>
    </w:rPr>
  </w:style>
  <w:style w:type="character" w:customStyle="1" w:styleId="357">
    <w:name w:val="Char Char21"/>
    <w:unhideWhenUsed/>
    <w:qFormat/>
    <w:uiPriority w:val="0"/>
    <w:rPr>
      <w:rFonts w:ascii="新宋体" w:hAnsi="宋体" w:eastAsia="新宋体"/>
      <w:b/>
      <w:kern w:val="2"/>
      <w:sz w:val="32"/>
    </w:rPr>
  </w:style>
  <w:style w:type="character" w:customStyle="1" w:styleId="358">
    <w:name w:val="正文文本 3 Char28"/>
    <w:unhideWhenUsed/>
    <w:qFormat/>
    <w:uiPriority w:val="99"/>
    <w:rPr>
      <w:sz w:val="16"/>
    </w:rPr>
  </w:style>
  <w:style w:type="character" w:customStyle="1" w:styleId="359">
    <w:name w:val="文档结构图 Char33"/>
    <w:unhideWhenUsed/>
    <w:qFormat/>
    <w:uiPriority w:val="99"/>
    <w:rPr>
      <w:rFonts w:ascii="宋体"/>
      <w:sz w:val="18"/>
    </w:rPr>
  </w:style>
  <w:style w:type="character" w:customStyle="1" w:styleId="360">
    <w:name w:val="批注文字 Char34"/>
    <w:unhideWhenUsed/>
    <w:qFormat/>
    <w:uiPriority w:val="99"/>
  </w:style>
  <w:style w:type="character" w:customStyle="1" w:styleId="361">
    <w:name w:val="Char Char3"/>
    <w:unhideWhenUsed/>
    <w:qFormat/>
    <w:uiPriority w:val="0"/>
    <w:rPr>
      <w:rFonts w:ascii="Calibri"/>
      <w:color w:val="000000"/>
      <w:sz w:val="18"/>
      <w:lang w:eastAsia="en-US"/>
    </w:rPr>
  </w:style>
  <w:style w:type="character" w:customStyle="1" w:styleId="362">
    <w:name w:val="副标题 Char45"/>
    <w:basedOn w:val="46"/>
    <w:qFormat/>
    <w:uiPriority w:val="11"/>
    <w:rPr>
      <w:rFonts w:ascii="Cambria" w:hAnsi="Cambria" w:cs="Times New Roman"/>
      <w:b/>
      <w:bCs/>
      <w:kern w:val="28"/>
      <w:sz w:val="32"/>
      <w:szCs w:val="32"/>
    </w:rPr>
  </w:style>
  <w:style w:type="character" w:customStyle="1" w:styleId="363">
    <w:name w:val="不明显参考1"/>
    <w:basedOn w:val="46"/>
    <w:qFormat/>
    <w:uiPriority w:val="31"/>
    <w:rPr>
      <w:rFonts w:cs="Times New Roman"/>
      <w:smallCaps/>
      <w:u w:val="single"/>
    </w:rPr>
  </w:style>
  <w:style w:type="character" w:customStyle="1" w:styleId="364">
    <w:name w:val="日期 Char2"/>
    <w:unhideWhenUsed/>
    <w:qFormat/>
    <w:uiPriority w:val="0"/>
    <w:rPr>
      <w:kern w:val="2"/>
      <w:sz w:val="21"/>
    </w:rPr>
  </w:style>
  <w:style w:type="character" w:customStyle="1" w:styleId="365">
    <w:name w:val="纯文本 Char115"/>
    <w:unhideWhenUsed/>
    <w:qFormat/>
    <w:uiPriority w:val="99"/>
    <w:rPr>
      <w:rFonts w:ascii="宋体" w:hAnsi="Courier New"/>
    </w:rPr>
  </w:style>
  <w:style w:type="character" w:customStyle="1" w:styleId="366">
    <w:name w:val="文档结构图 Char2"/>
    <w:unhideWhenUsed/>
    <w:qFormat/>
    <w:locked/>
    <w:uiPriority w:val="99"/>
    <w:rPr>
      <w:rFonts w:ascii="宋体"/>
      <w:sz w:val="18"/>
    </w:rPr>
  </w:style>
  <w:style w:type="character" w:customStyle="1" w:styleId="367">
    <w:name w:val="Char Char8"/>
    <w:unhideWhenUsed/>
    <w:qFormat/>
    <w:uiPriority w:val="0"/>
    <w:rPr>
      <w:rFonts w:ascii="Calibri" w:hAnsi="Calibri" w:eastAsia="楷体_GB2312"/>
      <w:sz w:val="22"/>
      <w:lang w:eastAsia="en-US"/>
    </w:rPr>
  </w:style>
  <w:style w:type="character" w:customStyle="1" w:styleId="368">
    <w:name w:val="正文文本 3 Char2"/>
    <w:basedOn w:val="46"/>
    <w:unhideWhenUsed/>
    <w:qFormat/>
    <w:uiPriority w:val="99"/>
    <w:rPr>
      <w:rFonts w:cs="Times New Roman"/>
      <w:sz w:val="16"/>
    </w:rPr>
  </w:style>
  <w:style w:type="character" w:customStyle="1" w:styleId="369">
    <w:name w:val="Char Char16"/>
    <w:unhideWhenUsed/>
    <w:qFormat/>
    <w:uiPriority w:val="0"/>
    <w:rPr>
      <w:rFonts w:ascii="Cambria"/>
      <w:lang w:eastAsia="en-US"/>
    </w:rPr>
  </w:style>
  <w:style w:type="character" w:customStyle="1" w:styleId="370">
    <w:name w:val="批注框文本 Char36"/>
    <w:unhideWhenUsed/>
    <w:qFormat/>
    <w:uiPriority w:val="99"/>
    <w:rPr>
      <w:sz w:val="18"/>
    </w:rPr>
  </w:style>
  <w:style w:type="character" w:customStyle="1" w:styleId="371">
    <w:name w:val="页眉 Char24"/>
    <w:unhideWhenUsed/>
    <w:qFormat/>
    <w:uiPriority w:val="99"/>
    <w:rPr>
      <w:sz w:val="18"/>
    </w:rPr>
  </w:style>
  <w:style w:type="character" w:customStyle="1" w:styleId="372">
    <w:name w:val="副标题 Char38"/>
    <w:unhideWhenUsed/>
    <w:qFormat/>
    <w:uiPriority w:val="11"/>
    <w:rPr>
      <w:rFonts w:ascii="Cambria"/>
      <w:b/>
      <w:kern w:val="28"/>
      <w:sz w:val="32"/>
    </w:rPr>
  </w:style>
  <w:style w:type="character" w:customStyle="1" w:styleId="373">
    <w:name w:val="正文文本缩进 Char21"/>
    <w:unhideWhenUsed/>
    <w:qFormat/>
    <w:uiPriority w:val="99"/>
  </w:style>
  <w:style w:type="character" w:customStyle="1" w:styleId="374">
    <w:name w:val="正文文本缩进 3 Char219"/>
    <w:basedOn w:val="46"/>
    <w:unhideWhenUsed/>
    <w:qFormat/>
    <w:uiPriority w:val="99"/>
    <w:rPr>
      <w:rFonts w:cs="Times New Roman"/>
      <w:sz w:val="16"/>
    </w:rPr>
  </w:style>
  <w:style w:type="character" w:customStyle="1" w:styleId="375">
    <w:name w:val="批注主题 Char2"/>
    <w:unhideWhenUsed/>
    <w:qFormat/>
    <w:uiPriority w:val="0"/>
    <w:rPr>
      <w:b/>
      <w:kern w:val="2"/>
      <w:sz w:val="21"/>
    </w:rPr>
  </w:style>
  <w:style w:type="character" w:customStyle="1" w:styleId="376">
    <w:name w:val="批注主题 Char45"/>
    <w:unhideWhenUsed/>
    <w:qFormat/>
    <w:uiPriority w:val="99"/>
    <w:rPr>
      <w:b/>
    </w:rPr>
  </w:style>
  <w:style w:type="character" w:customStyle="1" w:styleId="377">
    <w:name w:val="批注框文本 Char32"/>
    <w:unhideWhenUsed/>
    <w:qFormat/>
    <w:uiPriority w:val="99"/>
    <w:rPr>
      <w:sz w:val="18"/>
    </w:rPr>
  </w:style>
  <w:style w:type="character" w:customStyle="1" w:styleId="378">
    <w:name w:val="标题 Char312"/>
    <w:unhideWhenUsed/>
    <w:qFormat/>
    <w:uiPriority w:val="10"/>
    <w:rPr>
      <w:rFonts w:ascii="Cambria"/>
      <w:b/>
      <w:sz w:val="32"/>
    </w:rPr>
  </w:style>
  <w:style w:type="character" w:customStyle="1" w:styleId="379">
    <w:name w:val="批注框文本 Char316"/>
    <w:basedOn w:val="46"/>
    <w:unhideWhenUsed/>
    <w:qFormat/>
    <w:uiPriority w:val="99"/>
    <w:rPr>
      <w:rFonts w:cs="Times New Roman"/>
      <w:sz w:val="18"/>
    </w:rPr>
  </w:style>
  <w:style w:type="character" w:customStyle="1" w:styleId="380">
    <w:name w:val="副标题 Char318"/>
    <w:basedOn w:val="46"/>
    <w:unhideWhenUsed/>
    <w:qFormat/>
    <w:uiPriority w:val="11"/>
    <w:rPr>
      <w:rFonts w:ascii="Cambria" w:cs="Times New Roman"/>
      <w:b/>
      <w:kern w:val="28"/>
      <w:sz w:val="32"/>
    </w:rPr>
  </w:style>
  <w:style w:type="character" w:customStyle="1" w:styleId="381">
    <w:name w:val="纯文本 Char13"/>
    <w:unhideWhenUsed/>
    <w:qFormat/>
    <w:uiPriority w:val="99"/>
    <w:rPr>
      <w:rFonts w:ascii="宋体" w:hAnsi="Courier New"/>
    </w:rPr>
  </w:style>
  <w:style w:type="character" w:customStyle="1" w:styleId="382">
    <w:name w:val="引用 Char316"/>
    <w:basedOn w:val="46"/>
    <w:unhideWhenUsed/>
    <w:qFormat/>
    <w:uiPriority w:val="29"/>
    <w:rPr>
      <w:rFonts w:cs="Times New Roman"/>
      <w:i/>
      <w:color w:val="000000"/>
    </w:rPr>
  </w:style>
  <w:style w:type="character" w:customStyle="1" w:styleId="383">
    <w:name w:val="标题 Char1"/>
    <w:unhideWhenUsed/>
    <w:qFormat/>
    <w:uiPriority w:val="0"/>
    <w:rPr>
      <w:rFonts w:ascii="Cambria"/>
      <w:b/>
      <w:kern w:val="2"/>
      <w:sz w:val="32"/>
    </w:rPr>
  </w:style>
  <w:style w:type="character" w:customStyle="1" w:styleId="384">
    <w:name w:val="批注文字 Char31"/>
    <w:unhideWhenUsed/>
    <w:qFormat/>
    <w:uiPriority w:val="99"/>
  </w:style>
  <w:style w:type="character" w:customStyle="1" w:styleId="385">
    <w:name w:val="Char Char17"/>
    <w:unhideWhenUsed/>
    <w:qFormat/>
    <w:uiPriority w:val="0"/>
    <w:rPr>
      <w:rFonts w:ascii="新宋体" w:hAnsi="宋体" w:eastAsia="新宋体"/>
      <w:b/>
      <w:kern w:val="2"/>
    </w:rPr>
  </w:style>
  <w:style w:type="character" w:customStyle="1" w:styleId="386">
    <w:name w:val="正文文本 3 Char212"/>
    <w:unhideWhenUsed/>
    <w:qFormat/>
    <w:uiPriority w:val="99"/>
    <w:rPr>
      <w:sz w:val="16"/>
    </w:rPr>
  </w:style>
  <w:style w:type="character" w:customStyle="1" w:styleId="387">
    <w:name w:val="页眉 Char2"/>
    <w:basedOn w:val="46"/>
    <w:unhideWhenUsed/>
    <w:qFormat/>
    <w:uiPriority w:val="99"/>
    <w:rPr>
      <w:rFonts w:cs="Times New Roman"/>
      <w:sz w:val="18"/>
    </w:rPr>
  </w:style>
  <w:style w:type="character" w:customStyle="1" w:styleId="388">
    <w:name w:val="正文首行缩进 2 Char11"/>
    <w:basedOn w:val="373"/>
    <w:unhideWhenUsed/>
    <w:qFormat/>
    <w:uiPriority w:val="99"/>
    <w:rPr>
      <w:rFonts w:cs="Times New Roman"/>
    </w:rPr>
  </w:style>
  <w:style w:type="character" w:customStyle="1" w:styleId="389">
    <w:name w:val="日期 Char"/>
    <w:unhideWhenUsed/>
    <w:qFormat/>
    <w:locked/>
    <w:uiPriority w:val="0"/>
    <w:rPr>
      <w:rFonts w:ascii="宋体"/>
      <w:sz w:val="28"/>
    </w:rPr>
  </w:style>
  <w:style w:type="character" w:customStyle="1" w:styleId="390">
    <w:name w:val="批注主题 Char419"/>
    <w:basedOn w:val="271"/>
    <w:unhideWhenUsed/>
    <w:qFormat/>
    <w:uiPriority w:val="99"/>
    <w:rPr>
      <w:b/>
    </w:rPr>
  </w:style>
  <w:style w:type="character" w:customStyle="1" w:styleId="391">
    <w:name w:val="副标题 Char3"/>
    <w:basedOn w:val="46"/>
    <w:unhideWhenUsed/>
    <w:qFormat/>
    <w:uiPriority w:val="11"/>
    <w:rPr>
      <w:rFonts w:ascii="Cambria" w:cs="Times New Roman"/>
      <w:b/>
      <w:kern w:val="28"/>
      <w:sz w:val="32"/>
    </w:rPr>
  </w:style>
  <w:style w:type="character" w:customStyle="1" w:styleId="392">
    <w:name w:val="Char Char13"/>
    <w:unhideWhenUsed/>
    <w:qFormat/>
    <w:uiPriority w:val="0"/>
    <w:rPr>
      <w:kern w:val="2"/>
    </w:rPr>
  </w:style>
  <w:style w:type="character" w:customStyle="1" w:styleId="393">
    <w:name w:val="正文文本 3 Char220"/>
    <w:basedOn w:val="46"/>
    <w:unhideWhenUsed/>
    <w:qFormat/>
    <w:uiPriority w:val="99"/>
    <w:rPr>
      <w:rFonts w:cs="Times New Roman"/>
      <w:sz w:val="16"/>
    </w:rPr>
  </w:style>
  <w:style w:type="character" w:customStyle="1" w:styleId="394">
    <w:name w:val="副标题 Char32"/>
    <w:unhideWhenUsed/>
    <w:qFormat/>
    <w:uiPriority w:val="11"/>
    <w:rPr>
      <w:rFonts w:ascii="Cambria"/>
      <w:b/>
      <w:kern w:val="28"/>
      <w:sz w:val="32"/>
    </w:rPr>
  </w:style>
  <w:style w:type="character" w:customStyle="1" w:styleId="395">
    <w:name w:val="textcontents"/>
    <w:unhideWhenUsed/>
    <w:qFormat/>
    <w:uiPriority w:val="0"/>
  </w:style>
  <w:style w:type="character" w:customStyle="1" w:styleId="396">
    <w:name w:val="正文文本 3 Char215"/>
    <w:unhideWhenUsed/>
    <w:qFormat/>
    <w:uiPriority w:val="99"/>
    <w:rPr>
      <w:sz w:val="16"/>
    </w:rPr>
  </w:style>
  <w:style w:type="character" w:customStyle="1" w:styleId="397">
    <w:name w:val="批注主题 Char414"/>
    <w:unhideWhenUsed/>
    <w:qFormat/>
    <w:uiPriority w:val="99"/>
    <w:rPr>
      <w:b/>
    </w:rPr>
  </w:style>
  <w:style w:type="character" w:customStyle="1" w:styleId="398">
    <w:name w:val="批注文字 Char35"/>
    <w:unhideWhenUsed/>
    <w:qFormat/>
    <w:uiPriority w:val="99"/>
  </w:style>
  <w:style w:type="character" w:customStyle="1" w:styleId="399">
    <w:name w:val="标题 Char"/>
    <w:unhideWhenUsed/>
    <w:qFormat/>
    <w:locked/>
    <w:uiPriority w:val="0"/>
    <w:rPr>
      <w:rFonts w:ascii="新宋体" w:hAnsi="Arial" w:eastAsia="新宋体"/>
      <w:b/>
      <w:sz w:val="32"/>
    </w:rPr>
  </w:style>
  <w:style w:type="character" w:customStyle="1" w:styleId="400">
    <w:name w:val="批注主题 Char3"/>
    <w:unhideWhenUsed/>
    <w:qFormat/>
    <w:locked/>
    <w:uiPriority w:val="99"/>
    <w:rPr>
      <w:b/>
    </w:rPr>
  </w:style>
  <w:style w:type="character" w:customStyle="1" w:styleId="401">
    <w:name w:val="正文文本缩进 Char26"/>
    <w:unhideWhenUsed/>
    <w:qFormat/>
    <w:uiPriority w:val="99"/>
  </w:style>
  <w:style w:type="character" w:customStyle="1" w:styleId="402">
    <w:name w:val="正文文本缩进 Char214"/>
    <w:unhideWhenUsed/>
    <w:qFormat/>
    <w:uiPriority w:val="99"/>
  </w:style>
  <w:style w:type="character" w:customStyle="1" w:styleId="403">
    <w:name w:val="Char Char4"/>
    <w:unhideWhenUsed/>
    <w:qFormat/>
    <w:uiPriority w:val="0"/>
    <w:rPr>
      <w:rFonts w:ascii="宋体"/>
      <w:sz w:val="22"/>
      <w:lang w:eastAsia="en-US"/>
    </w:rPr>
  </w:style>
  <w:style w:type="character" w:customStyle="1" w:styleId="404">
    <w:name w:val="正文文本 2 Char217"/>
    <w:basedOn w:val="46"/>
    <w:unhideWhenUsed/>
    <w:qFormat/>
    <w:uiPriority w:val="99"/>
    <w:rPr>
      <w:rFonts w:cs="Times New Roman"/>
    </w:rPr>
  </w:style>
  <w:style w:type="character" w:customStyle="1" w:styleId="405">
    <w:name w:val="正文文本缩进 Char215"/>
    <w:unhideWhenUsed/>
    <w:qFormat/>
    <w:uiPriority w:val="99"/>
  </w:style>
  <w:style w:type="character" w:customStyle="1" w:styleId="406">
    <w:name w:val="批注主题 Char55"/>
    <w:basedOn w:val="271"/>
    <w:semiHidden/>
    <w:qFormat/>
    <w:uiPriority w:val="99"/>
    <w:rPr>
      <w:b/>
      <w:bCs/>
    </w:rPr>
  </w:style>
  <w:style w:type="character" w:customStyle="1" w:styleId="407">
    <w:name w:val="正文文本缩进 3 Char212"/>
    <w:unhideWhenUsed/>
    <w:qFormat/>
    <w:uiPriority w:val="99"/>
    <w:rPr>
      <w:sz w:val="16"/>
    </w:rPr>
  </w:style>
  <w:style w:type="character" w:customStyle="1" w:styleId="408">
    <w:name w:val="页脚 Char214"/>
    <w:unhideWhenUsed/>
    <w:qFormat/>
    <w:uiPriority w:val="99"/>
    <w:rPr>
      <w:sz w:val="18"/>
    </w:rPr>
  </w:style>
  <w:style w:type="character" w:customStyle="1" w:styleId="409">
    <w:name w:val="正文文本 2 Char212"/>
    <w:unhideWhenUsed/>
    <w:qFormat/>
    <w:uiPriority w:val="99"/>
  </w:style>
  <w:style w:type="character" w:customStyle="1" w:styleId="410">
    <w:name w:val="正文文本缩进 2 Char22"/>
    <w:unhideWhenUsed/>
    <w:qFormat/>
    <w:uiPriority w:val="99"/>
  </w:style>
  <w:style w:type="character" w:customStyle="1" w:styleId="411">
    <w:name w:val="Char Char6"/>
    <w:unhideWhenUsed/>
    <w:qFormat/>
    <w:uiPriority w:val="0"/>
    <w:rPr>
      <w:rFonts w:ascii="宋体"/>
      <w:b/>
      <w:sz w:val="22"/>
      <w:lang w:eastAsia="en-US"/>
    </w:rPr>
  </w:style>
  <w:style w:type="character" w:customStyle="1" w:styleId="412">
    <w:name w:val="日期 Char512"/>
    <w:unhideWhenUsed/>
    <w:qFormat/>
    <w:uiPriority w:val="99"/>
  </w:style>
  <w:style w:type="character" w:customStyle="1" w:styleId="413">
    <w:name w:val="批注文字 Char318"/>
    <w:basedOn w:val="46"/>
    <w:unhideWhenUsed/>
    <w:qFormat/>
    <w:uiPriority w:val="99"/>
    <w:rPr>
      <w:rFonts w:cs="Times New Roman"/>
    </w:rPr>
  </w:style>
  <w:style w:type="character" w:customStyle="1" w:styleId="414">
    <w:name w:val="批注文字 Char3"/>
    <w:basedOn w:val="46"/>
    <w:unhideWhenUsed/>
    <w:qFormat/>
    <w:uiPriority w:val="99"/>
    <w:rPr>
      <w:rFonts w:cs="Times New Roman"/>
    </w:rPr>
  </w:style>
  <w:style w:type="character" w:customStyle="1" w:styleId="415">
    <w:name w:val="标题 Char317"/>
    <w:basedOn w:val="46"/>
    <w:unhideWhenUsed/>
    <w:qFormat/>
    <w:uiPriority w:val="10"/>
    <w:rPr>
      <w:rFonts w:ascii="Cambria" w:cs="Times New Roman"/>
      <w:b/>
      <w:sz w:val="32"/>
    </w:rPr>
  </w:style>
  <w:style w:type="character" w:customStyle="1" w:styleId="416">
    <w:name w:val="文档结构图 Char318"/>
    <w:basedOn w:val="46"/>
    <w:unhideWhenUsed/>
    <w:qFormat/>
    <w:uiPriority w:val="99"/>
    <w:rPr>
      <w:rFonts w:ascii="宋体" w:cs="Times New Roman"/>
      <w:sz w:val="18"/>
    </w:rPr>
  </w:style>
  <w:style w:type="character" w:customStyle="1" w:styleId="417">
    <w:name w:val="正文首行缩进 2 Char113"/>
    <w:unhideWhenUsed/>
    <w:qFormat/>
    <w:uiPriority w:val="99"/>
  </w:style>
  <w:style w:type="character" w:customStyle="1" w:styleId="418">
    <w:name w:val="正文文本缩进 Char1"/>
    <w:unhideWhenUsed/>
    <w:qFormat/>
    <w:uiPriority w:val="99"/>
    <w:rPr>
      <w:kern w:val="2"/>
      <w:sz w:val="21"/>
    </w:rPr>
  </w:style>
  <w:style w:type="character" w:customStyle="1" w:styleId="419">
    <w:name w:val="文档结构图 Char38"/>
    <w:unhideWhenUsed/>
    <w:qFormat/>
    <w:uiPriority w:val="99"/>
    <w:rPr>
      <w:rFonts w:ascii="宋体"/>
      <w:sz w:val="18"/>
    </w:rPr>
  </w:style>
  <w:style w:type="character" w:customStyle="1" w:styleId="420">
    <w:name w:val="批注主题 Char416"/>
    <w:basedOn w:val="271"/>
    <w:unhideWhenUsed/>
    <w:qFormat/>
    <w:uiPriority w:val="99"/>
    <w:rPr>
      <w:b/>
    </w:rPr>
  </w:style>
  <w:style w:type="character" w:customStyle="1" w:styleId="421">
    <w:name w:val="正文文本 Char2"/>
    <w:unhideWhenUsed/>
    <w:qFormat/>
    <w:uiPriority w:val="99"/>
    <w:rPr>
      <w:kern w:val="2"/>
      <w:sz w:val="21"/>
    </w:rPr>
  </w:style>
  <w:style w:type="character" w:customStyle="1" w:styleId="422">
    <w:name w:val="批注主题 Char1"/>
    <w:unhideWhenUsed/>
    <w:qFormat/>
    <w:uiPriority w:val="0"/>
    <w:rPr>
      <w:b/>
      <w:kern w:val="2"/>
      <w:sz w:val="22"/>
    </w:rPr>
  </w:style>
  <w:style w:type="character" w:customStyle="1" w:styleId="423">
    <w:name w:val="页脚 Char21"/>
    <w:unhideWhenUsed/>
    <w:qFormat/>
    <w:uiPriority w:val="99"/>
    <w:rPr>
      <w:sz w:val="18"/>
    </w:rPr>
  </w:style>
  <w:style w:type="character" w:customStyle="1" w:styleId="424">
    <w:name w:val="正文文本缩进 2 Char29"/>
    <w:unhideWhenUsed/>
    <w:qFormat/>
    <w:uiPriority w:val="99"/>
  </w:style>
  <w:style w:type="character" w:customStyle="1" w:styleId="425">
    <w:name w:val="引用 Char319"/>
    <w:basedOn w:val="46"/>
    <w:unhideWhenUsed/>
    <w:qFormat/>
    <w:uiPriority w:val="29"/>
    <w:rPr>
      <w:rFonts w:cs="Times New Roman"/>
      <w:i/>
      <w:color w:val="000000"/>
    </w:rPr>
  </w:style>
  <w:style w:type="character" w:customStyle="1" w:styleId="426">
    <w:name w:val="批注文字 Char39"/>
    <w:unhideWhenUsed/>
    <w:qFormat/>
    <w:uiPriority w:val="99"/>
  </w:style>
  <w:style w:type="character" w:customStyle="1" w:styleId="427">
    <w:name w:val="Char Char7"/>
    <w:unhideWhenUsed/>
    <w:qFormat/>
    <w:uiPriority w:val="0"/>
    <w:rPr>
      <w:rFonts w:ascii="Calibri" w:hAnsi="Calibri" w:eastAsia="楷体_GB2312"/>
      <w:sz w:val="22"/>
      <w:lang w:eastAsia="en-US"/>
    </w:rPr>
  </w:style>
  <w:style w:type="character" w:customStyle="1" w:styleId="428">
    <w:name w:val="正文文本 2 Char22"/>
    <w:unhideWhenUsed/>
    <w:qFormat/>
    <w:uiPriority w:val="99"/>
  </w:style>
  <w:style w:type="character" w:customStyle="1" w:styleId="429">
    <w:name w:val="正文文本缩进 2 Char213"/>
    <w:unhideWhenUsed/>
    <w:qFormat/>
    <w:uiPriority w:val="99"/>
  </w:style>
  <w:style w:type="character" w:customStyle="1" w:styleId="430">
    <w:name w:val="批注文字 Char312"/>
    <w:unhideWhenUsed/>
    <w:qFormat/>
    <w:uiPriority w:val="99"/>
  </w:style>
  <w:style w:type="character" w:customStyle="1" w:styleId="431">
    <w:name w:val="页眉 Char1"/>
    <w:unhideWhenUsed/>
    <w:qFormat/>
    <w:uiPriority w:val="99"/>
    <w:rPr>
      <w:kern w:val="2"/>
      <w:sz w:val="18"/>
    </w:rPr>
  </w:style>
  <w:style w:type="character" w:customStyle="1" w:styleId="432">
    <w:name w:val="正文文本 3 Char219"/>
    <w:basedOn w:val="46"/>
    <w:unhideWhenUsed/>
    <w:qFormat/>
    <w:uiPriority w:val="99"/>
    <w:rPr>
      <w:rFonts w:cs="Times New Roman"/>
      <w:sz w:val="16"/>
    </w:rPr>
  </w:style>
  <w:style w:type="character" w:customStyle="1" w:styleId="433">
    <w:name w:val="正文首行缩进 2 Char111"/>
    <w:unhideWhenUsed/>
    <w:qFormat/>
    <w:uiPriority w:val="99"/>
  </w:style>
  <w:style w:type="character" w:customStyle="1" w:styleId="434">
    <w:name w:val="Char Char20"/>
    <w:unhideWhenUsed/>
    <w:qFormat/>
    <w:uiPriority w:val="0"/>
    <w:rPr>
      <w:rFonts w:ascii="新宋体" w:hAnsi="Arial" w:eastAsia="新宋体"/>
      <w:b/>
      <w:kern w:val="2"/>
      <w:sz w:val="28"/>
    </w:rPr>
  </w:style>
  <w:style w:type="character" w:customStyle="1" w:styleId="435">
    <w:name w:val="批注框文本 Char313"/>
    <w:unhideWhenUsed/>
    <w:qFormat/>
    <w:uiPriority w:val="99"/>
    <w:rPr>
      <w:sz w:val="18"/>
    </w:rPr>
  </w:style>
  <w:style w:type="character" w:customStyle="1" w:styleId="436">
    <w:name w:val="正文文本 2 Char24"/>
    <w:unhideWhenUsed/>
    <w:qFormat/>
    <w:uiPriority w:val="99"/>
  </w:style>
  <w:style w:type="character" w:customStyle="1" w:styleId="437">
    <w:name w:val="标题 Char310"/>
    <w:unhideWhenUsed/>
    <w:qFormat/>
    <w:uiPriority w:val="10"/>
    <w:rPr>
      <w:rFonts w:ascii="Cambria"/>
      <w:b/>
      <w:sz w:val="32"/>
    </w:rPr>
  </w:style>
  <w:style w:type="character" w:customStyle="1" w:styleId="438">
    <w:name w:val="正文文本缩进 2 Char214"/>
    <w:unhideWhenUsed/>
    <w:qFormat/>
    <w:uiPriority w:val="99"/>
  </w:style>
  <w:style w:type="character" w:customStyle="1" w:styleId="439">
    <w:name w:val="日期 Char5"/>
    <w:basedOn w:val="46"/>
    <w:unhideWhenUsed/>
    <w:qFormat/>
    <w:uiPriority w:val="99"/>
    <w:rPr>
      <w:rFonts w:cs="Times New Roman"/>
    </w:rPr>
  </w:style>
  <w:style w:type="character" w:customStyle="1" w:styleId="440">
    <w:name w:val="正文文本 Char1"/>
    <w:unhideWhenUsed/>
    <w:qFormat/>
    <w:uiPriority w:val="0"/>
    <w:rPr>
      <w:kern w:val="2"/>
      <w:sz w:val="22"/>
    </w:rPr>
  </w:style>
  <w:style w:type="character" w:customStyle="1" w:styleId="441">
    <w:name w:val="正文文本缩进 2 Char220"/>
    <w:basedOn w:val="46"/>
    <w:unhideWhenUsed/>
    <w:qFormat/>
    <w:uiPriority w:val="99"/>
    <w:rPr>
      <w:rFonts w:cs="Times New Roman"/>
    </w:rPr>
  </w:style>
  <w:style w:type="character" w:customStyle="1" w:styleId="442">
    <w:name w:val="批注主题 Char412"/>
    <w:unhideWhenUsed/>
    <w:qFormat/>
    <w:uiPriority w:val="99"/>
    <w:rPr>
      <w:b/>
    </w:rPr>
  </w:style>
  <w:style w:type="character" w:customStyle="1" w:styleId="443">
    <w:name w:val="正文文本 Char45"/>
    <w:basedOn w:val="46"/>
    <w:semiHidden/>
    <w:qFormat/>
    <w:uiPriority w:val="99"/>
    <w:rPr>
      <w:rFonts w:cs="Times New Roman"/>
      <w:kern w:val="0"/>
      <w:sz w:val="24"/>
      <w:szCs w:val="24"/>
    </w:rPr>
  </w:style>
  <w:style w:type="character" w:customStyle="1" w:styleId="444">
    <w:name w:val="正文文本缩进 2 Char218"/>
    <w:basedOn w:val="46"/>
    <w:unhideWhenUsed/>
    <w:qFormat/>
    <w:uiPriority w:val="99"/>
    <w:rPr>
      <w:rFonts w:cs="Times New Roman"/>
    </w:rPr>
  </w:style>
  <w:style w:type="character" w:customStyle="1" w:styleId="445">
    <w:name w:val="副标题 Char311"/>
    <w:unhideWhenUsed/>
    <w:qFormat/>
    <w:uiPriority w:val="11"/>
    <w:rPr>
      <w:rFonts w:ascii="Cambria"/>
      <w:b/>
      <w:kern w:val="28"/>
      <w:sz w:val="32"/>
    </w:rPr>
  </w:style>
  <w:style w:type="character" w:customStyle="1" w:styleId="446">
    <w:name w:val="正文文本缩进 Char27"/>
    <w:unhideWhenUsed/>
    <w:qFormat/>
    <w:uiPriority w:val="99"/>
  </w:style>
  <w:style w:type="character" w:customStyle="1" w:styleId="447">
    <w:name w:val="批注框文本 Char2"/>
    <w:unhideWhenUsed/>
    <w:qFormat/>
    <w:locked/>
    <w:uiPriority w:val="99"/>
    <w:rPr>
      <w:sz w:val="18"/>
    </w:rPr>
  </w:style>
  <w:style w:type="character" w:customStyle="1" w:styleId="448">
    <w:name w:val="正文文本 2 Char210"/>
    <w:unhideWhenUsed/>
    <w:qFormat/>
    <w:uiPriority w:val="99"/>
  </w:style>
  <w:style w:type="character" w:customStyle="1" w:styleId="449">
    <w:name w:val="日期 Char510"/>
    <w:unhideWhenUsed/>
    <w:qFormat/>
    <w:uiPriority w:val="99"/>
  </w:style>
  <w:style w:type="character" w:customStyle="1" w:styleId="450">
    <w:name w:val="批注主题 Char48"/>
    <w:unhideWhenUsed/>
    <w:qFormat/>
    <w:uiPriority w:val="99"/>
    <w:rPr>
      <w:b/>
    </w:rPr>
  </w:style>
  <w:style w:type="character" w:customStyle="1" w:styleId="451">
    <w:name w:val="页眉 Char212"/>
    <w:unhideWhenUsed/>
    <w:qFormat/>
    <w:uiPriority w:val="99"/>
    <w:rPr>
      <w:sz w:val="18"/>
    </w:rPr>
  </w:style>
  <w:style w:type="character" w:customStyle="1" w:styleId="452">
    <w:name w:val="明显引用 Char321"/>
    <w:basedOn w:val="46"/>
    <w:unhideWhenUsed/>
    <w:qFormat/>
    <w:uiPriority w:val="30"/>
    <w:rPr>
      <w:rFonts w:cs="Times New Roman"/>
      <w:b/>
      <w:i/>
    </w:rPr>
  </w:style>
  <w:style w:type="character" w:customStyle="1" w:styleId="453">
    <w:name w:val="正文文本缩进 3 Char215"/>
    <w:unhideWhenUsed/>
    <w:qFormat/>
    <w:uiPriority w:val="99"/>
    <w:rPr>
      <w:sz w:val="16"/>
    </w:rPr>
  </w:style>
  <w:style w:type="character" w:customStyle="1" w:styleId="454">
    <w:name w:val="页脚 Char218"/>
    <w:basedOn w:val="46"/>
    <w:unhideWhenUsed/>
    <w:qFormat/>
    <w:uiPriority w:val="99"/>
    <w:rPr>
      <w:rFonts w:cs="Times New Roman"/>
      <w:sz w:val="18"/>
    </w:rPr>
  </w:style>
  <w:style w:type="character" w:customStyle="1" w:styleId="455">
    <w:name w:val="正文文本 2 Char216"/>
    <w:basedOn w:val="46"/>
    <w:unhideWhenUsed/>
    <w:qFormat/>
    <w:uiPriority w:val="99"/>
    <w:rPr>
      <w:rFonts w:cs="Times New Roman"/>
    </w:rPr>
  </w:style>
  <w:style w:type="character" w:customStyle="1" w:styleId="456">
    <w:name w:val="正文文本缩进 2 Char25"/>
    <w:unhideWhenUsed/>
    <w:qFormat/>
    <w:uiPriority w:val="99"/>
  </w:style>
  <w:style w:type="character" w:customStyle="1" w:styleId="457">
    <w:name w:val="正文文本缩进 3 Char211"/>
    <w:unhideWhenUsed/>
    <w:qFormat/>
    <w:uiPriority w:val="99"/>
    <w:rPr>
      <w:sz w:val="16"/>
    </w:rPr>
  </w:style>
  <w:style w:type="character" w:customStyle="1" w:styleId="458">
    <w:name w:val="页眉 Char22"/>
    <w:unhideWhenUsed/>
    <w:qFormat/>
    <w:uiPriority w:val="99"/>
    <w:rPr>
      <w:sz w:val="18"/>
    </w:rPr>
  </w:style>
  <w:style w:type="character" w:customStyle="1" w:styleId="459">
    <w:name w:val="日期 Char58"/>
    <w:unhideWhenUsed/>
    <w:qFormat/>
    <w:uiPriority w:val="99"/>
  </w:style>
  <w:style w:type="character" w:customStyle="1" w:styleId="460">
    <w:name w:val="明显引用 Char318"/>
    <w:basedOn w:val="46"/>
    <w:unhideWhenUsed/>
    <w:qFormat/>
    <w:uiPriority w:val="30"/>
    <w:rPr>
      <w:rFonts w:cs="Times New Roman"/>
      <w:b/>
      <w:i/>
    </w:rPr>
  </w:style>
  <w:style w:type="character" w:customStyle="1" w:styleId="461">
    <w:name w:val="批注文字 Char315"/>
    <w:unhideWhenUsed/>
    <w:qFormat/>
    <w:uiPriority w:val="99"/>
  </w:style>
  <w:style w:type="character" w:customStyle="1" w:styleId="462">
    <w:name w:val="正文首行缩进 2 Char121"/>
    <w:basedOn w:val="102"/>
    <w:unhideWhenUsed/>
    <w:qFormat/>
    <w:uiPriority w:val="99"/>
  </w:style>
  <w:style w:type="character" w:customStyle="1" w:styleId="463">
    <w:name w:val="正文文本缩进 3 Char26"/>
    <w:unhideWhenUsed/>
    <w:qFormat/>
    <w:uiPriority w:val="99"/>
    <w:rPr>
      <w:sz w:val="16"/>
    </w:rPr>
  </w:style>
  <w:style w:type="character" w:customStyle="1" w:styleId="464">
    <w:name w:val="正文文本 3 Char216"/>
    <w:basedOn w:val="46"/>
    <w:unhideWhenUsed/>
    <w:qFormat/>
    <w:uiPriority w:val="99"/>
    <w:rPr>
      <w:rFonts w:cs="Times New Roman"/>
      <w:sz w:val="16"/>
    </w:rPr>
  </w:style>
  <w:style w:type="character" w:customStyle="1" w:styleId="465">
    <w:name w:val="标题 Char318"/>
    <w:basedOn w:val="46"/>
    <w:unhideWhenUsed/>
    <w:qFormat/>
    <w:uiPriority w:val="10"/>
    <w:rPr>
      <w:rFonts w:ascii="Cambria" w:cs="Times New Roman"/>
      <w:b/>
      <w:sz w:val="32"/>
    </w:rPr>
  </w:style>
  <w:style w:type="character" w:customStyle="1" w:styleId="466">
    <w:name w:val="批注文字 Char36"/>
    <w:unhideWhenUsed/>
    <w:qFormat/>
    <w:uiPriority w:val="99"/>
  </w:style>
  <w:style w:type="character" w:customStyle="1" w:styleId="467">
    <w:name w:val="正文文本缩进 3 Char22"/>
    <w:unhideWhenUsed/>
    <w:qFormat/>
    <w:uiPriority w:val="99"/>
    <w:rPr>
      <w:sz w:val="16"/>
    </w:rPr>
  </w:style>
  <w:style w:type="character" w:customStyle="1" w:styleId="468">
    <w:name w:val="正文文本 3 Char210"/>
    <w:unhideWhenUsed/>
    <w:qFormat/>
    <w:uiPriority w:val="99"/>
    <w:rPr>
      <w:sz w:val="16"/>
    </w:rPr>
  </w:style>
  <w:style w:type="character" w:customStyle="1" w:styleId="469">
    <w:name w:val="文档结构图 Char35"/>
    <w:unhideWhenUsed/>
    <w:qFormat/>
    <w:uiPriority w:val="99"/>
    <w:rPr>
      <w:rFonts w:ascii="宋体"/>
      <w:sz w:val="18"/>
    </w:rPr>
  </w:style>
  <w:style w:type="character" w:customStyle="1" w:styleId="470">
    <w:name w:val="纯文本 Char1"/>
    <w:basedOn w:val="46"/>
    <w:unhideWhenUsed/>
    <w:qFormat/>
    <w:uiPriority w:val="99"/>
    <w:rPr>
      <w:rFonts w:ascii="宋体" w:hAnsi="Courier New" w:cs="Times New Roman"/>
      <w:sz w:val="21"/>
    </w:rPr>
  </w:style>
  <w:style w:type="character" w:customStyle="1" w:styleId="471">
    <w:name w:val="标题 Char320"/>
    <w:basedOn w:val="46"/>
    <w:unhideWhenUsed/>
    <w:qFormat/>
    <w:uiPriority w:val="10"/>
    <w:rPr>
      <w:rFonts w:ascii="Cambria" w:cs="Times New Roman"/>
      <w:b/>
      <w:sz w:val="32"/>
    </w:rPr>
  </w:style>
  <w:style w:type="character" w:customStyle="1" w:styleId="472">
    <w:name w:val="文档结构图 Char312"/>
    <w:unhideWhenUsed/>
    <w:qFormat/>
    <w:uiPriority w:val="99"/>
    <w:rPr>
      <w:rFonts w:ascii="宋体"/>
      <w:sz w:val="18"/>
    </w:rPr>
  </w:style>
  <w:style w:type="character" w:customStyle="1" w:styleId="473">
    <w:name w:val="正文首行缩进 2 Char17"/>
    <w:unhideWhenUsed/>
    <w:qFormat/>
    <w:uiPriority w:val="99"/>
  </w:style>
  <w:style w:type="character" w:customStyle="1" w:styleId="474">
    <w:name w:val="纯文本 Char113"/>
    <w:unhideWhenUsed/>
    <w:qFormat/>
    <w:uiPriority w:val="99"/>
    <w:rPr>
      <w:rFonts w:ascii="宋体" w:hAnsi="Courier New"/>
    </w:rPr>
  </w:style>
  <w:style w:type="character" w:customStyle="1" w:styleId="475">
    <w:name w:val="正文文本 3 Char211"/>
    <w:unhideWhenUsed/>
    <w:qFormat/>
    <w:uiPriority w:val="99"/>
    <w:rPr>
      <w:sz w:val="16"/>
    </w:rPr>
  </w:style>
  <w:style w:type="character" w:customStyle="1" w:styleId="476">
    <w:name w:val="副标题 Char315"/>
    <w:unhideWhenUsed/>
    <w:qFormat/>
    <w:uiPriority w:val="11"/>
    <w:rPr>
      <w:rFonts w:ascii="Cambria"/>
      <w:b/>
      <w:kern w:val="28"/>
      <w:sz w:val="32"/>
    </w:rPr>
  </w:style>
  <w:style w:type="character" w:customStyle="1" w:styleId="477">
    <w:name w:val="正文首行缩进 2 Char15"/>
    <w:unhideWhenUsed/>
    <w:qFormat/>
    <w:uiPriority w:val="99"/>
  </w:style>
  <w:style w:type="character" w:customStyle="1" w:styleId="478">
    <w:name w:val="纯文本 Char112"/>
    <w:unhideWhenUsed/>
    <w:qFormat/>
    <w:uiPriority w:val="99"/>
    <w:rPr>
      <w:rFonts w:ascii="宋体" w:hAnsi="Courier New"/>
    </w:rPr>
  </w:style>
  <w:style w:type="character" w:customStyle="1" w:styleId="479">
    <w:name w:val="页脚 Char26"/>
    <w:unhideWhenUsed/>
    <w:qFormat/>
    <w:uiPriority w:val="99"/>
    <w:rPr>
      <w:sz w:val="18"/>
    </w:rPr>
  </w:style>
  <w:style w:type="character" w:customStyle="1" w:styleId="480">
    <w:name w:val="正文文本 2 Char26"/>
    <w:unhideWhenUsed/>
    <w:qFormat/>
    <w:uiPriority w:val="99"/>
  </w:style>
  <w:style w:type="character" w:customStyle="1" w:styleId="481">
    <w:name w:val="正文文本缩进 2 Char216"/>
    <w:basedOn w:val="46"/>
    <w:unhideWhenUsed/>
    <w:qFormat/>
    <w:uiPriority w:val="99"/>
    <w:rPr>
      <w:rFonts w:cs="Times New Roman"/>
    </w:rPr>
  </w:style>
  <w:style w:type="character" w:customStyle="1" w:styleId="482">
    <w:name w:val="批注主题 Char49"/>
    <w:unhideWhenUsed/>
    <w:qFormat/>
    <w:uiPriority w:val="99"/>
    <w:rPr>
      <w:b/>
    </w:rPr>
  </w:style>
  <w:style w:type="character" w:customStyle="1" w:styleId="483">
    <w:name w:val="日期 Char53"/>
    <w:unhideWhenUsed/>
    <w:qFormat/>
    <w:uiPriority w:val="99"/>
  </w:style>
  <w:style w:type="character" w:customStyle="1" w:styleId="484">
    <w:name w:val="纯文本 Char19"/>
    <w:unhideWhenUsed/>
    <w:qFormat/>
    <w:uiPriority w:val="99"/>
    <w:rPr>
      <w:rFonts w:ascii="宋体" w:hAnsi="Courier New"/>
    </w:rPr>
  </w:style>
  <w:style w:type="character" w:customStyle="1" w:styleId="485">
    <w:name w:val="批注框文本 Char31"/>
    <w:unhideWhenUsed/>
    <w:qFormat/>
    <w:uiPriority w:val="99"/>
    <w:rPr>
      <w:sz w:val="18"/>
    </w:rPr>
  </w:style>
  <w:style w:type="character" w:customStyle="1" w:styleId="486">
    <w:name w:val="标题 Char311"/>
    <w:unhideWhenUsed/>
    <w:qFormat/>
    <w:uiPriority w:val="10"/>
    <w:rPr>
      <w:rFonts w:ascii="Cambria"/>
      <w:b/>
      <w:sz w:val="32"/>
    </w:rPr>
  </w:style>
  <w:style w:type="character" w:customStyle="1" w:styleId="487">
    <w:name w:val="批注框文本 Char315"/>
    <w:unhideWhenUsed/>
    <w:qFormat/>
    <w:uiPriority w:val="99"/>
    <w:rPr>
      <w:sz w:val="18"/>
    </w:rPr>
  </w:style>
  <w:style w:type="character" w:customStyle="1" w:styleId="488">
    <w:name w:val="纯文本 Char12"/>
    <w:unhideWhenUsed/>
    <w:qFormat/>
    <w:uiPriority w:val="99"/>
    <w:rPr>
      <w:rFonts w:ascii="宋体" w:hAnsi="Courier New"/>
    </w:rPr>
  </w:style>
  <w:style w:type="character" w:customStyle="1" w:styleId="489">
    <w:name w:val="纯文本 Char17"/>
    <w:unhideWhenUsed/>
    <w:qFormat/>
    <w:uiPriority w:val="99"/>
    <w:rPr>
      <w:rFonts w:ascii="宋体" w:hAnsi="Courier New"/>
    </w:rPr>
  </w:style>
  <w:style w:type="character" w:customStyle="1" w:styleId="490">
    <w:name w:val="文档结构图 Char3"/>
    <w:basedOn w:val="46"/>
    <w:unhideWhenUsed/>
    <w:qFormat/>
    <w:uiPriority w:val="99"/>
    <w:rPr>
      <w:rFonts w:ascii="宋体" w:cs="Times New Roman"/>
      <w:sz w:val="18"/>
    </w:rPr>
  </w:style>
  <w:style w:type="character" w:customStyle="1" w:styleId="491">
    <w:name w:val="纯文本 Char14"/>
    <w:unhideWhenUsed/>
    <w:qFormat/>
    <w:uiPriority w:val="99"/>
    <w:rPr>
      <w:rFonts w:ascii="宋体" w:hAnsi="Courier New"/>
    </w:rPr>
  </w:style>
  <w:style w:type="character" w:customStyle="1" w:styleId="492">
    <w:name w:val="正文文本 2 Char218"/>
    <w:basedOn w:val="46"/>
    <w:unhideWhenUsed/>
    <w:qFormat/>
    <w:uiPriority w:val="99"/>
    <w:rPr>
      <w:rFonts w:cs="Times New Roman"/>
    </w:rPr>
  </w:style>
  <w:style w:type="character" w:customStyle="1" w:styleId="493">
    <w:name w:val="正文文本缩进 Char216"/>
    <w:basedOn w:val="46"/>
    <w:unhideWhenUsed/>
    <w:qFormat/>
    <w:uiPriority w:val="99"/>
    <w:rPr>
      <w:rFonts w:cs="Times New Roman"/>
    </w:rPr>
  </w:style>
  <w:style w:type="character" w:customStyle="1" w:styleId="494">
    <w:name w:val="批注框文本 Char39"/>
    <w:unhideWhenUsed/>
    <w:qFormat/>
    <w:uiPriority w:val="99"/>
    <w:rPr>
      <w:sz w:val="18"/>
    </w:rPr>
  </w:style>
  <w:style w:type="character" w:customStyle="1" w:styleId="495">
    <w:name w:val="日期 Char515"/>
    <w:unhideWhenUsed/>
    <w:qFormat/>
    <w:uiPriority w:val="99"/>
  </w:style>
  <w:style w:type="character" w:customStyle="1" w:styleId="496">
    <w:name w:val="页眉 Char25"/>
    <w:unhideWhenUsed/>
    <w:qFormat/>
    <w:uiPriority w:val="99"/>
    <w:rPr>
      <w:sz w:val="18"/>
    </w:rPr>
  </w:style>
  <w:style w:type="character" w:customStyle="1" w:styleId="497">
    <w:name w:val="正文文本缩进 Char28"/>
    <w:unhideWhenUsed/>
    <w:qFormat/>
    <w:uiPriority w:val="99"/>
  </w:style>
  <w:style w:type="character" w:customStyle="1" w:styleId="498">
    <w:name w:val="正文文本 Char35"/>
    <w:unhideWhenUsed/>
    <w:qFormat/>
    <w:uiPriority w:val="99"/>
  </w:style>
  <w:style w:type="character" w:customStyle="1" w:styleId="499">
    <w:name w:val="正文文本缩进 Char211"/>
    <w:unhideWhenUsed/>
    <w:qFormat/>
    <w:uiPriority w:val="99"/>
  </w:style>
  <w:style w:type="character" w:customStyle="1" w:styleId="500">
    <w:name w:val="批注框文本 Char35"/>
    <w:unhideWhenUsed/>
    <w:qFormat/>
    <w:uiPriority w:val="99"/>
    <w:rPr>
      <w:sz w:val="18"/>
    </w:rPr>
  </w:style>
  <w:style w:type="character" w:customStyle="1" w:styleId="501">
    <w:name w:val="页眉 Char23"/>
    <w:unhideWhenUsed/>
    <w:qFormat/>
    <w:uiPriority w:val="99"/>
    <w:rPr>
      <w:sz w:val="18"/>
    </w:rPr>
  </w:style>
  <w:style w:type="character" w:customStyle="1" w:styleId="502">
    <w:name w:val="正文首行缩进 2 Char1"/>
    <w:basedOn w:val="102"/>
    <w:unhideWhenUsed/>
    <w:qFormat/>
    <w:uiPriority w:val="99"/>
  </w:style>
  <w:style w:type="character" w:customStyle="1" w:styleId="503">
    <w:name w:val="正文文本缩进 Char25"/>
    <w:unhideWhenUsed/>
    <w:qFormat/>
    <w:uiPriority w:val="99"/>
  </w:style>
  <w:style w:type="character" w:customStyle="1" w:styleId="504">
    <w:name w:val="正文首行缩进 2 Char112"/>
    <w:unhideWhenUsed/>
    <w:qFormat/>
    <w:uiPriority w:val="99"/>
  </w:style>
  <w:style w:type="character" w:customStyle="1" w:styleId="505">
    <w:name w:val="正文首行缩进 2 Char110"/>
    <w:unhideWhenUsed/>
    <w:qFormat/>
    <w:uiPriority w:val="99"/>
  </w:style>
  <w:style w:type="character" w:customStyle="1" w:styleId="506">
    <w:name w:val="文档结构图 Char36"/>
    <w:unhideWhenUsed/>
    <w:qFormat/>
    <w:uiPriority w:val="99"/>
    <w:rPr>
      <w:rFonts w:ascii="宋体"/>
      <w:sz w:val="18"/>
    </w:rPr>
  </w:style>
  <w:style w:type="character" w:customStyle="1" w:styleId="507">
    <w:name w:val="副标题 Char31"/>
    <w:unhideWhenUsed/>
    <w:qFormat/>
    <w:uiPriority w:val="11"/>
    <w:rPr>
      <w:rFonts w:ascii="Cambria"/>
      <w:b/>
      <w:kern w:val="28"/>
      <w:sz w:val="32"/>
    </w:rPr>
  </w:style>
  <w:style w:type="character" w:customStyle="1" w:styleId="508">
    <w:name w:val="正文首行缩进 2 Char14"/>
    <w:unhideWhenUsed/>
    <w:qFormat/>
    <w:uiPriority w:val="99"/>
  </w:style>
  <w:style w:type="character" w:customStyle="1" w:styleId="509">
    <w:name w:val="副标题 Char319"/>
    <w:basedOn w:val="46"/>
    <w:unhideWhenUsed/>
    <w:qFormat/>
    <w:uiPriority w:val="11"/>
    <w:rPr>
      <w:rFonts w:ascii="Cambria" w:cs="Times New Roman"/>
      <w:b/>
      <w:kern w:val="28"/>
      <w:sz w:val="32"/>
    </w:rPr>
  </w:style>
  <w:style w:type="character" w:customStyle="1" w:styleId="510">
    <w:name w:val="批注框文本 Char310"/>
    <w:unhideWhenUsed/>
    <w:qFormat/>
    <w:uiPriority w:val="99"/>
    <w:rPr>
      <w:sz w:val="18"/>
    </w:rPr>
  </w:style>
  <w:style w:type="character" w:customStyle="1" w:styleId="511">
    <w:name w:val="正文文本缩进 2 Char28"/>
    <w:unhideWhenUsed/>
    <w:qFormat/>
    <w:uiPriority w:val="99"/>
  </w:style>
  <w:style w:type="character" w:customStyle="1" w:styleId="512">
    <w:name w:val="日期 Char516"/>
    <w:basedOn w:val="46"/>
    <w:unhideWhenUsed/>
    <w:qFormat/>
    <w:uiPriority w:val="99"/>
    <w:rPr>
      <w:rFonts w:cs="Times New Roman"/>
    </w:rPr>
  </w:style>
  <w:style w:type="character" w:customStyle="1" w:styleId="513">
    <w:name w:val="页眉 Char26"/>
    <w:unhideWhenUsed/>
    <w:qFormat/>
    <w:uiPriority w:val="99"/>
    <w:rPr>
      <w:sz w:val="18"/>
    </w:rPr>
  </w:style>
  <w:style w:type="character" w:customStyle="1" w:styleId="514">
    <w:name w:val="副标题 Char39"/>
    <w:unhideWhenUsed/>
    <w:qFormat/>
    <w:uiPriority w:val="11"/>
    <w:rPr>
      <w:rFonts w:ascii="Cambria"/>
      <w:b/>
      <w:kern w:val="28"/>
      <w:sz w:val="32"/>
    </w:rPr>
  </w:style>
  <w:style w:type="character" w:customStyle="1" w:styleId="515">
    <w:name w:val="正文文本 Char36"/>
    <w:unhideWhenUsed/>
    <w:qFormat/>
    <w:uiPriority w:val="99"/>
  </w:style>
  <w:style w:type="character" w:customStyle="1" w:styleId="516">
    <w:name w:val="副标题 Char310"/>
    <w:unhideWhenUsed/>
    <w:qFormat/>
    <w:uiPriority w:val="11"/>
    <w:rPr>
      <w:rFonts w:ascii="Cambria"/>
      <w:b/>
      <w:kern w:val="28"/>
      <w:sz w:val="32"/>
    </w:rPr>
  </w:style>
  <w:style w:type="character" w:customStyle="1" w:styleId="517">
    <w:name w:val="文档结构图 Char315"/>
    <w:unhideWhenUsed/>
    <w:qFormat/>
    <w:uiPriority w:val="99"/>
    <w:rPr>
      <w:rFonts w:ascii="宋体"/>
      <w:sz w:val="18"/>
    </w:rPr>
  </w:style>
  <w:style w:type="character" w:customStyle="1" w:styleId="518">
    <w:name w:val="批注主题 Char413"/>
    <w:unhideWhenUsed/>
    <w:qFormat/>
    <w:uiPriority w:val="99"/>
    <w:rPr>
      <w:b/>
    </w:rPr>
  </w:style>
  <w:style w:type="character" w:customStyle="1" w:styleId="519">
    <w:name w:val="副标题 Char34"/>
    <w:unhideWhenUsed/>
    <w:qFormat/>
    <w:uiPriority w:val="11"/>
    <w:rPr>
      <w:rFonts w:ascii="Cambria"/>
      <w:b/>
      <w:kern w:val="28"/>
      <w:sz w:val="32"/>
    </w:rPr>
  </w:style>
  <w:style w:type="character" w:customStyle="1" w:styleId="520">
    <w:name w:val="正文文本 3 Char24"/>
    <w:unhideWhenUsed/>
    <w:qFormat/>
    <w:uiPriority w:val="99"/>
    <w:rPr>
      <w:sz w:val="16"/>
    </w:rPr>
  </w:style>
  <w:style w:type="character" w:customStyle="1" w:styleId="521">
    <w:name w:val="标题 Char321"/>
    <w:basedOn w:val="46"/>
    <w:unhideWhenUsed/>
    <w:qFormat/>
    <w:uiPriority w:val="10"/>
    <w:rPr>
      <w:rFonts w:ascii="Cambria" w:cs="Times New Roman"/>
      <w:b/>
      <w:sz w:val="32"/>
    </w:rPr>
  </w:style>
  <w:style w:type="character" w:customStyle="1" w:styleId="522">
    <w:name w:val="批注主题 Char4"/>
    <w:basedOn w:val="271"/>
    <w:unhideWhenUsed/>
    <w:qFormat/>
    <w:uiPriority w:val="99"/>
    <w:rPr>
      <w:b/>
    </w:rPr>
  </w:style>
  <w:style w:type="character" w:customStyle="1" w:styleId="523">
    <w:name w:val="页眉 Char221"/>
    <w:basedOn w:val="46"/>
    <w:unhideWhenUsed/>
    <w:qFormat/>
    <w:uiPriority w:val="99"/>
    <w:rPr>
      <w:rFonts w:cs="Times New Roman"/>
      <w:sz w:val="18"/>
    </w:rPr>
  </w:style>
  <w:style w:type="character" w:customStyle="1" w:styleId="524">
    <w:name w:val="文档结构图 Char32"/>
    <w:unhideWhenUsed/>
    <w:qFormat/>
    <w:uiPriority w:val="99"/>
    <w:rPr>
      <w:rFonts w:ascii="宋体"/>
      <w:sz w:val="18"/>
    </w:rPr>
  </w:style>
  <w:style w:type="character" w:customStyle="1" w:styleId="525">
    <w:name w:val="批注文字 Char32"/>
    <w:unhideWhenUsed/>
    <w:qFormat/>
    <w:uiPriority w:val="99"/>
  </w:style>
  <w:style w:type="character" w:customStyle="1" w:styleId="526">
    <w:name w:val="文档结构图 Char311"/>
    <w:unhideWhenUsed/>
    <w:qFormat/>
    <w:uiPriority w:val="99"/>
    <w:rPr>
      <w:rFonts w:ascii="宋体"/>
      <w:sz w:val="18"/>
    </w:rPr>
  </w:style>
  <w:style w:type="character" w:customStyle="1" w:styleId="527">
    <w:name w:val="批注主题 Char418"/>
    <w:basedOn w:val="271"/>
    <w:unhideWhenUsed/>
    <w:qFormat/>
    <w:uiPriority w:val="99"/>
    <w:rPr>
      <w:b/>
    </w:rPr>
  </w:style>
  <w:style w:type="character" w:customStyle="1" w:styleId="528">
    <w:name w:val="文档结构图 Char310"/>
    <w:unhideWhenUsed/>
    <w:qFormat/>
    <w:uiPriority w:val="99"/>
    <w:rPr>
      <w:rFonts w:ascii="宋体"/>
      <w:sz w:val="18"/>
    </w:rPr>
  </w:style>
  <w:style w:type="character" w:customStyle="1" w:styleId="529">
    <w:name w:val="批注主题 Char417"/>
    <w:basedOn w:val="271"/>
    <w:unhideWhenUsed/>
    <w:qFormat/>
    <w:uiPriority w:val="99"/>
    <w:rPr>
      <w:b/>
    </w:rPr>
  </w:style>
  <w:style w:type="character" w:customStyle="1" w:styleId="530">
    <w:name w:val="文档结构图 Char37"/>
    <w:unhideWhenUsed/>
    <w:qFormat/>
    <w:uiPriority w:val="99"/>
    <w:rPr>
      <w:rFonts w:ascii="宋体"/>
      <w:sz w:val="18"/>
    </w:rPr>
  </w:style>
  <w:style w:type="character" w:customStyle="1" w:styleId="531">
    <w:name w:val="批注主题 Char415"/>
    <w:unhideWhenUsed/>
    <w:qFormat/>
    <w:uiPriority w:val="99"/>
    <w:rPr>
      <w:b/>
    </w:rPr>
  </w:style>
  <w:style w:type="character" w:customStyle="1" w:styleId="532">
    <w:name w:val="标题 Char38"/>
    <w:unhideWhenUsed/>
    <w:qFormat/>
    <w:uiPriority w:val="10"/>
    <w:rPr>
      <w:rFonts w:ascii="Cambria"/>
      <w:b/>
      <w:sz w:val="32"/>
    </w:rPr>
  </w:style>
  <w:style w:type="character" w:customStyle="1" w:styleId="533">
    <w:name w:val="日期 Char520"/>
    <w:basedOn w:val="46"/>
    <w:unhideWhenUsed/>
    <w:qFormat/>
    <w:uiPriority w:val="99"/>
    <w:rPr>
      <w:rFonts w:cs="Times New Roman"/>
    </w:rPr>
  </w:style>
  <w:style w:type="character" w:customStyle="1" w:styleId="534">
    <w:name w:val="文档结构图 Char313"/>
    <w:unhideWhenUsed/>
    <w:qFormat/>
    <w:uiPriority w:val="99"/>
    <w:rPr>
      <w:rFonts w:ascii="宋体"/>
      <w:sz w:val="18"/>
    </w:rPr>
  </w:style>
  <w:style w:type="character" w:customStyle="1" w:styleId="535">
    <w:name w:val="正文文本 3 Char25"/>
    <w:unhideWhenUsed/>
    <w:qFormat/>
    <w:uiPriority w:val="99"/>
    <w:rPr>
      <w:sz w:val="16"/>
    </w:rPr>
  </w:style>
  <w:style w:type="character" w:customStyle="1" w:styleId="536">
    <w:name w:val="标题 Char3"/>
    <w:basedOn w:val="46"/>
    <w:unhideWhenUsed/>
    <w:qFormat/>
    <w:uiPriority w:val="10"/>
    <w:rPr>
      <w:rFonts w:ascii="Cambria" w:cs="Times New Roman"/>
      <w:b/>
      <w:sz w:val="32"/>
    </w:rPr>
  </w:style>
  <w:style w:type="character" w:customStyle="1" w:styleId="537">
    <w:name w:val="批注框文本 Char37"/>
    <w:unhideWhenUsed/>
    <w:qFormat/>
    <w:uiPriority w:val="99"/>
    <w:rPr>
      <w:sz w:val="18"/>
    </w:rPr>
  </w:style>
  <w:style w:type="character" w:customStyle="1" w:styleId="538">
    <w:name w:val="标题 Char315"/>
    <w:unhideWhenUsed/>
    <w:qFormat/>
    <w:uiPriority w:val="10"/>
    <w:rPr>
      <w:rFonts w:ascii="Cambria"/>
      <w:b/>
      <w:sz w:val="32"/>
    </w:rPr>
  </w:style>
  <w:style w:type="character" w:customStyle="1" w:styleId="539">
    <w:name w:val="正文文本 3 Char22"/>
    <w:unhideWhenUsed/>
    <w:qFormat/>
    <w:uiPriority w:val="99"/>
    <w:rPr>
      <w:sz w:val="16"/>
    </w:rPr>
  </w:style>
  <w:style w:type="character" w:customStyle="1" w:styleId="540">
    <w:name w:val="正文文本 3 Char21"/>
    <w:unhideWhenUsed/>
    <w:qFormat/>
    <w:uiPriority w:val="99"/>
    <w:rPr>
      <w:sz w:val="16"/>
    </w:rPr>
  </w:style>
  <w:style w:type="character" w:customStyle="1" w:styleId="541">
    <w:name w:val="正文文本 Char320"/>
    <w:basedOn w:val="46"/>
    <w:unhideWhenUsed/>
    <w:qFormat/>
    <w:uiPriority w:val="99"/>
    <w:rPr>
      <w:rFonts w:cs="Times New Roman"/>
    </w:rPr>
  </w:style>
  <w:style w:type="character" w:customStyle="1" w:styleId="542">
    <w:name w:val="正文文本 Char319"/>
    <w:basedOn w:val="46"/>
    <w:unhideWhenUsed/>
    <w:qFormat/>
    <w:uiPriority w:val="99"/>
    <w:rPr>
      <w:rFonts w:cs="Times New Roman"/>
    </w:rPr>
  </w:style>
  <w:style w:type="character" w:customStyle="1" w:styleId="543">
    <w:name w:val="正文文本 Char318"/>
    <w:basedOn w:val="46"/>
    <w:unhideWhenUsed/>
    <w:qFormat/>
    <w:uiPriority w:val="99"/>
    <w:rPr>
      <w:rFonts w:cs="Times New Roman"/>
    </w:rPr>
  </w:style>
  <w:style w:type="character" w:customStyle="1" w:styleId="544">
    <w:name w:val="正文文本 Char317"/>
    <w:basedOn w:val="46"/>
    <w:unhideWhenUsed/>
    <w:qFormat/>
    <w:uiPriority w:val="99"/>
    <w:rPr>
      <w:rFonts w:cs="Times New Roman"/>
    </w:rPr>
  </w:style>
  <w:style w:type="character" w:customStyle="1" w:styleId="545">
    <w:name w:val="正文文本 Char316"/>
    <w:basedOn w:val="46"/>
    <w:unhideWhenUsed/>
    <w:qFormat/>
    <w:uiPriority w:val="99"/>
    <w:rPr>
      <w:rFonts w:cs="Times New Roman"/>
    </w:rPr>
  </w:style>
  <w:style w:type="character" w:customStyle="1" w:styleId="546">
    <w:name w:val="正文文本 Char315"/>
    <w:unhideWhenUsed/>
    <w:qFormat/>
    <w:uiPriority w:val="99"/>
  </w:style>
  <w:style w:type="character" w:customStyle="1" w:styleId="547">
    <w:name w:val="正文文本 Char314"/>
    <w:unhideWhenUsed/>
    <w:qFormat/>
    <w:uiPriority w:val="99"/>
  </w:style>
  <w:style w:type="character" w:customStyle="1" w:styleId="548">
    <w:name w:val="正文文本 Char313"/>
    <w:unhideWhenUsed/>
    <w:qFormat/>
    <w:uiPriority w:val="99"/>
  </w:style>
  <w:style w:type="character" w:customStyle="1" w:styleId="549">
    <w:name w:val="正文文本 Char312"/>
    <w:unhideWhenUsed/>
    <w:qFormat/>
    <w:uiPriority w:val="99"/>
  </w:style>
  <w:style w:type="character" w:customStyle="1" w:styleId="550">
    <w:name w:val="正文文本 Char311"/>
    <w:unhideWhenUsed/>
    <w:qFormat/>
    <w:uiPriority w:val="99"/>
  </w:style>
  <w:style w:type="character" w:customStyle="1" w:styleId="551">
    <w:name w:val="正文文本 Char310"/>
    <w:unhideWhenUsed/>
    <w:qFormat/>
    <w:uiPriority w:val="99"/>
  </w:style>
  <w:style w:type="character" w:customStyle="1" w:styleId="552">
    <w:name w:val="正文文本 Char39"/>
    <w:unhideWhenUsed/>
    <w:qFormat/>
    <w:uiPriority w:val="99"/>
  </w:style>
  <w:style w:type="character" w:customStyle="1" w:styleId="553">
    <w:name w:val="正文文本 Char38"/>
    <w:unhideWhenUsed/>
    <w:qFormat/>
    <w:uiPriority w:val="99"/>
  </w:style>
  <w:style w:type="character" w:customStyle="1" w:styleId="554">
    <w:name w:val="引用 Char34"/>
    <w:unhideWhenUsed/>
    <w:qFormat/>
    <w:uiPriority w:val="29"/>
    <w:rPr>
      <w:i/>
      <w:color w:val="000000"/>
    </w:rPr>
  </w:style>
  <w:style w:type="character" w:customStyle="1" w:styleId="555">
    <w:name w:val="正文文本 Char34"/>
    <w:unhideWhenUsed/>
    <w:qFormat/>
    <w:uiPriority w:val="99"/>
  </w:style>
  <w:style w:type="character" w:customStyle="1" w:styleId="556">
    <w:name w:val="引用 Char33"/>
    <w:unhideWhenUsed/>
    <w:qFormat/>
    <w:uiPriority w:val="29"/>
    <w:rPr>
      <w:i/>
      <w:color w:val="000000"/>
    </w:rPr>
  </w:style>
  <w:style w:type="character" w:customStyle="1" w:styleId="557">
    <w:name w:val="正文文本 Char33"/>
    <w:unhideWhenUsed/>
    <w:qFormat/>
    <w:uiPriority w:val="99"/>
  </w:style>
  <w:style w:type="character" w:customStyle="1" w:styleId="558">
    <w:name w:val="明显引用 Char3"/>
    <w:basedOn w:val="46"/>
    <w:unhideWhenUsed/>
    <w:qFormat/>
    <w:uiPriority w:val="30"/>
    <w:rPr>
      <w:rFonts w:cs="Times New Roman"/>
      <w:b/>
      <w:i/>
    </w:rPr>
  </w:style>
  <w:style w:type="character" w:customStyle="1" w:styleId="559">
    <w:name w:val="明显引用 Char320"/>
    <w:basedOn w:val="46"/>
    <w:unhideWhenUsed/>
    <w:qFormat/>
    <w:uiPriority w:val="30"/>
    <w:rPr>
      <w:rFonts w:cs="Times New Roman"/>
      <w:b/>
      <w:i/>
    </w:rPr>
  </w:style>
  <w:style w:type="character" w:customStyle="1" w:styleId="560">
    <w:name w:val="明显引用 Char317"/>
    <w:basedOn w:val="46"/>
    <w:unhideWhenUsed/>
    <w:qFormat/>
    <w:uiPriority w:val="30"/>
    <w:rPr>
      <w:rFonts w:cs="Times New Roman"/>
      <w:b/>
      <w:i/>
    </w:rPr>
  </w:style>
  <w:style w:type="character" w:customStyle="1" w:styleId="561">
    <w:name w:val="明显引用 Char316"/>
    <w:basedOn w:val="46"/>
    <w:unhideWhenUsed/>
    <w:qFormat/>
    <w:uiPriority w:val="30"/>
    <w:rPr>
      <w:rFonts w:cs="Times New Roman"/>
      <w:b/>
      <w:i/>
    </w:rPr>
  </w:style>
  <w:style w:type="character" w:customStyle="1" w:styleId="562">
    <w:name w:val="明显引用 Char315"/>
    <w:unhideWhenUsed/>
    <w:qFormat/>
    <w:uiPriority w:val="30"/>
    <w:rPr>
      <w:b/>
      <w:i/>
    </w:rPr>
  </w:style>
  <w:style w:type="character" w:customStyle="1" w:styleId="563">
    <w:name w:val="明显引用 Char312"/>
    <w:unhideWhenUsed/>
    <w:qFormat/>
    <w:uiPriority w:val="30"/>
    <w:rPr>
      <w:b/>
      <w:i/>
    </w:rPr>
  </w:style>
  <w:style w:type="character" w:customStyle="1" w:styleId="564">
    <w:name w:val="明显引用 Char311"/>
    <w:unhideWhenUsed/>
    <w:qFormat/>
    <w:uiPriority w:val="30"/>
    <w:rPr>
      <w:b/>
      <w:i/>
    </w:rPr>
  </w:style>
  <w:style w:type="character" w:customStyle="1" w:styleId="565">
    <w:name w:val="明显引用 Char310"/>
    <w:unhideWhenUsed/>
    <w:qFormat/>
    <w:uiPriority w:val="30"/>
    <w:rPr>
      <w:b/>
      <w:i/>
    </w:rPr>
  </w:style>
  <w:style w:type="character" w:customStyle="1" w:styleId="566">
    <w:name w:val="明显引用 Char39"/>
    <w:unhideWhenUsed/>
    <w:qFormat/>
    <w:uiPriority w:val="30"/>
    <w:rPr>
      <w:b/>
      <w:i/>
    </w:rPr>
  </w:style>
  <w:style w:type="character" w:customStyle="1" w:styleId="567">
    <w:name w:val="明显引用 Char38"/>
    <w:unhideWhenUsed/>
    <w:qFormat/>
    <w:uiPriority w:val="30"/>
    <w:rPr>
      <w:b/>
      <w:i/>
    </w:rPr>
  </w:style>
  <w:style w:type="character" w:customStyle="1" w:styleId="568">
    <w:name w:val="明显引用 Char37"/>
    <w:unhideWhenUsed/>
    <w:qFormat/>
    <w:uiPriority w:val="30"/>
    <w:rPr>
      <w:b/>
      <w:i/>
    </w:rPr>
  </w:style>
  <w:style w:type="character" w:customStyle="1" w:styleId="569">
    <w:name w:val="明显引用 Char36"/>
    <w:unhideWhenUsed/>
    <w:qFormat/>
    <w:uiPriority w:val="30"/>
    <w:rPr>
      <w:b/>
      <w:i/>
    </w:rPr>
  </w:style>
  <w:style w:type="character" w:customStyle="1" w:styleId="570">
    <w:name w:val="明显引用 Char35"/>
    <w:unhideWhenUsed/>
    <w:qFormat/>
    <w:uiPriority w:val="30"/>
    <w:rPr>
      <w:b/>
      <w:i/>
    </w:rPr>
  </w:style>
  <w:style w:type="character" w:customStyle="1" w:styleId="571">
    <w:name w:val="明显引用 Char34"/>
    <w:unhideWhenUsed/>
    <w:qFormat/>
    <w:uiPriority w:val="30"/>
    <w:rPr>
      <w:b/>
      <w:i/>
    </w:rPr>
  </w:style>
  <w:style w:type="character" w:customStyle="1" w:styleId="572">
    <w:name w:val="明显引用 Char33"/>
    <w:unhideWhenUsed/>
    <w:qFormat/>
    <w:uiPriority w:val="30"/>
    <w:rPr>
      <w:b/>
      <w:i/>
    </w:rPr>
  </w:style>
  <w:style w:type="character" w:customStyle="1" w:styleId="573">
    <w:name w:val="明显引用 Char32"/>
    <w:unhideWhenUsed/>
    <w:qFormat/>
    <w:uiPriority w:val="30"/>
    <w:rPr>
      <w:b/>
      <w:i/>
    </w:rPr>
  </w:style>
  <w:style w:type="character" w:customStyle="1" w:styleId="574">
    <w:name w:val="明显引用 Char31"/>
    <w:unhideWhenUsed/>
    <w:qFormat/>
    <w:uiPriority w:val="30"/>
    <w:rPr>
      <w:b/>
      <w:i/>
    </w:rPr>
  </w:style>
  <w:style w:type="character" w:customStyle="1" w:styleId="575">
    <w:name w:val="引用 Char3"/>
    <w:basedOn w:val="46"/>
    <w:unhideWhenUsed/>
    <w:qFormat/>
    <w:uiPriority w:val="29"/>
    <w:rPr>
      <w:rFonts w:cs="Times New Roman"/>
      <w:i/>
      <w:color w:val="000000"/>
    </w:rPr>
  </w:style>
  <w:style w:type="character" w:customStyle="1" w:styleId="576">
    <w:name w:val="引用 Char321"/>
    <w:basedOn w:val="46"/>
    <w:unhideWhenUsed/>
    <w:qFormat/>
    <w:uiPriority w:val="29"/>
    <w:rPr>
      <w:rFonts w:cs="Times New Roman"/>
      <w:i/>
      <w:color w:val="000000"/>
    </w:rPr>
  </w:style>
  <w:style w:type="character" w:customStyle="1" w:styleId="577">
    <w:name w:val="引用 Char318"/>
    <w:basedOn w:val="46"/>
    <w:unhideWhenUsed/>
    <w:qFormat/>
    <w:uiPriority w:val="29"/>
    <w:rPr>
      <w:rFonts w:cs="Times New Roman"/>
      <w:i/>
      <w:color w:val="000000"/>
    </w:rPr>
  </w:style>
  <w:style w:type="character" w:customStyle="1" w:styleId="578">
    <w:name w:val="引用 Char317"/>
    <w:basedOn w:val="46"/>
    <w:unhideWhenUsed/>
    <w:qFormat/>
    <w:uiPriority w:val="29"/>
    <w:rPr>
      <w:rFonts w:cs="Times New Roman"/>
      <w:i/>
      <w:color w:val="000000"/>
    </w:rPr>
  </w:style>
  <w:style w:type="character" w:customStyle="1" w:styleId="579">
    <w:name w:val="引用 Char315"/>
    <w:unhideWhenUsed/>
    <w:qFormat/>
    <w:uiPriority w:val="29"/>
    <w:rPr>
      <w:i/>
      <w:color w:val="000000"/>
    </w:rPr>
  </w:style>
  <w:style w:type="character" w:customStyle="1" w:styleId="580">
    <w:name w:val="引用 Char314"/>
    <w:unhideWhenUsed/>
    <w:qFormat/>
    <w:uiPriority w:val="29"/>
    <w:rPr>
      <w:i/>
      <w:color w:val="000000"/>
    </w:rPr>
  </w:style>
  <w:style w:type="character" w:customStyle="1" w:styleId="581">
    <w:name w:val="引用 Char313"/>
    <w:unhideWhenUsed/>
    <w:qFormat/>
    <w:uiPriority w:val="29"/>
    <w:rPr>
      <w:i/>
      <w:color w:val="000000"/>
    </w:rPr>
  </w:style>
  <w:style w:type="character" w:customStyle="1" w:styleId="582">
    <w:name w:val="引用 Char312"/>
    <w:unhideWhenUsed/>
    <w:qFormat/>
    <w:uiPriority w:val="29"/>
    <w:rPr>
      <w:i/>
      <w:color w:val="000000"/>
    </w:rPr>
  </w:style>
  <w:style w:type="character" w:customStyle="1" w:styleId="583">
    <w:name w:val="引用 Char311"/>
    <w:unhideWhenUsed/>
    <w:qFormat/>
    <w:uiPriority w:val="29"/>
    <w:rPr>
      <w:i/>
      <w:color w:val="000000"/>
    </w:rPr>
  </w:style>
  <w:style w:type="character" w:customStyle="1" w:styleId="584">
    <w:name w:val="引用 Char310"/>
    <w:unhideWhenUsed/>
    <w:qFormat/>
    <w:uiPriority w:val="29"/>
    <w:rPr>
      <w:i/>
      <w:color w:val="000000"/>
    </w:rPr>
  </w:style>
  <w:style w:type="character" w:customStyle="1" w:styleId="585">
    <w:name w:val="引用 Char39"/>
    <w:unhideWhenUsed/>
    <w:qFormat/>
    <w:uiPriority w:val="29"/>
    <w:rPr>
      <w:i/>
      <w:color w:val="000000"/>
    </w:rPr>
  </w:style>
  <w:style w:type="character" w:customStyle="1" w:styleId="586">
    <w:name w:val="引用 Char38"/>
    <w:unhideWhenUsed/>
    <w:qFormat/>
    <w:uiPriority w:val="29"/>
    <w:rPr>
      <w:i/>
      <w:color w:val="000000"/>
    </w:rPr>
  </w:style>
  <w:style w:type="character" w:customStyle="1" w:styleId="587">
    <w:name w:val="引用 Char37"/>
    <w:unhideWhenUsed/>
    <w:qFormat/>
    <w:uiPriority w:val="29"/>
    <w:rPr>
      <w:i/>
      <w:color w:val="000000"/>
    </w:rPr>
  </w:style>
  <w:style w:type="character" w:customStyle="1" w:styleId="588">
    <w:name w:val="引用 Char36"/>
    <w:unhideWhenUsed/>
    <w:qFormat/>
    <w:uiPriority w:val="29"/>
    <w:rPr>
      <w:i/>
      <w:color w:val="000000"/>
    </w:rPr>
  </w:style>
  <w:style w:type="character" w:customStyle="1" w:styleId="589">
    <w:name w:val="引用 Char35"/>
    <w:unhideWhenUsed/>
    <w:qFormat/>
    <w:uiPriority w:val="29"/>
    <w:rPr>
      <w:i/>
      <w:color w:val="000000"/>
    </w:rPr>
  </w:style>
  <w:style w:type="character" w:customStyle="1" w:styleId="590">
    <w:name w:val="引用 Char32"/>
    <w:unhideWhenUsed/>
    <w:qFormat/>
    <w:uiPriority w:val="29"/>
    <w:rPr>
      <w:i/>
      <w:color w:val="000000"/>
    </w:rPr>
  </w:style>
  <w:style w:type="character" w:customStyle="1" w:styleId="591">
    <w:name w:val="引用 Char31"/>
    <w:unhideWhenUsed/>
    <w:qFormat/>
    <w:uiPriority w:val="29"/>
    <w:rPr>
      <w:i/>
      <w:color w:val="000000"/>
    </w:rPr>
  </w:style>
  <w:style w:type="character" w:customStyle="1" w:styleId="592">
    <w:name w:val="正文文本缩进 Char"/>
    <w:basedOn w:val="46"/>
    <w:link w:val="20"/>
    <w:semiHidden/>
    <w:qFormat/>
    <w:locked/>
    <w:uiPriority w:val="99"/>
    <w:rPr>
      <w:rFonts w:cs="Times New Roman"/>
      <w:kern w:val="0"/>
      <w:sz w:val="24"/>
      <w:szCs w:val="24"/>
    </w:rPr>
  </w:style>
  <w:style w:type="character" w:customStyle="1" w:styleId="593">
    <w:name w:val="正文文本缩进 Char34"/>
    <w:basedOn w:val="46"/>
    <w:semiHidden/>
    <w:qFormat/>
    <w:uiPriority w:val="99"/>
    <w:rPr>
      <w:rFonts w:cs="Times New Roman"/>
      <w:kern w:val="0"/>
      <w:sz w:val="24"/>
      <w:szCs w:val="24"/>
    </w:rPr>
  </w:style>
  <w:style w:type="character" w:customStyle="1" w:styleId="594">
    <w:name w:val="正文文本缩进 Char33"/>
    <w:basedOn w:val="46"/>
    <w:semiHidden/>
    <w:qFormat/>
    <w:uiPriority w:val="99"/>
    <w:rPr>
      <w:rFonts w:cs="Times New Roman"/>
      <w:kern w:val="0"/>
      <w:sz w:val="24"/>
      <w:szCs w:val="24"/>
    </w:rPr>
  </w:style>
  <w:style w:type="character" w:customStyle="1" w:styleId="595">
    <w:name w:val="正文文本缩进 Char32"/>
    <w:basedOn w:val="46"/>
    <w:semiHidden/>
    <w:qFormat/>
    <w:uiPriority w:val="99"/>
    <w:rPr>
      <w:rFonts w:cs="Times New Roman"/>
      <w:kern w:val="0"/>
      <w:sz w:val="24"/>
      <w:szCs w:val="24"/>
    </w:rPr>
  </w:style>
  <w:style w:type="character" w:customStyle="1" w:styleId="596">
    <w:name w:val="正文文本缩进 Char31"/>
    <w:basedOn w:val="46"/>
    <w:semiHidden/>
    <w:qFormat/>
    <w:uiPriority w:val="99"/>
    <w:rPr>
      <w:rFonts w:cs="Times New Roman"/>
      <w:kern w:val="0"/>
      <w:sz w:val="24"/>
      <w:szCs w:val="24"/>
    </w:rPr>
  </w:style>
  <w:style w:type="character" w:customStyle="1" w:styleId="597">
    <w:name w:val="文档结构图 Char"/>
    <w:basedOn w:val="46"/>
    <w:link w:val="15"/>
    <w:semiHidden/>
    <w:qFormat/>
    <w:locked/>
    <w:uiPriority w:val="99"/>
    <w:rPr>
      <w:rFonts w:ascii="宋体" w:cs="Times New Roman"/>
      <w:kern w:val="0"/>
      <w:sz w:val="18"/>
      <w:szCs w:val="18"/>
    </w:rPr>
  </w:style>
  <w:style w:type="character" w:customStyle="1" w:styleId="598">
    <w:name w:val="文档结构图 Char44"/>
    <w:basedOn w:val="46"/>
    <w:semiHidden/>
    <w:qFormat/>
    <w:uiPriority w:val="99"/>
    <w:rPr>
      <w:rFonts w:ascii="宋体" w:cs="Times New Roman"/>
      <w:kern w:val="0"/>
      <w:sz w:val="18"/>
      <w:szCs w:val="18"/>
    </w:rPr>
  </w:style>
  <w:style w:type="character" w:customStyle="1" w:styleId="599">
    <w:name w:val="文档结构图 Char43"/>
    <w:basedOn w:val="46"/>
    <w:semiHidden/>
    <w:qFormat/>
    <w:uiPriority w:val="99"/>
    <w:rPr>
      <w:rFonts w:ascii="宋体" w:cs="Times New Roman"/>
      <w:kern w:val="0"/>
      <w:sz w:val="18"/>
      <w:szCs w:val="18"/>
    </w:rPr>
  </w:style>
  <w:style w:type="character" w:customStyle="1" w:styleId="600">
    <w:name w:val="文档结构图 Char42"/>
    <w:basedOn w:val="46"/>
    <w:semiHidden/>
    <w:qFormat/>
    <w:uiPriority w:val="99"/>
    <w:rPr>
      <w:rFonts w:ascii="宋体" w:cs="Times New Roman"/>
      <w:kern w:val="0"/>
      <w:sz w:val="18"/>
      <w:szCs w:val="18"/>
    </w:rPr>
  </w:style>
  <w:style w:type="character" w:customStyle="1" w:styleId="601">
    <w:name w:val="文档结构图 Char41"/>
    <w:basedOn w:val="46"/>
    <w:semiHidden/>
    <w:qFormat/>
    <w:uiPriority w:val="99"/>
    <w:rPr>
      <w:rFonts w:ascii="宋体" w:cs="Times New Roman"/>
      <w:kern w:val="0"/>
      <w:sz w:val="18"/>
      <w:szCs w:val="18"/>
    </w:rPr>
  </w:style>
  <w:style w:type="character" w:customStyle="1" w:styleId="602">
    <w:name w:val="正文文本 Char"/>
    <w:basedOn w:val="46"/>
    <w:link w:val="18"/>
    <w:qFormat/>
    <w:locked/>
    <w:uiPriority w:val="99"/>
    <w:rPr>
      <w:rFonts w:cs="Times New Roman"/>
      <w:kern w:val="0"/>
      <w:sz w:val="24"/>
      <w:szCs w:val="24"/>
    </w:rPr>
  </w:style>
  <w:style w:type="character" w:customStyle="1" w:styleId="603">
    <w:name w:val="正文文本 Char44"/>
    <w:basedOn w:val="46"/>
    <w:semiHidden/>
    <w:qFormat/>
    <w:uiPriority w:val="99"/>
    <w:rPr>
      <w:rFonts w:cs="Times New Roman"/>
      <w:kern w:val="0"/>
      <w:sz w:val="24"/>
      <w:szCs w:val="24"/>
    </w:rPr>
  </w:style>
  <w:style w:type="character" w:customStyle="1" w:styleId="604">
    <w:name w:val="正文文本 Char43"/>
    <w:basedOn w:val="46"/>
    <w:semiHidden/>
    <w:qFormat/>
    <w:uiPriority w:val="99"/>
    <w:rPr>
      <w:rFonts w:cs="Times New Roman"/>
      <w:kern w:val="0"/>
      <w:sz w:val="24"/>
      <w:szCs w:val="24"/>
    </w:rPr>
  </w:style>
  <w:style w:type="character" w:customStyle="1" w:styleId="605">
    <w:name w:val="正文文本 Char42"/>
    <w:basedOn w:val="46"/>
    <w:semiHidden/>
    <w:qFormat/>
    <w:uiPriority w:val="99"/>
    <w:rPr>
      <w:rFonts w:cs="Times New Roman"/>
      <w:kern w:val="0"/>
      <w:sz w:val="24"/>
      <w:szCs w:val="24"/>
    </w:rPr>
  </w:style>
  <w:style w:type="character" w:customStyle="1" w:styleId="606">
    <w:name w:val="正文文本 Char41"/>
    <w:basedOn w:val="46"/>
    <w:semiHidden/>
    <w:qFormat/>
    <w:uiPriority w:val="99"/>
    <w:rPr>
      <w:rFonts w:cs="Times New Roman"/>
      <w:kern w:val="0"/>
      <w:sz w:val="24"/>
      <w:szCs w:val="24"/>
    </w:rPr>
  </w:style>
  <w:style w:type="character" w:customStyle="1" w:styleId="607">
    <w:name w:val="明显引用 Char2"/>
    <w:basedOn w:val="46"/>
    <w:link w:val="61"/>
    <w:qFormat/>
    <w:locked/>
    <w:uiPriority w:val="30"/>
    <w:rPr>
      <w:rFonts w:cs="Times New Roman"/>
      <w:b/>
      <w:bCs/>
      <w:i/>
      <w:iCs/>
      <w:color w:val="4F81BD"/>
      <w:kern w:val="0"/>
      <w:sz w:val="24"/>
      <w:szCs w:val="24"/>
    </w:rPr>
  </w:style>
  <w:style w:type="character" w:customStyle="1" w:styleId="608">
    <w:name w:val="明显引用 Char44"/>
    <w:basedOn w:val="46"/>
    <w:qFormat/>
    <w:uiPriority w:val="30"/>
    <w:rPr>
      <w:rFonts w:cs="Times New Roman"/>
      <w:b/>
      <w:bCs/>
      <w:i/>
      <w:iCs/>
      <w:color w:val="4F81BD"/>
      <w:kern w:val="0"/>
      <w:sz w:val="24"/>
      <w:szCs w:val="24"/>
    </w:rPr>
  </w:style>
  <w:style w:type="character" w:customStyle="1" w:styleId="609">
    <w:name w:val="明显引用 Char43"/>
    <w:basedOn w:val="46"/>
    <w:qFormat/>
    <w:uiPriority w:val="30"/>
    <w:rPr>
      <w:rFonts w:cs="Times New Roman"/>
      <w:b/>
      <w:bCs/>
      <w:i/>
      <w:iCs/>
      <w:color w:val="4F81BD"/>
      <w:kern w:val="0"/>
      <w:sz w:val="24"/>
      <w:szCs w:val="24"/>
    </w:rPr>
  </w:style>
  <w:style w:type="character" w:customStyle="1" w:styleId="610">
    <w:name w:val="明显引用 Char42"/>
    <w:basedOn w:val="46"/>
    <w:qFormat/>
    <w:uiPriority w:val="30"/>
    <w:rPr>
      <w:rFonts w:cs="Times New Roman"/>
      <w:b/>
      <w:bCs/>
      <w:i/>
      <w:iCs/>
      <w:color w:val="4F81BD"/>
      <w:kern w:val="0"/>
      <w:sz w:val="24"/>
      <w:szCs w:val="24"/>
    </w:rPr>
  </w:style>
  <w:style w:type="character" w:customStyle="1" w:styleId="611">
    <w:name w:val="明显引用 Char41"/>
    <w:basedOn w:val="46"/>
    <w:qFormat/>
    <w:uiPriority w:val="30"/>
    <w:rPr>
      <w:rFonts w:cs="Times New Roman"/>
      <w:b/>
      <w:bCs/>
      <w:i/>
      <w:iCs/>
      <w:color w:val="4F81BD"/>
      <w:kern w:val="0"/>
      <w:sz w:val="24"/>
      <w:szCs w:val="24"/>
    </w:rPr>
  </w:style>
  <w:style w:type="character" w:customStyle="1" w:styleId="612">
    <w:name w:val="正文文本 2 Char1"/>
    <w:basedOn w:val="46"/>
    <w:link w:val="39"/>
    <w:semiHidden/>
    <w:qFormat/>
    <w:locked/>
    <w:uiPriority w:val="99"/>
    <w:rPr>
      <w:rFonts w:cs="Times New Roman"/>
      <w:kern w:val="0"/>
      <w:sz w:val="24"/>
      <w:szCs w:val="24"/>
    </w:rPr>
  </w:style>
  <w:style w:type="character" w:customStyle="1" w:styleId="613">
    <w:name w:val="正文文本 2 Char34"/>
    <w:basedOn w:val="46"/>
    <w:semiHidden/>
    <w:qFormat/>
    <w:uiPriority w:val="99"/>
    <w:rPr>
      <w:rFonts w:cs="Times New Roman"/>
      <w:kern w:val="0"/>
      <w:sz w:val="24"/>
      <w:szCs w:val="24"/>
    </w:rPr>
  </w:style>
  <w:style w:type="character" w:customStyle="1" w:styleId="614">
    <w:name w:val="正文文本 2 Char33"/>
    <w:basedOn w:val="46"/>
    <w:semiHidden/>
    <w:qFormat/>
    <w:uiPriority w:val="99"/>
    <w:rPr>
      <w:rFonts w:cs="Times New Roman"/>
      <w:kern w:val="0"/>
      <w:sz w:val="24"/>
      <w:szCs w:val="24"/>
    </w:rPr>
  </w:style>
  <w:style w:type="character" w:customStyle="1" w:styleId="615">
    <w:name w:val="正文文本 2 Char32"/>
    <w:basedOn w:val="46"/>
    <w:semiHidden/>
    <w:qFormat/>
    <w:uiPriority w:val="99"/>
    <w:rPr>
      <w:rFonts w:cs="Times New Roman"/>
      <w:kern w:val="0"/>
      <w:sz w:val="24"/>
      <w:szCs w:val="24"/>
    </w:rPr>
  </w:style>
  <w:style w:type="character" w:customStyle="1" w:styleId="616">
    <w:name w:val="正文文本 2 Char31"/>
    <w:basedOn w:val="46"/>
    <w:semiHidden/>
    <w:qFormat/>
    <w:uiPriority w:val="99"/>
    <w:rPr>
      <w:rFonts w:cs="Times New Roman"/>
      <w:kern w:val="0"/>
      <w:sz w:val="24"/>
      <w:szCs w:val="24"/>
    </w:rPr>
  </w:style>
  <w:style w:type="character" w:customStyle="1" w:styleId="617">
    <w:name w:val="正文文本 3 Char"/>
    <w:basedOn w:val="46"/>
    <w:link w:val="17"/>
    <w:semiHidden/>
    <w:qFormat/>
    <w:locked/>
    <w:uiPriority w:val="99"/>
    <w:rPr>
      <w:rFonts w:cs="Times New Roman"/>
      <w:kern w:val="0"/>
      <w:sz w:val="16"/>
      <w:szCs w:val="16"/>
    </w:rPr>
  </w:style>
  <w:style w:type="character" w:customStyle="1" w:styleId="618">
    <w:name w:val="正文文本 3 Char34"/>
    <w:basedOn w:val="46"/>
    <w:semiHidden/>
    <w:qFormat/>
    <w:uiPriority w:val="99"/>
    <w:rPr>
      <w:rFonts w:cs="Times New Roman"/>
      <w:kern w:val="0"/>
      <w:sz w:val="16"/>
      <w:szCs w:val="16"/>
    </w:rPr>
  </w:style>
  <w:style w:type="character" w:customStyle="1" w:styleId="619">
    <w:name w:val="正文文本 3 Char33"/>
    <w:basedOn w:val="46"/>
    <w:semiHidden/>
    <w:qFormat/>
    <w:uiPriority w:val="99"/>
    <w:rPr>
      <w:rFonts w:cs="Times New Roman"/>
      <w:kern w:val="0"/>
      <w:sz w:val="16"/>
      <w:szCs w:val="16"/>
    </w:rPr>
  </w:style>
  <w:style w:type="character" w:customStyle="1" w:styleId="620">
    <w:name w:val="正文文本 3 Char32"/>
    <w:basedOn w:val="46"/>
    <w:semiHidden/>
    <w:qFormat/>
    <w:uiPriority w:val="99"/>
    <w:rPr>
      <w:rFonts w:cs="Times New Roman"/>
      <w:kern w:val="0"/>
      <w:sz w:val="16"/>
      <w:szCs w:val="16"/>
    </w:rPr>
  </w:style>
  <w:style w:type="character" w:customStyle="1" w:styleId="621">
    <w:name w:val="正文文本 3 Char31"/>
    <w:basedOn w:val="46"/>
    <w:semiHidden/>
    <w:qFormat/>
    <w:uiPriority w:val="99"/>
    <w:rPr>
      <w:rFonts w:cs="Times New Roman"/>
      <w:kern w:val="0"/>
      <w:sz w:val="16"/>
      <w:szCs w:val="16"/>
    </w:rPr>
  </w:style>
  <w:style w:type="character" w:customStyle="1" w:styleId="622">
    <w:name w:val="纯文本 Char"/>
    <w:basedOn w:val="46"/>
    <w:link w:val="24"/>
    <w:semiHidden/>
    <w:qFormat/>
    <w:locked/>
    <w:uiPriority w:val="99"/>
    <w:rPr>
      <w:rFonts w:ascii="宋体" w:hAnsi="Courier New" w:cs="Courier New"/>
      <w:kern w:val="0"/>
    </w:rPr>
  </w:style>
  <w:style w:type="character" w:customStyle="1" w:styleId="623">
    <w:name w:val="纯文本 Char24"/>
    <w:basedOn w:val="46"/>
    <w:semiHidden/>
    <w:qFormat/>
    <w:uiPriority w:val="99"/>
    <w:rPr>
      <w:rFonts w:ascii="宋体" w:hAnsi="Courier New" w:cs="Courier New"/>
      <w:kern w:val="0"/>
    </w:rPr>
  </w:style>
  <w:style w:type="character" w:customStyle="1" w:styleId="624">
    <w:name w:val="纯文本 Char23"/>
    <w:basedOn w:val="46"/>
    <w:semiHidden/>
    <w:qFormat/>
    <w:uiPriority w:val="99"/>
    <w:rPr>
      <w:rFonts w:ascii="宋体" w:hAnsi="Courier New" w:cs="Courier New"/>
      <w:kern w:val="0"/>
    </w:rPr>
  </w:style>
  <w:style w:type="character" w:customStyle="1" w:styleId="625">
    <w:name w:val="纯文本 Char22"/>
    <w:basedOn w:val="46"/>
    <w:semiHidden/>
    <w:qFormat/>
    <w:uiPriority w:val="99"/>
    <w:rPr>
      <w:rFonts w:ascii="宋体" w:hAnsi="Courier New" w:cs="Courier New"/>
      <w:kern w:val="0"/>
    </w:rPr>
  </w:style>
  <w:style w:type="character" w:customStyle="1" w:styleId="626">
    <w:name w:val="纯文本 Char21"/>
    <w:basedOn w:val="46"/>
    <w:semiHidden/>
    <w:qFormat/>
    <w:uiPriority w:val="99"/>
    <w:rPr>
      <w:rFonts w:ascii="宋体" w:hAnsi="Courier New" w:cs="Courier New"/>
      <w:kern w:val="0"/>
      <w:sz w:val="21"/>
      <w:szCs w:val="21"/>
    </w:rPr>
  </w:style>
  <w:style w:type="character" w:customStyle="1" w:styleId="627">
    <w:name w:val="批注文字 Char2"/>
    <w:basedOn w:val="46"/>
    <w:link w:val="16"/>
    <w:semiHidden/>
    <w:qFormat/>
    <w:locked/>
    <w:uiPriority w:val="99"/>
    <w:rPr>
      <w:rFonts w:cs="Times New Roman"/>
      <w:kern w:val="0"/>
      <w:sz w:val="24"/>
      <w:szCs w:val="24"/>
    </w:rPr>
  </w:style>
  <w:style w:type="character" w:customStyle="1" w:styleId="628">
    <w:name w:val="批注文字 Char44"/>
    <w:basedOn w:val="46"/>
    <w:semiHidden/>
    <w:qFormat/>
    <w:uiPriority w:val="99"/>
    <w:rPr>
      <w:rFonts w:cs="Times New Roman"/>
      <w:kern w:val="0"/>
      <w:sz w:val="24"/>
      <w:szCs w:val="24"/>
    </w:rPr>
  </w:style>
  <w:style w:type="character" w:customStyle="1" w:styleId="629">
    <w:name w:val="批注文字 Char43"/>
    <w:basedOn w:val="46"/>
    <w:semiHidden/>
    <w:qFormat/>
    <w:uiPriority w:val="99"/>
    <w:rPr>
      <w:rFonts w:cs="Times New Roman"/>
      <w:kern w:val="0"/>
      <w:sz w:val="24"/>
      <w:szCs w:val="24"/>
    </w:rPr>
  </w:style>
  <w:style w:type="character" w:customStyle="1" w:styleId="630">
    <w:name w:val="批注文字 Char42"/>
    <w:basedOn w:val="46"/>
    <w:semiHidden/>
    <w:qFormat/>
    <w:uiPriority w:val="99"/>
    <w:rPr>
      <w:rFonts w:cs="Times New Roman"/>
      <w:kern w:val="0"/>
      <w:sz w:val="24"/>
      <w:szCs w:val="24"/>
    </w:rPr>
  </w:style>
  <w:style w:type="character" w:customStyle="1" w:styleId="631">
    <w:name w:val="批注文字 Char41"/>
    <w:basedOn w:val="46"/>
    <w:semiHidden/>
    <w:qFormat/>
    <w:uiPriority w:val="99"/>
    <w:rPr>
      <w:rFonts w:cs="Times New Roman"/>
      <w:kern w:val="0"/>
      <w:sz w:val="24"/>
      <w:szCs w:val="24"/>
    </w:rPr>
  </w:style>
  <w:style w:type="character" w:customStyle="1" w:styleId="632">
    <w:name w:val="标题 Char2"/>
    <w:basedOn w:val="46"/>
    <w:link w:val="42"/>
    <w:qFormat/>
    <w:locked/>
    <w:uiPriority w:val="10"/>
    <w:rPr>
      <w:rFonts w:ascii="Cambria" w:hAnsi="Cambria" w:cs="黑体"/>
      <w:b/>
      <w:bCs/>
      <w:kern w:val="0"/>
      <w:sz w:val="32"/>
      <w:szCs w:val="32"/>
    </w:rPr>
  </w:style>
  <w:style w:type="character" w:customStyle="1" w:styleId="633">
    <w:name w:val="标题 Char44"/>
    <w:basedOn w:val="46"/>
    <w:qFormat/>
    <w:uiPriority w:val="10"/>
    <w:rPr>
      <w:rFonts w:ascii="Cambria" w:hAnsi="Cambria" w:cs="Times New Roman"/>
      <w:b/>
      <w:bCs/>
      <w:kern w:val="0"/>
      <w:sz w:val="32"/>
      <w:szCs w:val="32"/>
    </w:rPr>
  </w:style>
  <w:style w:type="character" w:customStyle="1" w:styleId="634">
    <w:name w:val="标题 Char43"/>
    <w:basedOn w:val="46"/>
    <w:qFormat/>
    <w:uiPriority w:val="10"/>
    <w:rPr>
      <w:rFonts w:ascii="Cambria" w:hAnsi="Cambria" w:cs="Times New Roman"/>
      <w:b/>
      <w:bCs/>
      <w:kern w:val="0"/>
      <w:sz w:val="32"/>
      <w:szCs w:val="32"/>
    </w:rPr>
  </w:style>
  <w:style w:type="character" w:customStyle="1" w:styleId="635">
    <w:name w:val="标题 Char42"/>
    <w:basedOn w:val="46"/>
    <w:qFormat/>
    <w:uiPriority w:val="10"/>
    <w:rPr>
      <w:rFonts w:ascii="Cambria" w:hAnsi="Cambria" w:cs="Times New Roman"/>
      <w:b/>
      <w:bCs/>
      <w:kern w:val="0"/>
      <w:sz w:val="32"/>
      <w:szCs w:val="32"/>
    </w:rPr>
  </w:style>
  <w:style w:type="character" w:customStyle="1" w:styleId="636">
    <w:name w:val="标题 Char41"/>
    <w:basedOn w:val="46"/>
    <w:qFormat/>
    <w:uiPriority w:val="10"/>
    <w:rPr>
      <w:rFonts w:ascii="Cambria" w:hAnsi="Cambria" w:cs="Times New Roman"/>
      <w:b/>
      <w:bCs/>
      <w:kern w:val="0"/>
      <w:sz w:val="32"/>
      <w:szCs w:val="32"/>
    </w:rPr>
  </w:style>
  <w:style w:type="character" w:customStyle="1" w:styleId="637">
    <w:name w:val="页眉 Char"/>
    <w:basedOn w:val="46"/>
    <w:link w:val="30"/>
    <w:qFormat/>
    <w:locked/>
    <w:uiPriority w:val="99"/>
    <w:rPr>
      <w:rFonts w:cs="Times New Roman"/>
      <w:kern w:val="0"/>
      <w:sz w:val="18"/>
      <w:szCs w:val="18"/>
    </w:rPr>
  </w:style>
  <w:style w:type="character" w:customStyle="1" w:styleId="638">
    <w:name w:val="页眉 Char34"/>
    <w:basedOn w:val="46"/>
    <w:semiHidden/>
    <w:qFormat/>
    <w:uiPriority w:val="99"/>
    <w:rPr>
      <w:rFonts w:cs="Times New Roman"/>
      <w:kern w:val="0"/>
      <w:sz w:val="18"/>
      <w:szCs w:val="18"/>
    </w:rPr>
  </w:style>
  <w:style w:type="character" w:customStyle="1" w:styleId="639">
    <w:name w:val="页眉 Char33"/>
    <w:basedOn w:val="46"/>
    <w:semiHidden/>
    <w:qFormat/>
    <w:uiPriority w:val="99"/>
    <w:rPr>
      <w:rFonts w:cs="Times New Roman"/>
      <w:kern w:val="0"/>
      <w:sz w:val="18"/>
      <w:szCs w:val="18"/>
    </w:rPr>
  </w:style>
  <w:style w:type="character" w:customStyle="1" w:styleId="640">
    <w:name w:val="页眉 Char32"/>
    <w:basedOn w:val="46"/>
    <w:semiHidden/>
    <w:qFormat/>
    <w:uiPriority w:val="99"/>
    <w:rPr>
      <w:rFonts w:cs="Times New Roman"/>
      <w:kern w:val="0"/>
      <w:sz w:val="18"/>
      <w:szCs w:val="18"/>
    </w:rPr>
  </w:style>
  <w:style w:type="character" w:customStyle="1" w:styleId="641">
    <w:name w:val="页眉 Char31"/>
    <w:basedOn w:val="46"/>
    <w:semiHidden/>
    <w:qFormat/>
    <w:uiPriority w:val="99"/>
    <w:rPr>
      <w:rFonts w:cs="Times New Roman"/>
      <w:kern w:val="0"/>
      <w:sz w:val="18"/>
      <w:szCs w:val="18"/>
    </w:rPr>
  </w:style>
  <w:style w:type="character" w:customStyle="1" w:styleId="642">
    <w:name w:val="日期 Char4"/>
    <w:basedOn w:val="46"/>
    <w:link w:val="26"/>
    <w:semiHidden/>
    <w:qFormat/>
    <w:locked/>
    <w:uiPriority w:val="99"/>
    <w:rPr>
      <w:rFonts w:cs="Times New Roman"/>
      <w:kern w:val="0"/>
      <w:sz w:val="24"/>
      <w:szCs w:val="24"/>
    </w:rPr>
  </w:style>
  <w:style w:type="character" w:customStyle="1" w:styleId="643">
    <w:name w:val="日期 Char64"/>
    <w:basedOn w:val="46"/>
    <w:semiHidden/>
    <w:qFormat/>
    <w:uiPriority w:val="99"/>
    <w:rPr>
      <w:rFonts w:cs="Times New Roman"/>
      <w:kern w:val="0"/>
      <w:sz w:val="24"/>
      <w:szCs w:val="24"/>
    </w:rPr>
  </w:style>
  <w:style w:type="character" w:customStyle="1" w:styleId="644">
    <w:name w:val="日期 Char63"/>
    <w:basedOn w:val="46"/>
    <w:semiHidden/>
    <w:qFormat/>
    <w:uiPriority w:val="99"/>
    <w:rPr>
      <w:rFonts w:cs="Times New Roman"/>
      <w:kern w:val="0"/>
      <w:sz w:val="24"/>
      <w:szCs w:val="24"/>
    </w:rPr>
  </w:style>
  <w:style w:type="character" w:customStyle="1" w:styleId="645">
    <w:name w:val="日期 Char62"/>
    <w:basedOn w:val="46"/>
    <w:semiHidden/>
    <w:qFormat/>
    <w:uiPriority w:val="99"/>
    <w:rPr>
      <w:rFonts w:cs="Times New Roman"/>
      <w:kern w:val="0"/>
      <w:sz w:val="24"/>
      <w:szCs w:val="24"/>
    </w:rPr>
  </w:style>
  <w:style w:type="character" w:customStyle="1" w:styleId="646">
    <w:name w:val="日期 Char61"/>
    <w:basedOn w:val="46"/>
    <w:semiHidden/>
    <w:qFormat/>
    <w:uiPriority w:val="99"/>
    <w:rPr>
      <w:rFonts w:cs="Times New Roman"/>
      <w:kern w:val="0"/>
      <w:sz w:val="24"/>
      <w:szCs w:val="24"/>
    </w:rPr>
  </w:style>
  <w:style w:type="character" w:customStyle="1" w:styleId="647">
    <w:name w:val="正文文本缩进 2 Char1"/>
    <w:basedOn w:val="46"/>
    <w:link w:val="27"/>
    <w:semiHidden/>
    <w:qFormat/>
    <w:locked/>
    <w:uiPriority w:val="99"/>
    <w:rPr>
      <w:rFonts w:cs="Times New Roman"/>
      <w:kern w:val="0"/>
      <w:sz w:val="24"/>
      <w:szCs w:val="24"/>
    </w:rPr>
  </w:style>
  <w:style w:type="character" w:customStyle="1" w:styleId="648">
    <w:name w:val="正文文本缩进 2 Char34"/>
    <w:basedOn w:val="46"/>
    <w:semiHidden/>
    <w:qFormat/>
    <w:uiPriority w:val="99"/>
    <w:rPr>
      <w:rFonts w:cs="Times New Roman"/>
      <w:kern w:val="0"/>
      <w:sz w:val="24"/>
      <w:szCs w:val="24"/>
    </w:rPr>
  </w:style>
  <w:style w:type="character" w:customStyle="1" w:styleId="649">
    <w:name w:val="正文文本缩进 2 Char33"/>
    <w:basedOn w:val="46"/>
    <w:semiHidden/>
    <w:qFormat/>
    <w:uiPriority w:val="99"/>
    <w:rPr>
      <w:rFonts w:cs="Times New Roman"/>
      <w:kern w:val="0"/>
      <w:sz w:val="24"/>
      <w:szCs w:val="24"/>
    </w:rPr>
  </w:style>
  <w:style w:type="character" w:customStyle="1" w:styleId="650">
    <w:name w:val="正文文本缩进 2 Char32"/>
    <w:basedOn w:val="46"/>
    <w:semiHidden/>
    <w:qFormat/>
    <w:uiPriority w:val="99"/>
    <w:rPr>
      <w:rFonts w:cs="Times New Roman"/>
      <w:kern w:val="0"/>
      <w:sz w:val="24"/>
      <w:szCs w:val="24"/>
    </w:rPr>
  </w:style>
  <w:style w:type="character" w:customStyle="1" w:styleId="651">
    <w:name w:val="正文文本缩进 2 Char31"/>
    <w:basedOn w:val="46"/>
    <w:semiHidden/>
    <w:qFormat/>
    <w:uiPriority w:val="99"/>
    <w:rPr>
      <w:rFonts w:cs="Times New Roman"/>
      <w:kern w:val="0"/>
      <w:sz w:val="24"/>
      <w:szCs w:val="24"/>
    </w:rPr>
  </w:style>
  <w:style w:type="character" w:customStyle="1" w:styleId="652">
    <w:name w:val="批注框文本 Char"/>
    <w:basedOn w:val="46"/>
    <w:link w:val="28"/>
    <w:semiHidden/>
    <w:qFormat/>
    <w:locked/>
    <w:uiPriority w:val="99"/>
    <w:rPr>
      <w:rFonts w:cs="Times New Roman"/>
      <w:kern w:val="0"/>
      <w:sz w:val="18"/>
      <w:szCs w:val="18"/>
    </w:rPr>
  </w:style>
  <w:style w:type="character" w:customStyle="1" w:styleId="653">
    <w:name w:val="批注框文本 Char44"/>
    <w:basedOn w:val="46"/>
    <w:semiHidden/>
    <w:qFormat/>
    <w:uiPriority w:val="99"/>
    <w:rPr>
      <w:rFonts w:cs="Times New Roman"/>
      <w:kern w:val="0"/>
      <w:sz w:val="18"/>
      <w:szCs w:val="18"/>
    </w:rPr>
  </w:style>
  <w:style w:type="character" w:customStyle="1" w:styleId="654">
    <w:name w:val="批注框文本 Char43"/>
    <w:basedOn w:val="46"/>
    <w:semiHidden/>
    <w:qFormat/>
    <w:uiPriority w:val="99"/>
    <w:rPr>
      <w:rFonts w:cs="Times New Roman"/>
      <w:kern w:val="0"/>
      <w:sz w:val="18"/>
      <w:szCs w:val="18"/>
    </w:rPr>
  </w:style>
  <w:style w:type="character" w:customStyle="1" w:styleId="655">
    <w:name w:val="批注框文本 Char42"/>
    <w:basedOn w:val="46"/>
    <w:semiHidden/>
    <w:qFormat/>
    <w:uiPriority w:val="99"/>
    <w:rPr>
      <w:rFonts w:cs="Times New Roman"/>
      <w:kern w:val="0"/>
      <w:sz w:val="18"/>
      <w:szCs w:val="18"/>
    </w:rPr>
  </w:style>
  <w:style w:type="character" w:customStyle="1" w:styleId="656">
    <w:name w:val="批注框文本 Char41"/>
    <w:basedOn w:val="46"/>
    <w:semiHidden/>
    <w:qFormat/>
    <w:uiPriority w:val="99"/>
    <w:rPr>
      <w:rFonts w:cs="Times New Roman"/>
      <w:kern w:val="0"/>
      <w:sz w:val="18"/>
      <w:szCs w:val="18"/>
    </w:rPr>
  </w:style>
  <w:style w:type="character" w:customStyle="1" w:styleId="657">
    <w:name w:val="正文文本缩进 3 Char1"/>
    <w:basedOn w:val="46"/>
    <w:link w:val="36"/>
    <w:semiHidden/>
    <w:qFormat/>
    <w:locked/>
    <w:uiPriority w:val="99"/>
    <w:rPr>
      <w:rFonts w:cs="Times New Roman"/>
      <w:kern w:val="0"/>
      <w:sz w:val="16"/>
      <w:szCs w:val="16"/>
    </w:rPr>
  </w:style>
  <w:style w:type="character" w:customStyle="1" w:styleId="658">
    <w:name w:val="正文文本缩进 3 Char34"/>
    <w:basedOn w:val="46"/>
    <w:semiHidden/>
    <w:qFormat/>
    <w:uiPriority w:val="99"/>
    <w:rPr>
      <w:rFonts w:cs="Times New Roman"/>
      <w:kern w:val="0"/>
      <w:sz w:val="16"/>
      <w:szCs w:val="16"/>
    </w:rPr>
  </w:style>
  <w:style w:type="character" w:customStyle="1" w:styleId="659">
    <w:name w:val="正文文本缩进 3 Char33"/>
    <w:basedOn w:val="46"/>
    <w:semiHidden/>
    <w:qFormat/>
    <w:uiPriority w:val="99"/>
    <w:rPr>
      <w:rFonts w:cs="Times New Roman"/>
      <w:kern w:val="0"/>
      <w:sz w:val="16"/>
      <w:szCs w:val="16"/>
    </w:rPr>
  </w:style>
  <w:style w:type="character" w:customStyle="1" w:styleId="660">
    <w:name w:val="正文文本缩进 3 Char32"/>
    <w:basedOn w:val="46"/>
    <w:semiHidden/>
    <w:qFormat/>
    <w:uiPriority w:val="99"/>
    <w:rPr>
      <w:rFonts w:cs="Times New Roman"/>
      <w:kern w:val="0"/>
      <w:sz w:val="16"/>
      <w:szCs w:val="16"/>
    </w:rPr>
  </w:style>
  <w:style w:type="character" w:customStyle="1" w:styleId="661">
    <w:name w:val="正文文本缩进 3 Char31"/>
    <w:basedOn w:val="46"/>
    <w:semiHidden/>
    <w:qFormat/>
    <w:uiPriority w:val="99"/>
    <w:rPr>
      <w:rFonts w:cs="Times New Roman"/>
      <w:kern w:val="0"/>
      <w:sz w:val="16"/>
      <w:szCs w:val="16"/>
    </w:rPr>
  </w:style>
  <w:style w:type="character" w:customStyle="1" w:styleId="662">
    <w:name w:val="页脚 Char"/>
    <w:basedOn w:val="46"/>
    <w:link w:val="29"/>
    <w:qFormat/>
    <w:locked/>
    <w:uiPriority w:val="99"/>
    <w:rPr>
      <w:rFonts w:cs="Times New Roman"/>
      <w:kern w:val="0"/>
      <w:sz w:val="18"/>
      <w:szCs w:val="18"/>
    </w:rPr>
  </w:style>
  <w:style w:type="character" w:customStyle="1" w:styleId="663">
    <w:name w:val="页脚 Char34"/>
    <w:basedOn w:val="46"/>
    <w:semiHidden/>
    <w:qFormat/>
    <w:uiPriority w:val="99"/>
    <w:rPr>
      <w:rFonts w:cs="Times New Roman"/>
      <w:kern w:val="0"/>
      <w:sz w:val="18"/>
      <w:szCs w:val="18"/>
    </w:rPr>
  </w:style>
  <w:style w:type="character" w:customStyle="1" w:styleId="664">
    <w:name w:val="页脚 Char33"/>
    <w:basedOn w:val="46"/>
    <w:semiHidden/>
    <w:qFormat/>
    <w:uiPriority w:val="99"/>
    <w:rPr>
      <w:rFonts w:cs="Times New Roman"/>
      <w:kern w:val="0"/>
      <w:sz w:val="18"/>
      <w:szCs w:val="18"/>
    </w:rPr>
  </w:style>
  <w:style w:type="character" w:customStyle="1" w:styleId="665">
    <w:name w:val="页脚 Char32"/>
    <w:basedOn w:val="46"/>
    <w:semiHidden/>
    <w:qFormat/>
    <w:uiPriority w:val="99"/>
    <w:rPr>
      <w:rFonts w:cs="Times New Roman"/>
      <w:kern w:val="0"/>
      <w:sz w:val="18"/>
      <w:szCs w:val="18"/>
    </w:rPr>
  </w:style>
  <w:style w:type="character" w:customStyle="1" w:styleId="666">
    <w:name w:val="页脚 Char31"/>
    <w:basedOn w:val="46"/>
    <w:semiHidden/>
    <w:qFormat/>
    <w:uiPriority w:val="99"/>
    <w:rPr>
      <w:rFonts w:cs="Times New Roman"/>
      <w:kern w:val="0"/>
      <w:sz w:val="18"/>
      <w:szCs w:val="18"/>
    </w:rPr>
  </w:style>
  <w:style w:type="character" w:customStyle="1" w:styleId="667">
    <w:name w:val="批注主题 Char"/>
    <w:basedOn w:val="271"/>
    <w:link w:val="43"/>
    <w:semiHidden/>
    <w:qFormat/>
    <w:locked/>
    <w:uiPriority w:val="99"/>
    <w:rPr>
      <w:b/>
      <w:bCs/>
    </w:rPr>
  </w:style>
  <w:style w:type="character" w:customStyle="1" w:styleId="668">
    <w:name w:val="批注主题 Char54"/>
    <w:basedOn w:val="271"/>
    <w:semiHidden/>
    <w:qFormat/>
    <w:uiPriority w:val="99"/>
    <w:rPr>
      <w:b/>
      <w:bCs/>
    </w:rPr>
  </w:style>
  <w:style w:type="character" w:customStyle="1" w:styleId="669">
    <w:name w:val="批注主题 Char53"/>
    <w:basedOn w:val="271"/>
    <w:semiHidden/>
    <w:qFormat/>
    <w:uiPriority w:val="99"/>
    <w:rPr>
      <w:b/>
      <w:bCs/>
    </w:rPr>
  </w:style>
  <w:style w:type="character" w:customStyle="1" w:styleId="670">
    <w:name w:val="批注主题 Char52"/>
    <w:basedOn w:val="271"/>
    <w:semiHidden/>
    <w:qFormat/>
    <w:uiPriority w:val="99"/>
    <w:rPr>
      <w:b/>
      <w:bCs/>
    </w:rPr>
  </w:style>
  <w:style w:type="character" w:customStyle="1" w:styleId="671">
    <w:name w:val="批注主题 Char51"/>
    <w:basedOn w:val="271"/>
    <w:semiHidden/>
    <w:qFormat/>
    <w:uiPriority w:val="99"/>
    <w:rPr>
      <w:b/>
      <w:bCs/>
    </w:rPr>
  </w:style>
  <w:style w:type="character" w:customStyle="1" w:styleId="672">
    <w:name w:val="副标题 Char2"/>
    <w:basedOn w:val="46"/>
    <w:link w:val="33"/>
    <w:qFormat/>
    <w:locked/>
    <w:uiPriority w:val="11"/>
    <w:rPr>
      <w:rFonts w:ascii="Cambria" w:hAnsi="Cambria" w:cs="黑体"/>
      <w:b/>
      <w:bCs/>
      <w:kern w:val="28"/>
      <w:sz w:val="32"/>
      <w:szCs w:val="32"/>
    </w:rPr>
  </w:style>
  <w:style w:type="character" w:customStyle="1" w:styleId="673">
    <w:name w:val="副标题 Char44"/>
    <w:basedOn w:val="46"/>
    <w:qFormat/>
    <w:uiPriority w:val="11"/>
    <w:rPr>
      <w:rFonts w:ascii="Cambria" w:hAnsi="Cambria" w:cs="Times New Roman"/>
      <w:b/>
      <w:bCs/>
      <w:kern w:val="28"/>
      <w:sz w:val="32"/>
      <w:szCs w:val="32"/>
    </w:rPr>
  </w:style>
  <w:style w:type="character" w:customStyle="1" w:styleId="674">
    <w:name w:val="副标题 Char43"/>
    <w:basedOn w:val="46"/>
    <w:qFormat/>
    <w:uiPriority w:val="11"/>
    <w:rPr>
      <w:rFonts w:ascii="Cambria" w:hAnsi="Cambria" w:cs="Times New Roman"/>
      <w:b/>
      <w:bCs/>
      <w:kern w:val="28"/>
      <w:sz w:val="32"/>
      <w:szCs w:val="32"/>
    </w:rPr>
  </w:style>
  <w:style w:type="character" w:customStyle="1" w:styleId="675">
    <w:name w:val="副标题 Char42"/>
    <w:basedOn w:val="46"/>
    <w:qFormat/>
    <w:uiPriority w:val="11"/>
    <w:rPr>
      <w:rFonts w:ascii="Cambria" w:hAnsi="Cambria" w:cs="Times New Roman"/>
      <w:b/>
      <w:bCs/>
      <w:kern w:val="28"/>
      <w:sz w:val="32"/>
      <w:szCs w:val="32"/>
    </w:rPr>
  </w:style>
  <w:style w:type="character" w:customStyle="1" w:styleId="676">
    <w:name w:val="副标题 Char41"/>
    <w:basedOn w:val="46"/>
    <w:qFormat/>
    <w:uiPriority w:val="11"/>
    <w:rPr>
      <w:rFonts w:ascii="Cambria" w:hAnsi="Cambria" w:cs="Times New Roman"/>
      <w:b/>
      <w:bCs/>
      <w:kern w:val="28"/>
      <w:sz w:val="32"/>
      <w:szCs w:val="32"/>
    </w:rPr>
  </w:style>
  <w:style w:type="character" w:customStyle="1" w:styleId="677">
    <w:name w:val="正文首行缩进 2 Char"/>
    <w:basedOn w:val="102"/>
    <w:link w:val="44"/>
    <w:qFormat/>
    <w:locked/>
    <w:uiPriority w:val="99"/>
  </w:style>
  <w:style w:type="character" w:customStyle="1" w:styleId="678">
    <w:name w:val="正文首行缩进 2 Char24"/>
    <w:basedOn w:val="102"/>
    <w:semiHidden/>
    <w:qFormat/>
    <w:uiPriority w:val="99"/>
  </w:style>
  <w:style w:type="character" w:customStyle="1" w:styleId="679">
    <w:name w:val="正文首行缩进 2 Char23"/>
    <w:basedOn w:val="102"/>
    <w:semiHidden/>
    <w:qFormat/>
    <w:uiPriority w:val="99"/>
  </w:style>
  <w:style w:type="character" w:customStyle="1" w:styleId="680">
    <w:name w:val="正文首行缩进 2 Char22"/>
    <w:basedOn w:val="102"/>
    <w:semiHidden/>
    <w:qFormat/>
    <w:uiPriority w:val="99"/>
  </w:style>
  <w:style w:type="character" w:customStyle="1" w:styleId="681">
    <w:name w:val="正文首行缩进 2 Char21"/>
    <w:basedOn w:val="102"/>
    <w:semiHidden/>
    <w:qFormat/>
    <w:uiPriority w:val="99"/>
  </w:style>
  <w:style w:type="character" w:customStyle="1" w:styleId="682">
    <w:name w:val="引用 Char"/>
    <w:basedOn w:val="46"/>
    <w:link w:val="75"/>
    <w:qFormat/>
    <w:locked/>
    <w:uiPriority w:val="29"/>
    <w:rPr>
      <w:rFonts w:cs="Times New Roman"/>
      <w:i/>
      <w:iCs/>
      <w:color w:val="000000"/>
      <w:kern w:val="0"/>
      <w:sz w:val="24"/>
      <w:szCs w:val="24"/>
    </w:rPr>
  </w:style>
  <w:style w:type="character" w:customStyle="1" w:styleId="683">
    <w:name w:val="引用 Char44"/>
    <w:basedOn w:val="46"/>
    <w:qFormat/>
    <w:uiPriority w:val="29"/>
    <w:rPr>
      <w:rFonts w:cs="Times New Roman"/>
      <w:i/>
      <w:iCs/>
      <w:color w:val="000000"/>
      <w:kern w:val="0"/>
      <w:sz w:val="24"/>
      <w:szCs w:val="24"/>
    </w:rPr>
  </w:style>
  <w:style w:type="character" w:customStyle="1" w:styleId="684">
    <w:name w:val="引用 Char43"/>
    <w:basedOn w:val="46"/>
    <w:qFormat/>
    <w:uiPriority w:val="29"/>
    <w:rPr>
      <w:rFonts w:cs="Times New Roman"/>
      <w:i/>
      <w:iCs/>
      <w:color w:val="000000"/>
      <w:kern w:val="0"/>
      <w:sz w:val="24"/>
      <w:szCs w:val="24"/>
    </w:rPr>
  </w:style>
  <w:style w:type="character" w:customStyle="1" w:styleId="685">
    <w:name w:val="引用 Char42"/>
    <w:basedOn w:val="46"/>
    <w:qFormat/>
    <w:uiPriority w:val="29"/>
    <w:rPr>
      <w:rFonts w:cs="Times New Roman"/>
      <w:i/>
      <w:iCs/>
      <w:color w:val="000000"/>
      <w:kern w:val="0"/>
      <w:sz w:val="24"/>
      <w:szCs w:val="24"/>
    </w:rPr>
  </w:style>
  <w:style w:type="character" w:customStyle="1" w:styleId="686">
    <w:name w:val="引用 Char41"/>
    <w:basedOn w:val="46"/>
    <w:qFormat/>
    <w:uiPriority w:val="29"/>
    <w:rPr>
      <w:rFonts w:cs="Times New Roman"/>
      <w:i/>
      <w:iCs/>
      <w:color w:val="000000"/>
      <w:kern w:val="0"/>
      <w:sz w:val="24"/>
      <w:szCs w:val="24"/>
    </w:rPr>
  </w:style>
  <w:style w:type="character" w:customStyle="1" w:styleId="687">
    <w:name w:val="Default Text Char"/>
    <w:link w:val="77"/>
    <w:qFormat/>
    <w:locked/>
    <w:uiPriority w:val="0"/>
    <w:rPr>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85</Pages>
  <Words>38471</Words>
  <Characters>40821</Characters>
  <Lines>307</Lines>
  <Paragraphs>86</Paragraphs>
  <TotalTime>23</TotalTime>
  <ScaleCrop>false</ScaleCrop>
  <LinksUpToDate>false</LinksUpToDate>
  <CharactersWithSpaces>43462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2020-10-18T10:52:00Z</dcterms:created>
  <dc:creator>Administrator</dc:creator>
  <cp:lastModifiedBy>Administrator</cp:lastModifiedBy>
  <cp:lastPrinted>2022-06-28T10:03:00Z</cp:lastPrinted>
  <dcterms:modified xsi:type="dcterms:W3CDTF">2022-07-07T11:52:33Z</dcterms:modified>
  <dc:title>新疆博湖通用机场首选场址临时气象观测站建设及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584BDE7E4A3F4D5F9DE295C1994E333B</vt:lpwstr>
  </property>
</Properties>
</file>