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8"/>
          <w:szCs w:val="28"/>
          <w:lang w:val="en-US" w:eastAsia="zh-CN"/>
        </w:rPr>
        <w:t>项目编号：RSY-2022-025[2022]708号</w:t>
      </w:r>
    </w:p>
    <w:p>
      <w:pPr>
        <w:jc w:val="center"/>
        <w:rPr>
          <w:rFonts w:hint="eastAsia" w:ascii="宋体" w:hAnsi="宋体" w:eastAsia="宋体" w:cs="宋体"/>
          <w:b/>
          <w:bCs/>
          <w:color w:val="auto"/>
          <w:sz w:val="44"/>
          <w:szCs w:val="44"/>
          <w:lang w:val="en-US" w:eastAsia="zh-CN"/>
        </w:rPr>
      </w:pPr>
    </w:p>
    <w:p>
      <w:pPr>
        <w:jc w:val="center"/>
        <w:rPr>
          <w:rFonts w:hint="eastAsia" w:ascii="宋体" w:hAnsi="宋体" w:eastAsia="宋体" w:cs="宋体"/>
          <w:b/>
          <w:bCs/>
          <w:color w:val="auto"/>
          <w:sz w:val="44"/>
          <w:szCs w:val="44"/>
          <w:lang w:val="en-US" w:eastAsia="zh-CN"/>
        </w:rPr>
      </w:pPr>
    </w:p>
    <w:p>
      <w:pPr>
        <w:pStyle w:val="2"/>
        <w:rPr>
          <w:rFonts w:hint="eastAsia"/>
          <w:color w:val="auto"/>
          <w:lang w:val="en-US" w:eastAsia="zh-CN"/>
        </w:rPr>
      </w:pP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 xml:space="preserve"> 乌鲁木齐经济技术开发区（乌鲁木齐市头屯河区）北站东路片区管理委员会警务站配送餐项目</w:t>
      </w: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采购招标文件</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采购方式：公开招标</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采购类别：服务</w:t>
      </w:r>
    </w:p>
    <w:p>
      <w:pPr>
        <w:keepNext w:val="0"/>
        <w:keepLines w:val="0"/>
        <w:pageBreakBefore w:val="0"/>
        <w:widowControl w:val="0"/>
        <w:kinsoku/>
        <w:wordWrap/>
        <w:overflowPunct/>
        <w:topLinePunct w:val="0"/>
        <w:autoSpaceDE/>
        <w:autoSpaceDN/>
        <w:bidi w:val="0"/>
        <w:adjustRightInd w:val="0"/>
        <w:snapToGrid w:val="0"/>
        <w:spacing w:line="360" w:lineRule="auto"/>
        <w:ind w:left="1120" w:hanging="1120" w:hangingChars="4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采购人：乌鲁木齐经济技术开发区（乌鲁木齐市头屯河区）北站东路片区管理委员会</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采购人地址：北三路668号</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采购联系人：王佳明</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采购联系人电话：0991-3879053</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代理机构名称：新疆融盛源工程项目管理有限公司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left="1960" w:hanging="1960" w:hangingChars="7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代理机构地址：新疆乌鲁木齐市水磨沟区立井街198号丽景中央城9号楼（全季酒店）五层503室</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代理机构联系人：何汐涵  龚钊</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olor w:val="auto"/>
          <w:sz w:val="28"/>
          <w:lang w:val="en-US" w:eastAsia="zh-CN"/>
        </w:rPr>
      </w:pPr>
      <w:r>
        <w:rPr>
          <w:rFonts w:hint="eastAsia" w:ascii="宋体" w:hAnsi="宋体" w:eastAsia="宋体" w:cs="宋体"/>
          <w:b w:val="0"/>
          <w:bCs w:val="0"/>
          <w:color w:val="auto"/>
          <w:sz w:val="28"/>
          <w:szCs w:val="28"/>
          <w:lang w:val="en-US" w:eastAsia="zh-CN"/>
        </w:rPr>
        <w:t>代理机构联系电话：0991-4800087</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二〇二二年六月</w:t>
      </w:r>
    </w:p>
    <w:sdt>
      <w:sdtPr>
        <w:rPr>
          <w:rFonts w:ascii="宋体" w:hAnsi="宋体" w:eastAsia="宋体" w:cstheme="minorBidi"/>
          <w:color w:val="auto"/>
          <w:kern w:val="2"/>
          <w:sz w:val="21"/>
          <w:szCs w:val="24"/>
          <w:lang w:val="en-US" w:eastAsia="zh-CN" w:bidi="ar-SA"/>
        </w:rPr>
        <w:id w:val="147466216"/>
        <w15:color w:val="DBDBDB"/>
        <w:docPartObj>
          <w:docPartGallery w:val="Table of Contents"/>
          <w:docPartUnique/>
        </w:docPartObj>
      </w:sdtPr>
      <w:sdtEndPr>
        <w:rPr>
          <w:rFonts w:hint="eastAsia" w:ascii="宋体" w:hAnsi="宋体" w:eastAsia="宋体" w:cs="宋体"/>
          <w:bCs w:val="0"/>
          <w:color w:val="auto"/>
          <w:kern w:val="2"/>
          <w:sz w:val="24"/>
          <w:szCs w:val="24"/>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8"/>
              <w:szCs w:val="28"/>
            </w:rPr>
            <w:sectPr>
              <w:headerReference r:id="rId3" w:type="default"/>
              <w:pgSz w:w="11906" w:h="16838"/>
              <w:pgMar w:top="1440" w:right="1080" w:bottom="1440" w:left="1080" w:header="851" w:footer="992" w:gutter="0"/>
              <w:pgNumType w:fmt="decimal"/>
              <w:cols w:space="425" w:num="1"/>
              <w:docGrid w:type="lines" w:linePitch="312" w:charSpace="0"/>
            </w:sectPr>
          </w:pPr>
        </w:p>
        <w:p>
          <w:pPr>
            <w:pStyle w:val="8"/>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44"/>
              <w:szCs w:val="44"/>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 w:val="0"/>
              <w:bCs w:val="0"/>
              <w:color w:val="auto"/>
              <w:sz w:val="28"/>
              <w:szCs w:val="24"/>
              <w:lang w:val="en-US" w:eastAsia="zh-CN"/>
            </w:rPr>
            <w:fldChar w:fldCharType="begin"/>
          </w:r>
          <w:r>
            <w:rPr>
              <w:rFonts w:hint="eastAsia" w:ascii="宋体" w:hAnsi="宋体" w:eastAsia="华文宋体" w:cs="宋体"/>
              <w:b w:val="0"/>
              <w:bCs w:val="0"/>
              <w:color w:val="auto"/>
              <w:sz w:val="28"/>
              <w:szCs w:val="24"/>
              <w:lang w:val="en-US" w:eastAsia="zh-CN"/>
            </w:rPr>
            <w:instrText xml:space="preserve">TOC \o "1-3" \h \u </w:instrText>
          </w:r>
          <w:r>
            <w:rPr>
              <w:rFonts w:hint="eastAsia" w:ascii="宋体" w:hAnsi="宋体" w:eastAsia="华文宋体" w:cs="宋体"/>
              <w:b w:val="0"/>
              <w:bCs w:val="0"/>
              <w:color w:val="auto"/>
              <w:sz w:val="28"/>
              <w:szCs w:val="24"/>
              <w:lang w:val="en-US" w:eastAsia="zh-CN"/>
            </w:rPr>
            <w:fldChar w:fldCharType="separate"/>
          </w: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_Toc20864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第一章 招标公告</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_Toc20864 \h </w:instrText>
          </w:r>
          <w:r>
            <w:rPr>
              <w:rFonts w:eastAsia="华文宋体"/>
              <w:color w:val="auto"/>
              <w:sz w:val="28"/>
            </w:rPr>
            <w:fldChar w:fldCharType="separate"/>
          </w:r>
          <w:r>
            <w:rPr>
              <w:rFonts w:eastAsia="华文宋体"/>
              <w:color w:val="auto"/>
              <w:sz w:val="28"/>
            </w:rPr>
            <w:t>1</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_Toc32257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第二章 投标须知前附表</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_Toc32257 \h </w:instrText>
          </w:r>
          <w:r>
            <w:rPr>
              <w:rFonts w:eastAsia="华文宋体"/>
              <w:color w:val="auto"/>
              <w:sz w:val="28"/>
            </w:rPr>
            <w:fldChar w:fldCharType="separate"/>
          </w:r>
          <w:r>
            <w:rPr>
              <w:rFonts w:eastAsia="华文宋体"/>
              <w:color w:val="auto"/>
              <w:sz w:val="28"/>
            </w:rPr>
            <w:t>4</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_Toc30452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第三章 投标须知</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_Toc30452 \h </w:instrText>
          </w:r>
          <w:r>
            <w:rPr>
              <w:rFonts w:eastAsia="华文宋体"/>
              <w:color w:val="auto"/>
              <w:sz w:val="28"/>
            </w:rPr>
            <w:fldChar w:fldCharType="separate"/>
          </w:r>
          <w:r>
            <w:rPr>
              <w:rFonts w:eastAsia="华文宋体"/>
              <w:color w:val="auto"/>
              <w:sz w:val="28"/>
            </w:rPr>
            <w:t>8</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_Toc5415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第四章 餐饮服务标准</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_Toc5415 \h </w:instrText>
          </w:r>
          <w:r>
            <w:rPr>
              <w:rFonts w:eastAsia="华文宋体"/>
              <w:color w:val="auto"/>
              <w:sz w:val="28"/>
            </w:rPr>
            <w:fldChar w:fldCharType="separate"/>
          </w:r>
          <w:r>
            <w:rPr>
              <w:rFonts w:eastAsia="华文宋体"/>
              <w:color w:val="auto"/>
              <w:sz w:val="28"/>
            </w:rPr>
            <w:t>11</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_Toc21014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第五章 投标文件编制规范</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_Toc21014 \h </w:instrText>
          </w:r>
          <w:r>
            <w:rPr>
              <w:rFonts w:eastAsia="华文宋体"/>
              <w:color w:val="auto"/>
              <w:sz w:val="28"/>
            </w:rPr>
            <w:fldChar w:fldCharType="separate"/>
          </w:r>
          <w:r>
            <w:rPr>
              <w:rFonts w:eastAsia="华文宋体"/>
              <w:color w:val="auto"/>
              <w:sz w:val="28"/>
            </w:rPr>
            <w:t>12</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_Toc11838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rPr>
            <w:t>第</w:t>
          </w:r>
          <w:r>
            <w:rPr>
              <w:rFonts w:hint="eastAsia" w:eastAsia="华文宋体"/>
              <w:color w:val="auto"/>
              <w:sz w:val="28"/>
              <w:szCs w:val="36"/>
              <w:lang w:val="en-US" w:eastAsia="zh-CN"/>
            </w:rPr>
            <w:t>六章 投标保证金</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_Toc11838 \h </w:instrText>
          </w:r>
          <w:r>
            <w:rPr>
              <w:rFonts w:eastAsia="华文宋体"/>
              <w:color w:val="auto"/>
              <w:sz w:val="28"/>
            </w:rPr>
            <w:fldChar w:fldCharType="separate"/>
          </w:r>
          <w:r>
            <w:rPr>
              <w:rFonts w:eastAsia="华文宋体"/>
              <w:color w:val="auto"/>
              <w:sz w:val="28"/>
            </w:rPr>
            <w:t>14</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_Toc28465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第七章 评标办法及评分标准</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_Toc28465 \h </w:instrText>
          </w:r>
          <w:r>
            <w:rPr>
              <w:rFonts w:eastAsia="华文宋体"/>
              <w:color w:val="auto"/>
              <w:sz w:val="28"/>
            </w:rPr>
            <w:fldChar w:fldCharType="separate"/>
          </w:r>
          <w:r>
            <w:rPr>
              <w:rFonts w:eastAsia="华文宋体"/>
              <w:color w:val="auto"/>
              <w:sz w:val="28"/>
            </w:rPr>
            <w:t>15</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_Toc19351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 xml:space="preserve">第八章 </w:t>
          </w:r>
          <w:r>
            <w:rPr>
              <w:rFonts w:hint="eastAsia" w:eastAsia="华文宋体"/>
              <w:color w:val="auto"/>
              <w:sz w:val="28"/>
              <w:szCs w:val="36"/>
            </w:rPr>
            <w:t>授予合同</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_Toc19351 \h </w:instrText>
          </w:r>
          <w:r>
            <w:rPr>
              <w:rFonts w:eastAsia="华文宋体"/>
              <w:color w:val="auto"/>
              <w:sz w:val="28"/>
            </w:rPr>
            <w:fldChar w:fldCharType="separate"/>
          </w:r>
          <w:r>
            <w:rPr>
              <w:rFonts w:eastAsia="华文宋体"/>
              <w:color w:val="auto"/>
              <w:sz w:val="28"/>
            </w:rPr>
            <w:t>21</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1000" w:lineRule="exact"/>
            <w:textAlignment w:val="auto"/>
            <w:rPr>
              <w:rFonts w:eastAsia="华文宋体"/>
              <w:color w:val="auto"/>
              <w:sz w:val="28"/>
            </w:rPr>
          </w:pPr>
          <w:r>
            <w:rPr>
              <w:rFonts w:hint="eastAsia" w:ascii="宋体" w:hAnsi="宋体" w:eastAsia="华文宋体" w:cs="宋体"/>
              <w:bCs w:val="0"/>
              <w:color w:val="auto"/>
              <w:sz w:val="28"/>
              <w:szCs w:val="24"/>
              <w:lang w:val="en-US" w:eastAsia="zh-CN"/>
            </w:rPr>
            <w:fldChar w:fldCharType="begin"/>
          </w:r>
          <w:r>
            <w:rPr>
              <w:rFonts w:hint="eastAsia" w:ascii="宋体" w:hAnsi="宋体" w:eastAsia="华文宋体" w:cs="宋体"/>
              <w:bCs w:val="0"/>
              <w:color w:val="auto"/>
              <w:sz w:val="28"/>
              <w:szCs w:val="24"/>
              <w:lang w:val="en-US" w:eastAsia="zh-CN"/>
            </w:rPr>
            <w:instrText xml:space="preserve"> HYPERLINK \l _Toc18277 </w:instrText>
          </w:r>
          <w:r>
            <w:rPr>
              <w:rFonts w:hint="eastAsia" w:ascii="宋体" w:hAnsi="宋体" w:eastAsia="华文宋体" w:cs="宋体"/>
              <w:bCs w:val="0"/>
              <w:color w:val="auto"/>
              <w:sz w:val="28"/>
              <w:szCs w:val="24"/>
              <w:lang w:val="en-US" w:eastAsia="zh-CN"/>
            </w:rPr>
            <w:fldChar w:fldCharType="separate"/>
          </w:r>
          <w:r>
            <w:rPr>
              <w:rFonts w:hint="eastAsia" w:eastAsia="华文宋体"/>
              <w:color w:val="auto"/>
              <w:sz w:val="28"/>
              <w:szCs w:val="36"/>
              <w:lang w:val="en-US" w:eastAsia="zh-CN"/>
            </w:rPr>
            <w:t>第九章 投标文件格式</w:t>
          </w:r>
          <w:r>
            <w:rPr>
              <w:rFonts w:eastAsia="华文宋体"/>
              <w:color w:val="auto"/>
              <w:sz w:val="28"/>
            </w:rPr>
            <w:tab/>
          </w:r>
          <w:r>
            <w:rPr>
              <w:rFonts w:eastAsia="华文宋体"/>
              <w:color w:val="auto"/>
              <w:sz w:val="28"/>
            </w:rPr>
            <w:fldChar w:fldCharType="begin"/>
          </w:r>
          <w:r>
            <w:rPr>
              <w:rFonts w:eastAsia="华文宋体"/>
              <w:color w:val="auto"/>
              <w:sz w:val="28"/>
            </w:rPr>
            <w:instrText xml:space="preserve"> PAGEREF _Toc18277 \h </w:instrText>
          </w:r>
          <w:r>
            <w:rPr>
              <w:rFonts w:eastAsia="华文宋体"/>
              <w:color w:val="auto"/>
              <w:sz w:val="28"/>
            </w:rPr>
            <w:fldChar w:fldCharType="separate"/>
          </w:r>
          <w:r>
            <w:rPr>
              <w:rFonts w:eastAsia="华文宋体"/>
              <w:color w:val="auto"/>
              <w:sz w:val="28"/>
            </w:rPr>
            <w:t>28</w:t>
          </w:r>
          <w:r>
            <w:rPr>
              <w:rFonts w:eastAsia="华文宋体"/>
              <w:color w:val="auto"/>
              <w:sz w:val="28"/>
            </w:rPr>
            <w:fldChar w:fldCharType="end"/>
          </w:r>
          <w:r>
            <w:rPr>
              <w:rFonts w:hint="eastAsia" w:ascii="宋体" w:hAnsi="宋体" w:eastAsia="华文宋体" w:cs="宋体"/>
              <w:bCs w:val="0"/>
              <w:color w:val="auto"/>
              <w:sz w:val="28"/>
              <w:szCs w:val="24"/>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华文宋体" w:cs="宋体"/>
              <w:bCs w:val="0"/>
              <w:color w:val="auto"/>
              <w:sz w:val="28"/>
              <w:szCs w:val="24"/>
              <w:lang w:val="en-US" w:eastAsia="zh-CN"/>
            </w:rPr>
            <w:fldChar w:fldCharType="end"/>
          </w:r>
        </w:p>
      </w:sdtContent>
    </w:sdt>
    <w:p>
      <w:pPr>
        <w:jc w:val="center"/>
        <w:rPr>
          <w:rFonts w:hint="eastAsia" w:ascii="宋体" w:hAnsi="宋体" w:eastAsia="宋体" w:cs="宋体"/>
          <w:b w:val="0"/>
          <w:bCs w:val="0"/>
          <w:color w:val="auto"/>
          <w:sz w:val="28"/>
          <w:szCs w:val="28"/>
          <w:lang w:val="en-US" w:eastAsia="zh-CN"/>
        </w:rPr>
      </w:pPr>
    </w:p>
    <w:p>
      <w:pPr>
        <w:jc w:val="center"/>
        <w:rPr>
          <w:rFonts w:hint="eastAsia" w:ascii="宋体" w:hAnsi="宋体" w:eastAsia="宋体" w:cs="宋体"/>
          <w:b w:val="0"/>
          <w:bCs w:val="0"/>
          <w:color w:val="auto"/>
          <w:sz w:val="28"/>
          <w:szCs w:val="28"/>
          <w:lang w:val="en-US" w:eastAsia="zh-CN"/>
        </w:rPr>
      </w:pPr>
    </w:p>
    <w:p>
      <w:pPr>
        <w:pStyle w:val="3"/>
        <w:keepNext/>
        <w:keepLines/>
        <w:pageBreakBefore w:val="0"/>
        <w:widowControl w:val="0"/>
        <w:numPr>
          <w:ilvl w:val="0"/>
          <w:numId w:val="2"/>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pPr>
        <w:pStyle w:val="3"/>
        <w:keepNext/>
        <w:keepLines/>
        <w:pageBreakBefore w:val="0"/>
        <w:widowControl w:val="0"/>
        <w:numPr>
          <w:ilvl w:val="0"/>
          <w:numId w:val="2"/>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r>
        <w:rPr>
          <w:rFonts w:hint="eastAsia"/>
          <w:color w:val="auto"/>
          <w:sz w:val="36"/>
          <w:szCs w:val="36"/>
          <w:lang w:val="en-US" w:eastAsia="zh-CN"/>
        </w:rPr>
        <w:t xml:space="preserve"> </w:t>
      </w:r>
      <w:bookmarkStart w:id="0" w:name="_Toc20864"/>
      <w:r>
        <w:rPr>
          <w:rFonts w:hint="eastAsia"/>
          <w:color w:val="auto"/>
          <w:sz w:val="36"/>
          <w:szCs w:val="36"/>
          <w:lang w:val="en-US" w:eastAsia="zh-CN"/>
        </w:rPr>
        <w:t>招标公告</w:t>
      </w:r>
      <w:bookmarkEnd w:id="0"/>
    </w:p>
    <w:p>
      <w:pPr>
        <w:pageBreakBefore w:val="0"/>
        <w:numPr>
          <w:ilvl w:val="0"/>
          <w:numId w:val="0"/>
        </w:numPr>
        <w:kinsoku/>
        <w:wordWrap/>
        <w:overflowPunct/>
        <w:topLinePunct w:val="0"/>
        <w:autoSpaceDE/>
        <w:autoSpaceDN/>
        <w:bidi w:val="0"/>
        <w:adjustRightInd w:val="0"/>
        <w:snapToGrid w:val="0"/>
        <w:spacing w:line="400" w:lineRule="exact"/>
        <w:ind w:firstLine="643" w:firstLineChars="200"/>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乌鲁木齐经济技术开发区（乌鲁木齐市头屯河区）北站东路片区管理委员会警务站配送餐项目公开招标公告</w:t>
      </w:r>
    </w:p>
    <w:tbl>
      <w:tblPr>
        <w:tblStyle w:val="17"/>
        <w:tblpPr w:leftFromText="180" w:rightFromText="180" w:vertAnchor="text" w:horzAnchor="page" w:tblpX="1676" w:tblpY="543"/>
        <w:tblOverlap w:val="never"/>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9467" w:type="dxa"/>
            <w:noWrap w:val="0"/>
            <w:vAlign w:val="top"/>
          </w:tcPr>
          <w:p>
            <w:pPr>
              <w:pStyle w:val="16"/>
              <w:spacing w:before="75" w:beforeAutospacing="0" w:after="75" w:afterAutospacing="0"/>
              <w:rPr>
                <w:rFonts w:hint="eastAsia" w:ascii="宋体" w:hAnsi="宋体" w:eastAsia="宋体" w:cs="宋体"/>
                <w:color w:val="auto"/>
              </w:rPr>
            </w:pPr>
            <w:r>
              <w:rPr>
                <w:rFonts w:hint="eastAsia" w:ascii="宋体" w:hAnsi="宋体" w:eastAsia="宋体" w:cs="宋体"/>
                <w:color w:val="auto"/>
              </w:rPr>
              <w:t>项目概况：</w:t>
            </w:r>
          </w:p>
          <w:p>
            <w:pPr>
              <w:pageBreakBefore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b w:val="0"/>
                <w:bCs w:val="0"/>
                <w:color w:val="auto"/>
                <w:sz w:val="24"/>
                <w:szCs w:val="24"/>
                <w:u w:val="single"/>
                <w:lang w:val="en-US" w:eastAsia="zh-CN"/>
              </w:rPr>
              <w:t>乌鲁木齐经济技术开发区（乌鲁木齐市头屯河区）北站东路片区管理委员会警务站配送餐项目</w:t>
            </w:r>
            <w:r>
              <w:rPr>
                <w:rFonts w:hint="eastAsia" w:ascii="宋体" w:hAnsi="宋体" w:eastAsia="宋体" w:cs="宋体"/>
                <w:color w:val="auto"/>
                <w:sz w:val="24"/>
                <w:szCs w:val="24"/>
                <w:lang w:val="en-US" w:eastAsia="zh-CN"/>
              </w:rPr>
              <w:t>的潜在投标人应在</w:t>
            </w:r>
            <w:r>
              <w:rPr>
                <w:rFonts w:hint="eastAsia" w:ascii="宋体" w:hAnsi="宋体" w:eastAsia="宋体" w:cs="宋体"/>
                <w:color w:val="auto"/>
                <w:sz w:val="24"/>
                <w:szCs w:val="24"/>
                <w:u w:val="single"/>
                <w:lang w:val="en-US" w:eastAsia="zh-CN"/>
              </w:rPr>
              <w:t>新疆乌鲁木齐市水磨沟区立井街198号丽景中央城9号楼（全季酒店）五层503室</w:t>
            </w:r>
            <w:r>
              <w:rPr>
                <w:rFonts w:hint="eastAsia" w:ascii="宋体" w:hAnsi="宋体" w:eastAsia="宋体" w:cs="宋体"/>
                <w:color w:val="auto"/>
                <w:sz w:val="24"/>
                <w:szCs w:val="24"/>
                <w:lang w:val="en-US" w:eastAsia="zh-CN"/>
              </w:rPr>
              <w:t>获取招标文件，并于</w:t>
            </w:r>
            <w:r>
              <w:rPr>
                <w:rFonts w:hint="eastAsia" w:ascii="宋体" w:hAnsi="宋体" w:eastAsia="宋体" w:cs="宋体"/>
                <w:color w:val="auto"/>
                <w:sz w:val="24"/>
                <w:szCs w:val="24"/>
                <w:u w:val="single"/>
                <w:lang w:val="en-US" w:eastAsia="zh-CN"/>
              </w:rPr>
              <w:t>2022年7月18日下午16:00</w:t>
            </w:r>
            <w:r>
              <w:rPr>
                <w:rFonts w:hint="eastAsia" w:ascii="宋体" w:hAnsi="宋体" w:eastAsia="宋体" w:cs="宋体"/>
                <w:color w:val="auto"/>
                <w:sz w:val="24"/>
                <w:szCs w:val="24"/>
                <w:lang w:val="en-US" w:eastAsia="zh-CN"/>
              </w:rPr>
              <w:t>（北京时间）前递交投标文件。</w:t>
            </w:r>
          </w:p>
        </w:tc>
      </w:tr>
    </w:tbl>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一、项目基本情况</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1、项目编号：RSY-2022-025[2022]708号</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2、项目名称：乌鲁木齐经济技术开发区（乌鲁木齐市头屯河区）北站东路片区管理委员会警务站配送餐项目</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3、采购方式：公开招标</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4、预算金额（元）：3723720.00元</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5、最高限价（元）：3723720.00元</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6、采购需求：</w:t>
      </w:r>
    </w:p>
    <w:tbl>
      <w:tblPr>
        <w:tblStyle w:val="17"/>
        <w:tblpPr w:leftFromText="180" w:rightFromText="180" w:vertAnchor="text" w:horzAnchor="page" w:tblpX="1691" w:tblpY="3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2644"/>
        <w:gridCol w:w="1701"/>
        <w:gridCol w:w="235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92"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标项序号</w:t>
            </w:r>
          </w:p>
        </w:tc>
        <w:tc>
          <w:tcPr>
            <w:tcW w:w="2644"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标项名称</w:t>
            </w:r>
          </w:p>
        </w:tc>
        <w:tc>
          <w:tcPr>
            <w:tcW w:w="1701"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预算金额</w:t>
            </w:r>
          </w:p>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（元）</w:t>
            </w:r>
          </w:p>
        </w:tc>
        <w:tc>
          <w:tcPr>
            <w:tcW w:w="2353"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简要规格描述</w:t>
            </w:r>
          </w:p>
        </w:tc>
        <w:tc>
          <w:tcPr>
            <w:tcW w:w="957"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292"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2644"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eastAsia="宋体" w:cs="宋体"/>
                <w:b w:val="0"/>
                <w:bCs w:val="0"/>
                <w:color w:val="auto"/>
                <w:sz w:val="24"/>
                <w:szCs w:val="24"/>
                <w:lang w:val="en-US" w:eastAsia="zh-CN"/>
              </w:rPr>
              <w:t>乌鲁木齐经济技术开发区（乌鲁木齐市头屯河区）北站东路片区管理委员会警务站配送餐项目</w:t>
            </w:r>
          </w:p>
        </w:tc>
        <w:tc>
          <w:tcPr>
            <w:tcW w:w="1701"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eastAsia="宋体" w:cs="宋体"/>
                <w:color w:val="auto"/>
                <w:sz w:val="24"/>
                <w:szCs w:val="24"/>
                <w:lang w:val="en-US" w:eastAsia="zh-CN"/>
              </w:rPr>
              <w:t>3723720.00</w:t>
            </w:r>
            <w:r>
              <w:rPr>
                <w:rFonts w:hint="eastAsia" w:eastAsia="宋体" w:cs="宋体"/>
                <w:color w:val="auto"/>
                <w:sz w:val="24"/>
                <w:szCs w:val="24"/>
                <w:lang w:val="en-US" w:eastAsia="zh-CN"/>
              </w:rPr>
              <w:tab/>
            </w:r>
            <w:r>
              <w:rPr>
                <w:rFonts w:hint="eastAsia" w:eastAsia="宋体" w:cs="宋体"/>
                <w:color w:val="auto"/>
                <w:sz w:val="24"/>
                <w:szCs w:val="24"/>
                <w:lang w:val="en-US" w:eastAsia="zh-CN"/>
              </w:rPr>
              <w:t>493.115</w:t>
            </w:r>
          </w:p>
        </w:tc>
        <w:tc>
          <w:tcPr>
            <w:tcW w:w="2353"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r>
              <w:rPr>
                <w:rFonts w:hint="eastAsia" w:eastAsia="宋体" w:cs="宋体"/>
                <w:b w:val="0"/>
                <w:bCs w:val="0"/>
                <w:color w:val="auto"/>
                <w:sz w:val="24"/>
                <w:szCs w:val="24"/>
                <w:lang w:val="en-US" w:eastAsia="zh-CN"/>
              </w:rPr>
              <w:t>北站东路片区管理委员会警务站配送餐</w:t>
            </w:r>
            <w:r>
              <w:rPr>
                <w:rFonts w:hint="eastAsia" w:ascii="宋体" w:hAnsi="宋体" w:eastAsia="宋体" w:cs="宋体"/>
                <w:color w:val="auto"/>
                <w:sz w:val="24"/>
                <w:szCs w:val="24"/>
                <w:lang w:val="en-US" w:eastAsia="zh-CN"/>
              </w:rPr>
              <w:t>，具体详见招标文件</w:t>
            </w:r>
          </w:p>
        </w:tc>
        <w:tc>
          <w:tcPr>
            <w:tcW w:w="957" w:type="dxa"/>
            <w:noWrap w:val="0"/>
            <w:vAlign w:val="center"/>
          </w:tcPr>
          <w:p>
            <w:pPr>
              <w:pStyle w:val="11"/>
              <w:tabs>
                <w:tab w:val="left" w:pos="4305"/>
              </w:tabs>
              <w:spacing w:line="380" w:lineRule="exact"/>
              <w:jc w:val="center"/>
              <w:rPr>
                <w:rFonts w:hint="eastAsia" w:ascii="宋体" w:hAnsi="宋体" w:eastAsia="宋体" w:cs="宋体"/>
                <w:bCs/>
                <w:color w:val="auto"/>
                <w:sz w:val="24"/>
                <w:szCs w:val="24"/>
                <w:lang w:val="en-US" w:eastAsia="zh-CN"/>
              </w:rPr>
            </w:pPr>
          </w:p>
        </w:tc>
      </w:tr>
    </w:tbl>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7、合同履约期限：2年</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8、本项目（否）接受联合体投标。</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二、申请人的资格要求：</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rPr>
          <w:rStyle w:val="19"/>
          <w:rFonts w:hint="eastAsia" w:ascii="宋体" w:hAnsi="宋体" w:eastAsia="宋体" w:cs="宋体"/>
          <w:b w:val="0"/>
          <w:bCs w:val="0"/>
          <w:color w:val="auto"/>
          <w:kern w:val="0"/>
          <w:sz w:val="24"/>
          <w:szCs w:val="24"/>
          <w:lang w:val="en-US" w:eastAsia="zh-CN" w:bidi="ar-SA"/>
        </w:rPr>
      </w:pPr>
      <w:r>
        <w:rPr>
          <w:rStyle w:val="19"/>
          <w:rFonts w:hint="eastAsia" w:ascii="宋体" w:hAnsi="宋体" w:eastAsia="宋体" w:cs="宋体"/>
          <w:b w:val="0"/>
          <w:bCs w:val="0"/>
          <w:color w:val="auto"/>
          <w:kern w:val="0"/>
          <w:sz w:val="24"/>
          <w:szCs w:val="24"/>
          <w:lang w:val="en-US" w:eastAsia="zh-CN" w:bidi="ar-SA"/>
        </w:rPr>
        <w:t>1.满足《中华人民共和国政府采购法》第二十二条规定；</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rPr>
          <w:rStyle w:val="19"/>
          <w:rFonts w:hint="eastAsia" w:ascii="宋体" w:hAnsi="宋体" w:eastAsia="宋体" w:cs="宋体"/>
          <w:b w:val="0"/>
          <w:bCs w:val="0"/>
          <w:color w:val="auto"/>
          <w:kern w:val="0"/>
          <w:sz w:val="24"/>
          <w:szCs w:val="24"/>
          <w:lang w:val="en-US" w:eastAsia="zh-CN" w:bidi="ar-SA"/>
        </w:rPr>
      </w:pPr>
      <w:r>
        <w:rPr>
          <w:rStyle w:val="19"/>
          <w:rFonts w:hint="eastAsia" w:ascii="宋体" w:hAnsi="宋体" w:eastAsia="宋体" w:cs="宋体"/>
          <w:b w:val="0"/>
          <w:bCs w:val="0"/>
          <w:color w:val="auto"/>
          <w:kern w:val="0"/>
          <w:sz w:val="24"/>
          <w:szCs w:val="24"/>
          <w:lang w:val="en-US" w:eastAsia="zh-CN" w:bidi="ar-SA"/>
        </w:rPr>
        <w:t>2.落实政府采购政策需满足的资格要求：</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rPr>
          <w:rStyle w:val="19"/>
          <w:rFonts w:hint="eastAsia" w:ascii="宋体" w:hAnsi="宋体" w:eastAsia="宋体" w:cs="宋体"/>
          <w:b w:val="0"/>
          <w:bCs w:val="0"/>
          <w:color w:val="auto"/>
          <w:kern w:val="0"/>
          <w:sz w:val="24"/>
          <w:szCs w:val="24"/>
          <w:lang w:val="en-US" w:eastAsia="zh-CN" w:bidi="ar-SA"/>
        </w:rPr>
      </w:pPr>
      <w:r>
        <w:rPr>
          <w:rStyle w:val="19"/>
          <w:rFonts w:hint="eastAsia" w:ascii="宋体" w:hAnsi="宋体" w:eastAsia="宋体" w:cs="宋体"/>
          <w:b w:val="0"/>
          <w:bCs w:val="0"/>
          <w:color w:val="auto"/>
          <w:kern w:val="0"/>
          <w:sz w:val="24"/>
          <w:szCs w:val="24"/>
          <w:lang w:val="en-US" w:eastAsia="zh-CN" w:bidi="ar-SA"/>
        </w:rPr>
        <w:t>（1）财政部、工业和信息化部《关于印发《政府采购促进中小企业展暂行办法》的通知》（财库〔20</w:t>
      </w:r>
      <w:r>
        <w:rPr>
          <w:rStyle w:val="19"/>
          <w:rFonts w:hint="eastAsia" w:ascii="宋体" w:hAnsi="宋体" w:cs="宋体"/>
          <w:b w:val="0"/>
          <w:bCs w:val="0"/>
          <w:color w:val="auto"/>
          <w:kern w:val="0"/>
          <w:sz w:val="24"/>
          <w:szCs w:val="24"/>
          <w:lang w:val="en-US" w:eastAsia="zh-CN" w:bidi="ar-SA"/>
        </w:rPr>
        <w:t>20</w:t>
      </w:r>
      <w:r>
        <w:rPr>
          <w:rStyle w:val="19"/>
          <w:rFonts w:hint="eastAsia" w:ascii="宋体" w:hAnsi="宋体" w:eastAsia="宋体" w:cs="宋体"/>
          <w:b w:val="0"/>
          <w:bCs w:val="0"/>
          <w:color w:val="auto"/>
          <w:kern w:val="0"/>
          <w:sz w:val="24"/>
          <w:szCs w:val="24"/>
          <w:lang w:val="en-US" w:eastAsia="zh-CN" w:bidi="ar-SA"/>
        </w:rPr>
        <w:t>〕</w:t>
      </w:r>
      <w:r>
        <w:rPr>
          <w:rStyle w:val="19"/>
          <w:rFonts w:hint="eastAsia" w:ascii="宋体" w:hAnsi="宋体" w:cs="宋体"/>
          <w:b w:val="0"/>
          <w:bCs w:val="0"/>
          <w:color w:val="auto"/>
          <w:kern w:val="0"/>
          <w:sz w:val="24"/>
          <w:szCs w:val="24"/>
          <w:lang w:val="en-US" w:eastAsia="zh-CN" w:bidi="ar-SA"/>
        </w:rPr>
        <w:t>46</w:t>
      </w:r>
      <w:r>
        <w:rPr>
          <w:rStyle w:val="19"/>
          <w:rFonts w:hint="eastAsia" w:ascii="宋体" w:hAnsi="宋体" w:eastAsia="宋体" w:cs="宋体"/>
          <w:b w:val="0"/>
          <w:bCs w:val="0"/>
          <w:color w:val="auto"/>
          <w:kern w:val="0"/>
          <w:sz w:val="24"/>
          <w:szCs w:val="24"/>
          <w:lang w:val="en-US" w:eastAsia="zh-CN" w:bidi="ar-SA"/>
        </w:rPr>
        <w:t>号文）； </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rPr>
          <w:rStyle w:val="19"/>
          <w:rFonts w:hint="eastAsia" w:ascii="宋体" w:hAnsi="宋体" w:eastAsia="宋体" w:cs="宋体"/>
          <w:b w:val="0"/>
          <w:bCs w:val="0"/>
          <w:color w:val="auto"/>
          <w:kern w:val="0"/>
          <w:sz w:val="24"/>
          <w:szCs w:val="24"/>
          <w:lang w:val="en-US" w:eastAsia="zh-CN" w:bidi="ar-SA"/>
        </w:rPr>
      </w:pPr>
      <w:r>
        <w:rPr>
          <w:rStyle w:val="19"/>
          <w:rFonts w:hint="eastAsia" w:ascii="宋体" w:hAnsi="宋体" w:eastAsia="宋体" w:cs="宋体"/>
          <w:b w:val="0"/>
          <w:bCs w:val="0"/>
          <w:color w:val="auto"/>
          <w:kern w:val="0"/>
          <w:sz w:val="24"/>
          <w:szCs w:val="24"/>
          <w:lang w:val="en-US" w:eastAsia="zh-CN" w:bidi="ar-SA"/>
        </w:rPr>
        <w:t>（2）财政部、民政部、中国残疾人联合会《关于促进残疾人就业政府采购政策的通知》（财库[2017]141号）； </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rPr>
          <w:rStyle w:val="19"/>
          <w:rFonts w:hint="eastAsia" w:ascii="宋体" w:hAnsi="宋体" w:eastAsia="宋体" w:cs="宋体"/>
          <w:b w:val="0"/>
          <w:bCs w:val="0"/>
          <w:color w:val="auto"/>
          <w:kern w:val="0"/>
          <w:sz w:val="24"/>
          <w:szCs w:val="24"/>
          <w:lang w:val="en-US" w:eastAsia="zh-CN" w:bidi="ar-SA"/>
        </w:rPr>
      </w:pPr>
      <w:r>
        <w:rPr>
          <w:rStyle w:val="19"/>
          <w:rFonts w:hint="eastAsia" w:ascii="宋体" w:hAnsi="宋体" w:eastAsia="宋体" w:cs="宋体"/>
          <w:b w:val="0"/>
          <w:bCs w:val="0"/>
          <w:color w:val="auto"/>
          <w:kern w:val="0"/>
          <w:sz w:val="24"/>
          <w:szCs w:val="24"/>
          <w:lang w:val="en-US" w:eastAsia="zh-CN" w:bidi="ar-SA"/>
        </w:rPr>
        <w:t>（3）财政部、司法部《关于政府采购支持监狱企业发展有关问题的通知》（财库[2014]68号文），（中小企业优惠、监狱企业、节能产品、环境标志产品等）。</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9"/>
          <w:rFonts w:hint="eastAsia" w:ascii="宋体" w:hAnsi="宋体" w:eastAsia="宋体" w:cs="宋体"/>
          <w:b w:val="0"/>
          <w:bCs w:val="0"/>
          <w:color w:val="auto"/>
          <w:kern w:val="0"/>
          <w:sz w:val="24"/>
          <w:szCs w:val="24"/>
          <w:lang w:val="en-US" w:eastAsia="zh-CN" w:bidi="ar-SA"/>
        </w:rPr>
      </w:pPr>
      <w:r>
        <w:rPr>
          <w:rStyle w:val="19"/>
          <w:rFonts w:hint="eastAsia" w:ascii="宋体" w:hAnsi="宋体" w:eastAsia="宋体" w:cs="宋体"/>
          <w:b w:val="0"/>
          <w:bCs w:val="0"/>
          <w:color w:val="auto"/>
          <w:kern w:val="0"/>
          <w:sz w:val="24"/>
          <w:szCs w:val="24"/>
          <w:lang w:val="en-US" w:eastAsia="zh-CN" w:bidi="ar-SA"/>
        </w:rPr>
        <w:t>3.本项目的特定资格要求：</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具有有效的营业执照；</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）有效的《食品经营许可证》；</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）有效的上岗人员健康证；</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rPr>
        <w:t>主体信用记录符合政府采购活动要求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5</w:t>
      </w:r>
      <w:r>
        <w:rPr>
          <w:rFonts w:hint="eastAsia" w:ascii="宋体" w:hAnsi="宋体" w:eastAsia="宋体" w:cs="宋体"/>
          <w:color w:val="auto"/>
          <w:lang w:eastAsia="zh-CN"/>
        </w:rPr>
        <w:t>）其他说明: 与招标人存在利害关系可能影响招标公正性的法人、其他组织或者个人，不得参加投标: 单位负责人为同一人或者存在直接控股、管理关系的不同供应商，不得参加同一合同项下的政府采购活动。违反上述两款规定的，相关投标均无效；</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cs="宋体"/>
          <w:color w:val="auto"/>
          <w:lang w:val="en-US" w:eastAsia="zh-CN"/>
        </w:rPr>
        <w:t>6</w:t>
      </w:r>
      <w:r>
        <w:rPr>
          <w:rFonts w:hint="eastAsia" w:ascii="宋体" w:hAnsi="宋体" w:eastAsia="宋体" w:cs="宋体"/>
          <w:color w:val="auto"/>
          <w:lang w:eastAsia="zh-CN"/>
        </w:rPr>
        <w:t>）法人代表或其委托代理人应携带本人身份证原件及复印件，委托代理人还应携带《法人代表授权委托书》</w:t>
      </w:r>
      <w:r>
        <w:rPr>
          <w:rFonts w:hint="eastAsia" w:ascii="宋体" w:hAnsi="宋体" w:cs="宋体"/>
          <w:color w:val="auto"/>
          <w:lang w:eastAsia="zh-CN"/>
        </w:rPr>
        <w:t>；</w:t>
      </w:r>
    </w:p>
    <w:p>
      <w:pPr>
        <w:pStyle w:val="21"/>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rPr>
          <w:rStyle w:val="19"/>
          <w:rFonts w:hint="eastAsia" w:ascii="宋体" w:hAnsi="宋体" w:eastAsia="宋体" w:cs="宋体"/>
          <w:b w:val="0"/>
          <w:bCs w:val="0"/>
          <w:color w:val="auto"/>
          <w:kern w:val="0"/>
          <w:sz w:val="24"/>
          <w:szCs w:val="24"/>
          <w:lang w:val="en-US" w:eastAsia="zh-CN" w:bidi="ar-SA"/>
        </w:rPr>
      </w:pPr>
      <w:r>
        <w:rPr>
          <w:rFonts w:hint="eastAsia" w:ascii="宋体" w:hAnsi="宋体" w:eastAsia="宋体" w:cs="宋体"/>
          <w:color w:val="auto"/>
          <w:lang w:eastAsia="zh-CN"/>
        </w:rPr>
        <w:t>（</w:t>
      </w:r>
      <w:r>
        <w:rPr>
          <w:rFonts w:hint="eastAsia" w:ascii="宋体" w:hAnsi="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rPr>
        <w:t xml:space="preserve">本项目不接受联合体投标。 </w:t>
      </w:r>
    </w:p>
    <w:p>
      <w:pPr>
        <w:pStyle w:val="16"/>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b w:val="0"/>
          <w:bCs w:val="0"/>
          <w:i w:val="0"/>
          <w:caps w:val="0"/>
          <w:color w:val="auto"/>
          <w:spacing w:val="0"/>
          <w:sz w:val="24"/>
          <w:szCs w:val="24"/>
        </w:rPr>
      </w:pPr>
      <w:r>
        <w:rPr>
          <w:rStyle w:val="19"/>
          <w:rFonts w:hint="eastAsia" w:ascii="宋体" w:hAnsi="宋体" w:eastAsia="宋体" w:cs="宋体"/>
          <w:b w:val="0"/>
          <w:bCs w:val="0"/>
          <w:i w:val="0"/>
          <w:caps w:val="0"/>
          <w:color w:val="auto"/>
          <w:spacing w:val="0"/>
          <w:sz w:val="24"/>
          <w:szCs w:val="24"/>
        </w:rPr>
        <w:t>三、获取招标文件</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1、</w:t>
      </w:r>
      <w:r>
        <w:rPr>
          <w:rFonts w:hint="eastAsia" w:ascii="宋体" w:hAnsi="宋体" w:eastAsia="宋体" w:cs="宋体"/>
          <w:i w:val="0"/>
          <w:caps w:val="0"/>
          <w:color w:val="auto"/>
          <w:spacing w:val="0"/>
          <w:sz w:val="24"/>
          <w:szCs w:val="24"/>
        </w:rPr>
        <w:t>时间：</w:t>
      </w:r>
      <w:r>
        <w:rPr>
          <w:rFonts w:hint="eastAsia" w:ascii="宋体" w:hAnsi="宋体" w:eastAsia="宋体" w:cs="宋体"/>
          <w:i w:val="0"/>
          <w:caps w:val="0"/>
          <w:color w:val="auto"/>
          <w:spacing w:val="0"/>
          <w:sz w:val="24"/>
          <w:szCs w:val="24"/>
          <w:lang w:eastAsia="zh-CN"/>
        </w:rPr>
        <w:t>2022年6月28日至2022年7月</w:t>
      </w:r>
      <w:r>
        <w:rPr>
          <w:rFonts w:hint="eastAsia" w:ascii="宋体" w:hAnsi="宋体" w:eastAsia="宋体" w:cs="宋体"/>
          <w:i w:val="0"/>
          <w:caps w:val="0"/>
          <w:color w:val="auto"/>
          <w:spacing w:val="0"/>
          <w:sz w:val="24"/>
          <w:szCs w:val="24"/>
          <w:lang w:val="en-US" w:eastAsia="zh-CN"/>
        </w:rPr>
        <w:t>5</w:t>
      </w:r>
      <w:bookmarkStart w:id="69" w:name="_GoBack"/>
      <w:bookmarkEnd w:id="69"/>
      <w:r>
        <w:rPr>
          <w:rFonts w:hint="eastAsia" w:ascii="宋体" w:hAnsi="宋体" w:eastAsia="宋体" w:cs="宋体"/>
          <w:i w:val="0"/>
          <w:caps w:val="0"/>
          <w:color w:val="auto"/>
          <w:spacing w:val="0"/>
          <w:sz w:val="24"/>
          <w:szCs w:val="24"/>
          <w:lang w:eastAsia="zh-CN"/>
        </w:rPr>
        <w:t>日</w:t>
      </w:r>
      <w:r>
        <w:rPr>
          <w:rFonts w:hint="eastAsia" w:ascii="宋体" w:hAnsi="宋体" w:eastAsia="宋体" w:cs="宋体"/>
          <w:i w:val="0"/>
          <w:caps w:val="0"/>
          <w:color w:val="auto"/>
          <w:spacing w:val="0"/>
          <w:sz w:val="24"/>
          <w:szCs w:val="24"/>
        </w:rPr>
        <w:t>，每天上午10:</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0至1</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:00，下午</w:t>
      </w:r>
      <w:r>
        <w:rPr>
          <w:rFonts w:hint="eastAsia" w:ascii="宋体" w:hAnsi="宋体" w:eastAsia="宋体" w:cs="宋体"/>
          <w:i w:val="0"/>
          <w:caps w:val="0"/>
          <w:color w:val="auto"/>
          <w:spacing w:val="0"/>
          <w:sz w:val="24"/>
          <w:szCs w:val="24"/>
          <w:lang w:val="en-US" w:eastAsia="zh-CN"/>
        </w:rPr>
        <w:t>15</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0至1</w:t>
      </w:r>
      <w:r>
        <w:rPr>
          <w:rFonts w:hint="eastAsia" w:ascii="宋体" w:hAnsi="宋体" w:eastAsia="宋体" w:cs="宋体"/>
          <w:i w:val="0"/>
          <w:caps w:val="0"/>
          <w:color w:val="auto"/>
          <w:spacing w:val="0"/>
          <w:sz w:val="24"/>
          <w:szCs w:val="24"/>
          <w:lang w:val="en-US" w:eastAsia="zh-CN"/>
        </w:rPr>
        <w:t>8</w:t>
      </w:r>
      <w:r>
        <w:rPr>
          <w:rFonts w:hint="eastAsia" w:ascii="宋体" w:hAnsi="宋体" w:eastAsia="宋体" w:cs="宋体"/>
          <w:i w:val="0"/>
          <w:caps w:val="0"/>
          <w:color w:val="auto"/>
          <w:spacing w:val="0"/>
          <w:sz w:val="24"/>
          <w:szCs w:val="24"/>
        </w:rPr>
        <w:t>:</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0（北京时间，法定节假日除外）</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2、</w:t>
      </w:r>
      <w:r>
        <w:rPr>
          <w:rFonts w:hint="eastAsia" w:ascii="宋体" w:hAnsi="宋体" w:eastAsia="宋体" w:cs="宋体"/>
          <w:i w:val="0"/>
          <w:caps w:val="0"/>
          <w:color w:val="auto"/>
          <w:spacing w:val="0"/>
          <w:sz w:val="24"/>
          <w:szCs w:val="24"/>
        </w:rPr>
        <w:t>地点：</w:t>
      </w:r>
      <w:r>
        <w:rPr>
          <w:rFonts w:hint="eastAsia" w:ascii="宋体" w:hAnsi="宋体" w:eastAsia="宋体" w:cs="宋体"/>
          <w:i w:val="0"/>
          <w:caps w:val="0"/>
          <w:color w:val="auto"/>
          <w:spacing w:val="0"/>
          <w:sz w:val="24"/>
          <w:szCs w:val="24"/>
          <w:lang w:val="en-US" w:eastAsia="zh-CN"/>
        </w:rPr>
        <w:t>新疆乌鲁木齐市水磨沟区立井街198号丽景中央城9号楼（全季酒店）五层503室</w:t>
      </w:r>
      <w:r>
        <w:rPr>
          <w:rFonts w:hint="eastAsia" w:ascii="宋体" w:hAnsi="宋体" w:eastAsia="宋体" w:cs="宋体"/>
          <w:i w:val="0"/>
          <w:caps w:val="0"/>
          <w:color w:val="auto"/>
          <w:spacing w:val="0"/>
          <w:sz w:val="24"/>
          <w:szCs w:val="24"/>
        </w:rPr>
        <w:t>　</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方式：现场购买</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lang w:val="en-US" w:eastAsia="zh-CN"/>
        </w:rPr>
        <w:t>4、</w:t>
      </w:r>
      <w:r>
        <w:rPr>
          <w:rFonts w:hint="eastAsia" w:ascii="宋体" w:hAnsi="宋体" w:eastAsia="宋体" w:cs="宋体"/>
          <w:i w:val="0"/>
          <w:caps w:val="0"/>
          <w:color w:val="auto"/>
          <w:spacing w:val="0"/>
          <w:sz w:val="24"/>
          <w:szCs w:val="24"/>
        </w:rPr>
        <w:t>售价（元）：</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00</w:t>
      </w:r>
      <w:r>
        <w:rPr>
          <w:rFonts w:hint="eastAsia" w:ascii="宋体" w:hAnsi="宋体" w:eastAsia="宋体" w:cs="宋体"/>
          <w:i w:val="0"/>
          <w:caps w:val="0"/>
          <w:color w:val="auto"/>
          <w:spacing w:val="0"/>
          <w:sz w:val="24"/>
          <w:szCs w:val="24"/>
          <w:lang w:eastAsia="zh-CN"/>
        </w:rPr>
        <w:t>，</w:t>
      </w:r>
      <w:r>
        <w:rPr>
          <w:rFonts w:hint="eastAsia" w:eastAsia="宋体" w:cs="宋体"/>
          <w:i w:val="0"/>
          <w:caps w:val="0"/>
          <w:color w:val="auto"/>
          <w:spacing w:val="0"/>
          <w:sz w:val="24"/>
          <w:szCs w:val="24"/>
          <w:lang w:val="en-US" w:eastAsia="zh-CN"/>
        </w:rPr>
        <w:t>标书售后，一概不退</w:t>
      </w:r>
    </w:p>
    <w:p>
      <w:pPr>
        <w:pStyle w:val="16"/>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9"/>
          <w:rFonts w:hint="eastAsia" w:ascii="宋体" w:hAnsi="宋体" w:eastAsia="宋体" w:cs="宋体"/>
          <w:i w:val="0"/>
          <w:caps w:val="0"/>
          <w:color w:val="auto"/>
          <w:spacing w:val="0"/>
          <w:sz w:val="24"/>
          <w:szCs w:val="24"/>
        </w:rPr>
        <w:t>四、提交投标文件截止时间、开标时间和地点</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1、</w:t>
      </w:r>
      <w:r>
        <w:rPr>
          <w:rFonts w:hint="eastAsia" w:ascii="宋体" w:hAnsi="宋体" w:eastAsia="宋体" w:cs="宋体"/>
          <w:i w:val="0"/>
          <w:caps w:val="0"/>
          <w:color w:val="auto"/>
          <w:spacing w:val="0"/>
          <w:sz w:val="24"/>
          <w:szCs w:val="24"/>
        </w:rPr>
        <w:t>提交投标文件截止时间：</w:t>
      </w:r>
      <w:r>
        <w:rPr>
          <w:rFonts w:hint="eastAsia" w:ascii="宋体" w:hAnsi="宋体" w:eastAsia="宋体" w:cs="宋体"/>
          <w:i w:val="0"/>
          <w:caps w:val="0"/>
          <w:color w:val="auto"/>
          <w:spacing w:val="0"/>
          <w:sz w:val="24"/>
          <w:szCs w:val="24"/>
          <w:lang w:eastAsia="zh-CN"/>
        </w:rPr>
        <w:t>2022年7月18日16</w:t>
      </w:r>
      <w:r>
        <w:rPr>
          <w:rFonts w:hint="eastAsia" w:ascii="宋体" w:hAnsi="宋体" w:eastAsia="宋体" w:cs="宋体"/>
          <w:i w:val="0"/>
          <w:caps w:val="0"/>
          <w:color w:val="auto"/>
          <w:spacing w:val="0"/>
          <w:sz w:val="24"/>
          <w:szCs w:val="24"/>
          <w:lang w:val="en-US" w:eastAsia="zh-CN"/>
        </w:rPr>
        <w:t>:</w:t>
      </w:r>
      <w:r>
        <w:rPr>
          <w:rFonts w:hint="eastAsia" w:ascii="宋体" w:hAnsi="宋体" w:eastAsia="宋体" w:cs="宋体"/>
          <w:i w:val="0"/>
          <w:caps w:val="0"/>
          <w:color w:val="auto"/>
          <w:spacing w:val="0"/>
          <w:sz w:val="24"/>
          <w:szCs w:val="24"/>
          <w:lang w:eastAsia="zh-CN"/>
        </w:rPr>
        <w:t>00（北京时间）</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lang w:val="en-US" w:eastAsia="zh-CN"/>
        </w:rPr>
        <w:t>2、</w:t>
      </w:r>
      <w:r>
        <w:rPr>
          <w:rFonts w:hint="eastAsia" w:ascii="宋体" w:hAnsi="宋体" w:eastAsia="宋体" w:cs="宋体"/>
          <w:i w:val="0"/>
          <w:caps w:val="0"/>
          <w:color w:val="auto"/>
          <w:spacing w:val="0"/>
          <w:sz w:val="24"/>
          <w:szCs w:val="24"/>
        </w:rPr>
        <w:t>投标地点：新疆乌鲁木齐市经济技术开发区维泰大厦1楼公共资源交易中心2号厅</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开标时间：</w:t>
      </w:r>
      <w:r>
        <w:rPr>
          <w:rFonts w:hint="eastAsia" w:ascii="宋体" w:hAnsi="宋体" w:eastAsia="宋体" w:cs="宋体"/>
          <w:i w:val="0"/>
          <w:caps w:val="0"/>
          <w:color w:val="auto"/>
          <w:spacing w:val="0"/>
          <w:sz w:val="24"/>
          <w:szCs w:val="24"/>
          <w:lang w:eastAsia="zh-CN"/>
        </w:rPr>
        <w:t>202</w:t>
      </w:r>
      <w:r>
        <w:rPr>
          <w:rFonts w:hint="eastAsia" w:ascii="宋体" w:hAnsi="宋体" w:eastAsia="宋体" w:cs="宋体"/>
          <w:i w:val="0"/>
          <w:caps w:val="0"/>
          <w:color w:val="auto"/>
          <w:spacing w:val="0"/>
          <w:sz w:val="24"/>
          <w:szCs w:val="24"/>
          <w:lang w:val="en-US" w:eastAsia="zh-CN"/>
        </w:rPr>
        <w:t>2</w:t>
      </w:r>
      <w:r>
        <w:rPr>
          <w:rFonts w:hint="eastAsia" w:ascii="宋体" w:hAnsi="宋体" w:eastAsia="宋体" w:cs="宋体"/>
          <w:i w:val="0"/>
          <w:caps w:val="0"/>
          <w:color w:val="auto"/>
          <w:spacing w:val="0"/>
          <w:sz w:val="24"/>
          <w:szCs w:val="24"/>
          <w:lang w:eastAsia="zh-CN"/>
        </w:rPr>
        <w:t>年</w:t>
      </w:r>
      <w:r>
        <w:rPr>
          <w:rFonts w:hint="eastAsia" w:ascii="宋体" w:hAnsi="宋体" w:eastAsia="宋体" w:cs="宋体"/>
          <w:i w:val="0"/>
          <w:caps w:val="0"/>
          <w:color w:val="auto"/>
          <w:spacing w:val="0"/>
          <w:sz w:val="24"/>
          <w:szCs w:val="24"/>
          <w:lang w:val="en-US" w:eastAsia="zh-CN"/>
        </w:rPr>
        <w:t>7月18日16</w:t>
      </w:r>
      <w:r>
        <w:rPr>
          <w:rFonts w:hint="eastAsia" w:ascii="宋体" w:hAnsi="宋体" w:eastAsia="宋体" w:cs="宋体"/>
          <w:i w:val="0"/>
          <w:caps w:val="0"/>
          <w:color w:val="auto"/>
          <w:spacing w:val="0"/>
          <w:sz w:val="24"/>
          <w:szCs w:val="24"/>
        </w:rPr>
        <w:t>:00（北京时间）</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4、</w:t>
      </w:r>
      <w:r>
        <w:rPr>
          <w:rFonts w:hint="eastAsia" w:ascii="宋体" w:hAnsi="宋体" w:eastAsia="宋体" w:cs="宋体"/>
          <w:i w:val="0"/>
          <w:caps w:val="0"/>
          <w:color w:val="auto"/>
          <w:spacing w:val="0"/>
          <w:sz w:val="24"/>
          <w:szCs w:val="24"/>
        </w:rPr>
        <w:t>开标地点：新疆乌鲁木齐市经济技术开发区维泰大厦1楼公共资源交易中心2号厅</w:t>
      </w:r>
    </w:p>
    <w:p>
      <w:pPr>
        <w:pStyle w:val="16"/>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9"/>
          <w:rFonts w:hint="eastAsia" w:ascii="宋体" w:hAnsi="宋体" w:eastAsia="宋体" w:cs="宋体"/>
          <w:i w:val="0"/>
          <w:caps w:val="0"/>
          <w:color w:val="auto"/>
          <w:spacing w:val="0"/>
          <w:sz w:val="24"/>
          <w:szCs w:val="24"/>
        </w:rPr>
        <w:t>五、公告期限</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自本公告发布之日起5个工作日。</w:t>
      </w:r>
    </w:p>
    <w:p>
      <w:pPr>
        <w:pStyle w:val="16"/>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Style w:val="19"/>
          <w:rFonts w:hint="eastAsia" w:ascii="宋体" w:hAnsi="宋体" w:eastAsia="宋体" w:cs="宋体"/>
          <w:i w:val="0"/>
          <w:caps w:val="0"/>
          <w:color w:val="auto"/>
          <w:spacing w:val="0"/>
          <w:sz w:val="24"/>
          <w:szCs w:val="24"/>
        </w:rPr>
      </w:pPr>
      <w:r>
        <w:rPr>
          <w:rStyle w:val="19"/>
          <w:rFonts w:hint="eastAsia" w:ascii="宋体" w:hAnsi="宋体" w:eastAsia="宋体" w:cs="宋体"/>
          <w:i w:val="0"/>
          <w:caps w:val="0"/>
          <w:color w:val="auto"/>
          <w:spacing w:val="0"/>
          <w:sz w:val="24"/>
          <w:szCs w:val="24"/>
        </w:rPr>
        <w:t>其他补充事宜</w:t>
      </w:r>
    </w:p>
    <w:p>
      <w:pPr>
        <w:pStyle w:val="21"/>
        <w:keepNext w:val="0"/>
        <w:keepLines w:val="0"/>
        <w:pageBreakBefore w:val="0"/>
        <w:widowControl w:val="0"/>
        <w:kinsoku/>
        <w:wordWrap/>
        <w:overflowPunct/>
        <w:topLinePunct w:val="0"/>
        <w:bidi w:val="0"/>
        <w:adjustRightInd w:val="0"/>
        <w:snapToGrid w:val="0"/>
        <w:spacing w:line="40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1、报名时提供：</w:t>
      </w:r>
    </w:p>
    <w:p>
      <w:pPr>
        <w:pStyle w:val="2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有效的营业执照</w:t>
      </w:r>
      <w:r>
        <w:rPr>
          <w:rFonts w:hint="eastAsia" w:ascii="宋体" w:hAnsi="宋体" w:cs="宋体"/>
          <w:color w:val="auto"/>
          <w:lang w:val="en-US" w:eastAsia="zh-CN"/>
        </w:rPr>
        <w:t>正（副）本复印件加盖单位公章</w:t>
      </w:r>
      <w:r>
        <w:rPr>
          <w:rFonts w:hint="eastAsia" w:ascii="宋体" w:hAnsi="宋体" w:eastAsia="宋体" w:cs="宋体"/>
          <w:color w:val="auto"/>
        </w:rPr>
        <w:t>；</w:t>
      </w:r>
    </w:p>
    <w:p>
      <w:pPr>
        <w:pStyle w:val="2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）有效的《食品经营许可证》</w:t>
      </w:r>
      <w:r>
        <w:rPr>
          <w:rFonts w:hint="eastAsia" w:ascii="宋体" w:hAnsi="宋体" w:cs="宋体"/>
          <w:color w:val="auto"/>
          <w:lang w:val="en-US" w:eastAsia="zh-CN"/>
        </w:rPr>
        <w:t>副本复印件加盖单位公章</w:t>
      </w:r>
      <w:r>
        <w:rPr>
          <w:rFonts w:hint="eastAsia" w:ascii="宋体" w:hAnsi="宋体" w:cs="宋体"/>
          <w:color w:val="auto"/>
          <w:lang w:eastAsia="zh-CN"/>
        </w:rPr>
        <w:t>；</w:t>
      </w:r>
    </w:p>
    <w:p>
      <w:pPr>
        <w:pStyle w:val="2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）有效的上岗人员健康证</w:t>
      </w:r>
      <w:r>
        <w:rPr>
          <w:rFonts w:hint="eastAsia" w:ascii="宋体" w:hAnsi="宋体" w:cs="宋体"/>
          <w:color w:val="auto"/>
          <w:lang w:val="en-US" w:eastAsia="zh-CN"/>
        </w:rPr>
        <w:t>不低于5个复印件加盖单位公章</w:t>
      </w:r>
      <w:r>
        <w:rPr>
          <w:rFonts w:hint="eastAsia" w:ascii="宋体" w:hAnsi="宋体" w:cs="宋体"/>
          <w:color w:val="auto"/>
          <w:lang w:eastAsia="zh-CN"/>
        </w:rPr>
        <w:t>；</w:t>
      </w:r>
    </w:p>
    <w:p>
      <w:pPr>
        <w:pStyle w:val="2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4</w:t>
      </w:r>
      <w:r>
        <w:rPr>
          <w:rFonts w:hint="eastAsia" w:ascii="宋体" w:hAnsi="宋体" w:eastAsia="宋体" w:cs="宋体"/>
          <w:color w:val="auto"/>
          <w:lang w:eastAsia="zh-CN"/>
        </w:rPr>
        <w:t>）法人代表或其委托代理人应携带本人身份证原件及复印件，委托代理人还应携带《法人代表授权委托书》</w:t>
      </w:r>
      <w:r>
        <w:rPr>
          <w:rFonts w:hint="eastAsia" w:ascii="宋体" w:hAnsi="宋体" w:cs="宋体"/>
          <w:color w:val="auto"/>
          <w:lang w:eastAsia="zh-CN"/>
        </w:rPr>
        <w:t>；</w:t>
      </w:r>
    </w:p>
    <w:p>
      <w:pPr>
        <w:pStyle w:val="21"/>
        <w:keepNext w:val="0"/>
        <w:keepLines w:val="0"/>
        <w:pageBreakBefore w:val="0"/>
        <w:widowControl w:val="0"/>
        <w:kinsoku/>
        <w:wordWrap/>
        <w:overflowPunct/>
        <w:topLinePunct w:val="0"/>
        <w:bidi w:val="0"/>
        <w:adjustRightInd w:val="0"/>
        <w:snapToGrid w:val="0"/>
        <w:spacing w:line="400" w:lineRule="exact"/>
        <w:textAlignment w:val="auto"/>
        <w:rPr>
          <w:rFonts w:hint="default" w:ascii="宋体" w:hAnsi="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5</w:t>
      </w:r>
      <w:r>
        <w:rPr>
          <w:rFonts w:hint="eastAsia" w:ascii="宋体" w:hAnsi="宋体" w:cs="宋体"/>
          <w:color w:val="auto"/>
          <w:lang w:eastAsia="zh-CN"/>
        </w:rPr>
        <w:t>）供应商需自行下载附件投标人报名表填写并加盖公章。</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right="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2、以上资料</w:t>
      </w:r>
      <w:r>
        <w:rPr>
          <w:rFonts w:hint="eastAsia" w:ascii="宋体" w:hAnsi="宋体" w:eastAsia="宋体" w:cs="宋体"/>
          <w:i w:val="0"/>
          <w:caps w:val="0"/>
          <w:color w:val="auto"/>
          <w:spacing w:val="0"/>
          <w:sz w:val="24"/>
          <w:szCs w:val="24"/>
        </w:rPr>
        <w:t>投标人</w:t>
      </w:r>
      <w:r>
        <w:rPr>
          <w:rFonts w:hint="eastAsia" w:ascii="宋体" w:hAnsi="宋体" w:eastAsia="宋体" w:cs="宋体"/>
          <w:i w:val="0"/>
          <w:caps w:val="0"/>
          <w:color w:val="auto"/>
          <w:spacing w:val="0"/>
          <w:sz w:val="24"/>
          <w:szCs w:val="24"/>
          <w:lang w:val="en-US" w:eastAsia="zh-CN"/>
        </w:rPr>
        <w:t>均需加</w:t>
      </w:r>
      <w:r>
        <w:rPr>
          <w:rFonts w:hint="eastAsia" w:ascii="宋体" w:hAnsi="宋体" w:eastAsia="宋体" w:cs="宋体"/>
          <w:i w:val="0"/>
          <w:caps w:val="0"/>
          <w:color w:val="auto"/>
          <w:spacing w:val="0"/>
          <w:sz w:val="24"/>
          <w:szCs w:val="24"/>
        </w:rPr>
        <w:t>盖</w:t>
      </w:r>
      <w:r>
        <w:rPr>
          <w:rFonts w:hint="eastAsia" w:ascii="宋体" w:hAnsi="宋体" w:eastAsia="宋体" w:cs="宋体"/>
          <w:i w:val="0"/>
          <w:caps w:val="0"/>
          <w:color w:val="auto"/>
          <w:spacing w:val="0"/>
          <w:sz w:val="24"/>
          <w:szCs w:val="24"/>
          <w:lang w:val="en-US" w:eastAsia="zh-CN"/>
        </w:rPr>
        <w:t>单位</w:t>
      </w:r>
      <w:r>
        <w:rPr>
          <w:rFonts w:hint="eastAsia" w:ascii="宋体" w:hAnsi="宋体" w:eastAsia="宋体" w:cs="宋体"/>
          <w:i w:val="0"/>
          <w:caps w:val="0"/>
          <w:color w:val="auto"/>
          <w:spacing w:val="0"/>
          <w:sz w:val="24"/>
          <w:szCs w:val="24"/>
        </w:rPr>
        <w:t>公章</w:t>
      </w:r>
      <w:r>
        <w:rPr>
          <w:rFonts w:hint="eastAsia" w:ascii="宋体" w:hAnsi="宋体" w:eastAsia="宋体" w:cs="宋体"/>
          <w:i w:val="0"/>
          <w:caps w:val="0"/>
          <w:color w:val="auto"/>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rPr>
          <w:rFonts w:hint="eastAsia" w:ascii="宋体" w:hAnsi="宋体" w:eastAsia="宋体" w:cs="宋体"/>
          <w:i w:val="0"/>
          <w:caps w:val="0"/>
          <w:color w:val="auto"/>
          <w:spacing w:val="0"/>
          <w:sz w:val="24"/>
          <w:szCs w:val="24"/>
        </w:rPr>
      </w:pPr>
      <w:r>
        <w:rPr>
          <w:rStyle w:val="19"/>
          <w:rFonts w:hint="eastAsia" w:ascii="宋体" w:hAnsi="宋体" w:eastAsia="宋体" w:cs="宋体"/>
          <w:i w:val="0"/>
          <w:caps w:val="0"/>
          <w:color w:val="auto"/>
          <w:spacing w:val="0"/>
          <w:sz w:val="24"/>
          <w:szCs w:val="24"/>
        </w:rPr>
        <w:t>七、对本次采购提出询问，请按以下方式联系</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1.采购人信息</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eastAsia="zh-CN"/>
        </w:rPr>
        <w:t>乌鲁木齐经济技术开发区（乌鲁木齐市头屯河区）北站东路片区管理委员会</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eastAsia="zh-CN"/>
        </w:rPr>
        <w:t>北三路668号</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联系人：王佳明</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联系方式：</w:t>
      </w:r>
      <w:r>
        <w:rPr>
          <w:rFonts w:hint="eastAsia" w:ascii="宋体" w:hAnsi="宋体" w:eastAsia="宋体" w:cs="宋体"/>
          <w:i w:val="0"/>
          <w:caps w:val="0"/>
          <w:color w:val="auto"/>
          <w:spacing w:val="0"/>
          <w:sz w:val="24"/>
          <w:szCs w:val="24"/>
          <w:lang w:eastAsia="zh-CN"/>
        </w:rPr>
        <w:t>0991-3879053</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2.采购代理机构信息</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val="en-US" w:eastAsia="zh-CN"/>
        </w:rPr>
        <w:t>新疆融盛源工程项目管理有限公司</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val="en-US" w:eastAsia="zh-CN"/>
        </w:rPr>
        <w:t>新疆乌鲁木齐市水磨沟区立井街198号丽景中央城9号楼（全季酒店）五层503室</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联系方式：0991-</w:t>
      </w:r>
      <w:r>
        <w:rPr>
          <w:rFonts w:hint="eastAsia" w:ascii="宋体" w:hAnsi="宋体" w:eastAsia="宋体" w:cs="宋体"/>
          <w:i w:val="0"/>
          <w:caps w:val="0"/>
          <w:color w:val="auto"/>
          <w:spacing w:val="0"/>
          <w:sz w:val="24"/>
          <w:szCs w:val="24"/>
          <w:lang w:val="en-US" w:eastAsia="zh-CN"/>
        </w:rPr>
        <w:t xml:space="preserve">4800087 </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3.项目联系方式</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eastAsia="zh-CN"/>
        </w:rPr>
        <w:t>项目联系人：何汐涵  龚钊</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20"/>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联系方式：</w:t>
      </w:r>
      <w:r>
        <w:rPr>
          <w:rStyle w:val="20"/>
          <w:rFonts w:hint="eastAsia" w:ascii="宋体" w:hAnsi="宋体" w:eastAsia="宋体" w:cs="宋体"/>
          <w:i w:val="0"/>
          <w:caps w:val="0"/>
          <w:color w:val="auto"/>
          <w:spacing w:val="0"/>
          <w:sz w:val="24"/>
          <w:szCs w:val="24"/>
        </w:rPr>
        <w:t>0991-</w:t>
      </w:r>
      <w:r>
        <w:rPr>
          <w:rStyle w:val="20"/>
          <w:rFonts w:hint="eastAsia" w:ascii="宋体" w:hAnsi="宋体" w:eastAsia="宋体" w:cs="宋体"/>
          <w:i w:val="0"/>
          <w:caps w:val="0"/>
          <w:color w:val="auto"/>
          <w:spacing w:val="0"/>
          <w:sz w:val="24"/>
          <w:szCs w:val="24"/>
          <w:lang w:val="en-US" w:eastAsia="zh-CN"/>
        </w:rPr>
        <w:t xml:space="preserve">4800087 </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4.乌鲁木齐经济技术开发区（头屯河区）政府采购中心、采购办监督电话：</w:t>
      </w:r>
    </w:p>
    <w:p>
      <w:pPr>
        <w:pStyle w:val="16"/>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 xml:space="preserve">0991-3763363   0991-3775868 </w:t>
      </w: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numPr>
          <w:ilvl w:val="0"/>
          <w:numId w:val="0"/>
        </w:numPr>
        <w:jc w:val="left"/>
        <w:rPr>
          <w:rFonts w:hint="eastAsia" w:ascii="宋体" w:hAnsi="宋体" w:eastAsia="宋体" w:cs="宋体"/>
          <w:color w:val="auto"/>
          <w:sz w:val="24"/>
          <w:szCs w:val="24"/>
          <w:lang w:val="en-US" w:eastAsia="zh-CN"/>
        </w:rPr>
      </w:pPr>
    </w:p>
    <w:p>
      <w:pPr>
        <w:pStyle w:val="3"/>
        <w:keepNext/>
        <w:keepLines/>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color w:val="auto"/>
          <w:sz w:val="36"/>
          <w:szCs w:val="36"/>
          <w:lang w:val="en-US" w:eastAsia="zh-CN"/>
        </w:rPr>
      </w:pPr>
      <w:r>
        <w:rPr>
          <w:rFonts w:hint="eastAsia"/>
          <w:color w:val="auto"/>
          <w:sz w:val="36"/>
          <w:szCs w:val="36"/>
          <w:lang w:val="en-US" w:eastAsia="zh-CN"/>
        </w:rPr>
        <w:t xml:space="preserve"> </w:t>
      </w:r>
      <w:bookmarkStart w:id="1" w:name="_Toc32257"/>
      <w:r>
        <w:rPr>
          <w:rFonts w:hint="eastAsia"/>
          <w:color w:val="auto"/>
          <w:sz w:val="36"/>
          <w:szCs w:val="36"/>
          <w:lang w:val="en-US" w:eastAsia="zh-CN"/>
        </w:rPr>
        <w:t>投标须知前附表</w:t>
      </w:r>
      <w:bookmarkEnd w:id="1"/>
    </w:p>
    <w:p>
      <w:pPr>
        <w:rPr>
          <w:rFonts w:hint="eastAsia"/>
          <w:color w:val="auto"/>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序号</w:t>
            </w:r>
          </w:p>
        </w:tc>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p>
        </w:tc>
        <w:tc>
          <w:tcPr>
            <w:tcW w:w="0" w:type="auto"/>
            <w:vAlign w:val="center"/>
          </w:tcPr>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lang w:eastAsia="zh-CN"/>
              </w:rPr>
              <w:t>乌鲁木齐经济技术开发区（乌鲁木齐市头屯河区）北站东路片区管理委员会警务站配送餐项目</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招标内容：</w:t>
            </w:r>
            <w:r>
              <w:rPr>
                <w:rFonts w:hint="eastAsia" w:asciiTheme="minorEastAsia" w:hAnsiTheme="minorEastAsia" w:eastAsiaTheme="minorEastAsia" w:cstheme="minorEastAsia"/>
                <w:color w:val="auto"/>
                <w:sz w:val="21"/>
                <w:szCs w:val="21"/>
                <w:lang w:eastAsia="zh-CN"/>
              </w:rPr>
              <w:t>北站东路片区管理委员会警务站配送餐</w:t>
            </w:r>
            <w:r>
              <w:rPr>
                <w:rFonts w:hint="eastAsia" w:asciiTheme="minorEastAsia" w:hAnsiTheme="minorEastAsia" w:eastAsiaTheme="minorEastAsia" w:cstheme="minorEastAsia"/>
                <w:color w:val="auto"/>
                <w:sz w:val="21"/>
                <w:szCs w:val="21"/>
              </w:rPr>
              <w:t>，具体详见招标文件</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lang w:eastAsia="zh-CN"/>
              </w:rPr>
              <w:t>RSY-2022-025[2022]708号</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预算金额</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3723720.00</w:t>
            </w:r>
            <w:r>
              <w:rPr>
                <w:rFonts w:hint="eastAsia" w:asciiTheme="minorEastAsia" w:hAnsiTheme="minorEastAsia" w:eastAsiaTheme="minorEastAsia" w:cstheme="minorEastAsia"/>
                <w:color w:val="auto"/>
                <w:sz w:val="21"/>
                <w:szCs w:val="21"/>
              </w:rPr>
              <w:t>元</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最高限价：3723720.00</w:t>
            </w:r>
            <w:r>
              <w:rPr>
                <w:rFonts w:hint="eastAsia" w:asciiTheme="minorEastAsia" w:hAnsiTheme="minorEastAsia" w:eastAsiaTheme="minorEastAsia" w:cstheme="minorEastAsia"/>
                <w:color w:val="auto"/>
                <w:sz w:val="21"/>
                <w:szCs w:val="21"/>
              </w:rPr>
              <w:t>元</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招标方式：公开招标</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标准：3</w:t>
            </w:r>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b/>
                <w:bCs/>
                <w:color w:val="auto"/>
                <w:sz w:val="21"/>
                <w:szCs w:val="21"/>
              </w:rPr>
              <w:t>元/人•天。（此标准为完成本项目的全部费用）</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bookmarkStart w:id="2" w:name="_Hlk55566364"/>
            <w:r>
              <w:rPr>
                <w:rFonts w:hint="eastAsia" w:asciiTheme="minorEastAsia" w:hAnsiTheme="minorEastAsia" w:eastAsiaTheme="minorEastAsia" w:cstheme="minorEastAsia"/>
                <w:b/>
                <w:bCs/>
                <w:color w:val="auto"/>
                <w:sz w:val="21"/>
                <w:szCs w:val="21"/>
              </w:rPr>
              <w:t>注：餐费不允许降低标准。</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w:t>
            </w:r>
          </w:p>
        </w:tc>
        <w:tc>
          <w:tcPr>
            <w:tcW w:w="0" w:type="auto"/>
            <w:vAlign w:val="center"/>
          </w:tcPr>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1.采购人信息</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采购人名称：</w:t>
            </w:r>
            <w:r>
              <w:rPr>
                <w:rFonts w:hint="eastAsia" w:asciiTheme="minorEastAsia" w:hAnsiTheme="minorEastAsia" w:eastAsiaTheme="minorEastAsia" w:cstheme="minorEastAsia"/>
                <w:color w:val="auto"/>
                <w:sz w:val="21"/>
                <w:szCs w:val="21"/>
                <w:lang w:eastAsia="zh-CN"/>
              </w:rPr>
              <w:t>乌鲁木齐经济技术开发区（乌鲁木齐市头屯河区）北站东路片区管理委员会</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地      址：</w:t>
            </w:r>
            <w:r>
              <w:rPr>
                <w:rFonts w:hint="eastAsia" w:asciiTheme="minorEastAsia" w:hAnsiTheme="minorEastAsia" w:eastAsiaTheme="minorEastAsia" w:cstheme="minorEastAsia"/>
                <w:color w:val="auto"/>
                <w:sz w:val="21"/>
                <w:szCs w:val="21"/>
                <w:lang w:eastAsia="zh-CN"/>
              </w:rPr>
              <w:t>北三路668号</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联  系  人：</w:t>
            </w:r>
            <w:r>
              <w:rPr>
                <w:rFonts w:hint="eastAsia" w:asciiTheme="minorEastAsia" w:hAnsiTheme="minorEastAsia" w:eastAsiaTheme="minorEastAsia" w:cstheme="minorEastAsia"/>
                <w:color w:val="auto"/>
                <w:sz w:val="21"/>
                <w:szCs w:val="21"/>
                <w:lang w:eastAsia="zh-CN"/>
              </w:rPr>
              <w:t>王佳明</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联系</w:t>
            </w:r>
            <w:r>
              <w:rPr>
                <w:rFonts w:hint="eastAsia" w:asciiTheme="minorEastAsia" w:hAnsiTheme="minorEastAsia" w:eastAsiaTheme="minorEastAsia" w:cstheme="minorEastAsia"/>
                <w:color w:val="auto"/>
                <w:sz w:val="21"/>
                <w:szCs w:val="21"/>
                <w:lang w:eastAsia="zh-CN"/>
              </w:rPr>
              <w:t>方式</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0991-3879053</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2.采购代理机构信息</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名    称：</w:t>
            </w:r>
            <w:r>
              <w:rPr>
                <w:rFonts w:hint="eastAsia" w:asciiTheme="minorEastAsia" w:hAnsiTheme="minorEastAsia" w:eastAsiaTheme="minorEastAsia" w:cstheme="minorEastAsia"/>
                <w:color w:val="auto"/>
                <w:sz w:val="21"/>
                <w:szCs w:val="21"/>
                <w:lang w:val="en-US" w:eastAsia="zh-CN"/>
              </w:rPr>
              <w:t>新疆融盛源工程项目管理有限公司</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r>
              <w:rPr>
                <w:rFonts w:hint="eastAsia" w:asciiTheme="minorEastAsia" w:hAnsiTheme="minorEastAsia" w:eastAsiaTheme="minorEastAsia" w:cstheme="minorEastAsia"/>
                <w:color w:val="auto"/>
                <w:sz w:val="21"/>
                <w:szCs w:val="21"/>
                <w:lang w:val="en-US" w:eastAsia="zh-CN"/>
              </w:rPr>
              <w:t>新疆乌鲁木齐市水磨沟区立井街198号丽景中央城9号楼（全季酒店）五层503室</w:t>
            </w:r>
            <w:r>
              <w:rPr>
                <w:rFonts w:hint="eastAsia" w:asciiTheme="minorEastAsia" w:hAnsiTheme="minorEastAsia" w:eastAsiaTheme="minorEastAsia" w:cstheme="minorEastAsia"/>
                <w:color w:val="auto"/>
                <w:sz w:val="21"/>
                <w:szCs w:val="21"/>
              </w:rPr>
              <w:t>　</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eastAsia="zh-CN"/>
              </w:rPr>
              <w:t>项目联系人：何汐涵  龚钊</w:t>
            </w:r>
            <w:r>
              <w:rPr>
                <w:rFonts w:hint="eastAsia" w:asciiTheme="minorEastAsia" w:hAnsiTheme="minorEastAsia" w:eastAsiaTheme="minorEastAsia" w:cstheme="minorEastAsia"/>
                <w:color w:val="auto"/>
                <w:sz w:val="21"/>
                <w:szCs w:val="21"/>
                <w:lang w:val="en-US" w:eastAsia="zh-CN"/>
              </w:rPr>
              <w:t xml:space="preserve">       </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联系方式：0991-</w:t>
            </w:r>
            <w:r>
              <w:rPr>
                <w:rFonts w:hint="eastAsia" w:asciiTheme="minorEastAsia" w:hAnsiTheme="minorEastAsia" w:eastAsiaTheme="minorEastAsia" w:cstheme="minorEastAsia"/>
                <w:color w:val="auto"/>
                <w:sz w:val="21"/>
                <w:szCs w:val="21"/>
                <w:lang w:val="en-US" w:eastAsia="zh-CN"/>
              </w:rPr>
              <w:t xml:space="preserve">4800087 </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邮箱号：</w:t>
            </w:r>
            <w:r>
              <w:rPr>
                <w:rFonts w:hint="eastAsia" w:asciiTheme="minorEastAsia" w:hAnsiTheme="minorEastAsia" w:eastAsiaTheme="minorEastAsia" w:cstheme="minorEastAsia"/>
                <w:color w:val="auto"/>
                <w:sz w:val="21"/>
                <w:szCs w:val="21"/>
                <w:lang w:val="en-US" w:eastAsia="zh-CN"/>
              </w:rPr>
              <w:t>1589468837</w:t>
            </w:r>
            <w:r>
              <w:rPr>
                <w:rFonts w:hint="eastAsia" w:asciiTheme="minorEastAsia" w:hAnsiTheme="minorEastAsia" w:eastAsiaTheme="minorEastAsia" w:cstheme="minorEastAsia"/>
                <w:color w:val="auto"/>
                <w:sz w:val="21"/>
                <w:szCs w:val="21"/>
              </w:rPr>
              <w:t>@qq.com</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3.项目联系方式</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eastAsia="zh-CN"/>
              </w:rPr>
              <w:t>项目联系人：何汐涵  龚钊</w:t>
            </w:r>
            <w:r>
              <w:rPr>
                <w:rFonts w:hint="eastAsia" w:asciiTheme="minorEastAsia" w:hAnsiTheme="minorEastAsia" w:eastAsiaTheme="minorEastAsia" w:cstheme="minorEastAsia"/>
                <w:color w:val="auto"/>
                <w:sz w:val="21"/>
                <w:szCs w:val="21"/>
                <w:lang w:val="en-US" w:eastAsia="zh-CN"/>
              </w:rPr>
              <w:t xml:space="preserve">         </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联系方式：</w:t>
            </w:r>
            <w:r>
              <w:rPr>
                <w:rFonts w:hint="eastAsia" w:asciiTheme="minorEastAsia" w:hAnsiTheme="minorEastAsia" w:eastAsiaTheme="minorEastAsia" w:cstheme="minorEastAsia"/>
                <w:color w:val="auto"/>
                <w:sz w:val="21"/>
                <w:szCs w:val="21"/>
              </w:rPr>
              <w:t>0991-</w:t>
            </w:r>
            <w:r>
              <w:rPr>
                <w:rFonts w:hint="eastAsia" w:asciiTheme="minorEastAsia" w:hAnsiTheme="minorEastAsia" w:eastAsiaTheme="minorEastAsia" w:cstheme="minorEastAsia"/>
                <w:color w:val="auto"/>
                <w:sz w:val="21"/>
                <w:szCs w:val="21"/>
                <w:lang w:val="en-US" w:eastAsia="zh-CN"/>
              </w:rPr>
              <w:t xml:space="preserve">4800087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w:t>
            </w:r>
          </w:p>
        </w:tc>
        <w:tc>
          <w:tcPr>
            <w:tcW w:w="0" w:type="auto"/>
            <w:vAlign w:val="center"/>
          </w:tcPr>
          <w:p>
            <w:pPr>
              <w:pStyle w:val="2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rPr>
              <w:t>投标有效期：</w:t>
            </w:r>
            <w:r>
              <w:rPr>
                <w:rFonts w:hint="eastAsia" w:asciiTheme="minorEastAsia" w:hAnsiTheme="minorEastAsia" w:eastAsiaTheme="minorEastAsia" w:cstheme="minorEastAsia"/>
                <w:color w:val="auto"/>
                <w:kern w:val="2"/>
                <w:sz w:val="21"/>
                <w:szCs w:val="21"/>
                <w:lang w:val="en-US" w:eastAsia="zh-CN"/>
              </w:rPr>
              <w:t>9</w:t>
            </w:r>
            <w:r>
              <w:rPr>
                <w:rFonts w:hint="eastAsia" w:asciiTheme="minorEastAsia" w:hAnsiTheme="minorEastAsia" w:eastAsiaTheme="minorEastAsia" w:cstheme="minorEastAsia"/>
                <w:color w:val="auto"/>
                <w:kern w:val="2"/>
                <w:sz w:val="21"/>
                <w:szCs w:val="21"/>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4</w:t>
            </w:r>
          </w:p>
        </w:tc>
        <w:tc>
          <w:tcPr>
            <w:tcW w:w="0" w:type="auto"/>
            <w:vAlign w:val="center"/>
          </w:tcPr>
          <w:p>
            <w:pPr>
              <w:pStyle w:val="2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rPr>
              <w:t>投标截止时间：</w:t>
            </w:r>
            <w:r>
              <w:rPr>
                <w:rFonts w:hint="eastAsia" w:asciiTheme="minorEastAsia" w:hAnsiTheme="minorEastAsia" w:eastAsiaTheme="minorEastAsia" w:cstheme="minorEastAsia"/>
                <w:color w:val="auto"/>
                <w:kern w:val="2"/>
                <w:sz w:val="21"/>
                <w:szCs w:val="21"/>
                <w:lang w:eastAsia="zh-CN"/>
              </w:rPr>
              <w:t>202</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年</w:t>
            </w:r>
            <w:r>
              <w:rPr>
                <w:rFonts w:hint="eastAsia" w:asciiTheme="minorEastAsia" w:hAnsiTheme="minorEastAsia" w:eastAsiaTheme="minorEastAsia" w:cstheme="minorEastAsia"/>
                <w:color w:val="auto"/>
                <w:kern w:val="2"/>
                <w:sz w:val="21"/>
                <w:szCs w:val="21"/>
                <w:lang w:val="en-US" w:eastAsia="zh-CN"/>
              </w:rPr>
              <w:t>7月18日下</w:t>
            </w:r>
            <w:r>
              <w:rPr>
                <w:rFonts w:hint="eastAsia" w:asciiTheme="minorEastAsia" w:hAnsiTheme="minorEastAsia" w:eastAsiaTheme="minorEastAsia" w:cstheme="minorEastAsia"/>
                <w:color w:val="auto"/>
                <w:kern w:val="2"/>
                <w:sz w:val="21"/>
                <w:szCs w:val="21"/>
              </w:rPr>
              <w:t>午</w:t>
            </w:r>
            <w:r>
              <w:rPr>
                <w:rFonts w:hint="eastAsia" w:asciiTheme="minorEastAsia" w:hAnsiTheme="minorEastAsia" w:eastAsiaTheme="minorEastAsia" w:cstheme="minorEastAsia"/>
                <w:color w:val="auto"/>
                <w:kern w:val="2"/>
                <w:sz w:val="21"/>
                <w:szCs w:val="21"/>
                <w:lang w:val="en-US" w:eastAsia="zh-CN"/>
              </w:rPr>
              <w:t>16</w:t>
            </w:r>
            <w:r>
              <w:rPr>
                <w:rFonts w:hint="eastAsia" w:asciiTheme="minorEastAsia" w:hAnsiTheme="minorEastAsia" w:eastAsiaTheme="minorEastAsia" w:cstheme="minorEastAsia"/>
                <w:color w:val="auto"/>
                <w:kern w:val="2"/>
                <w:sz w:val="21"/>
                <w:szCs w:val="21"/>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default"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5</w:t>
            </w:r>
          </w:p>
        </w:tc>
        <w:tc>
          <w:tcPr>
            <w:tcW w:w="0" w:type="auto"/>
            <w:vAlign w:val="center"/>
          </w:tcPr>
          <w:p>
            <w:pPr>
              <w:pStyle w:val="2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kern w:val="2"/>
                <w:sz w:val="21"/>
                <w:szCs w:val="21"/>
                <w:lang w:val="en-US"/>
              </w:rPr>
            </w:pPr>
            <w:r>
              <w:rPr>
                <w:rFonts w:hint="eastAsia" w:asciiTheme="minorEastAsia" w:hAnsiTheme="minorEastAsia" w:eastAsiaTheme="minorEastAsia" w:cstheme="minorEastAsia"/>
                <w:color w:val="auto"/>
                <w:kern w:val="2"/>
                <w:sz w:val="21"/>
                <w:szCs w:val="21"/>
                <w:lang w:val="en-US" w:eastAsia="zh-CN"/>
              </w:rPr>
              <w:t>服务期限：2年。</w:t>
            </w:r>
          </w:p>
          <w:p>
            <w:pPr>
              <w:pStyle w:val="2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付款方式：</w:t>
            </w:r>
            <w:r>
              <w:rPr>
                <w:rFonts w:hint="eastAsia" w:asciiTheme="minorEastAsia" w:hAnsiTheme="minorEastAsia" w:eastAsiaTheme="minorEastAsia" w:cstheme="minorEastAsia"/>
                <w:color w:val="auto"/>
                <w:kern w:val="2"/>
                <w:sz w:val="21"/>
                <w:szCs w:val="21"/>
                <w:lang w:val="en-US" w:eastAsia="zh-CN"/>
              </w:rPr>
              <w:t>付款时间以财政拨款为准，双方协商付款。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6</w:t>
            </w:r>
          </w:p>
        </w:tc>
        <w:tc>
          <w:tcPr>
            <w:tcW w:w="0" w:type="auto"/>
            <w:vAlign w:val="center"/>
          </w:tcPr>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保证金要求提供，数额不得超过采购项目预算金额的</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%，本项目的投标保证金为人民币：</w:t>
            </w:r>
            <w:r>
              <w:rPr>
                <w:rFonts w:hint="eastAsia" w:asciiTheme="minorEastAsia" w:hAnsiTheme="minorEastAsia" w:cstheme="minorEastAsia"/>
                <w:b/>
                <w:bCs/>
                <w:color w:val="auto"/>
                <w:sz w:val="21"/>
                <w:szCs w:val="21"/>
                <w:u w:val="single"/>
                <w:lang w:val="en-US" w:eastAsia="zh-CN"/>
              </w:rPr>
              <w:t>37000</w:t>
            </w:r>
            <w:r>
              <w:rPr>
                <w:rFonts w:hint="eastAsia" w:asciiTheme="minorEastAsia" w:hAnsiTheme="minorEastAsia" w:eastAsiaTheme="minorEastAsia" w:cstheme="minorEastAsia"/>
                <w:b/>
                <w:bCs/>
                <w:color w:val="auto"/>
                <w:sz w:val="21"/>
                <w:szCs w:val="21"/>
                <w:u w:val="single"/>
              </w:rPr>
              <w:t>元（大写：</w:t>
            </w:r>
            <w:r>
              <w:rPr>
                <w:rFonts w:hint="eastAsia" w:asciiTheme="minorEastAsia" w:hAnsiTheme="minorEastAsia" w:cstheme="minorEastAsia"/>
                <w:b/>
                <w:bCs/>
                <w:color w:val="auto"/>
                <w:sz w:val="21"/>
                <w:szCs w:val="21"/>
                <w:u w:val="single"/>
                <w:lang w:val="en-US" w:eastAsia="zh-CN"/>
              </w:rPr>
              <w:t>叁万柒仟元整</w:t>
            </w:r>
            <w:r>
              <w:rPr>
                <w:rFonts w:hint="eastAsia" w:asciiTheme="minorEastAsia" w:hAnsiTheme="minorEastAsia" w:eastAsiaTheme="minorEastAsia" w:cstheme="minorEastAsia"/>
                <w:b/>
                <w:bCs/>
                <w:color w:val="auto"/>
                <w:sz w:val="21"/>
                <w:szCs w:val="21"/>
                <w:u w:val="single"/>
              </w:rPr>
              <w:t>）</w:t>
            </w:r>
            <w:r>
              <w:rPr>
                <w:rFonts w:hint="eastAsia" w:asciiTheme="minorEastAsia" w:hAnsiTheme="minorEastAsia" w:eastAsiaTheme="minorEastAsia" w:cstheme="minorEastAsia"/>
                <w:color w:val="auto"/>
                <w:sz w:val="21"/>
                <w:szCs w:val="21"/>
              </w:rPr>
              <w:t>；提交方式为</w:t>
            </w:r>
            <w:r>
              <w:rPr>
                <w:rFonts w:hint="eastAsia" w:asciiTheme="minorEastAsia" w:hAnsiTheme="minorEastAsia" w:eastAsiaTheme="minorEastAsia" w:cstheme="minorEastAsia"/>
                <w:color w:val="auto"/>
                <w:sz w:val="21"/>
                <w:szCs w:val="21"/>
                <w:u w:val="single"/>
              </w:rPr>
              <w:t>投标人基本账户以网银或银行电汇形式</w:t>
            </w:r>
            <w:r>
              <w:rPr>
                <w:rFonts w:hint="eastAsia" w:asciiTheme="minorEastAsia" w:hAnsiTheme="minorEastAsia" w:eastAsiaTheme="minorEastAsia" w:cstheme="minorEastAsia"/>
                <w:color w:val="auto"/>
                <w:sz w:val="21"/>
                <w:szCs w:val="21"/>
              </w:rPr>
              <w:t>，在投标截止时间之前汇至本公司账户，否则其响应文件将被拒绝评审，投标人提交投标保证金应充分考虑资金在途时间。</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账户信息：新疆融盛源工程项目管理有限公司</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开户行：交通银行股份有限公司乌鲁木齐友好路支行</w:t>
            </w:r>
          </w:p>
          <w:p>
            <w:pPr>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银行账号：86516510020130001000139 </w:t>
            </w:r>
          </w:p>
          <w:p>
            <w:pPr>
              <w:pStyle w:val="11"/>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开户行行号：301881000075</w:t>
            </w:r>
          </w:p>
          <w:p>
            <w:pPr>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注：以电汇方式递交投标保证金须在电汇凭据附言栏中写明项目名称简称及用途(保证金)，由于未按要求注明信息而导致的一切后果由投标人承担。</w:t>
            </w:r>
          </w:p>
          <w:p>
            <w:pPr>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本单位财务联系方式：0991-</w:t>
            </w:r>
            <w:r>
              <w:rPr>
                <w:rFonts w:hint="eastAsia" w:asciiTheme="minorEastAsia" w:hAnsiTheme="minorEastAsia" w:eastAsiaTheme="minorEastAsia" w:cstheme="minorEastAsia"/>
                <w:color w:val="auto"/>
                <w:sz w:val="21"/>
                <w:szCs w:val="21"/>
                <w:lang w:val="en-US" w:eastAsia="zh-CN"/>
              </w:rPr>
              <w:t>4800087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7</w:t>
            </w:r>
          </w:p>
        </w:tc>
        <w:tc>
          <w:tcPr>
            <w:tcW w:w="0" w:type="auto"/>
            <w:vAlign w:val="center"/>
          </w:tcPr>
          <w:p>
            <w:pPr>
              <w:pStyle w:val="21"/>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投标文件的数量：正本1份、副本4份</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bCs/>
                <w:color w:val="auto"/>
                <w:spacing w:val="0"/>
                <w:sz w:val="21"/>
                <w:szCs w:val="21"/>
              </w:rPr>
              <w:t>正本、副本分册装订</w:t>
            </w:r>
            <w:r>
              <w:rPr>
                <w:rFonts w:hint="eastAsia" w:asciiTheme="minorEastAsia" w:hAnsiTheme="minorEastAsia" w:eastAsiaTheme="minorEastAsia" w:cstheme="minorEastAsia"/>
                <w:color w:val="auto"/>
                <w:kern w:val="2"/>
                <w:sz w:val="21"/>
                <w:szCs w:val="21"/>
                <w:lang w:eastAsia="zh-CN"/>
              </w:rPr>
              <w:t>）</w:t>
            </w:r>
          </w:p>
          <w:p>
            <w:pPr>
              <w:pStyle w:val="21"/>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投标报价单（报价一览表）的数量：1份（单独密封）</w:t>
            </w:r>
          </w:p>
          <w:p>
            <w:pPr>
              <w:pStyle w:val="21"/>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color w:val="auto"/>
                <w:kern w:val="2"/>
                <w:sz w:val="21"/>
                <w:szCs w:val="21"/>
              </w:rPr>
              <w:t>电子版投标文件：1份扫描件（必须是响应文件加盖公章的扫描件），以U盘或光盘形式提交，单独密封)</w:t>
            </w:r>
            <w:r>
              <w:rPr>
                <w:rFonts w:hint="eastAsia" w:asciiTheme="minorEastAsia" w:hAnsiTheme="minorEastAsia" w:eastAsiaTheme="minorEastAsia" w:cstheme="minorEastAsia"/>
                <w:b/>
                <w:bCs/>
                <w:color w:val="auto"/>
                <w:kern w:val="2"/>
                <w:sz w:val="21"/>
                <w:szCs w:val="21"/>
              </w:rPr>
              <w:t>（注：装订形式：不得采用活页、拉杆等方式，必须采用胶装）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8</w:t>
            </w:r>
          </w:p>
        </w:tc>
        <w:tc>
          <w:tcPr>
            <w:tcW w:w="0" w:type="auto"/>
            <w:vAlign w:val="center"/>
          </w:tcPr>
          <w:p>
            <w:pPr>
              <w:pStyle w:val="21"/>
              <w:pageBreakBefore w:val="0"/>
              <w:kinsoku/>
              <w:wordWrap/>
              <w:overflowPunct/>
              <w:topLinePunct w:val="0"/>
              <w:bidi w:val="0"/>
              <w:adjustRightInd w:val="0"/>
              <w:snapToGrid w:val="0"/>
              <w:spacing w:line="400" w:lineRule="exact"/>
              <w:ind w:left="1200" w:hanging="1050" w:hangingChars="500"/>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投标文件递交至：新疆乌鲁木齐市经济技术开发区维泰大厦1楼公共资源交易中心2号厅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9</w:t>
            </w:r>
          </w:p>
        </w:tc>
        <w:tc>
          <w:tcPr>
            <w:tcW w:w="0" w:type="auto"/>
            <w:vAlign w:val="center"/>
          </w:tcPr>
          <w:p>
            <w:pPr>
              <w:pStyle w:val="21"/>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开标时间:</w:t>
            </w:r>
            <w:r>
              <w:rPr>
                <w:rFonts w:hint="eastAsia" w:asciiTheme="minorEastAsia" w:hAnsiTheme="minorEastAsia" w:eastAsiaTheme="minorEastAsia" w:cstheme="minorEastAsia"/>
                <w:color w:val="auto"/>
                <w:kern w:val="2"/>
                <w:sz w:val="21"/>
                <w:szCs w:val="21"/>
                <w:lang w:eastAsia="zh-CN"/>
              </w:rPr>
              <w:t>202</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年</w:t>
            </w:r>
            <w:r>
              <w:rPr>
                <w:rFonts w:hint="eastAsia" w:asciiTheme="minorEastAsia" w:hAnsiTheme="minorEastAsia" w:eastAsiaTheme="minorEastAsia" w:cstheme="minorEastAsia"/>
                <w:color w:val="auto"/>
                <w:kern w:val="2"/>
                <w:sz w:val="21"/>
                <w:szCs w:val="21"/>
                <w:lang w:val="en-US" w:eastAsia="zh-CN"/>
              </w:rPr>
              <w:t>7月18日下</w:t>
            </w:r>
            <w:r>
              <w:rPr>
                <w:rFonts w:hint="eastAsia" w:asciiTheme="minorEastAsia" w:hAnsiTheme="minorEastAsia" w:eastAsiaTheme="minorEastAsia" w:cstheme="minorEastAsia"/>
                <w:color w:val="auto"/>
                <w:kern w:val="2"/>
                <w:sz w:val="21"/>
                <w:szCs w:val="21"/>
              </w:rPr>
              <w:t>午</w:t>
            </w:r>
            <w:r>
              <w:rPr>
                <w:rFonts w:hint="eastAsia" w:asciiTheme="minorEastAsia" w:hAnsiTheme="minorEastAsia" w:eastAsiaTheme="minorEastAsia" w:cstheme="minorEastAsia"/>
                <w:color w:val="auto"/>
                <w:kern w:val="2"/>
                <w:sz w:val="21"/>
                <w:szCs w:val="21"/>
                <w:lang w:val="en-US" w:eastAsia="zh-CN"/>
              </w:rPr>
              <w:t>16：</w:t>
            </w:r>
            <w:r>
              <w:rPr>
                <w:rFonts w:hint="eastAsia" w:asciiTheme="minorEastAsia" w:hAnsiTheme="minorEastAsia" w:eastAsiaTheme="minorEastAsia" w:cstheme="minorEastAsia"/>
                <w:color w:val="auto"/>
                <w:kern w:val="2"/>
                <w:sz w:val="21"/>
                <w:szCs w:val="21"/>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val="en-US" w:eastAsia="zh-CN"/>
              </w:rPr>
              <w:t>0</w:t>
            </w:r>
          </w:p>
        </w:tc>
        <w:tc>
          <w:tcPr>
            <w:tcW w:w="0" w:type="auto"/>
            <w:vAlign w:val="center"/>
          </w:tcPr>
          <w:p>
            <w:pPr>
              <w:pStyle w:val="21"/>
              <w:pageBreakBefore w:val="0"/>
              <w:kinsoku/>
              <w:wordWrap/>
              <w:overflowPunct/>
              <w:topLinePunct w:val="0"/>
              <w:bidi w:val="0"/>
              <w:adjustRightInd w:val="0"/>
              <w:snapToGrid w:val="0"/>
              <w:spacing w:line="400" w:lineRule="exact"/>
              <w:ind w:left="1200" w:hanging="1050" w:hangingChars="5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开标地点：新疆乌鲁木齐市经济技术开发区维泰大厦1楼公共资源交易中心2号厅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val="en-US" w:eastAsia="zh-CN"/>
              </w:rPr>
              <w:t>1</w:t>
            </w:r>
          </w:p>
        </w:tc>
        <w:tc>
          <w:tcPr>
            <w:tcW w:w="0" w:type="auto"/>
            <w:vAlign w:val="center"/>
          </w:tcPr>
          <w:p>
            <w:pPr>
              <w:pStyle w:val="21"/>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信用信息查询：</w:t>
            </w:r>
          </w:p>
          <w:p>
            <w:pPr>
              <w:pStyle w:val="21"/>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根据《财政部关于在政府采购活动中查询及使用信用记录有关问题的通知》（财库〔2016〕125 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
                <w:color w:val="auto"/>
                <w:kern w:val="2"/>
                <w:sz w:val="21"/>
                <w:szCs w:val="21"/>
                <w:lang w:eastAsia="zh-CN"/>
              </w:rPr>
            </w:pPr>
            <w:r>
              <w:rPr>
                <w:rFonts w:hint="eastAsia" w:asciiTheme="minorEastAsia" w:hAnsiTheme="minorEastAsia" w:eastAsiaTheme="minorEastAsia" w:cstheme="minorEastAsia"/>
                <w:b/>
                <w:color w:val="auto"/>
                <w:kern w:val="2"/>
                <w:sz w:val="21"/>
                <w:szCs w:val="21"/>
              </w:rPr>
              <w:t>1</w:t>
            </w:r>
            <w:r>
              <w:rPr>
                <w:rFonts w:hint="eastAsia" w:asciiTheme="minorEastAsia" w:hAnsiTheme="minorEastAsia" w:eastAsiaTheme="minorEastAsia" w:cstheme="minorEastAsia"/>
                <w:b/>
                <w:color w:val="auto"/>
                <w:kern w:val="2"/>
                <w:sz w:val="21"/>
                <w:szCs w:val="21"/>
                <w:lang w:val="en-US" w:eastAsia="zh-CN"/>
              </w:rPr>
              <w:t>2</w:t>
            </w:r>
          </w:p>
        </w:tc>
        <w:tc>
          <w:tcPr>
            <w:tcW w:w="0" w:type="auto"/>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开标时须携带：</w:t>
            </w:r>
          </w:p>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1、投标企业有效的法人营业执照正（副）</w:t>
            </w:r>
            <w:r>
              <w:rPr>
                <w:rFonts w:hint="eastAsia" w:asciiTheme="minorEastAsia" w:hAnsiTheme="minorEastAsia" w:cstheme="minorEastAsia"/>
                <w:b/>
                <w:color w:val="auto"/>
                <w:sz w:val="21"/>
                <w:szCs w:val="21"/>
                <w:lang w:val="en-US" w:eastAsia="zh-CN"/>
              </w:rPr>
              <w:t>复印件加盖单位公章</w:t>
            </w:r>
            <w:r>
              <w:rPr>
                <w:rFonts w:hint="eastAsia" w:asciiTheme="minorEastAsia" w:hAnsiTheme="minorEastAsia" w:eastAsiaTheme="minorEastAsia" w:cstheme="minorEastAsia"/>
                <w:b/>
                <w:color w:val="auto"/>
                <w:sz w:val="21"/>
                <w:szCs w:val="21"/>
              </w:rPr>
              <w:t>；</w:t>
            </w:r>
          </w:p>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2、有效的《食品经营许可证》</w:t>
            </w:r>
            <w:r>
              <w:rPr>
                <w:rFonts w:hint="eastAsia" w:asciiTheme="minorEastAsia" w:hAnsiTheme="minorEastAsia" w:cstheme="minorEastAsia"/>
                <w:b/>
                <w:color w:val="auto"/>
                <w:sz w:val="21"/>
                <w:szCs w:val="21"/>
                <w:lang w:val="en-US" w:eastAsia="zh-CN"/>
              </w:rPr>
              <w:t>复印件加盖单位公章</w:t>
            </w:r>
            <w:r>
              <w:rPr>
                <w:rFonts w:hint="eastAsia" w:asciiTheme="minorEastAsia" w:hAnsiTheme="minorEastAsia" w:eastAsiaTheme="minorEastAsia" w:cstheme="minorEastAsia"/>
                <w:b/>
                <w:color w:val="auto"/>
                <w:sz w:val="21"/>
                <w:szCs w:val="21"/>
              </w:rPr>
              <w:t>；</w:t>
            </w:r>
          </w:p>
          <w:p>
            <w:pPr>
              <w:pStyle w:val="6"/>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3、有效的上岗人员健康证</w:t>
            </w:r>
            <w:r>
              <w:rPr>
                <w:rFonts w:hint="eastAsia" w:asciiTheme="minorEastAsia" w:hAnsiTheme="minorEastAsia" w:cstheme="minorEastAsia"/>
                <w:b/>
                <w:color w:val="auto"/>
                <w:sz w:val="21"/>
                <w:szCs w:val="21"/>
                <w:lang w:val="en-US" w:eastAsia="zh-CN"/>
              </w:rPr>
              <w:t>（不少于5人）复印件加盖单位公章</w:t>
            </w:r>
            <w:r>
              <w:rPr>
                <w:rFonts w:hint="eastAsia" w:asciiTheme="minorEastAsia" w:hAnsiTheme="minorEastAsia" w:eastAsiaTheme="minorEastAsia" w:cstheme="minorEastAsia"/>
                <w:b/>
                <w:color w:val="auto"/>
                <w:sz w:val="21"/>
                <w:szCs w:val="21"/>
                <w:lang w:val="en-US" w:eastAsia="zh-CN"/>
              </w:rPr>
              <w:t>；</w:t>
            </w:r>
          </w:p>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法人参加的需提供：法</w:t>
            </w:r>
            <w:r>
              <w:rPr>
                <w:rFonts w:hint="eastAsia" w:asciiTheme="minorEastAsia" w:hAnsiTheme="minorEastAsia" w:eastAsiaTheme="minorEastAsia" w:cstheme="minorEastAsia"/>
                <w:b/>
                <w:color w:val="auto"/>
                <w:sz w:val="21"/>
                <w:szCs w:val="21"/>
                <w:highlight w:val="none"/>
                <w:lang w:val="en-US" w:eastAsia="zh-CN"/>
              </w:rPr>
              <w:t>定代表</w:t>
            </w:r>
            <w:r>
              <w:rPr>
                <w:rFonts w:hint="eastAsia" w:asciiTheme="minorEastAsia" w:hAnsiTheme="minorEastAsia" w:eastAsiaTheme="minorEastAsia" w:cstheme="minorEastAsia"/>
                <w:b/>
                <w:color w:val="auto"/>
                <w:sz w:val="21"/>
                <w:szCs w:val="21"/>
                <w:highlight w:val="none"/>
              </w:rPr>
              <w:t>人身份证（原件）、法</w:t>
            </w:r>
            <w:r>
              <w:rPr>
                <w:rFonts w:hint="eastAsia" w:asciiTheme="minorEastAsia" w:hAnsiTheme="minorEastAsia" w:eastAsiaTheme="minorEastAsia" w:cstheme="minorEastAsia"/>
                <w:b/>
                <w:color w:val="auto"/>
                <w:sz w:val="21"/>
                <w:szCs w:val="21"/>
                <w:highlight w:val="none"/>
                <w:lang w:val="en-US" w:eastAsia="zh-CN"/>
              </w:rPr>
              <w:t>定</w:t>
            </w:r>
            <w:r>
              <w:rPr>
                <w:rFonts w:hint="eastAsia" w:asciiTheme="minorEastAsia" w:hAnsiTheme="minorEastAsia" w:eastAsiaTheme="minorEastAsia" w:cstheme="minorEastAsia"/>
                <w:b/>
                <w:color w:val="auto"/>
                <w:sz w:val="21"/>
                <w:szCs w:val="21"/>
                <w:highlight w:val="none"/>
              </w:rPr>
              <w:t>代表</w:t>
            </w:r>
            <w:r>
              <w:rPr>
                <w:rFonts w:hint="eastAsia" w:asciiTheme="minorEastAsia" w:hAnsiTheme="minorEastAsia" w:eastAsiaTheme="minorEastAsia" w:cstheme="minorEastAsia"/>
                <w:b/>
                <w:color w:val="auto"/>
                <w:sz w:val="21"/>
                <w:szCs w:val="21"/>
                <w:highlight w:val="none"/>
                <w:lang w:val="en-US" w:eastAsia="zh-CN"/>
              </w:rPr>
              <w:t>人</w:t>
            </w:r>
            <w:r>
              <w:rPr>
                <w:rFonts w:hint="eastAsia" w:asciiTheme="minorEastAsia" w:hAnsiTheme="minorEastAsia" w:eastAsiaTheme="minorEastAsia" w:cstheme="minorEastAsia"/>
                <w:b/>
                <w:color w:val="auto"/>
                <w:sz w:val="21"/>
                <w:szCs w:val="21"/>
                <w:highlight w:val="none"/>
              </w:rPr>
              <w:t>资格证明书（原件）</w:t>
            </w:r>
            <w:r>
              <w:rPr>
                <w:rFonts w:hint="eastAsia" w:asciiTheme="minorEastAsia" w:hAnsiTheme="minorEastAsia" w:eastAsiaTheme="minorEastAsia" w:cstheme="minorEastAsia"/>
                <w:b/>
                <w:color w:val="auto"/>
                <w:sz w:val="21"/>
                <w:szCs w:val="21"/>
                <w:highlight w:val="none"/>
                <w:lang w:eastAsia="zh-CN"/>
              </w:rPr>
              <w:t>；</w:t>
            </w:r>
          </w:p>
          <w:p>
            <w:pPr>
              <w:pStyle w:val="6"/>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5、法人授权委托人参加的需提供：授权委托人身份证（原件）、法人代表授权委托书（原件）；</w:t>
            </w:r>
          </w:p>
          <w:p>
            <w:pPr>
              <w:rPr>
                <w:rFonts w:hint="default"/>
                <w:color w:val="auto"/>
                <w:sz w:val="21"/>
                <w:szCs w:val="21"/>
                <w:lang w:val="en-US" w:eastAsia="zh-CN"/>
              </w:rPr>
            </w:pPr>
            <w:r>
              <w:rPr>
                <w:rFonts w:hint="eastAsia" w:asciiTheme="minorEastAsia" w:hAnsiTheme="minorEastAsia" w:cstheme="minorEastAsia"/>
                <w:b/>
                <w:color w:val="auto"/>
                <w:sz w:val="21"/>
                <w:szCs w:val="21"/>
                <w:highlight w:val="none"/>
                <w:lang w:val="en-US" w:eastAsia="zh-CN"/>
              </w:rPr>
              <w:t>6、投标保证金汇款凭证复印件加盖单位公章。</w:t>
            </w:r>
          </w:p>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注：以上资料</w:t>
            </w:r>
            <w:r>
              <w:rPr>
                <w:rFonts w:hint="eastAsia" w:asciiTheme="minorEastAsia" w:hAnsiTheme="minorEastAsia" w:eastAsiaTheme="minorEastAsia" w:cstheme="minorEastAsia"/>
                <w:b/>
                <w:color w:val="auto"/>
                <w:sz w:val="21"/>
                <w:szCs w:val="21"/>
                <w:lang w:val="en-US" w:eastAsia="zh-CN"/>
              </w:rPr>
              <w:t>缺少一项</w:t>
            </w:r>
            <w:r>
              <w:rPr>
                <w:rFonts w:hint="eastAsia" w:asciiTheme="minorEastAsia" w:hAnsiTheme="minorEastAsia" w:eastAsiaTheme="minorEastAsia" w:cstheme="minorEastAsia"/>
                <w:b/>
                <w:color w:val="auto"/>
                <w:sz w:val="21"/>
                <w:szCs w:val="21"/>
              </w:rPr>
              <w:t>的投标人为无效投标人，其投标文件不予开封并退回。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105" w:firstLineChars="50"/>
              <w:jc w:val="both"/>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13</w:t>
            </w:r>
          </w:p>
        </w:tc>
        <w:tc>
          <w:tcPr>
            <w:tcW w:w="0" w:type="auto"/>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val="0"/>
                <w:bCs/>
                <w:color w:val="auto"/>
                <w:sz w:val="21"/>
                <w:szCs w:val="21"/>
              </w:rPr>
              <w:t>本项目</w:t>
            </w:r>
            <w:r>
              <w:rPr>
                <w:rFonts w:hint="eastAsia" w:asciiTheme="minorEastAsia" w:hAnsiTheme="minorEastAsia" w:eastAsiaTheme="minorEastAsia" w:cstheme="minorEastAsia"/>
                <w:b/>
                <w:bCs w:val="0"/>
                <w:color w:val="auto"/>
                <w:sz w:val="21"/>
                <w:szCs w:val="21"/>
              </w:rPr>
              <w:t>不接受</w:t>
            </w:r>
            <w:r>
              <w:rPr>
                <w:rFonts w:hint="eastAsia" w:asciiTheme="minorEastAsia" w:hAnsiTheme="minorEastAsia" w:eastAsiaTheme="minorEastAsia" w:cstheme="minorEastAsia"/>
                <w:b w:val="0"/>
                <w:bCs/>
                <w:color w:val="auto"/>
                <w:sz w:val="21"/>
                <w:szCs w:val="21"/>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105" w:firstLineChars="50"/>
              <w:jc w:val="both"/>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14</w:t>
            </w:r>
          </w:p>
        </w:tc>
        <w:tc>
          <w:tcPr>
            <w:tcW w:w="0" w:type="auto"/>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现场考察：否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105" w:firstLineChars="50"/>
              <w:jc w:val="both"/>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15</w:t>
            </w:r>
          </w:p>
        </w:tc>
        <w:tc>
          <w:tcPr>
            <w:tcW w:w="0" w:type="auto"/>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投标前答疑会：否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105" w:firstLineChars="50"/>
              <w:jc w:val="both"/>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16</w:t>
            </w:r>
          </w:p>
        </w:tc>
        <w:tc>
          <w:tcPr>
            <w:tcW w:w="0" w:type="auto"/>
            <w:vAlign w:val="center"/>
          </w:tcPr>
          <w:p>
            <w:pPr>
              <w:pStyle w:val="22"/>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auto"/>
                <w:spacing w:val="0"/>
                <w:sz w:val="21"/>
                <w:szCs w:val="21"/>
                <w:lang w:eastAsia="zh-CN"/>
              </w:rPr>
            </w:pPr>
            <w:r>
              <w:rPr>
                <w:rFonts w:hint="eastAsia" w:asciiTheme="minorEastAsia" w:hAnsiTheme="minorEastAsia" w:eastAsiaTheme="minorEastAsia" w:cstheme="minorEastAsia"/>
                <w:bCs/>
                <w:color w:val="auto"/>
                <w:spacing w:val="0"/>
                <w:sz w:val="21"/>
                <w:szCs w:val="21"/>
              </w:rPr>
              <w:t>投标文件的签字和盖章</w:t>
            </w:r>
            <w:r>
              <w:rPr>
                <w:rFonts w:hint="eastAsia" w:asciiTheme="minorEastAsia" w:hAnsiTheme="minorEastAsia" w:eastAsiaTheme="minorEastAsia" w:cstheme="minorEastAsia"/>
                <w:bCs/>
                <w:color w:val="auto"/>
                <w:spacing w:val="0"/>
                <w:sz w:val="21"/>
                <w:szCs w:val="21"/>
                <w:lang w:eastAsia="zh-CN"/>
              </w:rPr>
              <w:t>：</w:t>
            </w:r>
          </w:p>
          <w:p>
            <w:pPr>
              <w:pStyle w:val="22"/>
              <w:pageBreakBefore w:val="0"/>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Cs/>
                <w:color w:val="auto"/>
                <w:spacing w:val="0"/>
                <w:sz w:val="21"/>
                <w:szCs w:val="21"/>
              </w:rPr>
            </w:pPr>
            <w:r>
              <w:rPr>
                <w:rFonts w:hint="eastAsia" w:asciiTheme="minorEastAsia" w:hAnsiTheme="minorEastAsia" w:eastAsiaTheme="minorEastAsia" w:cstheme="minorEastAsia"/>
                <w:bCs/>
                <w:color w:val="auto"/>
                <w:spacing w:val="0"/>
                <w:sz w:val="21"/>
                <w:szCs w:val="21"/>
              </w:rPr>
              <w:t>1.所有要求法定代表人和其委托代理人签字或印章的地方都应用不褪色的黑色墨水签字笔由本人亲笔手写签字（包括姓和名）或印章。</w:t>
            </w:r>
          </w:p>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Cs/>
                <w:color w:val="auto"/>
                <w:spacing w:val="0"/>
                <w:sz w:val="21"/>
                <w:szCs w:val="21"/>
              </w:rPr>
              <w:t>2.投标人在投标文件及相关文件的签订、履行、通知等事项书面文件中的“单位公章”、“单位章”和“公章”处均仅指与当事人名称全称相一致的标准公章，不得使用其他形式（如带有“专用章”、“合同章”、“财务章”、“业务章”等字样）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105" w:firstLineChars="50"/>
              <w:jc w:val="both"/>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val="0"/>
                <w:bCs/>
                <w:i w:val="0"/>
                <w:iCs w:val="0"/>
                <w:color w:val="auto"/>
                <w:kern w:val="2"/>
                <w:sz w:val="21"/>
                <w:szCs w:val="21"/>
                <w:lang w:val="en-US" w:eastAsia="zh-CN"/>
              </w:rPr>
              <w:t>17</w:t>
            </w:r>
          </w:p>
        </w:tc>
        <w:tc>
          <w:tcPr>
            <w:tcW w:w="0" w:type="auto"/>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投标文件的标识</w:t>
            </w:r>
            <w:r>
              <w:rPr>
                <w:rFonts w:hint="eastAsia" w:asciiTheme="minorEastAsia" w:hAnsiTheme="minorEastAsia" w:eastAsiaTheme="minorEastAsia" w:cstheme="minorEastAsia"/>
                <w:color w:val="auto"/>
                <w:sz w:val="21"/>
                <w:szCs w:val="21"/>
                <w:lang w:eastAsia="zh-CN"/>
              </w:rPr>
              <w:t>：</w:t>
            </w:r>
          </w:p>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color w:val="auto"/>
                <w:spacing w:val="0"/>
                <w:sz w:val="21"/>
                <w:szCs w:val="21"/>
              </w:rPr>
              <w:t>在投标文件的封套上应清楚地标记“投标文件”等字样，封套还应标明项目名称以及投标人名称、投标人地址等；在所有封签处标注“请勿在 年 月 日  时00分（北京时间）之前启封”字样（上述时间为提交投标文件的截止时间）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105" w:firstLineChars="50"/>
              <w:jc w:val="both"/>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18</w:t>
            </w:r>
          </w:p>
        </w:tc>
        <w:tc>
          <w:tcPr>
            <w:tcW w:w="0" w:type="auto"/>
            <w:vAlign w:val="center"/>
          </w:tcPr>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签署合同时间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Cs/>
                <w:color w:val="auto"/>
                <w:spacing w:val="0"/>
                <w:sz w:val="21"/>
                <w:szCs w:val="21"/>
              </w:rPr>
              <w:t>中标通知书发出后30日内，中标人与采购人签署《政府采购合同》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105" w:firstLineChars="50"/>
              <w:jc w:val="both"/>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19</w:t>
            </w:r>
          </w:p>
        </w:tc>
        <w:tc>
          <w:tcPr>
            <w:tcW w:w="0" w:type="auto"/>
            <w:vAlign w:val="center"/>
          </w:tcPr>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color w:val="auto"/>
                <w:spacing w:val="0"/>
                <w:sz w:val="21"/>
                <w:szCs w:val="21"/>
              </w:rPr>
              <w:t>招标代理服务费</w:t>
            </w:r>
            <w:r>
              <w:rPr>
                <w:rFonts w:hint="eastAsia" w:asciiTheme="minorEastAsia" w:hAnsiTheme="minorEastAsia" w:eastAsiaTheme="minorEastAsia" w:cstheme="minorEastAsia"/>
                <w:bCs/>
                <w:color w:val="auto"/>
                <w:spacing w:val="0"/>
                <w:sz w:val="21"/>
                <w:szCs w:val="21"/>
                <w:lang w:eastAsia="zh-CN"/>
              </w:rPr>
              <w:t>：</w:t>
            </w:r>
            <w:r>
              <w:rPr>
                <w:rFonts w:hint="eastAsia" w:asciiTheme="minorEastAsia" w:hAnsiTheme="minorEastAsia" w:eastAsiaTheme="minorEastAsia" w:cstheme="minorEastAsia"/>
                <w:bCs/>
                <w:color w:val="auto"/>
                <w:spacing w:val="0"/>
                <w:sz w:val="21"/>
                <w:szCs w:val="21"/>
              </w:rPr>
              <w:t>根据国家现行收费政策计算本项目招标代理费为：执行国家现行收费标准，以中标金额为计算依据，采用差额定率累进计费方式计算；经双方协商一致：代理机构参考国家发改委发改办价格[2003]857 号、国家计委计价格[2002]1980 号等文件规定，向中标供应商收取代理服务费。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 w:val="0"/>
                <w:bCs/>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20</w:t>
            </w:r>
          </w:p>
        </w:tc>
        <w:tc>
          <w:tcPr>
            <w:tcW w:w="0" w:type="auto"/>
            <w:vAlign w:val="center"/>
          </w:tcPr>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color w:val="auto"/>
                <w:spacing w:val="0"/>
                <w:sz w:val="21"/>
                <w:szCs w:val="21"/>
                <w:lang w:val="en-US" w:eastAsia="zh-CN"/>
              </w:rPr>
            </w:pPr>
            <w:r>
              <w:rPr>
                <w:rFonts w:hint="eastAsia" w:asciiTheme="minorEastAsia" w:hAnsiTheme="minorEastAsia" w:eastAsiaTheme="minorEastAsia" w:cstheme="minorEastAsia"/>
                <w:b w:val="0"/>
                <w:bCs/>
                <w:color w:val="auto"/>
                <w:spacing w:val="0"/>
                <w:sz w:val="21"/>
                <w:szCs w:val="21"/>
                <w:lang w:val="en-US" w:eastAsia="zh-CN"/>
              </w:rPr>
              <w:t>标段说明：本次招标由1个标段组成，投标单位可根据自身情况参与投标，本标段只能有一个最终报价。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0" w:type="auto"/>
            <w:vAlign w:val="center"/>
          </w:tcPr>
          <w:p>
            <w:pPr>
              <w:pStyle w:val="21"/>
              <w:pageBreakBefore w:val="0"/>
              <w:kinsoku/>
              <w:wordWrap/>
              <w:overflowPunct/>
              <w:topLinePunct w:val="0"/>
              <w:bidi w:val="0"/>
              <w:adjustRightInd w:val="0"/>
              <w:snapToGrid w:val="0"/>
              <w:spacing w:line="400" w:lineRule="exact"/>
              <w:jc w:val="center"/>
              <w:textAlignment w:val="auto"/>
              <w:rPr>
                <w:rFonts w:hint="eastAsia" w:asciiTheme="minorEastAsia" w:hAnsiTheme="minorEastAsia" w:eastAsiaTheme="minorEastAsia" w:cstheme="minorEastAsia"/>
                <w:b w:val="0"/>
                <w:bCs/>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21</w:t>
            </w:r>
          </w:p>
        </w:tc>
        <w:tc>
          <w:tcPr>
            <w:tcW w:w="0" w:type="auto"/>
            <w:vAlign w:val="center"/>
          </w:tcPr>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val="0"/>
                <w:bCs/>
                <w:color w:val="auto"/>
                <w:spacing w:val="0"/>
                <w:sz w:val="21"/>
                <w:szCs w:val="21"/>
                <w:lang w:val="en-US" w:eastAsia="zh-CN"/>
              </w:rPr>
            </w:pPr>
            <w:r>
              <w:rPr>
                <w:rFonts w:hint="eastAsia" w:asciiTheme="minorEastAsia" w:hAnsiTheme="minorEastAsia" w:eastAsiaTheme="minorEastAsia" w:cstheme="minorEastAsia"/>
                <w:b/>
                <w:bCs w:val="0"/>
                <w:color w:val="auto"/>
                <w:spacing w:val="0"/>
                <w:sz w:val="21"/>
                <w:szCs w:val="21"/>
                <w:lang w:val="en-US" w:eastAsia="zh-CN"/>
              </w:rPr>
              <w:t>投标报价低于或高于</w:t>
            </w:r>
            <w:r>
              <w:rPr>
                <w:rFonts w:hint="eastAsia" w:asciiTheme="minorEastAsia" w:hAnsiTheme="minorEastAsia" w:cstheme="minorEastAsia"/>
                <w:b/>
                <w:bCs w:val="0"/>
                <w:color w:val="auto"/>
                <w:spacing w:val="0"/>
                <w:sz w:val="21"/>
                <w:szCs w:val="21"/>
                <w:lang w:val="en-US" w:eastAsia="zh-CN"/>
              </w:rPr>
              <w:t>最高限</w:t>
            </w:r>
            <w:r>
              <w:rPr>
                <w:rFonts w:hint="eastAsia" w:asciiTheme="minorEastAsia" w:hAnsiTheme="minorEastAsia" w:eastAsiaTheme="minorEastAsia" w:cstheme="minorEastAsia"/>
                <w:b/>
                <w:bCs w:val="0"/>
                <w:color w:val="auto"/>
                <w:spacing w:val="0"/>
                <w:sz w:val="21"/>
                <w:szCs w:val="21"/>
                <w:lang w:val="en-US" w:eastAsia="zh-CN"/>
              </w:rPr>
              <w:t>价均视为无效投标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exact"/>
          <w:jc w:val="center"/>
        </w:trPr>
        <w:tc>
          <w:tcPr>
            <w:tcW w:w="0" w:type="auto"/>
            <w:vAlign w:val="center"/>
          </w:tcPr>
          <w:p>
            <w:pPr>
              <w:pStyle w:val="21"/>
              <w:pageBreakBefore w:val="0"/>
              <w:kinsoku/>
              <w:wordWrap/>
              <w:overflowPunct/>
              <w:topLinePunct w:val="0"/>
              <w:bidi w:val="0"/>
              <w:adjustRightInd w:val="0"/>
              <w:snapToGrid w:val="0"/>
              <w:spacing w:line="400" w:lineRule="exact"/>
              <w:ind w:firstLine="315" w:firstLineChars="150"/>
              <w:textAlignment w:val="auto"/>
              <w:rPr>
                <w:rFonts w:hint="default" w:asciiTheme="minorEastAsia" w:hAnsiTheme="minorEastAsia" w:eastAsiaTheme="minorEastAsia" w:cstheme="minorEastAsia"/>
                <w:b w:val="0"/>
                <w:bCs/>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22</w:t>
            </w:r>
          </w:p>
        </w:tc>
        <w:tc>
          <w:tcPr>
            <w:tcW w:w="0" w:type="auto"/>
            <w:vAlign w:val="center"/>
          </w:tcPr>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bCs w:val="0"/>
                <w:color w:val="auto"/>
                <w:spacing w:val="0"/>
                <w:sz w:val="21"/>
                <w:szCs w:val="21"/>
                <w:lang w:val="en-US" w:eastAsia="zh-CN"/>
              </w:rPr>
            </w:pPr>
            <w:r>
              <w:rPr>
                <w:rFonts w:hint="eastAsia" w:asciiTheme="minorEastAsia" w:hAnsiTheme="minorEastAsia" w:eastAsiaTheme="minorEastAsia" w:cstheme="minorEastAsia"/>
                <w:b/>
                <w:bCs w:val="0"/>
                <w:color w:val="auto"/>
                <w:spacing w:val="0"/>
                <w:sz w:val="21"/>
                <w:szCs w:val="21"/>
                <w:lang w:val="en-US" w:eastAsia="zh-CN"/>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
                <w:bCs w:val="0"/>
                <w:color w:val="auto"/>
                <w:spacing w:val="0"/>
                <w:sz w:val="21"/>
                <w:szCs w:val="21"/>
                <w:lang w:val="en-US" w:eastAsia="zh-CN"/>
              </w:rPr>
            </w:pPr>
            <w:r>
              <w:rPr>
                <w:rFonts w:hint="eastAsia" w:asciiTheme="minorEastAsia" w:hAnsiTheme="minorEastAsia" w:eastAsiaTheme="minorEastAsia" w:cstheme="minorEastAsia"/>
                <w:b/>
                <w:bCs w:val="0"/>
                <w:color w:val="auto"/>
                <w:spacing w:val="0"/>
                <w:sz w:val="21"/>
                <w:szCs w:val="21"/>
                <w:lang w:val="en-US" w:eastAsia="zh-CN"/>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1" w:hRule="exact"/>
          <w:jc w:val="center"/>
        </w:trPr>
        <w:tc>
          <w:tcPr>
            <w:tcW w:w="0" w:type="auto"/>
            <w:vAlign w:val="center"/>
          </w:tcPr>
          <w:p>
            <w:pPr>
              <w:pStyle w:val="21"/>
              <w:pageBreakBefore w:val="0"/>
              <w:kinsoku/>
              <w:wordWrap/>
              <w:overflowPunct/>
              <w:topLinePunct w:val="0"/>
              <w:bidi w:val="0"/>
              <w:adjustRightInd w:val="0"/>
              <w:snapToGrid w:val="0"/>
              <w:spacing w:line="400" w:lineRule="exact"/>
              <w:textAlignment w:val="auto"/>
              <w:rPr>
                <w:rFonts w:hint="default" w:asciiTheme="minorEastAsia" w:hAnsiTheme="minorEastAsia" w:eastAsiaTheme="minorEastAsia" w:cstheme="minorEastAsia"/>
                <w:b w:val="0"/>
                <w:bCs/>
                <w:color w:val="auto"/>
                <w:kern w:val="2"/>
                <w:sz w:val="21"/>
                <w:szCs w:val="21"/>
                <w:lang w:val="en-US" w:eastAsia="zh-CN"/>
              </w:rPr>
            </w:pPr>
            <w:r>
              <w:rPr>
                <w:rFonts w:hint="eastAsia" w:asciiTheme="minorEastAsia" w:hAnsiTheme="minorEastAsia" w:eastAsiaTheme="minorEastAsia" w:cstheme="minorEastAsia"/>
                <w:b w:val="0"/>
                <w:bCs/>
                <w:color w:val="auto"/>
                <w:kern w:val="2"/>
                <w:sz w:val="21"/>
                <w:szCs w:val="21"/>
                <w:lang w:val="en-US" w:eastAsia="zh-CN"/>
              </w:rPr>
              <w:t>备注</w:t>
            </w:r>
          </w:p>
        </w:tc>
        <w:tc>
          <w:tcPr>
            <w:tcW w:w="0" w:type="auto"/>
            <w:vAlign w:val="center"/>
          </w:tcPr>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Cs/>
                <w:color w:val="auto"/>
                <w:spacing w:val="0"/>
                <w:sz w:val="21"/>
                <w:szCs w:val="21"/>
                <w:lang w:val="en-US" w:eastAsia="zh-CN"/>
              </w:rPr>
            </w:pPr>
            <w:r>
              <w:rPr>
                <w:rFonts w:hint="eastAsia" w:asciiTheme="minorEastAsia" w:hAnsiTheme="minorEastAsia" w:eastAsiaTheme="minorEastAsia" w:cstheme="minorEastAsia"/>
                <w:b w:val="0"/>
                <w:bCs/>
                <w:color w:val="auto"/>
                <w:spacing w:val="0"/>
                <w:sz w:val="21"/>
                <w:szCs w:val="21"/>
                <w:lang w:val="en-US" w:eastAsia="zh-CN"/>
              </w:rPr>
              <w:t>特别</w:t>
            </w:r>
            <w:r>
              <w:rPr>
                <w:rFonts w:hint="eastAsia" w:asciiTheme="minorEastAsia" w:hAnsiTheme="minorEastAsia" w:eastAsiaTheme="minorEastAsia" w:cstheme="minorEastAsia"/>
                <w:bCs/>
                <w:color w:val="auto"/>
                <w:spacing w:val="0"/>
                <w:sz w:val="21"/>
                <w:szCs w:val="21"/>
                <w:lang w:val="en-US" w:eastAsia="zh-CN"/>
              </w:rPr>
              <w:t>提示：</w:t>
            </w:r>
          </w:p>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Cs/>
                <w:color w:val="auto"/>
                <w:spacing w:val="0"/>
                <w:sz w:val="21"/>
                <w:szCs w:val="21"/>
                <w:lang w:val="en-US" w:eastAsia="zh-CN"/>
              </w:rPr>
            </w:pPr>
            <w:r>
              <w:rPr>
                <w:rFonts w:hint="eastAsia" w:asciiTheme="minorEastAsia" w:hAnsiTheme="minorEastAsia" w:eastAsiaTheme="minorEastAsia" w:cstheme="minorEastAsia"/>
                <w:bCs/>
                <w:color w:val="auto"/>
                <w:spacing w:val="0"/>
                <w:sz w:val="21"/>
                <w:szCs w:val="21"/>
                <w:lang w:val="en-US" w:eastAsia="zh-CN"/>
              </w:rPr>
              <w:t>超过200万元的货物和服务采购项目、超过400万元的工程采购项目中适宜由中小企业提供的，预留该部分采购项目预算总额的40%以上专门面向中小企业采购，其中预留给小微企业的比例不低于60%。</w:t>
            </w:r>
          </w:p>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Cs/>
                <w:color w:val="auto"/>
                <w:spacing w:val="0"/>
                <w:sz w:val="21"/>
                <w:szCs w:val="21"/>
                <w:lang w:val="en-US" w:eastAsia="zh-CN"/>
              </w:rPr>
            </w:pPr>
            <w:r>
              <w:rPr>
                <w:rFonts w:hint="eastAsia" w:asciiTheme="minorEastAsia" w:hAnsiTheme="minorEastAsia" w:eastAsiaTheme="minorEastAsia" w:cstheme="minorEastAsia"/>
                <w:bCs/>
                <w:color w:val="auto"/>
                <w:spacing w:val="0"/>
                <w:sz w:val="21"/>
                <w:szCs w:val="21"/>
                <w:lang w:val="en-US" w:eastAsia="zh-CN"/>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pageBreakBefore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bCs/>
                <w:color w:val="auto"/>
                <w:spacing w:val="0"/>
                <w:sz w:val="21"/>
                <w:szCs w:val="21"/>
                <w:lang w:val="en-US" w:eastAsia="zh-CN"/>
              </w:rPr>
            </w:pPr>
            <w:r>
              <w:rPr>
                <w:rFonts w:hint="eastAsia" w:asciiTheme="minorEastAsia" w:hAnsiTheme="minorEastAsia" w:eastAsiaTheme="minorEastAsia" w:cstheme="minorEastAsia"/>
                <w:bCs/>
                <w:color w:val="auto"/>
                <w:spacing w:val="0"/>
                <w:sz w:val="21"/>
                <w:szCs w:val="21"/>
                <w:lang w:val="en-US" w:eastAsia="zh-CN"/>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pageBreakBefore w:val="0"/>
              <w:kinsoku/>
              <w:wordWrap/>
              <w:overflowPunct/>
              <w:topLinePunct w:val="0"/>
              <w:bidi w:val="0"/>
              <w:adjustRightInd w:val="0"/>
              <w:snapToGrid w:val="0"/>
              <w:spacing w:line="400" w:lineRule="exact"/>
              <w:textAlignment w:val="auto"/>
              <w:rPr>
                <w:rFonts w:hint="default" w:asciiTheme="minorEastAsia" w:hAnsiTheme="minorEastAsia" w:eastAsiaTheme="minorEastAsia" w:cstheme="minorEastAsia"/>
                <w:b/>
                <w:bCs w:val="0"/>
                <w:color w:val="auto"/>
                <w:spacing w:val="0"/>
                <w:sz w:val="21"/>
                <w:szCs w:val="21"/>
                <w:lang w:val="en-US" w:eastAsia="zh-CN"/>
              </w:rPr>
            </w:pPr>
            <w:r>
              <w:rPr>
                <w:rFonts w:hint="eastAsia" w:asciiTheme="minorEastAsia" w:hAnsiTheme="minorEastAsia" w:cstheme="minorEastAsia"/>
                <w:b/>
                <w:bCs w:val="0"/>
                <w:color w:val="auto"/>
                <w:spacing w:val="0"/>
                <w:sz w:val="21"/>
                <w:szCs w:val="21"/>
                <w:lang w:val="en-US" w:eastAsia="zh-CN"/>
              </w:rPr>
              <w:t>注：本项目属于</w:t>
            </w:r>
            <w:r>
              <w:rPr>
                <w:rFonts w:hint="eastAsia" w:asciiTheme="minorEastAsia" w:hAnsiTheme="minorEastAsia" w:cstheme="minorEastAsia"/>
                <w:b/>
                <w:bCs w:val="0"/>
                <w:color w:val="auto"/>
                <w:spacing w:val="0"/>
                <w:sz w:val="21"/>
                <w:szCs w:val="21"/>
                <w:u w:val="single"/>
                <w:lang w:val="en-US" w:eastAsia="zh-CN"/>
              </w:rPr>
              <w:t>餐饮业</w:t>
            </w:r>
          </w:p>
        </w:tc>
      </w:tr>
    </w:tbl>
    <w:p>
      <w:pPr>
        <w:pStyle w:val="6"/>
        <w:rPr>
          <w:rFonts w:hint="default"/>
          <w:color w:val="auto"/>
          <w:lang w:val="en-US" w:eastAsia="zh-CN"/>
        </w:rPr>
      </w:pPr>
    </w:p>
    <w:p>
      <w:pPr>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pStyle w:val="6"/>
        <w:rPr>
          <w:rFonts w:hint="default"/>
          <w:color w:val="auto"/>
          <w:lang w:val="en-US" w:eastAsia="zh-CN"/>
        </w:rPr>
      </w:pPr>
    </w:p>
    <w:p>
      <w:pPr>
        <w:rPr>
          <w:rFonts w:hint="default"/>
          <w:color w:val="auto"/>
          <w:lang w:val="en-US" w:eastAsia="zh-CN"/>
        </w:rPr>
      </w:pPr>
    </w:p>
    <w:p>
      <w:pPr>
        <w:rPr>
          <w:rFonts w:hint="default"/>
          <w:color w:val="auto"/>
          <w:lang w:val="en-US" w:eastAsia="zh-CN"/>
        </w:rPr>
      </w:pPr>
      <w:r>
        <w:rPr>
          <w:rFonts w:hint="default"/>
          <w:color w:val="auto"/>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bookmarkStart w:id="3" w:name="_Toc30452"/>
      <w:r>
        <w:rPr>
          <w:rFonts w:hint="eastAsia"/>
          <w:color w:val="auto"/>
          <w:sz w:val="36"/>
          <w:szCs w:val="36"/>
          <w:lang w:val="en-US" w:eastAsia="zh-CN"/>
        </w:rPr>
        <w:t>第三章 投标须知</w:t>
      </w:r>
      <w:bookmarkEnd w:id="3"/>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定义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“招标代理机构”系指</w:t>
      </w:r>
      <w:r>
        <w:rPr>
          <w:rFonts w:hint="eastAsia" w:ascii="宋体" w:hAnsi="宋体" w:eastAsia="宋体" w:cs="宋体"/>
          <w:color w:val="auto"/>
          <w:sz w:val="24"/>
          <w:szCs w:val="24"/>
          <w:lang w:val="en-US" w:eastAsia="zh-CN"/>
        </w:rPr>
        <w:t>新疆融盛源工程项目管理有限公司</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1.2 </w:t>
      </w:r>
      <w:r>
        <w:rPr>
          <w:rFonts w:hint="eastAsia" w:ascii="宋体" w:hAnsi="宋体" w:eastAsia="宋体" w:cs="宋体"/>
          <w:color w:val="auto"/>
          <w:sz w:val="24"/>
          <w:szCs w:val="24"/>
        </w:rPr>
        <w:t>“投标供应商”系指向招标代理机构提交投标文件的供应商。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“货物”系指卖方按合同要求，向买方提供的产品手册及其他技术资料。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“服务”系指按合同规定卖方须承担的运输、装卸、技术协助和交付使用后保修期内应履行的义务及售后服务等其他类似的义务。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 “卖方”系指提供合同货物和服务的经济实体。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6 “买方”系指购买货物和服务的单位。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投标费用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3.2.1</w:t>
      </w:r>
      <w:r>
        <w:rPr>
          <w:rFonts w:hint="eastAsia" w:ascii="宋体" w:hAnsi="宋体" w:eastAsia="宋体" w:cs="宋体"/>
          <w:color w:val="auto"/>
          <w:sz w:val="24"/>
          <w:szCs w:val="24"/>
        </w:rPr>
        <w:t>投标供应商在投标时应自行承担所有与编写和提交投标文件有关的费用。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本次项目不接受联合体投标。</w:t>
      </w:r>
    </w:p>
    <w:p>
      <w:pPr>
        <w:pStyle w:val="21"/>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3.4 </w:t>
      </w:r>
      <w:r>
        <w:rPr>
          <w:rFonts w:hint="eastAsia" w:ascii="宋体" w:hAnsi="宋体" w:eastAsia="宋体" w:cs="宋体"/>
          <w:color w:val="auto"/>
        </w:rPr>
        <w:t>招标文件的澄清</w:t>
      </w:r>
    </w:p>
    <w:p>
      <w:pPr>
        <w:pStyle w:val="21"/>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3.4.1</w:t>
      </w:r>
      <w:r>
        <w:rPr>
          <w:rFonts w:hint="eastAsia" w:ascii="宋体" w:hAnsi="宋体" w:eastAsia="宋体" w:cs="宋体"/>
          <w:color w:val="auto"/>
        </w:rPr>
        <w:t>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21"/>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3.5 </w:t>
      </w:r>
      <w:r>
        <w:rPr>
          <w:rFonts w:hint="eastAsia" w:ascii="宋体" w:hAnsi="宋体" w:eastAsia="宋体" w:cs="宋体"/>
          <w:color w:val="auto"/>
        </w:rPr>
        <w:t xml:space="preserve">招标文件的澄清与修改 </w:t>
      </w:r>
    </w:p>
    <w:p>
      <w:pPr>
        <w:pStyle w:val="21"/>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1.供应商应认真阅读本招标文件，发现其中有误或有不合理要求的，供应商必须在投标截止日期前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21"/>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2.采购代理机构必须以书面形式答复供应商要求澄清的问题，并将不包含问题来源的答复书面通知所有购买招标文件的供应商；除书面答复以外的其他澄清方式及澄清内容均无效。</w:t>
      </w:r>
    </w:p>
    <w:p>
      <w:pPr>
        <w:pStyle w:val="21"/>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3.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21"/>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4.招标文件澄清、答复、修改、补充的内容为招标文件的组成部分。当招标文件与招标文件的答复、澄清、修改、补充通知就同一内容的表述不一致时，以最后发出的书面文件为准。</w:t>
      </w:r>
    </w:p>
    <w:p>
      <w:pPr>
        <w:pStyle w:val="21"/>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5.招标文件的澄清、答复、修改或补充都应该通过本代理机构以法定形式发布，采购人非通过本机构，不得擅自澄清、答复、修改或补充招标文件。</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rPr>
      </w:pPr>
      <w:bookmarkStart w:id="4" w:name="_Toc406671689"/>
      <w:bookmarkStart w:id="5" w:name="_Toc424213020"/>
      <w:bookmarkStart w:id="6" w:name="_Toc406672392"/>
      <w:bookmarkStart w:id="7" w:name="_Toc406670730"/>
      <w:bookmarkStart w:id="8" w:name="_Toc406671101"/>
      <w:r>
        <w:rPr>
          <w:rFonts w:hint="eastAsia" w:ascii="宋体" w:hAnsi="宋体" w:eastAsia="宋体" w:cs="宋体"/>
          <w:color w:val="auto"/>
          <w:sz w:val="24"/>
          <w:szCs w:val="24"/>
          <w:lang w:val="en-US" w:eastAsia="zh-CN"/>
        </w:rPr>
        <w:t xml:space="preserve">3.6 </w:t>
      </w:r>
      <w:r>
        <w:rPr>
          <w:rFonts w:hint="eastAsia" w:ascii="宋体" w:hAnsi="宋体" w:eastAsia="宋体" w:cs="宋体"/>
          <w:color w:val="auto"/>
          <w:sz w:val="24"/>
          <w:szCs w:val="24"/>
        </w:rPr>
        <w:t>废标条款</w:t>
      </w:r>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出现下列情形之一的，本项目/品目作废标处理,项目/品目评审终止：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3.6.1.符合专业条件的或对采购文件作实质响应的有效投标供应商不足三家的；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3.6.3.供应商报价均超过了采购预算，采购人不能支付的；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3.6.4.因重大变故，采购任务取消的；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3.6.5.法律法规规定的其他情形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bookmarkStart w:id="9" w:name="_Toc424213021"/>
      <w:bookmarkStart w:id="10" w:name="_Toc406672393"/>
      <w:bookmarkStart w:id="11" w:name="_Toc406671102"/>
      <w:bookmarkStart w:id="12" w:name="_Toc406671690"/>
      <w:bookmarkStart w:id="13" w:name="_Toc406670731"/>
      <w:r>
        <w:rPr>
          <w:rFonts w:hint="eastAsia" w:ascii="宋体" w:hAnsi="宋体" w:eastAsia="宋体" w:cs="宋体"/>
          <w:color w:val="auto"/>
          <w:sz w:val="24"/>
          <w:szCs w:val="24"/>
          <w:lang w:val="en-US" w:eastAsia="zh-CN"/>
        </w:rPr>
        <w:t>3.7 无效标条款</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出现下列情形之一的，供应商递交的投标文件作无效标处理，该供应商的投标文件不参与评审，且不计算入投标供应商家数：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3.7.1.递交的投标文件不完整或未按采购文件要求加盖公章及签字的；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3.7.2.供应商不符合国家及招标文件规定的资格条件的；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3.7.3.项目接受联合体投标时，投标联合体未提交联合投标协议的；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3.7.4.投标报价被评审委员会认定低于成本价的；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3.7.5.投标报价高于财政采购预算采购人无法支付的；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3.7.6.投标文件对采购文件的实质性要求和条件未作出响应的；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3.7.7.供应商有串通投标、弄虚作假、行贿等违法行为的；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3.7.8.投标文件未胶装成册的（采用打孔装订、活页夹等方式装订的投标文件作为无效投标处理）；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3.7.9.未交纳投标保证金的；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3.7.10.投标有效期不满足采购文件要求的；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3.7.11.法定代表人为同一个人的两个及以上法人，母公司、全资子公司及其控股公司，在同一采购项目/品目中同时投标的；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3.7.12.为本项目提供整体设计、规范编制或者项目管理、监理、检测等服务的供应商参加本采购项目的。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3.7.13. 违反政府采购法律法规,足以导致响应文件无效的情形。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 收费标准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bookmarkStart w:id="14" w:name="_Hlk40283811"/>
      <w:r>
        <w:rPr>
          <w:rFonts w:hint="eastAsia" w:ascii="宋体" w:hAnsi="宋体" w:eastAsia="宋体" w:cs="宋体"/>
          <w:color w:val="auto"/>
          <w:sz w:val="24"/>
          <w:szCs w:val="24"/>
          <w:lang w:val="en-US" w:eastAsia="zh-CN"/>
        </w:rPr>
        <w:t>代理机构参考国家发改委发改办价格[2003]857 号、国家计委计价格[2002]1980 号等文件规定，向中标供应商收取代理服务费。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bookmarkEnd w:id="14"/>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收取标准：</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82"/>
        <w:gridCol w:w="2425"/>
        <w:gridCol w:w="2425"/>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货物招标</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服务招标</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100万元及以下</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100-500万元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0.80%</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500-1000万元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0.80%</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0.45%</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1000-5000万元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0.50%</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0.25%</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5000万元-1亿元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0.25%</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0.10%</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1-5亿元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0.045%</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0.045%</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5-10亿元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0.035%</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0.035%</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10-50亿元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0.008%</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0.008%</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50-100亿元</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0.006%</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0.006%</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46"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100亿元以上</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0.004%</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0.004%</w:t>
            </w:r>
          </w:p>
        </w:tc>
        <w:tc>
          <w:tcPr>
            <w:tcW w:w="1217" w:type="pct"/>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0.004%</w:t>
            </w: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例：货物招标中标金额630万的代理服务费计算（单位：万元）</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100×1.5% + （500-100）×1.1% +（630-500）×0.8%=6.9万</w:t>
      </w:r>
    </w:p>
    <w:p>
      <w:pPr>
        <w:rPr>
          <w:rFonts w:hint="default"/>
          <w:color w:val="auto"/>
          <w:lang w:val="en-US" w:eastAsia="zh-CN"/>
        </w:rPr>
      </w:pPr>
      <w:r>
        <w:rPr>
          <w:rFonts w:hint="default"/>
          <w:color w:val="auto"/>
          <w:lang w:val="en-US" w:eastAsia="zh-CN"/>
        </w:rPr>
        <w:br w:type="page"/>
      </w:r>
    </w:p>
    <w:p>
      <w:pPr>
        <w:pStyle w:val="3"/>
        <w:keepNext/>
        <w:keepLines/>
        <w:pageBreakBefore w:val="0"/>
        <w:widowControl w:val="0"/>
        <w:kinsoku/>
        <w:wordWrap/>
        <w:overflowPunct/>
        <w:topLinePunct w:val="0"/>
        <w:autoSpaceDE/>
        <w:autoSpaceDN/>
        <w:bidi w:val="0"/>
        <w:adjustRightInd w:val="0"/>
        <w:snapToGrid w:val="0"/>
        <w:spacing w:line="288" w:lineRule="auto"/>
        <w:jc w:val="center"/>
        <w:textAlignment w:val="auto"/>
        <w:rPr>
          <w:rFonts w:hint="default"/>
          <w:color w:val="auto"/>
          <w:lang w:val="en-US" w:eastAsia="zh-CN"/>
        </w:rPr>
      </w:pPr>
      <w:bookmarkStart w:id="15" w:name="_Toc5415"/>
      <w:r>
        <w:rPr>
          <w:rFonts w:hint="eastAsia"/>
          <w:color w:val="auto"/>
          <w:sz w:val="36"/>
          <w:szCs w:val="36"/>
          <w:lang w:val="en-US" w:eastAsia="zh-CN"/>
        </w:rPr>
        <w:t>第四章 餐饮服务标准</w:t>
      </w:r>
      <w:bookmarkEnd w:id="15"/>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为北站东路片区的便民警务站配送三餐（早、中、晚）及夜宵，目前核定队员人数143人。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工作要求，由配餐公司为便民警务站配送四餐（早、中、晚、夜宵），按照35元/人▪天的标准。每天按照与警务站约定时间送餐，根据实际就餐人数结账。若因不可抗拒因素、政策调整等原因，根据实际情况进行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二、委托经营期限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委托合同服务期限为2年。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三、餐饮标准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（1）服务商提供的餐食，遵守国家和地方有关环境和卫生的标准，使用符合卫生标准的食材和配料，确保食物安全；送餐餐具的清洁和消毒要按卫生标准执行；配送餐公司员工身体健康并持有健康证。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（2）由服务商提供安全卫生的餐盒供就餐使用，餐盒及配送车辆由服务商自行清洁、消毒且达到相关卫生要求。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（3）本次招标的服务项目包括工作期间的早、中、晚餐，夜宵供应，供应膳食的时间每天按照与警务站约定时间送餐，根据实际就餐人数结账。若因不可抗拒因素、政策调整等原因，根据实际情况进行调整。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default"/>
          <w:color w:val="auto"/>
          <w:lang w:val="en-US" w:eastAsia="zh-CN"/>
        </w:rPr>
      </w:pPr>
      <w:r>
        <w:rPr>
          <w:rFonts w:hint="eastAsia" w:ascii="宋体" w:hAnsi="宋体" w:eastAsia="宋体" w:cs="宋体"/>
          <w:color w:val="auto"/>
          <w:sz w:val="24"/>
          <w:szCs w:val="24"/>
          <w:lang w:val="en-US" w:eastAsia="zh-CN"/>
        </w:rPr>
        <w:t>（4）每人四餐（早、中、晚、夜宵）标准为35元/人▪天（含配送费用，服务期间服务商原则上不得变更供餐收费标准，如因物价变动因素等确需变更价格的，应当经采购人同意后方可变更）。餐食标准为以不浪费为原则，供甲方单位人员吃饱为止。提前提供一周的菜谱，服务商必须按营养菜谱提供高蛋白、营养均衡的各类菜肴供甲方单位人员享用，各类菜肴的份量要求为全部以饭餐供应时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四、食品管理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（1）确保蔬菜感观好、新鲜；荤菜无腐烂、变质、过期；调料符合规格要求，在保质期内。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（2）严禁腐烂、变质、过期及标识不全的食品。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default"/>
          <w:color w:val="auto"/>
          <w:lang w:val="en-US" w:eastAsia="zh-CN"/>
        </w:rPr>
      </w:pPr>
      <w:r>
        <w:rPr>
          <w:rFonts w:hint="eastAsia" w:ascii="宋体" w:hAnsi="宋体" w:eastAsia="宋体" w:cs="宋体"/>
          <w:color w:val="auto"/>
          <w:sz w:val="24"/>
          <w:szCs w:val="24"/>
          <w:lang w:val="en-US" w:eastAsia="zh-CN"/>
        </w:rPr>
        <w:t>（3）食品烹饪：食品烹调过程严格防止污染，严格遵守食品配备、烧煮及保存时间和温度标准。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五、考核要求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服务商必须具备“食品经营许可证”，服务商上岗人员须提供有效的“健康证”。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六、付款方式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付款时间以财政拨款为准，双方协商付款。</w: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3"/>
        <w:keepNext/>
        <w:keepLines/>
        <w:pageBreakBefore w:val="0"/>
        <w:widowControl w:val="0"/>
        <w:numPr>
          <w:ilvl w:val="0"/>
          <w:numId w:val="0"/>
        </w:numPr>
        <w:kinsoku/>
        <w:wordWrap/>
        <w:overflowPunct/>
        <w:topLinePunct w:val="0"/>
        <w:autoSpaceDE/>
        <w:autoSpaceDN/>
        <w:bidi w:val="0"/>
        <w:adjustRightInd w:val="0"/>
        <w:snapToGrid w:val="0"/>
        <w:spacing w:line="400" w:lineRule="exact"/>
        <w:ind w:leftChars="0"/>
        <w:jc w:val="center"/>
        <w:textAlignment w:val="auto"/>
        <w:rPr>
          <w:rFonts w:hint="eastAsia"/>
          <w:color w:val="auto"/>
          <w:sz w:val="36"/>
          <w:szCs w:val="36"/>
          <w:lang w:val="en-US" w:eastAsia="zh-CN"/>
        </w:rPr>
      </w:pPr>
      <w:bookmarkStart w:id="16" w:name="_Toc21014"/>
      <w:r>
        <w:rPr>
          <w:rFonts w:hint="eastAsia"/>
          <w:color w:val="auto"/>
          <w:sz w:val="36"/>
          <w:szCs w:val="36"/>
          <w:lang w:val="en-US" w:eastAsia="zh-CN"/>
        </w:rPr>
        <w:t>第五章 投标文件编制规范</w:t>
      </w:r>
      <w:bookmarkEnd w:id="16"/>
    </w:p>
    <w:p>
      <w:pPr>
        <w:pStyle w:val="4"/>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24"/>
          <w:szCs w:val="24"/>
          <w:lang w:val="en-US" w:eastAsia="zh-CN"/>
        </w:rPr>
      </w:pPr>
      <w:bookmarkStart w:id="17" w:name="_Toc31902"/>
      <w:bookmarkStart w:id="18" w:name="_Toc406670774"/>
      <w:bookmarkStart w:id="19" w:name="_Toc406671145"/>
      <w:r>
        <w:rPr>
          <w:rFonts w:hint="eastAsia" w:ascii="宋体" w:hAnsi="宋体" w:eastAsia="宋体" w:cs="宋体"/>
          <w:b w:val="0"/>
          <w:bCs/>
          <w:color w:val="auto"/>
          <w:sz w:val="24"/>
          <w:szCs w:val="24"/>
          <w:lang w:val="en-US" w:eastAsia="zh-CN"/>
        </w:rPr>
        <w:t>5.1 投标文件</w:t>
      </w:r>
      <w:bookmarkEnd w:id="17"/>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一、格式</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2.投标文件中所使用的计量单位，除采购文件有要求的外，均使用国家法定计量单位。</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投标文件中的图片资料、复印件等应清晰可见，不得随意放大缩小。内容不得倒置、歪斜，由于投标文件不清晰或不利于阅读所造成的后果，由供应商自行负责。</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4.除法定代表人或法人授权代表签字或投标文件页码标注可以手写外，其余所有投标文件内容须采用打印字体，禁止手写，手写内容评标委员会可以不认同。</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5.投标文件应严格按采购文件提供的投标文件格式范本填写，采购文件中未提供格式范本的，由供应商自行编制。</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二、装订</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1.投标文件须按所投品目/包单独胶装成册，并在封面注明所投品目号/包号。所投品目/包投标文件上、下册，供应商可根据投标的实际情况，自行选择是否统一或分开胶装成册。</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文件须用A4纸打印，按照采购文件所规定的内容顺序，统一编目、编页码装订（投标文件中复印件及彩色宣传资料等均须与投标文件正文一起逐页编排页码）。超过A4幅的应以相应幅面打印，但应折叠为A4幅大小后装订，采购文件有提供图册等其它要求的除外。由于编排混乱导致投标文件被误读或查找不到，责任由供应商自行承担。</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3.投标文件须胶装成册，不得采用活页、打孔等方式装订。</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4.不推荐使用豪华装订，建议平装，双面打印。</w:t>
      </w:r>
    </w:p>
    <w:p>
      <w:pPr>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三、签署与封装</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签署：投标文件封面上须注明“正本”或“副本”或“电子投标文件”字样，并加盖封面单位公章和骑缝章。若正本与副本不符，以正本为准。投标文件中除标准页码外，不得涂改和增删。投标文件中所有复印件必须加盖供应商公章。投标文件范本中注明需要签章的地方，供应商均须进行签章。</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2.封装：</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2.1投标供应商可根据投标实际厚度，自行选择投标文件的外包封套的数量，对投标文件的外包封份数不作具体规定，但投标供应商应确保投标文件的外包封没有严重破损导致投标实质性内容泄露的情形。</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2.2外包密封的封口（接口）处加盖带投标供应商公章，封装物上清楚注明项目名称、品目名称、供应商名称。</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2.3外包封上有重复或多余标记，未对投标文件实质性响应产生影响的，不作无效标依据。</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2.4投标供应商对外包封有异议的，应在开标会现场当场提出，由监督部门和招标人在开标现场当场判定是否作无效标处理，不得送至评标委员会判定。</w:t>
      </w:r>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4"/>
          <w:szCs w:val="24"/>
        </w:rPr>
      </w:pPr>
      <w:bookmarkStart w:id="20" w:name="_Toc23776"/>
      <w:bookmarkStart w:id="21" w:name="_Toc8506"/>
      <w:bookmarkStart w:id="22" w:name="_Toc18020"/>
      <w:r>
        <w:rPr>
          <w:rFonts w:hint="eastAsia" w:ascii="宋体" w:hAnsi="宋体" w:eastAsia="宋体" w:cs="宋体"/>
          <w:b w:val="0"/>
          <w:bCs/>
          <w:color w:val="auto"/>
          <w:sz w:val="24"/>
          <w:szCs w:val="24"/>
          <w:lang w:val="en-US" w:eastAsia="zh-CN"/>
        </w:rPr>
        <w:t>5.2</w:t>
      </w:r>
      <w:r>
        <w:rPr>
          <w:rFonts w:hint="eastAsia" w:ascii="宋体" w:hAnsi="宋体" w:eastAsia="宋体" w:cs="宋体"/>
          <w:b w:val="0"/>
          <w:bCs/>
          <w:color w:val="auto"/>
          <w:sz w:val="24"/>
          <w:szCs w:val="24"/>
        </w:rPr>
        <w:t xml:space="preserve"> 投标文件组成</w:t>
      </w:r>
      <w:bookmarkEnd w:id="20"/>
      <w:bookmarkEnd w:id="21"/>
      <w:bookmarkEnd w:id="22"/>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一</w:t>
      </w:r>
      <w:r>
        <w:rPr>
          <w:rFonts w:hint="eastAsia" w:asciiTheme="minorEastAsia" w:hAnsiTheme="minorEastAsia" w:eastAsiaTheme="minorEastAsia" w:cstheme="minorEastAsia"/>
          <w:color w:val="auto"/>
          <w:sz w:val="24"/>
          <w:szCs w:val="24"/>
        </w:rPr>
        <w:t>、政府采购投标文件类别：</w:t>
      </w: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类投标文件</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二、组成</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各类投标文件由数据信息响应部分和佐证文件部分组成，具体详见投标文件格式文本。</w:t>
      </w:r>
    </w:p>
    <w:tbl>
      <w:tblPr>
        <w:tblStyle w:val="17"/>
        <w:tblW w:w="5094"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669"/>
        <w:gridCol w:w="827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4160" w:type="pct"/>
            <w:tcBorders>
              <w:top w:val="outset" w:color="auto" w:sz="6" w:space="0"/>
              <w:left w:val="outset" w:color="auto" w:sz="6" w:space="0"/>
              <w:bottom w:val="outset" w:color="auto" w:sz="6" w:space="0"/>
              <w:right w:val="outset" w:color="auto" w:sz="6" w:space="0"/>
            </w:tcBorders>
            <w:vAlign w:val="top"/>
          </w:tcPr>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auto"/>
                <w:sz w:val="24"/>
              </w:rPr>
            </w:pPr>
            <w:r>
              <w:rPr>
                <w:rFonts w:ascii="宋体" w:hAnsi="宋体" w:cs="宋体"/>
                <w:color w:val="auto"/>
                <w:sz w:val="24"/>
              </w:rPr>
              <w:t>商务部分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ascii="宋体" w:hAnsi="宋体" w:cs="宋体"/>
                <w:color w:val="auto"/>
                <w:sz w:val="24"/>
              </w:rPr>
              <w:t>1</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★投标承诺函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ascii="宋体" w:hAnsi="宋体" w:cs="宋体"/>
                <w:color w:val="auto"/>
                <w:sz w:val="24"/>
              </w:rPr>
              <w:t>2</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★投标人资格声明函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eastAsiaTheme="minorEastAsia"/>
                <w:color w:val="auto"/>
                <w:sz w:val="24"/>
                <w:lang w:eastAsia="zh-CN"/>
              </w:rPr>
            </w:pPr>
            <w:r>
              <w:rPr>
                <w:rFonts w:hint="eastAsia" w:ascii="宋体" w:hAnsi="宋体" w:cs="宋体"/>
                <w:color w:val="auto"/>
                <w:sz w:val="24"/>
                <w:lang w:val="en-US" w:eastAsia="zh-CN"/>
              </w:rPr>
              <w:t>3</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lang w:eastAsia="zh-CN"/>
              </w:rPr>
            </w:pPr>
            <w:r>
              <w:rPr>
                <w:rFonts w:hint="eastAsia" w:ascii="宋体" w:hAnsi="宋体" w:cs="宋体"/>
                <w:color w:val="auto"/>
                <w:sz w:val="24"/>
              </w:rPr>
              <w:t>有效的《食品经营许可证》</w:t>
            </w:r>
            <w:r>
              <w:rPr>
                <w:rFonts w:hint="eastAsia" w:ascii="宋体" w:hAnsi="宋体" w:cs="宋体"/>
                <w:color w:val="auto"/>
                <w:sz w:val="24"/>
                <w:lang w:eastAsia="zh-CN"/>
              </w:rPr>
              <w:t>；有效的上岗人员健康证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eastAsiaTheme="minorEastAsia"/>
                <w:color w:val="auto"/>
                <w:sz w:val="24"/>
                <w:lang w:eastAsia="zh-CN"/>
              </w:rPr>
            </w:pPr>
            <w:r>
              <w:rPr>
                <w:rFonts w:hint="eastAsia" w:ascii="宋体" w:hAnsi="宋体" w:cs="宋体"/>
                <w:color w:val="auto"/>
                <w:sz w:val="24"/>
                <w:lang w:val="en-US" w:eastAsia="zh-CN"/>
              </w:rPr>
              <w:t>4</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rPr>
            </w:pPr>
            <w:r>
              <w:rPr>
                <w:rFonts w:hint="eastAsia" w:ascii="宋体" w:hAnsi="宋体" w:cs="宋体"/>
                <w:color w:val="auto"/>
                <w:sz w:val="24"/>
              </w:rPr>
              <w:t>信用查询（信用中国</w:t>
            </w:r>
            <w:r>
              <w:rPr>
                <w:rFonts w:hint="eastAsia" w:ascii="宋体" w:hAnsi="宋体" w:cs="宋体"/>
                <w:color w:val="auto"/>
                <w:sz w:val="24"/>
                <w:lang w:val="en-US" w:eastAsia="zh-CN"/>
              </w:rPr>
              <w:t>及</w:t>
            </w:r>
            <w:r>
              <w:rPr>
                <w:rFonts w:hint="eastAsia" w:ascii="宋体" w:hAnsi="宋体" w:cs="宋体"/>
                <w:color w:val="auto"/>
                <w:sz w:val="24"/>
              </w:rPr>
              <w:t>中国政府采购网）</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color w:val="auto"/>
                <w:lang w:eastAsia="zh-CN"/>
              </w:rPr>
            </w:pPr>
            <w:r>
              <w:rPr>
                <w:rFonts w:hint="eastAsia" w:ascii="宋体" w:hAnsi="宋体" w:cs="宋体"/>
                <w:color w:val="auto"/>
                <w:sz w:val="24"/>
                <w:lang w:val="en-US" w:eastAsia="zh-CN"/>
              </w:rPr>
              <w:t>5</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授权委托证明书（法定代表人亲自办理投标事宜的，则无需提交本证明书）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color w:val="auto"/>
                <w:lang w:eastAsia="zh-CN"/>
              </w:rPr>
            </w:pPr>
            <w:r>
              <w:rPr>
                <w:rFonts w:hint="eastAsia" w:ascii="宋体" w:hAnsi="宋体" w:cs="宋体"/>
                <w:color w:val="auto"/>
                <w:sz w:val="24"/>
                <w:lang w:val="en-US" w:eastAsia="zh-CN"/>
              </w:rPr>
              <w:t>6</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rPr>
            </w:pPr>
            <w:r>
              <w:rPr>
                <w:rFonts w:ascii="宋体" w:hAnsi="宋体" w:cs="宋体"/>
                <w:color w:val="auto"/>
                <w:sz w:val="24"/>
              </w:rPr>
              <w:t>★开标一览表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eastAsia="zh-CN"/>
              </w:rPr>
            </w:pPr>
            <w:r>
              <w:rPr>
                <w:rFonts w:hint="eastAsia" w:ascii="宋体" w:hAnsi="宋体" w:cs="宋体"/>
                <w:color w:val="auto"/>
                <w:sz w:val="24"/>
                <w:lang w:val="en-US" w:eastAsia="zh-CN"/>
              </w:rPr>
              <w:t>7</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HAnsi" w:hAnsiTheme="minorHAnsi" w:eastAsiaTheme="minorEastAsia" w:cstheme="minorBidi"/>
                <w:color w:val="auto"/>
                <w:kern w:val="2"/>
                <w:sz w:val="21"/>
                <w:szCs w:val="24"/>
                <w:lang w:val="en-US" w:eastAsia="zh-CN" w:bidi="ar-SA"/>
              </w:rPr>
            </w:pPr>
            <w:r>
              <w:rPr>
                <w:rFonts w:ascii="宋体" w:hAnsi="宋体" w:cs="宋体"/>
                <w:color w:val="auto"/>
                <w:sz w:val="24"/>
              </w:rPr>
              <w:t>项目经理简历表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eastAsia="zh-CN"/>
              </w:rPr>
            </w:pPr>
            <w:r>
              <w:rPr>
                <w:rFonts w:hint="eastAsia" w:ascii="宋体" w:hAnsi="宋体" w:cs="宋体"/>
                <w:color w:val="auto"/>
                <w:sz w:val="24"/>
                <w:lang w:val="en-US" w:eastAsia="zh-CN"/>
              </w:rPr>
              <w:t>8</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ascii="宋体" w:hAnsi="宋体" w:cs="宋体"/>
                <w:color w:val="auto"/>
                <w:sz w:val="24"/>
              </w:rPr>
              <w:t>承担本项目主要技术人员和售后服务人员表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eastAsia="zh-CN"/>
              </w:rPr>
            </w:pPr>
            <w:r>
              <w:rPr>
                <w:rFonts w:hint="eastAsia" w:ascii="宋体" w:hAnsi="宋体" w:eastAsia="宋体" w:cs="宋体"/>
                <w:color w:val="auto"/>
                <w:sz w:val="24"/>
                <w:lang w:val="en-US" w:eastAsia="zh-CN"/>
              </w:rPr>
              <w:t>9</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ascii="宋体" w:hAnsi="宋体" w:cs="宋体"/>
                <w:color w:val="auto"/>
                <w:sz w:val="24"/>
              </w:rPr>
              <w:t>业绩一览表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eastAsia="zh-CN"/>
              </w:rPr>
            </w:pPr>
            <w:r>
              <w:rPr>
                <w:rFonts w:hint="eastAsia" w:ascii="宋体" w:hAnsi="宋体" w:cs="宋体"/>
                <w:color w:val="auto"/>
                <w:sz w:val="24"/>
              </w:rPr>
              <w:t>1</w:t>
            </w:r>
            <w:r>
              <w:rPr>
                <w:rFonts w:hint="eastAsia" w:ascii="宋体" w:hAnsi="宋体" w:cs="宋体"/>
                <w:color w:val="auto"/>
                <w:sz w:val="24"/>
                <w:lang w:val="en-US" w:eastAsia="zh-CN"/>
              </w:rPr>
              <w:t>0</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ascii="宋体" w:hAnsi="宋体" w:cs="宋体"/>
                <w:color w:val="auto"/>
                <w:sz w:val="24"/>
              </w:rPr>
              <w:t>证书一览表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eastAsia="zh-CN"/>
              </w:rPr>
            </w:pPr>
            <w:r>
              <w:rPr>
                <w:rFonts w:hint="eastAsia" w:ascii="宋体" w:hAnsi="宋体" w:cs="宋体"/>
                <w:color w:val="auto"/>
                <w:sz w:val="24"/>
                <w:lang w:val="en-US" w:eastAsia="zh-CN"/>
              </w:rPr>
              <w:t>11</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ascii="宋体" w:hAnsi="宋体" w:cs="宋体"/>
                <w:color w:val="auto"/>
                <w:sz w:val="24"/>
              </w:rPr>
              <w:t>投标人认为有必要说明的其他商务文件资料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auto"/>
                <w:sz w:val="24"/>
              </w:rPr>
            </w:pPr>
            <w:r>
              <w:rPr>
                <w:rFonts w:ascii="宋体" w:hAnsi="宋体" w:cs="宋体"/>
                <w:color w:val="auto"/>
                <w:sz w:val="24"/>
              </w:rPr>
              <w:t>技术文件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1</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hint="eastAsia" w:ascii="宋体" w:hAnsi="宋体" w:cs="仿宋_GB2312"/>
                <w:color w:val="auto"/>
                <w:sz w:val="24"/>
                <w:szCs w:val="24"/>
                <w:lang w:eastAsia="zh-CN"/>
              </w:rPr>
              <w:t>售后服务</w:t>
            </w:r>
            <w:r>
              <w:rPr>
                <w:rFonts w:hint="eastAsia" w:ascii="宋体" w:hAnsi="宋体" w:cs="仿宋_GB2312"/>
                <w:color w:val="auto"/>
                <w:sz w:val="24"/>
                <w:szCs w:val="24"/>
                <w:lang w:val="en-US" w:eastAsia="zh-CN"/>
              </w:rPr>
              <w:t>承诺</w:t>
            </w:r>
            <w:r>
              <w:rPr>
                <w:rFonts w:hint="eastAsia" w:ascii="宋体" w:hAnsi="宋体" w:cs="仿宋_GB2312"/>
                <w:color w:val="auto"/>
                <w:sz w:val="24"/>
                <w:szCs w:val="24"/>
                <w:lang w:eastAsia="zh-CN"/>
              </w:rPr>
              <w:t>等</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2</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hint="eastAsia" w:ascii="宋体" w:hAnsi="宋体" w:cs="仿宋_GB2312"/>
                <w:color w:val="auto"/>
                <w:sz w:val="24"/>
                <w:szCs w:val="24"/>
                <w:lang w:eastAsia="zh-CN"/>
              </w:rPr>
              <w:t>企业实力</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3</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hint="eastAsia" w:ascii="宋体" w:hAnsi="宋体" w:cs="仿宋_GB2312"/>
                <w:color w:val="auto"/>
                <w:sz w:val="24"/>
                <w:szCs w:val="24"/>
                <w:lang w:val="en-US" w:eastAsia="zh-CN"/>
              </w:rPr>
              <w:t>总体情况</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4</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hint="eastAsia" w:asciiTheme="minorEastAsia" w:hAnsiTheme="minorEastAsia" w:eastAsiaTheme="minorEastAsia" w:cstheme="minorEastAsia"/>
                <w:color w:val="auto"/>
                <w:sz w:val="24"/>
              </w:rPr>
              <w:t>内部管理制度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5</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hint="eastAsia" w:asciiTheme="minorEastAsia" w:hAnsiTheme="minorEastAsia" w:eastAsiaTheme="minorEastAsia" w:cstheme="minorEastAsia"/>
                <w:color w:val="auto"/>
                <w:sz w:val="24"/>
              </w:rPr>
              <w:t>车辆配置方案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6</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hint="eastAsia" w:asciiTheme="minorEastAsia" w:hAnsiTheme="minorEastAsia" w:eastAsiaTheme="minorEastAsia" w:cstheme="minorEastAsia"/>
                <w:color w:val="auto"/>
                <w:sz w:val="24"/>
              </w:rPr>
              <w:t>贮藏能力</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7</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inorHAnsi" w:hAnsiTheme="minorHAnsi" w:eastAsiaTheme="minorEastAsia" w:cstheme="minorBidi"/>
                <w:color w:val="auto"/>
                <w:kern w:val="2"/>
                <w:sz w:val="21"/>
                <w:szCs w:val="24"/>
                <w:lang w:val="en-US" w:eastAsia="zh-CN" w:bidi="ar-SA"/>
              </w:rPr>
            </w:pPr>
            <w:r>
              <w:rPr>
                <w:rFonts w:hint="eastAsia" w:asciiTheme="minorEastAsia" w:hAnsiTheme="minorEastAsia" w:eastAsiaTheme="minorEastAsia" w:cstheme="minorEastAsia"/>
                <w:color w:val="auto"/>
                <w:sz w:val="24"/>
              </w:rPr>
              <w:t>应急方案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eastAsia" w:ascii="宋体" w:hAnsi="宋体" w:cs="宋体"/>
                <w:color w:val="auto"/>
                <w:sz w:val="24"/>
              </w:rPr>
              <w:t>8</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cs="宋体" w:eastAsia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特色服务及方案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39"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auto"/>
                <w:sz w:val="24"/>
              </w:rPr>
            </w:pPr>
            <w:r>
              <w:rPr>
                <w:rFonts w:hint="eastAsia" w:ascii="宋体" w:hAnsi="宋体" w:cs="宋体"/>
                <w:color w:val="auto"/>
                <w:sz w:val="24"/>
              </w:rPr>
              <w:t>9</w:t>
            </w:r>
          </w:p>
        </w:tc>
        <w:tc>
          <w:tcPr>
            <w:tcW w:w="4160" w:type="pct"/>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其他证明材料</w:t>
            </w:r>
          </w:p>
        </w:tc>
      </w:tr>
    </w:tbl>
    <w:p>
      <w:pPr>
        <w:pageBreakBefore w:val="0"/>
        <w:widowControl w:val="0"/>
        <w:kinsoku/>
        <w:wordWrap/>
        <w:overflowPunct/>
        <w:topLinePunct w:val="0"/>
        <w:autoSpaceDE/>
        <w:autoSpaceDN/>
        <w:bidi w:val="0"/>
        <w:spacing w:line="240" w:lineRule="auto"/>
        <w:ind w:firstLine="480" w:firstLineChars="200"/>
        <w:textAlignment w:val="auto"/>
        <w:rPr>
          <w:color w:val="auto"/>
          <w:sz w:val="24"/>
          <w:szCs w:val="24"/>
        </w:rPr>
      </w:pPr>
      <w:r>
        <w:rPr>
          <w:rFonts w:hint="eastAsia"/>
          <w:color w:val="auto"/>
          <w:sz w:val="24"/>
          <w:szCs w:val="24"/>
        </w:rPr>
        <w:t>投标文件</w:t>
      </w:r>
      <w:r>
        <w:rPr>
          <w:rFonts w:hint="eastAsia"/>
          <w:color w:val="auto"/>
          <w:sz w:val="24"/>
          <w:szCs w:val="24"/>
          <w:lang w:val="zh-CN"/>
        </w:rPr>
        <w:t>包括但不限于以下组成内容，请按顺序制作，本章有提供格式文件的请按格式要求提交。</w:t>
      </w:r>
    </w:p>
    <w:bookmarkEnd w:id="18"/>
    <w:bookmarkEnd w:id="19"/>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5.3 </w:t>
      </w:r>
      <w:r>
        <w:rPr>
          <w:rFonts w:hint="eastAsia" w:ascii="宋体" w:hAnsi="宋体" w:eastAsia="宋体" w:cs="宋体"/>
          <w:color w:val="auto"/>
          <w:sz w:val="24"/>
          <w:szCs w:val="24"/>
        </w:rPr>
        <w:t>投标货币</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5.3.1 </w:t>
      </w:r>
      <w:r>
        <w:rPr>
          <w:rFonts w:hint="eastAsia" w:ascii="宋体" w:hAnsi="宋体" w:eastAsia="宋体" w:cs="宋体"/>
          <w:color w:val="auto"/>
          <w:sz w:val="24"/>
          <w:szCs w:val="24"/>
        </w:rPr>
        <w:t>投标以人民币报价。投标文件报价出现前后不一致的，除招标文件另有规定外，按照下列规定修正：</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（一）投标文件中开标一览表（报价表）内容与投标文件中相应内容不一致的，以开标一览表（报价表）为准；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（二）大写金额和小写金额不一致的，以大写金额为准；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（三）单价金额小数点或者百分比有明显错位的，以开标一览表的总价为准，并修改单价；</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（四）总价金额与按单价汇总金额不一致的，以单价金额计算结果为准。</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同时出现两种以上不一致的，按照前款规定的顺序修正。修正后的报价按照本办法第五十一条第二款的规定经投标人确认后产生约束力，投标人不确认的，其投标无效。</w:t>
      </w:r>
    </w:p>
    <w:p>
      <w:pPr>
        <w:pStyle w:val="6"/>
        <w:ind w:firstLine="480" w:firstLineChars="200"/>
        <w:rPr>
          <w:rFonts w:hint="default" w:eastAsia="宋体"/>
          <w:color w:val="auto"/>
          <w:lang w:val="en-US" w:eastAsia="zh-CN"/>
        </w:rPr>
      </w:pPr>
      <w:r>
        <w:rPr>
          <w:rFonts w:hint="eastAsia" w:ascii="宋体" w:hAnsi="宋体" w:eastAsia="宋体" w:cs="宋体"/>
          <w:color w:val="auto"/>
          <w:sz w:val="24"/>
          <w:szCs w:val="24"/>
          <w:lang w:val="en-US" w:eastAsia="zh-CN"/>
        </w:rPr>
        <w:t>5.3.2 总价应用数字和文字两种形式分别表示，数字和文字有不同时，总价以文字表述为准。</w:t>
      </w:r>
    </w:p>
    <w:p>
      <w:pPr>
        <w:pStyle w:val="3"/>
        <w:keepNext/>
        <w:keepLines/>
        <w:pageBreakBefore w:val="0"/>
        <w:widowControl w:val="0"/>
        <w:kinsoku/>
        <w:wordWrap/>
        <w:overflowPunct/>
        <w:topLinePunct w:val="0"/>
        <w:autoSpaceDE/>
        <w:autoSpaceDN/>
        <w:bidi w:val="0"/>
        <w:adjustRightInd w:val="0"/>
        <w:snapToGrid w:val="0"/>
        <w:spacing w:line="400" w:lineRule="exact"/>
        <w:jc w:val="center"/>
        <w:textAlignment w:val="auto"/>
        <w:rPr>
          <w:rFonts w:hint="default"/>
          <w:color w:val="auto"/>
          <w:sz w:val="36"/>
          <w:szCs w:val="36"/>
          <w:lang w:val="en-US" w:eastAsia="zh-CN"/>
        </w:rPr>
      </w:pPr>
      <w:bookmarkStart w:id="23" w:name="_Toc11838"/>
      <w:r>
        <w:rPr>
          <w:rFonts w:hint="eastAsia"/>
          <w:color w:val="auto"/>
          <w:sz w:val="36"/>
          <w:szCs w:val="36"/>
        </w:rPr>
        <w:t>第</w:t>
      </w:r>
      <w:r>
        <w:rPr>
          <w:rFonts w:hint="eastAsia"/>
          <w:color w:val="auto"/>
          <w:sz w:val="36"/>
          <w:szCs w:val="36"/>
          <w:lang w:val="en-US" w:eastAsia="zh-CN"/>
        </w:rPr>
        <w:t>六章 投标保证金</w:t>
      </w:r>
      <w:bookmarkEnd w:id="23"/>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val="en-US" w:eastAsia="zh-CN"/>
        </w:rPr>
      </w:pPr>
      <w:bookmarkStart w:id="24" w:name="_Toc8286"/>
      <w:r>
        <w:rPr>
          <w:rFonts w:hint="eastAsia" w:ascii="宋体" w:hAnsi="宋体" w:eastAsia="宋体" w:cs="宋体"/>
          <w:b w:val="0"/>
          <w:bCs/>
          <w:color w:val="auto"/>
          <w:sz w:val="24"/>
          <w:szCs w:val="24"/>
          <w:lang w:val="en-US" w:eastAsia="zh-CN"/>
        </w:rPr>
        <w:t>6</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交纳投标保证金</w:t>
      </w:r>
      <w:bookmarkEnd w:id="24"/>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一、交纳金额：</w:t>
      </w:r>
      <w:r>
        <w:rPr>
          <w:rFonts w:hint="eastAsia" w:ascii="宋体" w:hAnsi="宋体" w:eastAsia="宋体" w:cs="宋体"/>
          <w:color w:val="auto"/>
          <w:sz w:val="24"/>
          <w:szCs w:val="24"/>
          <w:lang w:val="en-US" w:eastAsia="zh-CN"/>
        </w:rPr>
        <w:t>37000</w:t>
      </w:r>
      <w:r>
        <w:rPr>
          <w:rFonts w:hint="eastAsia" w:ascii="宋体" w:hAnsi="宋体" w:eastAsia="宋体" w:cs="宋体"/>
          <w:color w:val="auto"/>
          <w:sz w:val="24"/>
          <w:szCs w:val="24"/>
        </w:rPr>
        <w:t>元，保证金金额为：</w:t>
      </w:r>
      <w:r>
        <w:rPr>
          <w:rFonts w:hint="eastAsia" w:ascii="宋体" w:hAnsi="宋体" w:eastAsia="宋体" w:cs="宋体"/>
          <w:color w:val="auto"/>
          <w:sz w:val="24"/>
          <w:szCs w:val="24"/>
          <w:lang w:val="en-US" w:eastAsia="zh-CN"/>
        </w:rPr>
        <w:t>叁万柒仟元整</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二、交纳方式：对公转账。</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三、交纳要求</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须于投标文件递交截止日前完成交纳。投标保证金须从投标人/供应商账户转出（基本户或一般户均可），不得由他人账户代交。保证金交纳须按项目名称进行交纳。供应商为联合体的，可由联合体中的一方或者多方共同交纳保证金，其交纳的投标保证金对联合体各方均具有约束力。</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四、投标保证金有效期</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同投标有效期。</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bookmarkStart w:id="25" w:name="_Toc8554"/>
      <w:bookmarkStart w:id="26" w:name="_Toc406672405"/>
      <w:bookmarkStart w:id="27" w:name="_Toc406671114"/>
      <w:bookmarkStart w:id="28" w:name="_Toc424213033"/>
      <w:bookmarkStart w:id="29" w:name="_Toc406670743"/>
      <w:bookmarkStart w:id="30" w:name="_Toc406671702"/>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 xml:space="preserve"> 退还投标保证金</w:t>
      </w:r>
      <w:bookmarkEnd w:id="25"/>
      <w:bookmarkEnd w:id="26"/>
      <w:bookmarkEnd w:id="27"/>
      <w:bookmarkEnd w:id="28"/>
      <w:bookmarkEnd w:id="29"/>
      <w:bookmarkEnd w:id="30"/>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一、退还时间</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供应商与采购人签订采购合同后申请退还，未</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供应商在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公示期满后申请退还，</w:t>
      </w:r>
      <w:r>
        <w:rPr>
          <w:rFonts w:hint="eastAsia" w:ascii="宋体" w:hAnsi="宋体" w:eastAsia="宋体" w:cs="宋体"/>
          <w:color w:val="auto"/>
          <w:sz w:val="24"/>
          <w:szCs w:val="24"/>
          <w:lang w:val="en-US" w:eastAsia="zh-CN"/>
        </w:rPr>
        <w:t>新疆融盛源工程项目管理有限公司</w:t>
      </w:r>
      <w:r>
        <w:rPr>
          <w:rFonts w:hint="eastAsia" w:ascii="宋体" w:hAnsi="宋体" w:eastAsia="宋体" w:cs="宋体"/>
          <w:color w:val="auto"/>
          <w:sz w:val="24"/>
          <w:szCs w:val="24"/>
        </w:rPr>
        <w:t>在受理日起五个工作日内退还。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二、退还方式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投标保证金退还为公对公账户电汇业务，我单位不退还现金。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、发生下列情况之一的，投标保证金将不予退还：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1.供应商有《中华人民共和国政府采购法》第七十七条所列行为的；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2.开标后在投标有效期间内，供应商撤回投标文件的；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3.中标供应商不按规定支付招标服务费的；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4.违反《投标申请书》有关条款的；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5.法律法规及采购文件规定的其他情形。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、下列任何情况发生时，投标保证金将不予退还，转为违约金：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  投标人在投标截止期后，投标有效期内撤回投标；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投标人在规定期限内未按规定向采购人缴纳履约保证金；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  中标方未按投标人须知规定缴纳招标代理费；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  以他人名义投标或者以其他方式弄虚作假，骗取中标；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  打架斗殴，扰乱标场秩序；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  本招标文件中或《政府采购货物和服务招标投标管理办法》第七十五条规定的其他不予退还投标保证金的情形。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p>
    <w:p>
      <w:pPr>
        <w:pStyle w:val="3"/>
        <w:keepNext/>
        <w:keepLines/>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36"/>
          <w:szCs w:val="36"/>
          <w:lang w:val="en-US" w:eastAsia="zh-CN"/>
        </w:rPr>
      </w:pPr>
      <w:bookmarkStart w:id="31" w:name="_Toc28465"/>
      <w:r>
        <w:rPr>
          <w:rFonts w:hint="eastAsia"/>
          <w:color w:val="auto"/>
          <w:sz w:val="36"/>
          <w:szCs w:val="36"/>
          <w:lang w:val="en-US" w:eastAsia="zh-CN"/>
        </w:rPr>
        <w:t>第七章 评标办法及评分标准</w:t>
      </w:r>
      <w:bookmarkEnd w:id="31"/>
    </w:p>
    <w:p>
      <w:pPr>
        <w:pStyle w:val="4"/>
        <w:keepNext/>
        <w:keepLines/>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szCs w:val="24"/>
          <w:lang w:val="en-US" w:eastAsia="zh-CN"/>
        </w:rPr>
      </w:pPr>
      <w:bookmarkStart w:id="32" w:name="_Toc19848"/>
      <w:bookmarkStart w:id="33" w:name="_Toc15882"/>
      <w:r>
        <w:rPr>
          <w:rFonts w:hint="eastAsia" w:ascii="宋体" w:hAnsi="宋体" w:eastAsia="宋体" w:cs="宋体"/>
          <w:b w:val="0"/>
          <w:bCs/>
          <w:color w:val="auto"/>
          <w:sz w:val="24"/>
          <w:szCs w:val="24"/>
          <w:lang w:val="en-US" w:eastAsia="zh-CN"/>
        </w:rPr>
        <w:t>7.1 评标办法</w:t>
      </w:r>
      <w:bookmarkEnd w:id="32"/>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color w:val="auto"/>
          <w:sz w:val="24"/>
          <w:szCs w:val="24"/>
          <w:lang w:val="en-US" w:eastAsia="zh-CN"/>
        </w:rPr>
      </w:pPr>
      <w:r>
        <w:rPr>
          <w:rFonts w:hint="eastAsia"/>
          <w:color w:val="auto"/>
          <w:sz w:val="24"/>
          <w:szCs w:val="24"/>
          <w:lang w:val="en-US" w:eastAsia="zh-CN"/>
        </w:rPr>
        <w:t xml:space="preserve">本项目采用 </w:t>
      </w:r>
      <w:r>
        <w:rPr>
          <w:rFonts w:hint="eastAsia"/>
          <w:color w:val="auto"/>
          <w:sz w:val="24"/>
          <w:szCs w:val="24"/>
          <w:u w:val="single"/>
          <w:lang w:val="en-US" w:eastAsia="zh-CN"/>
        </w:rPr>
        <w:t xml:space="preserve"> 综合评分法</w:t>
      </w:r>
      <w:r>
        <w:rPr>
          <w:rFonts w:hint="eastAsia"/>
          <w:color w:val="auto"/>
          <w:sz w:val="24"/>
          <w:szCs w:val="24"/>
          <w:lang w:val="en-US" w:eastAsia="zh-CN"/>
        </w:rPr>
        <w:t xml:space="preserve">  进行评审。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综合评分法，是指在满足采购文件实质性要求的前提下，评标专家按照采购文件中规定的各项评审因素及其分值进行综合评分后，以评分从高到低的顺序推荐1至3家供应商作为中标候选供应商。</w:t>
      </w:r>
    </w:p>
    <w:p>
      <w:pPr>
        <w:pStyle w:val="4"/>
        <w:keepNext/>
        <w:keepLines/>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szCs w:val="24"/>
          <w:lang w:val="en-US" w:eastAsia="zh-CN"/>
        </w:rPr>
      </w:pPr>
      <w:bookmarkStart w:id="34" w:name="_Toc27695"/>
      <w:r>
        <w:rPr>
          <w:rFonts w:hint="eastAsia" w:ascii="宋体" w:hAnsi="宋体" w:eastAsia="宋体" w:cs="宋体"/>
          <w:b w:val="0"/>
          <w:bCs/>
          <w:color w:val="auto"/>
          <w:sz w:val="24"/>
          <w:szCs w:val="24"/>
          <w:lang w:val="en-US" w:eastAsia="zh-CN"/>
        </w:rPr>
        <w:t>7.2 评分标准</w:t>
      </w:r>
      <w:bookmarkEnd w:id="34"/>
    </w:p>
    <w:p>
      <w:pPr>
        <w:pStyle w:val="4"/>
        <w:keepNext/>
        <w:keepLines/>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bookmarkStart w:id="35" w:name="_Toc28970"/>
      <w:r>
        <w:rPr>
          <w:rFonts w:hint="eastAsia" w:ascii="宋体" w:hAnsi="宋体" w:eastAsia="宋体" w:cs="宋体"/>
          <w:color w:val="auto"/>
          <w:sz w:val="24"/>
          <w:szCs w:val="24"/>
          <w:lang w:val="en-US" w:eastAsia="zh-CN"/>
        </w:rPr>
        <w:t>7.2.1 初步审查表</w:t>
      </w:r>
      <w:bookmarkEnd w:id="35"/>
    </w:p>
    <w:tbl>
      <w:tblPr>
        <w:tblStyle w:val="17"/>
        <w:tblW w:w="5000" w:type="pct"/>
        <w:tblInd w:w="0" w:type="dxa"/>
        <w:shd w:val="clear" w:color="auto" w:fill="auto"/>
        <w:tblLayout w:type="autofit"/>
        <w:tblCellMar>
          <w:top w:w="0" w:type="dxa"/>
          <w:left w:w="108" w:type="dxa"/>
          <w:bottom w:w="0" w:type="dxa"/>
          <w:right w:w="108" w:type="dxa"/>
        </w:tblCellMar>
      </w:tblPr>
      <w:tblGrid>
        <w:gridCol w:w="568"/>
        <w:gridCol w:w="1704"/>
        <w:gridCol w:w="4702"/>
        <w:gridCol w:w="711"/>
        <w:gridCol w:w="711"/>
        <w:gridCol w:w="711"/>
        <w:gridCol w:w="855"/>
      </w:tblGrid>
      <w:tr>
        <w:tblPrEx>
          <w:shd w:val="clear" w:color="auto" w:fill="auto"/>
          <w:tblCellMar>
            <w:top w:w="0" w:type="dxa"/>
            <w:left w:w="108" w:type="dxa"/>
            <w:bottom w:w="0" w:type="dxa"/>
            <w:right w:w="108" w:type="dxa"/>
          </w:tblCellMar>
        </w:tblPrEx>
        <w:trPr>
          <w:trHeight w:val="340" w:hRule="atLeast"/>
        </w:trPr>
        <w:tc>
          <w:tcPr>
            <w:tcW w:w="5000" w:type="pct"/>
            <w:gridSpan w:val="7"/>
            <w:tcBorders>
              <w:top w:val="nil"/>
              <w:left w:val="nil"/>
              <w:bottom w:val="nil"/>
              <w:right w:val="nil"/>
            </w:tcBorders>
            <w:shd w:val="clear" w:color="auto" w:fill="auto"/>
            <w:vAlign w:val="center"/>
          </w:tcPr>
          <w:p>
            <w:pPr>
              <w:keepNext w:val="0"/>
              <w:keepLines w:val="0"/>
              <w:pageBreakBefore w:val="0"/>
              <w:widowControl/>
              <w:shd w:val="clear" w:color="auto" w:fill="FFFFFF" w:themeFill="background1"/>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一、资格性审查</w:t>
            </w:r>
          </w:p>
        </w:tc>
      </w:tr>
      <w:tr>
        <w:tblPrEx>
          <w:shd w:val="clear" w:color="auto" w:fill="auto"/>
          <w:tblCellMar>
            <w:top w:w="0" w:type="dxa"/>
            <w:left w:w="108" w:type="dxa"/>
            <w:bottom w:w="0" w:type="dxa"/>
            <w:right w:w="108" w:type="dxa"/>
          </w:tblCellMar>
        </w:tblPrEx>
        <w:trPr>
          <w:trHeight w:val="519"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215" w:type="pct"/>
            <w:gridSpan w:val="2"/>
            <w:tcBorders>
              <w:top w:val="single" w:color="auto" w:sz="4" w:space="0"/>
              <w:left w:val="nil"/>
              <w:bottom w:val="single" w:color="auto" w:sz="4" w:space="0"/>
              <w:right w:val="single" w:color="auto" w:sz="4" w:space="0"/>
              <w:tl2br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供应商名称</w:t>
            </w:r>
          </w:p>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资格要求</w:t>
            </w:r>
          </w:p>
        </w:tc>
        <w:tc>
          <w:tcPr>
            <w:tcW w:w="357"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供应商1</w:t>
            </w:r>
          </w:p>
        </w:tc>
        <w:tc>
          <w:tcPr>
            <w:tcW w:w="357"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供应商2</w:t>
            </w:r>
          </w:p>
        </w:tc>
        <w:tc>
          <w:tcPr>
            <w:tcW w:w="357"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供应商3</w:t>
            </w:r>
          </w:p>
        </w:tc>
        <w:tc>
          <w:tcPr>
            <w:tcW w:w="426"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供应商4</w:t>
            </w:r>
          </w:p>
        </w:tc>
      </w:tr>
      <w:tr>
        <w:tblPrEx>
          <w:shd w:val="clear" w:color="auto" w:fill="auto"/>
          <w:tblCellMar>
            <w:top w:w="0" w:type="dxa"/>
            <w:left w:w="108" w:type="dxa"/>
            <w:bottom w:w="0" w:type="dxa"/>
            <w:right w:w="108" w:type="dxa"/>
          </w:tblCellMar>
        </w:tblPrEx>
        <w:trPr>
          <w:trHeight w:val="546"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经营资格审查</w:t>
            </w:r>
          </w:p>
        </w:tc>
        <w:tc>
          <w:tcPr>
            <w:tcW w:w="2359"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投标企业有效的法人营业执照正（副）复印件加盖单位公章；</w:t>
            </w:r>
          </w:p>
        </w:tc>
        <w:tc>
          <w:tcPr>
            <w:tcW w:w="357"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p>
        </w:tc>
        <w:tc>
          <w:tcPr>
            <w:tcW w:w="357"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p>
        </w:tc>
        <w:tc>
          <w:tcPr>
            <w:tcW w:w="357"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p>
        </w:tc>
        <w:tc>
          <w:tcPr>
            <w:tcW w:w="426"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val="en-US" w:eastAsia="zh-CN"/>
              </w:rPr>
            </w:pPr>
          </w:p>
        </w:tc>
      </w:tr>
      <w:tr>
        <w:tblPrEx>
          <w:shd w:val="clear" w:color="auto" w:fill="auto"/>
          <w:tblCellMar>
            <w:top w:w="0" w:type="dxa"/>
            <w:left w:w="108" w:type="dxa"/>
            <w:bottom w:w="0" w:type="dxa"/>
            <w:right w:w="108" w:type="dxa"/>
          </w:tblCellMar>
        </w:tblPrEx>
        <w:trPr>
          <w:trHeight w:val="340" w:hRule="atLeast"/>
        </w:trPr>
        <w:tc>
          <w:tcPr>
            <w:tcW w:w="285" w:type="pct"/>
            <w:tcBorders>
              <w:top w:val="nil"/>
              <w:left w:val="single" w:color="auto" w:sz="4" w:space="0"/>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p>
        </w:tc>
        <w:tc>
          <w:tcPr>
            <w:tcW w:w="855" w:type="pct"/>
            <w:tcBorders>
              <w:top w:val="single" w:color="auto" w:sz="4" w:space="0"/>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投标保证金审查</w:t>
            </w:r>
          </w:p>
        </w:tc>
        <w:tc>
          <w:tcPr>
            <w:tcW w:w="2359"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投标保证金汇款凭证复印件加盖单位公章</w:t>
            </w: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426"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r>
      <w:tr>
        <w:tblPrEx>
          <w:shd w:val="clear" w:color="auto" w:fill="auto"/>
          <w:tblCellMar>
            <w:top w:w="0" w:type="dxa"/>
            <w:left w:w="108" w:type="dxa"/>
            <w:bottom w:w="0" w:type="dxa"/>
            <w:right w:w="108" w:type="dxa"/>
          </w:tblCellMar>
        </w:tblPrEx>
        <w:trPr>
          <w:trHeight w:val="340" w:hRule="atLeast"/>
        </w:trPr>
        <w:tc>
          <w:tcPr>
            <w:tcW w:w="285" w:type="pct"/>
            <w:tcBorders>
              <w:top w:val="nil"/>
              <w:left w:val="single" w:color="auto" w:sz="4" w:space="0"/>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p>
        </w:tc>
        <w:tc>
          <w:tcPr>
            <w:tcW w:w="855"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投标身份证明</w:t>
            </w:r>
          </w:p>
        </w:tc>
        <w:tc>
          <w:tcPr>
            <w:tcW w:w="2359"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法人参加的需提供：法</w:t>
            </w:r>
            <w:r>
              <w:rPr>
                <w:rFonts w:hint="eastAsia" w:ascii="宋体" w:hAnsi="宋体" w:eastAsia="宋体" w:cs="宋体"/>
                <w:color w:val="auto"/>
                <w:sz w:val="24"/>
                <w:szCs w:val="24"/>
                <w:lang w:val="en-US" w:eastAsia="zh-CN"/>
              </w:rPr>
              <w:t>定代表</w:t>
            </w:r>
            <w:r>
              <w:rPr>
                <w:rFonts w:hint="eastAsia" w:ascii="宋体" w:hAnsi="宋体" w:eastAsia="宋体" w:cs="宋体"/>
                <w:color w:val="auto"/>
                <w:sz w:val="24"/>
                <w:szCs w:val="24"/>
                <w:lang w:eastAsia="zh-CN"/>
              </w:rPr>
              <w:t>人身份证（原件）、法</w:t>
            </w:r>
            <w:r>
              <w:rPr>
                <w:rFonts w:hint="eastAsia" w:ascii="宋体" w:hAnsi="宋体" w:eastAsia="宋体" w:cs="宋体"/>
                <w:color w:val="auto"/>
                <w:sz w:val="24"/>
                <w:szCs w:val="24"/>
                <w:lang w:val="en-US" w:eastAsia="zh-CN"/>
              </w:rPr>
              <w:t>定</w:t>
            </w:r>
            <w:r>
              <w:rPr>
                <w:rFonts w:hint="eastAsia" w:ascii="宋体" w:hAnsi="宋体" w:eastAsia="宋体" w:cs="宋体"/>
                <w:color w:val="auto"/>
                <w:sz w:val="24"/>
                <w:szCs w:val="24"/>
                <w:lang w:eastAsia="zh-CN"/>
              </w:rPr>
              <w:t>代表</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资格证明书（原件）；</w:t>
            </w:r>
          </w:p>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法人授权委托人参加的需提供：授权委托人身份证（原件）、法人代表授权委托书（原件）；</w:t>
            </w: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426"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r>
      <w:tr>
        <w:tblPrEx>
          <w:shd w:val="clear" w:color="auto" w:fill="auto"/>
          <w:tblCellMar>
            <w:top w:w="0" w:type="dxa"/>
            <w:left w:w="108" w:type="dxa"/>
            <w:bottom w:w="0" w:type="dxa"/>
            <w:right w:w="108" w:type="dxa"/>
          </w:tblCellMar>
        </w:tblPrEx>
        <w:trPr>
          <w:trHeight w:val="340" w:hRule="atLeast"/>
        </w:trPr>
        <w:tc>
          <w:tcPr>
            <w:tcW w:w="285" w:type="pct"/>
            <w:tcBorders>
              <w:top w:val="nil"/>
              <w:left w:val="single" w:color="auto" w:sz="4" w:space="0"/>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p>
        </w:tc>
        <w:tc>
          <w:tcPr>
            <w:tcW w:w="855"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营业资质</w:t>
            </w:r>
          </w:p>
        </w:tc>
        <w:tc>
          <w:tcPr>
            <w:tcW w:w="2359"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有效的《食品经营许可证》复</w:t>
            </w:r>
            <w:r>
              <w:rPr>
                <w:rFonts w:hint="eastAsia" w:ascii="宋体" w:hAnsi="宋体" w:eastAsia="宋体" w:cs="宋体"/>
                <w:color w:val="auto"/>
                <w:sz w:val="24"/>
                <w:szCs w:val="24"/>
                <w:lang w:val="en-US" w:eastAsia="zh-CN"/>
              </w:rPr>
              <w:t>复印件加盖单位公章</w:t>
            </w:r>
            <w:r>
              <w:rPr>
                <w:rFonts w:hint="eastAsia" w:ascii="宋体" w:hAnsi="宋体" w:eastAsia="宋体" w:cs="宋体"/>
                <w:color w:val="auto"/>
                <w:sz w:val="24"/>
                <w:szCs w:val="24"/>
                <w:lang w:eastAsia="zh-CN"/>
              </w:rPr>
              <w:t>；有效的上岗人员“健康证”</w:t>
            </w:r>
            <w:r>
              <w:rPr>
                <w:rFonts w:hint="eastAsia" w:ascii="宋体" w:hAnsi="宋体" w:eastAsia="宋体" w:cs="宋体"/>
                <w:color w:val="auto"/>
                <w:sz w:val="24"/>
                <w:szCs w:val="24"/>
                <w:lang w:val="en-US" w:eastAsia="zh-CN"/>
              </w:rPr>
              <w:t>复印件加盖单位公章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不低于5个</w:t>
            </w:r>
            <w:r>
              <w:rPr>
                <w:rFonts w:hint="eastAsia" w:ascii="宋体" w:hAnsi="宋体" w:eastAsia="宋体" w:cs="宋体"/>
                <w:color w:val="auto"/>
                <w:sz w:val="24"/>
                <w:szCs w:val="24"/>
                <w:lang w:eastAsia="zh-CN"/>
              </w:rPr>
              <w:t>）。</w:t>
            </w: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426"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r>
      <w:tr>
        <w:tblPrEx>
          <w:shd w:val="clear" w:color="auto" w:fill="auto"/>
          <w:tblCellMar>
            <w:top w:w="0" w:type="dxa"/>
            <w:left w:w="108" w:type="dxa"/>
            <w:bottom w:w="0" w:type="dxa"/>
            <w:right w:w="108" w:type="dxa"/>
          </w:tblCellMar>
        </w:tblPrEx>
        <w:trPr>
          <w:trHeight w:val="340" w:hRule="atLeast"/>
        </w:trPr>
        <w:tc>
          <w:tcPr>
            <w:tcW w:w="3500" w:type="pct"/>
            <w:gridSpan w:val="3"/>
            <w:tcBorders>
              <w:top w:val="nil"/>
              <w:left w:val="single" w:color="auto" w:sz="4" w:space="0"/>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初步审查结论（通过或不通过）</w:t>
            </w: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357"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c>
          <w:tcPr>
            <w:tcW w:w="426" w:type="pct"/>
            <w:tcBorders>
              <w:top w:val="nil"/>
              <w:left w:val="nil"/>
              <w:bottom w:val="single" w:color="auto" w:sz="4" w:space="0"/>
              <w:right w:val="single" w:color="auto" w:sz="4" w:space="0"/>
            </w:tcBorders>
            <w:shd w:val="clear" w:color="auto" w:fill="auto"/>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p>
        </w:tc>
      </w:tr>
      <w:tr>
        <w:tblPrEx>
          <w:shd w:val="clear" w:color="auto" w:fill="auto"/>
          <w:tblCellMar>
            <w:top w:w="0" w:type="dxa"/>
            <w:left w:w="108" w:type="dxa"/>
            <w:bottom w:w="0" w:type="dxa"/>
            <w:right w:w="108" w:type="dxa"/>
          </w:tblCellMar>
        </w:tblPrEx>
        <w:trPr>
          <w:trHeight w:val="340" w:hRule="atLeast"/>
        </w:trPr>
        <w:tc>
          <w:tcPr>
            <w:tcW w:w="5000" w:type="pct"/>
            <w:gridSpan w:val="7"/>
            <w:tcBorders>
              <w:top w:val="nil"/>
              <w:left w:val="nil"/>
              <w:bottom w:val="single" w:color="auto" w:sz="4" w:space="0"/>
              <w:right w:val="nil"/>
            </w:tcBorders>
            <w:shd w:val="clear" w:color="auto" w:fill="auto"/>
            <w:vAlign w:val="center"/>
          </w:tcPr>
          <w:p>
            <w:pPr>
              <w:shd w:val="clear"/>
              <w:tabs>
                <w:tab w:val="left" w:pos="1722"/>
              </w:tabs>
              <w:adjustRightInd w:val="0"/>
              <w:snapToGrid w:val="0"/>
              <w:spacing w:line="440" w:lineRule="exact"/>
              <w:jc w:val="center"/>
              <w:rPr>
                <w:rFonts w:hint="eastAsia"/>
                <w:color w:val="auto"/>
                <w:sz w:val="24"/>
                <w:szCs w:val="24"/>
                <w:lang w:eastAsia="zh-CN"/>
              </w:rPr>
            </w:pPr>
            <w:r>
              <w:rPr>
                <w:rFonts w:hint="eastAsia"/>
                <w:color w:val="auto"/>
                <w:sz w:val="24"/>
                <w:szCs w:val="24"/>
                <w:lang w:eastAsia="zh-CN"/>
              </w:rPr>
              <w:t>监督人（签字）：</w:t>
            </w:r>
          </w:p>
          <w:p>
            <w:pPr>
              <w:shd w:val="clear"/>
              <w:tabs>
                <w:tab w:val="left" w:pos="1722"/>
              </w:tabs>
              <w:adjustRightInd w:val="0"/>
              <w:snapToGrid w:val="0"/>
              <w:spacing w:line="440" w:lineRule="exact"/>
              <w:jc w:val="center"/>
              <w:rPr>
                <w:rFonts w:hint="eastAsia"/>
                <w:color w:val="auto"/>
                <w:sz w:val="24"/>
                <w:szCs w:val="24"/>
                <w:lang w:eastAsia="zh-CN"/>
              </w:rPr>
            </w:pPr>
          </w:p>
          <w:p>
            <w:pPr>
              <w:numPr>
                <w:ilvl w:val="0"/>
                <w:numId w:val="4"/>
              </w:numPr>
              <w:shd w:val="clear"/>
              <w:tabs>
                <w:tab w:val="left" w:pos="1722"/>
              </w:tabs>
              <w:adjustRightInd w:val="0"/>
              <w:snapToGrid w:val="0"/>
              <w:spacing w:line="440" w:lineRule="exact"/>
              <w:jc w:val="both"/>
              <w:rPr>
                <w:rFonts w:hint="eastAsia"/>
                <w:color w:val="auto"/>
                <w:sz w:val="24"/>
                <w:szCs w:val="24"/>
                <w:lang w:eastAsia="zh-CN"/>
              </w:rPr>
            </w:pPr>
            <w:r>
              <w:rPr>
                <w:rFonts w:hint="eastAsia"/>
                <w:color w:val="auto"/>
                <w:sz w:val="24"/>
                <w:szCs w:val="24"/>
                <w:lang w:eastAsia="zh-CN"/>
              </w:rPr>
              <w:t>符合性审查</w:t>
            </w:r>
          </w:p>
          <w:tbl>
            <w:tblPr>
              <w:tblStyle w:val="17"/>
              <w:tblW w:w="5000" w:type="pct"/>
              <w:tblInd w:w="0" w:type="dxa"/>
              <w:tblLayout w:type="autofit"/>
              <w:tblCellMar>
                <w:top w:w="0" w:type="dxa"/>
                <w:left w:w="57" w:type="dxa"/>
                <w:bottom w:w="0" w:type="dxa"/>
                <w:right w:w="0" w:type="dxa"/>
              </w:tblCellMar>
            </w:tblPr>
            <w:tblGrid>
              <w:gridCol w:w="576"/>
              <w:gridCol w:w="7655"/>
              <w:gridCol w:w="741"/>
              <w:gridCol w:w="774"/>
            </w:tblGrid>
            <w:tr>
              <w:tblPrEx>
                <w:tblCellMar>
                  <w:top w:w="0" w:type="dxa"/>
                  <w:left w:w="57" w:type="dxa"/>
                  <w:bottom w:w="0" w:type="dxa"/>
                  <w:right w:w="0" w:type="dxa"/>
                </w:tblCellMar>
              </w:tblPrEx>
              <w:trPr>
                <w:trHeight w:val="355" w:hRule="atLeast"/>
              </w:trPr>
              <w:tc>
                <w:tcPr>
                  <w:tcW w:w="29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92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w:t>
                  </w:r>
                  <w:r>
                    <w:rPr>
                      <w:rFonts w:hint="eastAsia"/>
                      <w:color w:val="auto"/>
                      <w:sz w:val="24"/>
                      <w:szCs w:val="24"/>
                      <w:lang w:eastAsia="zh-CN"/>
                    </w:rPr>
                    <w:t>符合性</w:t>
                  </w:r>
                  <w:r>
                    <w:rPr>
                      <w:rFonts w:hint="eastAsia" w:ascii="宋体" w:hAnsi="宋体" w:eastAsia="宋体" w:cs="宋体"/>
                      <w:color w:val="auto"/>
                      <w:kern w:val="0"/>
                      <w:sz w:val="24"/>
                      <w:szCs w:val="24"/>
                      <w:highlight w:val="none"/>
                    </w:rPr>
                    <w:t>审查内容</w:t>
                  </w:r>
                </w:p>
              </w:tc>
              <w:tc>
                <w:tcPr>
                  <w:tcW w:w="776"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评审意见</w:t>
                  </w:r>
                </w:p>
              </w:tc>
            </w:tr>
            <w:tr>
              <w:tblPrEx>
                <w:tblCellMar>
                  <w:top w:w="0" w:type="dxa"/>
                  <w:left w:w="57" w:type="dxa"/>
                  <w:bottom w:w="0" w:type="dxa"/>
                  <w:right w:w="0" w:type="dxa"/>
                </w:tblCellMar>
              </w:tblPrEx>
              <w:trPr>
                <w:trHeight w:val="498" w:hRule="atLeast"/>
              </w:trPr>
              <w:tc>
                <w:tcPr>
                  <w:tcW w:w="296"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27"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8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39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r>
            <w:tr>
              <w:tblPrEx>
                <w:tblCellMar>
                  <w:top w:w="0" w:type="dxa"/>
                  <w:left w:w="57" w:type="dxa"/>
                  <w:bottom w:w="0" w:type="dxa"/>
                  <w:right w:w="0" w:type="dxa"/>
                </w:tblCellMar>
              </w:tblPrEx>
              <w:trPr>
                <w:trHeight w:val="620"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是否</w:t>
                  </w:r>
                  <w:r>
                    <w:rPr>
                      <w:rFonts w:hint="eastAsia" w:ascii="宋体" w:hAnsi="宋体" w:eastAsia="宋体" w:cs="宋体"/>
                      <w:color w:val="auto"/>
                      <w:kern w:val="0"/>
                      <w:sz w:val="24"/>
                      <w:szCs w:val="24"/>
                      <w:highlight w:val="none"/>
                    </w:rPr>
                    <w:t>提供了有效的营业执照复印件（并加盖公章）；</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620"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提供上年度经审计财务会计报告或半年内任意一个月财务报表（财务报表应至少包括资产负债表、损益表、现金流量表或财务状况变动表，当月新成立公司不需提供）</w:t>
                  </w:r>
                  <w:r>
                    <w:rPr>
                      <w:rFonts w:hint="eastAsia" w:ascii="宋体" w:hAnsi="宋体" w:eastAsia="宋体" w:cs="宋体"/>
                      <w:color w:val="auto"/>
                      <w:kern w:val="0"/>
                      <w:sz w:val="24"/>
                      <w:szCs w:val="24"/>
                      <w:highlight w:val="none"/>
                      <w:lang w:val="en-US" w:eastAsia="zh-CN"/>
                    </w:rPr>
                    <w:t>；</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620"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提供社会保险登记证或社保缴纳证明（近半年内任意一月社保缴纳证明，当月新成立公司不需提供）</w:t>
                  </w:r>
                  <w:r>
                    <w:rPr>
                      <w:rFonts w:hint="eastAsia" w:ascii="宋体" w:hAnsi="宋体" w:eastAsia="宋体" w:cs="宋体"/>
                      <w:color w:val="auto"/>
                      <w:sz w:val="24"/>
                      <w:szCs w:val="24"/>
                      <w:lang w:eastAsia="zh-CN"/>
                    </w:rPr>
                    <w:t>；</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620"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4</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提供近半年内任意一月依法缴纳税收证明，当月新成立公司不需提供；无需纳税或免税的也需提供相应证明材料。</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620"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提供信用中国、中国执行信息公开网及中国政府采购网截图（最终以网站查询结果为准）；</w:t>
                  </w:r>
                  <w:r>
                    <w:rPr>
                      <w:rFonts w:hint="eastAsia" w:ascii="宋体" w:hAnsi="宋体" w:eastAsia="宋体" w:cs="宋体"/>
                      <w:color w:val="auto"/>
                      <w:kern w:val="0"/>
                      <w:sz w:val="24"/>
                      <w:szCs w:val="24"/>
                      <w:highlight w:val="none"/>
                      <w:lang w:val="en-US" w:eastAsia="zh-CN"/>
                    </w:rPr>
                    <w:t>；</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620"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凡</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文件中要求盖章或</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kern w:val="0"/>
                      <w:sz w:val="24"/>
                      <w:szCs w:val="24"/>
                      <w:highlight w:val="none"/>
                    </w:rPr>
                    <w:t>处，是否按要求加盖单位公章、法定代表人或被授权委托人签字或盖章的；</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623"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82" w:rightChars="39"/>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文件组成齐全完整，内容均按规定填写；</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文件的关键内容无字迹模糊或无法辨认的情形；</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12" w:hRule="atLeast"/>
              </w:trPr>
              <w:tc>
                <w:tcPr>
                  <w:tcW w:w="296"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w:t>
                  </w:r>
                </w:p>
              </w:tc>
              <w:tc>
                <w:tcPr>
                  <w:tcW w:w="3927"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文件提交的份数及装订，是否响应</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文件的实质性要求和条件； 　</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12" w:hRule="atLeast"/>
              </w:trPr>
              <w:tc>
                <w:tcPr>
                  <w:tcW w:w="29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投标人按照</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文件规定的金额、形式、时效和内容提供了投标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　</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806" w:hRule="atLeast"/>
              </w:trPr>
              <w:tc>
                <w:tcPr>
                  <w:tcW w:w="29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文件是否实质上响应了</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文件的要求。实质上响应的投标应该是与</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文件要求的全部条款、条件等相符，没有实质性负偏离或有保留的投标；　</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642" w:hRule="atLeast"/>
              </w:trPr>
              <w:tc>
                <w:tcPr>
                  <w:tcW w:w="29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11</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一份</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文件应只有一个投标报价，在</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文件没有规定的情况下，未提交选择性的报价；</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83" w:hRule="atLeast"/>
              </w:trPr>
              <w:tc>
                <w:tcPr>
                  <w:tcW w:w="29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118" w:rightChars="5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投标供应商的投标报价未超出最高投标限价；</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12" w:hRule="atLeast"/>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投标人未提出不同的验收、计量、支付办法；　</w:t>
                  </w:r>
                </w:p>
              </w:tc>
              <w:tc>
                <w:tcPr>
                  <w:tcW w:w="380"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12" w:hRule="atLeast"/>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文件未附有采购人不能接受的条件；　</w:t>
                  </w:r>
                </w:p>
              </w:tc>
              <w:tc>
                <w:tcPr>
                  <w:tcW w:w="380"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24" w:hRule="atLeast"/>
              </w:trPr>
              <w:tc>
                <w:tcPr>
                  <w:tcW w:w="29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未与其他投标人相互串通报价，或者与采购人串通投标的；　</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24" w:hRule="atLeast"/>
              </w:trPr>
              <w:tc>
                <w:tcPr>
                  <w:tcW w:w="29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无法律、法规和</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文件规定的其他无效情形</w:t>
                  </w:r>
                  <w:r>
                    <w:rPr>
                      <w:rFonts w:hint="eastAsia" w:ascii="宋体" w:hAnsi="宋体" w:eastAsia="宋体" w:cs="宋体"/>
                      <w:color w:val="auto"/>
                      <w:kern w:val="0"/>
                      <w:sz w:val="24"/>
                      <w:szCs w:val="24"/>
                      <w:highlight w:val="none"/>
                      <w:lang w:eastAsia="zh-CN"/>
                    </w:rPr>
                    <w:t>。</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424" w:hRule="atLeast"/>
              </w:trPr>
              <w:tc>
                <w:tcPr>
                  <w:tcW w:w="29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    论</w:t>
                  </w:r>
                </w:p>
              </w:tc>
              <w:tc>
                <w:tcPr>
                  <w:tcW w:w="380"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c>
                <w:tcPr>
                  <w:tcW w:w="396" w:type="pct"/>
                  <w:tcBorders>
                    <w:top w:val="nil"/>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p>
              </w:tc>
            </w:tr>
            <w:tr>
              <w:tblPrEx>
                <w:tblCellMar>
                  <w:top w:w="0" w:type="dxa"/>
                  <w:left w:w="57" w:type="dxa"/>
                  <w:bottom w:w="0" w:type="dxa"/>
                  <w:right w:w="0" w:type="dxa"/>
                </w:tblCellMar>
              </w:tblPrEx>
              <w:trPr>
                <w:trHeight w:val="359" w:hRule="atLeast"/>
              </w:trPr>
              <w:tc>
                <w:tcPr>
                  <w:tcW w:w="5000" w:type="pct"/>
                  <w:gridSpan w:val="4"/>
                  <w:tcBorders>
                    <w:top w:val="single" w:color="auto" w:sz="4" w:space="0"/>
                    <w:left w:val="nil"/>
                    <w:bottom w:val="nil"/>
                  </w:tcBorders>
                  <w:noWrap w:val="0"/>
                  <w:vAlign w:val="center"/>
                </w:tcPr>
                <w:p>
                  <w:pPr>
                    <w:keepNext w:val="0"/>
                    <w:keepLines w:val="0"/>
                    <w:pageBreakBefore w:val="0"/>
                    <w:suppressLineNumbers w:val="0"/>
                    <w:tabs>
                      <w:tab w:val="left" w:pos="1642"/>
                      <w:tab w:val="left" w:pos="3363"/>
                      <w:tab w:val="left" w:pos="3887"/>
                      <w:tab w:val="left" w:pos="9649"/>
                    </w:tabs>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p>
                  <w:pPr>
                    <w:keepNext w:val="0"/>
                    <w:keepLines w:val="0"/>
                    <w:pageBreakBefore w:val="0"/>
                    <w:suppressLineNumbers w:val="0"/>
                    <w:tabs>
                      <w:tab w:val="left" w:pos="1642"/>
                      <w:tab w:val="left" w:pos="3363"/>
                      <w:tab w:val="left" w:pos="3887"/>
                      <w:tab w:val="left" w:pos="9649"/>
                    </w:tabs>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（1）上述各项中用“√”表示通过，“×”表示不通过；</w:t>
                  </w:r>
                </w:p>
                <w:p>
                  <w:pPr>
                    <w:keepNext w:val="0"/>
                    <w:keepLines w:val="0"/>
                    <w:pageBreakBefore w:val="0"/>
                    <w:suppressLineNumbers w:val="0"/>
                    <w:tabs>
                      <w:tab w:val="left" w:pos="1642"/>
                      <w:tab w:val="left" w:pos="3363"/>
                      <w:tab w:val="left" w:pos="3887"/>
                      <w:tab w:val="left" w:pos="9649"/>
                    </w:tabs>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（2）上述各项中如有一项为“×”，则结论为“×”，表示该</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文件中存在重大偏差，不能通过初步评审；评委对某一分项评审认为不合格时，必须要写明原因。</w:t>
                  </w:r>
                </w:p>
                <w:p>
                  <w:pPr>
                    <w:keepNext w:val="0"/>
                    <w:keepLines w:val="0"/>
                    <w:pageBreakBefore w:val="0"/>
                    <w:suppressLineNumbers w:val="0"/>
                    <w:tabs>
                      <w:tab w:val="left" w:pos="1642"/>
                      <w:tab w:val="left" w:pos="3363"/>
                      <w:tab w:val="left" w:pos="3887"/>
                      <w:tab w:val="left" w:pos="9649"/>
                    </w:tabs>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文件最终合格与否，以所有评委的评审意见中少数服从多数为原则定论。</w:t>
                  </w:r>
                </w:p>
                <w:p>
                  <w:pPr>
                    <w:keepNext w:val="0"/>
                    <w:keepLines w:val="0"/>
                    <w:pageBreakBefore w:val="0"/>
                    <w:suppressLineNumbers w:val="0"/>
                    <w:tabs>
                      <w:tab w:val="left" w:pos="1642"/>
                      <w:tab w:val="left" w:pos="3363"/>
                      <w:tab w:val="left" w:pos="3887"/>
                      <w:tab w:val="left" w:pos="9649"/>
                    </w:tabs>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（4）投标人请认真阅读和理解上述内容，避免</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文件中有违背上述审查标准之一的情况发生而造成投标被否决。</w:t>
                  </w:r>
                </w:p>
              </w:tc>
            </w:tr>
          </w:tbl>
          <w:p>
            <w:pPr>
              <w:pStyle w:val="2"/>
              <w:numPr>
                <w:ilvl w:val="0"/>
                <w:numId w:val="0"/>
              </w:numPr>
              <w:jc w:val="both"/>
              <w:rPr>
                <w:rFonts w:hint="eastAsia"/>
                <w:color w:val="auto"/>
                <w:sz w:val="24"/>
                <w:szCs w:val="24"/>
                <w:lang w:eastAsia="zh-CN"/>
              </w:rPr>
            </w:pPr>
          </w:p>
        </w:tc>
      </w:tr>
    </w:tbl>
    <w:p>
      <w:pPr>
        <w:pStyle w:val="4"/>
        <w:keepNext/>
        <w:keepLines/>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bookmarkStart w:id="36" w:name="_Toc21914"/>
      <w:r>
        <w:rPr>
          <w:rFonts w:hint="eastAsia" w:ascii="宋体" w:hAnsi="宋体" w:eastAsia="宋体" w:cs="宋体"/>
          <w:color w:val="auto"/>
          <w:sz w:val="24"/>
          <w:szCs w:val="24"/>
          <w:lang w:val="en-US" w:eastAsia="zh-CN"/>
        </w:rPr>
        <w:t>7.2.2 评分因素</w:t>
      </w:r>
      <w:bookmarkEnd w:id="36"/>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评分的主要因素分为商务、技术因素（如服务标准、服务质量、按时配送到位等）和商务因素（如财务状况、信誉、业绩、服务期、质保期等）。评分因素详见评分表。评标分值保留至小数点后两位。评标时，评标专家依照评分表对每个有效供应商的投标文件进行独立评审、打分。</w:t>
      </w:r>
    </w:p>
    <w:p>
      <w:pPr>
        <w:pStyle w:val="6"/>
        <w:widowControl w:val="0"/>
        <w:numPr>
          <w:ilvl w:val="0"/>
          <w:numId w:val="0"/>
        </w:numPr>
        <w:spacing w:before="120"/>
        <w:jc w:val="both"/>
        <w:rPr>
          <w:rFonts w:hint="default"/>
          <w:color w:val="auto"/>
          <w:lang w:val="en-US" w:eastAsia="zh-CN"/>
        </w:rPr>
      </w:pPr>
      <w:r>
        <w:rPr>
          <w:rFonts w:hint="eastAsia"/>
          <w:color w:val="auto"/>
          <w:lang w:val="en-US" w:eastAsia="zh-CN"/>
        </w:rPr>
        <w:t>一、经济得分评审标准</w:t>
      </w:r>
    </w:p>
    <w:p>
      <w:pPr>
        <w:rPr>
          <w:rFonts w:hint="default"/>
          <w:color w:val="auto"/>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320"/>
        <w:gridCol w:w="658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pPr>
              <w:pStyle w:val="11"/>
              <w:jc w:val="center"/>
              <w:rPr>
                <w:rFonts w:hint="eastAsia" w:hAnsi="宋体" w:cs="宋体"/>
                <w:b/>
                <w:bCs/>
                <w:color w:val="auto"/>
                <w:kern w:val="0"/>
                <w:sz w:val="24"/>
                <w:szCs w:val="24"/>
              </w:rPr>
            </w:pPr>
            <w:r>
              <w:rPr>
                <w:rFonts w:hint="eastAsia" w:hAnsi="宋体" w:cs="宋体"/>
                <w:b/>
                <w:bCs/>
                <w:color w:val="auto"/>
                <w:kern w:val="0"/>
                <w:sz w:val="24"/>
                <w:szCs w:val="24"/>
              </w:rPr>
              <w:t>序号</w:t>
            </w:r>
          </w:p>
        </w:tc>
        <w:tc>
          <w:tcPr>
            <w:tcW w:w="1320" w:type="dxa"/>
            <w:noWrap w:val="0"/>
            <w:vAlign w:val="center"/>
          </w:tcPr>
          <w:p>
            <w:pPr>
              <w:pStyle w:val="11"/>
              <w:jc w:val="center"/>
              <w:rPr>
                <w:rFonts w:hint="eastAsia" w:hAnsi="宋体" w:cs="宋体"/>
                <w:b/>
                <w:bCs/>
                <w:color w:val="auto"/>
                <w:kern w:val="0"/>
                <w:sz w:val="24"/>
                <w:szCs w:val="24"/>
              </w:rPr>
            </w:pPr>
            <w:r>
              <w:rPr>
                <w:rFonts w:hint="eastAsia" w:hAnsi="宋体" w:cs="宋体"/>
                <w:b/>
                <w:bCs/>
                <w:color w:val="auto"/>
                <w:kern w:val="0"/>
                <w:sz w:val="24"/>
                <w:szCs w:val="24"/>
              </w:rPr>
              <w:t>评分因素</w:t>
            </w:r>
          </w:p>
        </w:tc>
        <w:tc>
          <w:tcPr>
            <w:tcW w:w="6585" w:type="dxa"/>
            <w:noWrap w:val="0"/>
            <w:vAlign w:val="center"/>
          </w:tcPr>
          <w:p>
            <w:pPr>
              <w:pStyle w:val="11"/>
              <w:jc w:val="center"/>
              <w:rPr>
                <w:rFonts w:hint="eastAsia" w:hAnsi="宋体" w:cs="宋体"/>
                <w:b/>
                <w:bCs/>
                <w:color w:val="auto"/>
                <w:kern w:val="0"/>
                <w:sz w:val="24"/>
                <w:szCs w:val="24"/>
              </w:rPr>
            </w:pPr>
            <w:r>
              <w:rPr>
                <w:rFonts w:hint="eastAsia" w:hAnsi="宋体" w:cs="宋体"/>
                <w:b/>
                <w:bCs/>
                <w:color w:val="auto"/>
                <w:kern w:val="0"/>
                <w:sz w:val="24"/>
                <w:szCs w:val="24"/>
              </w:rPr>
              <w:t>评审内容</w:t>
            </w:r>
          </w:p>
        </w:tc>
        <w:tc>
          <w:tcPr>
            <w:tcW w:w="793" w:type="dxa"/>
            <w:noWrap w:val="0"/>
            <w:vAlign w:val="center"/>
          </w:tcPr>
          <w:p>
            <w:pPr>
              <w:pStyle w:val="11"/>
              <w:jc w:val="center"/>
              <w:rPr>
                <w:rFonts w:hint="eastAsia" w:hAnsi="宋体" w:cs="宋体"/>
                <w:b/>
                <w:bCs/>
                <w:color w:val="auto"/>
                <w:kern w:val="0"/>
                <w:sz w:val="24"/>
                <w:szCs w:val="24"/>
              </w:rPr>
            </w:pPr>
            <w:r>
              <w:rPr>
                <w:rFonts w:hint="eastAsia" w:hAnsi="宋体" w:cs="宋体"/>
                <w:b/>
                <w:bCs/>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64" w:type="dxa"/>
            <w:noWrap w:val="0"/>
            <w:vAlign w:val="center"/>
          </w:tcPr>
          <w:p>
            <w:pPr>
              <w:pStyle w:val="11"/>
              <w:jc w:val="center"/>
              <w:rPr>
                <w:rFonts w:hint="eastAsia" w:hAnsi="宋体" w:cs="宋体"/>
                <w:color w:val="auto"/>
                <w:kern w:val="0"/>
                <w:sz w:val="24"/>
                <w:szCs w:val="24"/>
              </w:rPr>
            </w:pPr>
            <w:r>
              <w:rPr>
                <w:rFonts w:hint="eastAsia" w:hAnsi="宋体" w:cs="宋体"/>
                <w:color w:val="auto"/>
                <w:kern w:val="0"/>
                <w:sz w:val="24"/>
                <w:szCs w:val="24"/>
              </w:rPr>
              <w:t>经济部分</w:t>
            </w:r>
          </w:p>
          <w:p>
            <w:pPr>
              <w:pStyle w:val="11"/>
              <w:jc w:val="center"/>
              <w:rPr>
                <w:rFonts w:hint="eastAsia" w:hAnsi="宋体" w:cs="宋体"/>
                <w:color w:val="auto"/>
                <w:kern w:val="0"/>
                <w:sz w:val="24"/>
                <w:szCs w:val="24"/>
              </w:rPr>
            </w:pPr>
            <w:r>
              <w:rPr>
                <w:rFonts w:hint="eastAsia" w:hAnsi="宋体" w:cs="宋体"/>
                <w:color w:val="auto"/>
                <w:kern w:val="0"/>
                <w:sz w:val="24"/>
                <w:szCs w:val="24"/>
              </w:rPr>
              <w:t>（</w:t>
            </w:r>
            <w:r>
              <w:rPr>
                <w:rFonts w:hint="eastAsia" w:hAnsi="宋体" w:cs="宋体"/>
                <w:color w:val="auto"/>
                <w:kern w:val="0"/>
                <w:sz w:val="24"/>
                <w:szCs w:val="24"/>
                <w:lang w:val="en-US" w:eastAsia="zh-CN"/>
              </w:rPr>
              <w:t>1</w:t>
            </w:r>
            <w:r>
              <w:rPr>
                <w:rFonts w:hint="eastAsia" w:hAnsi="宋体" w:cs="宋体"/>
                <w:color w:val="auto"/>
                <w:kern w:val="0"/>
                <w:sz w:val="24"/>
                <w:szCs w:val="24"/>
              </w:rPr>
              <w:t>0分）</w:t>
            </w:r>
          </w:p>
        </w:tc>
        <w:tc>
          <w:tcPr>
            <w:tcW w:w="1320" w:type="dxa"/>
            <w:noWrap w:val="0"/>
            <w:vAlign w:val="center"/>
          </w:tcPr>
          <w:p>
            <w:pPr>
              <w:pStyle w:val="11"/>
              <w:jc w:val="center"/>
              <w:rPr>
                <w:rFonts w:hint="eastAsia" w:hAnsi="宋体" w:cs="宋体"/>
                <w:color w:val="auto"/>
                <w:kern w:val="0"/>
                <w:sz w:val="24"/>
                <w:szCs w:val="24"/>
              </w:rPr>
            </w:pPr>
            <w:r>
              <w:rPr>
                <w:rFonts w:hint="eastAsia" w:hAnsi="宋体" w:cs="宋体"/>
                <w:color w:val="auto"/>
                <w:kern w:val="0"/>
                <w:sz w:val="24"/>
                <w:szCs w:val="24"/>
              </w:rPr>
              <w:t>价格</w:t>
            </w:r>
          </w:p>
        </w:tc>
        <w:tc>
          <w:tcPr>
            <w:tcW w:w="6585" w:type="dxa"/>
            <w:noWrap w:val="0"/>
            <w:vAlign w:val="center"/>
          </w:tcPr>
          <w:p>
            <w:pPr>
              <w:pStyle w:val="11"/>
              <w:jc w:val="left"/>
              <w:rPr>
                <w:rFonts w:hint="eastAsia" w:hAnsi="宋体" w:cs="宋体" w:eastAsiaTheme="minorEastAsia"/>
                <w:color w:val="auto"/>
                <w:kern w:val="0"/>
                <w:sz w:val="24"/>
                <w:szCs w:val="24"/>
                <w:lang w:eastAsia="zh-CN"/>
              </w:rPr>
            </w:pPr>
            <w:r>
              <w:rPr>
                <w:rFonts w:hint="eastAsia" w:hAnsi="宋体" w:cs="宋体"/>
                <w:color w:val="auto"/>
                <w:kern w:val="0"/>
                <w:sz w:val="24"/>
                <w:szCs w:val="24"/>
              </w:rPr>
              <w:t>综合评分法中的经济分统一采用低价优先法计算，即满足招标文件要求且投标价格最低的投标报价为评标基准价，其价格分为满分。其他投标人的价格分统一按照下列公式计算：投标报价得分=（评标基准价/投标报价）×价格权值×100。</w:t>
            </w:r>
          </w:p>
        </w:tc>
        <w:tc>
          <w:tcPr>
            <w:tcW w:w="793" w:type="dxa"/>
            <w:noWrap w:val="0"/>
            <w:vAlign w:val="center"/>
          </w:tcPr>
          <w:p>
            <w:pPr>
              <w:pStyle w:val="11"/>
              <w:jc w:val="center"/>
              <w:rPr>
                <w:rFonts w:hint="default" w:hAnsi="宋体" w:cs="宋体" w:eastAsiaTheme="minorEastAsia"/>
                <w:color w:val="auto"/>
                <w:kern w:val="0"/>
                <w:sz w:val="24"/>
                <w:szCs w:val="24"/>
                <w:lang w:val="en-US" w:eastAsia="zh-CN"/>
              </w:rPr>
            </w:pPr>
            <w:r>
              <w:rPr>
                <w:rFonts w:hint="eastAsia" w:cs="宋体"/>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64" w:type="dxa"/>
            <w:noWrap w:val="0"/>
            <w:vAlign w:val="center"/>
          </w:tcPr>
          <w:p>
            <w:pPr>
              <w:pStyle w:val="11"/>
              <w:jc w:val="center"/>
              <w:rPr>
                <w:rFonts w:hint="eastAsia" w:hAnsi="宋体" w:cs="宋体"/>
                <w:color w:val="auto"/>
                <w:kern w:val="0"/>
                <w:sz w:val="24"/>
                <w:szCs w:val="24"/>
              </w:rPr>
            </w:pPr>
            <w:r>
              <w:rPr>
                <w:rFonts w:hint="eastAsia" w:hAnsi="宋体" w:cs="宋体"/>
                <w:color w:val="auto"/>
                <w:sz w:val="24"/>
                <w:szCs w:val="24"/>
              </w:rPr>
              <w:t>属于中小企业评审优惠内容及价格扣除幅度</w:t>
            </w:r>
          </w:p>
        </w:tc>
        <w:tc>
          <w:tcPr>
            <w:tcW w:w="1320" w:type="dxa"/>
            <w:noWrap w:val="0"/>
            <w:vAlign w:val="center"/>
          </w:tcPr>
          <w:p>
            <w:pPr>
              <w:pStyle w:val="11"/>
              <w:jc w:val="center"/>
              <w:rPr>
                <w:rFonts w:hint="eastAsia" w:hAnsi="宋体" w:cs="宋体"/>
                <w:color w:val="auto"/>
                <w:kern w:val="0"/>
                <w:sz w:val="24"/>
                <w:szCs w:val="24"/>
              </w:rPr>
            </w:pPr>
          </w:p>
        </w:tc>
        <w:tc>
          <w:tcPr>
            <w:tcW w:w="6585" w:type="dxa"/>
            <w:noWrap w:val="0"/>
            <w:vAlign w:val="center"/>
          </w:tcPr>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根据中华人民共和国财政部、中华人民共和国工业和信息化部《政府采购促进中小企业发展暂行办法》（财库[20</w:t>
            </w:r>
            <w:r>
              <w:rPr>
                <w:rFonts w:hint="eastAsia" w:ascii="宋体" w:hAnsi="宋体" w:cs="宋体"/>
                <w:color w:val="auto"/>
                <w:sz w:val="24"/>
                <w:szCs w:val="24"/>
                <w:lang w:val="en-US" w:eastAsia="zh-CN"/>
              </w:rPr>
              <w:t>20</w:t>
            </w:r>
            <w:r>
              <w:rPr>
                <w:rFonts w:hint="eastAsia" w:ascii="宋体" w:hAnsi="宋体" w:cs="宋体"/>
                <w:color w:val="auto"/>
                <w:sz w:val="24"/>
                <w:szCs w:val="24"/>
              </w:rPr>
              <w:t>]</w:t>
            </w:r>
            <w:r>
              <w:rPr>
                <w:rFonts w:hint="eastAsia" w:ascii="宋体" w:hAnsi="宋体" w:cs="宋体"/>
                <w:color w:val="auto"/>
                <w:sz w:val="24"/>
                <w:szCs w:val="24"/>
                <w:lang w:val="en-US" w:eastAsia="zh-CN"/>
              </w:rPr>
              <w:t>46</w:t>
            </w:r>
            <w:r>
              <w:rPr>
                <w:rFonts w:hint="eastAsia" w:ascii="宋体" w:hAnsi="宋体" w:cs="宋体"/>
                <w:color w:val="auto"/>
                <w:sz w:val="24"/>
                <w:szCs w:val="24"/>
              </w:rPr>
              <w:t>号）文件的规定，属于中小企业评审优惠内容及幅度如下：</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（一）中小企业（含中型、小型、微型企业）应当同时符合以下条件：</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①符合中小企业划分标准（按《关于印发中小企业划型标准规定的通知》（工信部联企业〔2011〕300号）执行）</w:t>
            </w:r>
            <w:r>
              <w:rPr>
                <w:rFonts w:hint="eastAsia" w:ascii="宋体" w:hAnsi="宋体" w:cs="宋体"/>
                <w:color w:val="auto"/>
                <w:sz w:val="24"/>
                <w:szCs w:val="24"/>
                <w:lang w:eastAsia="zh-CN"/>
              </w:rPr>
              <w:t>（</w:t>
            </w:r>
            <w:r>
              <w:rPr>
                <w:rFonts w:hint="eastAsia" w:ascii="宋体" w:hAnsi="宋体" w:cs="宋体"/>
                <w:b/>
                <w:bCs/>
                <w:color w:val="auto"/>
                <w:sz w:val="24"/>
                <w:szCs w:val="24"/>
                <w:lang w:val="en-US" w:eastAsia="zh-CN"/>
              </w:rPr>
              <w:t>餐饮业</w:t>
            </w:r>
            <w:r>
              <w:rPr>
                <w:rFonts w:hint="eastAsia" w:ascii="宋体" w:hAnsi="宋体" w:cs="宋体"/>
                <w:color w:val="auto"/>
                <w:sz w:val="24"/>
                <w:szCs w:val="24"/>
                <w:lang w:eastAsia="zh-CN"/>
              </w:rPr>
              <w:t>）</w:t>
            </w:r>
            <w:r>
              <w:rPr>
                <w:rFonts w:hint="eastAsia" w:ascii="宋体" w:hAnsi="宋体" w:cs="宋体"/>
                <w:color w:val="auto"/>
                <w:sz w:val="24"/>
                <w:szCs w:val="24"/>
              </w:rPr>
              <w:t>；</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③小型、微型企业提供中型企业制造的货物的，视同为中型企业。</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（二）价格扣除办法：</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（三）小型和微型企业适用价格扣除办法时应提供的相关资料：</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①、《中小企业声明函》；</w:t>
            </w:r>
          </w:p>
          <w:p>
            <w:pPr>
              <w:adjustRightInd w:val="0"/>
              <w:snapToGrid w:val="0"/>
              <w:spacing w:line="440" w:lineRule="exact"/>
              <w:jc w:val="left"/>
              <w:rPr>
                <w:rFonts w:hint="eastAsia" w:ascii="宋体" w:hAnsi="宋体" w:cs="宋体"/>
                <w:color w:val="auto"/>
                <w:sz w:val="24"/>
                <w:szCs w:val="24"/>
              </w:rPr>
            </w:pPr>
            <w:r>
              <w:rPr>
                <w:rFonts w:hint="eastAsia" w:ascii="宋体" w:hAnsi="宋体" w:cs="宋体"/>
                <w:color w:val="auto"/>
                <w:sz w:val="24"/>
                <w:szCs w:val="24"/>
              </w:rPr>
              <w:t>②、提供</w:t>
            </w:r>
            <w:r>
              <w:rPr>
                <w:rFonts w:hint="eastAsia" w:ascii="宋体" w:hAnsi="宋体" w:cs="宋体"/>
                <w:color w:val="auto"/>
                <w:sz w:val="24"/>
                <w:szCs w:val="24"/>
                <w:lang w:eastAsia="zh-CN"/>
              </w:rPr>
              <w:t>供应商</w:t>
            </w:r>
            <w:r>
              <w:rPr>
                <w:rFonts w:hint="eastAsia" w:ascii="宋体" w:hAnsi="宋体" w:cs="宋体"/>
                <w:color w:val="auto"/>
                <w:sz w:val="24"/>
                <w:szCs w:val="24"/>
              </w:rPr>
              <w:t>工商行政登记所在地管理部门出具的小微企业证明文件。</w:t>
            </w:r>
          </w:p>
          <w:p>
            <w:pPr>
              <w:pStyle w:val="11"/>
              <w:snapToGrid w:val="0"/>
              <w:spacing w:line="440" w:lineRule="exact"/>
              <w:rPr>
                <w:rFonts w:hint="eastAsia" w:hAnsi="宋体" w:cs="宋体"/>
                <w:color w:val="auto"/>
                <w:sz w:val="24"/>
                <w:szCs w:val="24"/>
              </w:rPr>
            </w:pPr>
            <w:r>
              <w:rPr>
                <w:rFonts w:hint="eastAsia" w:hAnsi="宋体" w:cs="宋体"/>
                <w:color w:val="auto"/>
                <w:sz w:val="24"/>
                <w:szCs w:val="24"/>
              </w:rPr>
              <w:t>③、提供所代理产品生产厂家的属地主管部门出具的小微企业证明文件；</w:t>
            </w:r>
          </w:p>
          <w:p>
            <w:pPr>
              <w:pStyle w:val="11"/>
              <w:jc w:val="left"/>
              <w:rPr>
                <w:rFonts w:hint="eastAsia" w:hAnsi="宋体" w:cs="宋体"/>
                <w:color w:val="auto"/>
                <w:kern w:val="0"/>
                <w:sz w:val="24"/>
                <w:szCs w:val="24"/>
              </w:rPr>
            </w:pPr>
            <w:r>
              <w:rPr>
                <w:rFonts w:hint="eastAsia" w:hAnsi="宋体" w:cs="宋体"/>
                <w:color w:val="auto"/>
                <w:sz w:val="24"/>
                <w:szCs w:val="24"/>
              </w:rPr>
              <w:t>进口产品不享受中小企业评审优惠。</w:t>
            </w:r>
          </w:p>
        </w:tc>
        <w:tc>
          <w:tcPr>
            <w:tcW w:w="793" w:type="dxa"/>
            <w:noWrap w:val="0"/>
            <w:vAlign w:val="center"/>
          </w:tcPr>
          <w:p>
            <w:pPr>
              <w:pStyle w:val="11"/>
              <w:jc w:val="center"/>
              <w:rPr>
                <w:rFonts w:hint="eastAsia" w:hAnsi="宋体" w:cs="宋体"/>
                <w:color w:val="auto"/>
                <w:kern w:val="0"/>
                <w:sz w:val="24"/>
                <w:szCs w:val="24"/>
              </w:rPr>
            </w:pPr>
          </w:p>
        </w:tc>
      </w:tr>
    </w:tbl>
    <w:p>
      <w:pPr>
        <w:pStyle w:val="8"/>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color w:val="auto"/>
          <w:sz w:val="24"/>
          <w:szCs w:val="24"/>
          <w:lang w:val="en-US" w:eastAsia="zh-CN"/>
        </w:rPr>
      </w:pPr>
      <w:r>
        <w:rPr>
          <w:rFonts w:hint="eastAsia"/>
          <w:color w:val="auto"/>
          <w:sz w:val="24"/>
          <w:szCs w:val="24"/>
          <w:lang w:val="en-US" w:eastAsia="zh-CN"/>
        </w:rPr>
        <w:t>二、商务、技术评审标准</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696"/>
        <w:gridCol w:w="1285"/>
        <w:gridCol w:w="835"/>
        <w:gridCol w:w="64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420" w:type="dxa"/>
            <w:gridSpan w:val="2"/>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85"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835"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422"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24" w:type="dxa"/>
            <w:vMerge w:val="restart"/>
            <w:tcBorders>
              <w:top w:val="single" w:color="auto" w:sz="4" w:space="0"/>
              <w:left w:val="single" w:color="auto" w:sz="4" w:space="0"/>
              <w:right w:val="single" w:color="auto" w:sz="4" w:space="0"/>
            </w:tcBorders>
            <w:vAlign w:val="center"/>
          </w:tcPr>
          <w:p>
            <w:pPr>
              <w:pStyle w:val="11"/>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eastAsia="宋体" w:cs="宋体"/>
                <w:color w:val="auto"/>
                <w:sz w:val="24"/>
                <w:szCs w:val="24"/>
                <w:lang w:val="en-US" w:eastAsia="zh-CN"/>
              </w:rPr>
              <w:t>40</w:t>
            </w:r>
            <w:r>
              <w:rPr>
                <w:rFonts w:hint="eastAsia" w:ascii="宋体" w:hAnsi="宋体" w:eastAsia="宋体" w:cs="宋体"/>
                <w:color w:val="auto"/>
                <w:sz w:val="24"/>
                <w:szCs w:val="24"/>
              </w:rPr>
              <w:t>分）</w:t>
            </w:r>
          </w:p>
        </w:tc>
        <w:tc>
          <w:tcPr>
            <w:tcW w:w="696"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企业实力（10分）</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0-10分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综合实力、机构设置、公司场地及实体店规模、经营状况</w:t>
            </w:r>
            <w:r>
              <w:rPr>
                <w:rFonts w:hint="eastAsia" w:ascii="宋体" w:hAnsi="宋体" w:eastAsia="宋体" w:cs="宋体"/>
                <w:color w:val="auto"/>
                <w:sz w:val="24"/>
                <w:szCs w:val="24"/>
                <w:lang w:val="en-US" w:eastAsia="zh-CN"/>
              </w:rPr>
              <w:t>等，</w:t>
            </w:r>
          </w:p>
          <w:p>
            <w:pPr>
              <w:shd w:val="clear"/>
              <w:tabs>
                <w:tab w:val="left" w:pos="1722"/>
              </w:tabs>
              <w:adjustRightInd w:val="0"/>
              <w:snapToGrid w:val="0"/>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综合实力好，机构设置明朗，公司场地及实体店规模大，经营状况好，得</w:t>
            </w:r>
            <w:r>
              <w:rPr>
                <w:rFonts w:hint="eastAsia" w:ascii="宋体" w:hAnsi="宋体" w:eastAsia="宋体" w:cs="宋体"/>
                <w:color w:val="auto"/>
                <w:sz w:val="24"/>
                <w:szCs w:val="24"/>
                <w:lang w:val="en-US" w:eastAsia="zh-CN"/>
              </w:rPr>
              <w:t>7-10</w:t>
            </w:r>
            <w:r>
              <w:rPr>
                <w:rFonts w:hint="eastAsia" w:ascii="宋体" w:hAnsi="宋体" w:eastAsia="宋体" w:cs="宋体"/>
                <w:color w:val="auto"/>
                <w:sz w:val="24"/>
                <w:szCs w:val="24"/>
                <w:lang w:eastAsia="zh-CN"/>
              </w:rPr>
              <w:t>分；</w:t>
            </w:r>
          </w:p>
          <w:p>
            <w:pPr>
              <w:shd w:val="clear"/>
              <w:tabs>
                <w:tab w:val="left" w:pos="1722"/>
              </w:tabs>
              <w:adjustRightInd w:val="0"/>
              <w:snapToGrid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综合实力</w:t>
            </w:r>
            <w:r>
              <w:rPr>
                <w:rFonts w:hint="eastAsia" w:ascii="宋体" w:hAnsi="宋体" w:eastAsia="宋体" w:cs="宋体"/>
                <w:color w:val="auto"/>
                <w:sz w:val="24"/>
                <w:szCs w:val="24"/>
                <w:lang w:val="en-US" w:eastAsia="zh-CN"/>
              </w:rPr>
              <w:t>较</w:t>
            </w:r>
            <w:r>
              <w:rPr>
                <w:rFonts w:hint="eastAsia" w:ascii="宋体" w:hAnsi="宋体" w:eastAsia="宋体" w:cs="宋体"/>
                <w:color w:val="auto"/>
                <w:sz w:val="24"/>
                <w:szCs w:val="24"/>
                <w:lang w:eastAsia="zh-CN"/>
              </w:rPr>
              <w:t>好，机构设置较好，公司场地及实体店规模一般，经营状况</w:t>
            </w:r>
            <w:r>
              <w:rPr>
                <w:rFonts w:hint="eastAsia" w:ascii="宋体" w:hAnsi="宋体" w:eastAsia="宋体" w:cs="宋体"/>
                <w:color w:val="auto"/>
                <w:sz w:val="24"/>
                <w:szCs w:val="24"/>
                <w:lang w:val="en-US" w:eastAsia="zh-CN"/>
              </w:rPr>
              <w:t>较</w:t>
            </w:r>
            <w:r>
              <w:rPr>
                <w:rFonts w:hint="eastAsia" w:ascii="宋体" w:hAnsi="宋体" w:eastAsia="宋体" w:cs="宋体"/>
                <w:color w:val="auto"/>
                <w:sz w:val="24"/>
                <w:szCs w:val="24"/>
                <w:lang w:eastAsia="zh-CN"/>
              </w:rPr>
              <w:t>好，得</w:t>
            </w:r>
            <w:r>
              <w:rPr>
                <w:rFonts w:hint="eastAsia" w:ascii="宋体" w:hAnsi="宋体" w:eastAsia="宋体" w:cs="宋体"/>
                <w:color w:val="auto"/>
                <w:sz w:val="24"/>
                <w:szCs w:val="24"/>
                <w:lang w:val="en-US" w:eastAsia="zh-CN"/>
              </w:rPr>
              <w:t>4-6</w:t>
            </w:r>
            <w:r>
              <w:rPr>
                <w:rFonts w:hint="eastAsia" w:ascii="宋体" w:hAnsi="宋体" w:eastAsia="宋体" w:cs="宋体"/>
                <w:color w:val="auto"/>
                <w:sz w:val="24"/>
                <w:szCs w:val="24"/>
                <w:lang w:eastAsia="zh-CN"/>
              </w:rPr>
              <w:t>分；</w:t>
            </w:r>
          </w:p>
          <w:p>
            <w:pPr>
              <w:shd w:val="clear"/>
              <w:tabs>
                <w:tab w:val="left" w:pos="1722"/>
              </w:tabs>
              <w:adjustRightInd w:val="0"/>
              <w:snapToGrid w:val="0"/>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综合实力一般，机构设置一般，公司场地及实体店规模小，经营状况一般，</w:t>
            </w:r>
            <w:r>
              <w:rPr>
                <w:rFonts w:hint="eastAsia" w:ascii="宋体" w:hAnsi="宋体" w:eastAsia="宋体" w:cs="宋体"/>
                <w:color w:val="auto"/>
                <w:sz w:val="24"/>
                <w:szCs w:val="24"/>
                <w:lang w:val="en-US" w:eastAsia="zh-CN"/>
              </w:rPr>
              <w:t>得1-3分</w:t>
            </w:r>
            <w:r>
              <w:rPr>
                <w:rFonts w:hint="eastAsia" w:ascii="宋体" w:hAnsi="宋体" w:eastAsia="宋体" w:cs="宋体"/>
                <w:color w:val="auto"/>
                <w:sz w:val="24"/>
                <w:szCs w:val="24"/>
                <w:lang w:eastAsia="zh-CN"/>
              </w:rPr>
              <w:t>。</w:t>
            </w:r>
          </w:p>
          <w:p>
            <w:pPr>
              <w:shd w:val="clear"/>
              <w:tabs>
                <w:tab w:val="left" w:pos="1722"/>
              </w:tabs>
              <w:adjustRightInd w:val="0"/>
              <w:snapToGrid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得0分为未提供相关</w:t>
            </w:r>
            <w:r>
              <w:rPr>
                <w:rFonts w:hint="eastAsia" w:ascii="宋体" w:hAnsi="宋体" w:eastAsia="宋体" w:cs="宋体"/>
                <w:color w:val="auto"/>
                <w:sz w:val="24"/>
                <w:szCs w:val="24"/>
                <w:lang w:val="en-US" w:eastAsia="zh-CN"/>
              </w:rPr>
              <w:t>证明材料</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724" w:type="dxa"/>
            <w:vMerge w:val="continue"/>
            <w:tcBorders>
              <w:left w:val="single" w:color="auto" w:sz="4" w:space="0"/>
              <w:right w:val="single" w:color="auto" w:sz="4" w:space="0"/>
            </w:tcBorders>
            <w:vAlign w:val="center"/>
          </w:tcPr>
          <w:p>
            <w:pPr>
              <w:pStyle w:val="11"/>
              <w:snapToGrid w:val="0"/>
              <w:spacing w:line="500" w:lineRule="exact"/>
              <w:ind w:left="228" w:firstLine="480" w:firstLineChars="200"/>
              <w:rPr>
                <w:rFonts w:hint="eastAsia" w:ascii="宋体" w:hAnsi="宋体" w:eastAsia="宋体" w:cs="宋体"/>
                <w:color w:val="auto"/>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85"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总体情况（</w:t>
            </w:r>
            <w:r>
              <w:rPr>
                <w:rFonts w:hint="eastAsia" w:eastAsia="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分）</w:t>
            </w:r>
          </w:p>
        </w:tc>
        <w:tc>
          <w:tcPr>
            <w:tcW w:w="835"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w:t>
            </w:r>
            <w:r>
              <w:rPr>
                <w:rFonts w:hint="eastAsia" w:eastAsia="宋体" w:cs="宋体"/>
                <w:color w:val="auto"/>
                <w:sz w:val="24"/>
                <w:szCs w:val="24"/>
                <w:lang w:val="en-US" w:eastAsia="zh-CN"/>
              </w:rPr>
              <w:t>3</w:t>
            </w:r>
            <w:r>
              <w:rPr>
                <w:rFonts w:hint="eastAsia" w:ascii="宋体" w:hAnsi="宋体" w:eastAsia="宋体" w:cs="宋体"/>
                <w:color w:val="auto"/>
                <w:sz w:val="24"/>
                <w:szCs w:val="24"/>
                <w:lang w:val="en-US" w:eastAsia="zh-CN"/>
              </w:rPr>
              <w:t>0分</w:t>
            </w:r>
          </w:p>
        </w:tc>
        <w:tc>
          <w:tcPr>
            <w:tcW w:w="6422"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完全响应招标文件的采购需求，专家根据采购参数，从</w:t>
            </w:r>
            <w:r>
              <w:rPr>
                <w:rFonts w:hint="eastAsia" w:eastAsia="宋体" w:cs="宋体"/>
                <w:color w:val="auto"/>
                <w:sz w:val="24"/>
                <w:szCs w:val="24"/>
                <w:lang w:val="en-US" w:eastAsia="zh-CN"/>
              </w:rPr>
              <w:t>1、</w:t>
            </w:r>
            <w:r>
              <w:rPr>
                <w:rFonts w:hint="eastAsia" w:ascii="宋体" w:hAnsi="宋体" w:eastAsia="宋体" w:cs="宋体"/>
                <w:color w:val="auto"/>
                <w:sz w:val="24"/>
                <w:szCs w:val="24"/>
                <w:lang w:eastAsia="zh-CN"/>
              </w:rPr>
              <w:t>人数、</w:t>
            </w:r>
            <w:r>
              <w:rPr>
                <w:rFonts w:hint="eastAsia" w:eastAsia="宋体" w:cs="宋体"/>
                <w:color w:val="auto"/>
                <w:sz w:val="24"/>
                <w:szCs w:val="24"/>
                <w:lang w:val="en-US" w:eastAsia="zh-CN"/>
              </w:rPr>
              <w:t>2</w:t>
            </w:r>
            <w:r>
              <w:rPr>
                <w:rFonts w:hint="eastAsia" w:ascii="宋体" w:hAnsi="宋体" w:eastAsia="宋体" w:cs="宋体"/>
                <w:color w:val="auto"/>
                <w:sz w:val="24"/>
                <w:szCs w:val="24"/>
                <w:lang w:eastAsia="zh-CN"/>
              </w:rPr>
              <w:t>管理流程、</w:t>
            </w:r>
            <w:r>
              <w:rPr>
                <w:rFonts w:hint="eastAsia" w:eastAsia="宋体" w:cs="宋体"/>
                <w:color w:val="auto"/>
                <w:sz w:val="24"/>
                <w:szCs w:val="24"/>
                <w:lang w:val="en-US" w:eastAsia="zh-CN"/>
              </w:rPr>
              <w:t>3配餐营养搭配</w:t>
            </w:r>
            <w:r>
              <w:rPr>
                <w:rFonts w:hint="eastAsia" w:ascii="宋体" w:hAnsi="宋体" w:eastAsia="宋体" w:cs="宋体"/>
                <w:color w:val="auto"/>
                <w:sz w:val="24"/>
                <w:szCs w:val="24"/>
                <w:lang w:eastAsia="zh-CN"/>
              </w:rPr>
              <w:t>、</w:t>
            </w:r>
            <w:r>
              <w:rPr>
                <w:rFonts w:hint="eastAsia" w:eastAsia="宋体" w:cs="宋体"/>
                <w:color w:val="auto"/>
                <w:sz w:val="24"/>
                <w:szCs w:val="24"/>
                <w:lang w:val="en-US" w:eastAsia="zh-CN"/>
              </w:rPr>
              <w:t>4、</w:t>
            </w:r>
            <w:r>
              <w:rPr>
                <w:rFonts w:hint="eastAsia" w:ascii="宋体" w:hAnsi="宋体" w:eastAsia="宋体" w:cs="宋体"/>
                <w:color w:val="auto"/>
                <w:sz w:val="24"/>
                <w:szCs w:val="24"/>
                <w:lang w:val="en-US" w:eastAsia="zh-CN"/>
              </w:rPr>
              <w:t>食材品质、</w:t>
            </w:r>
            <w:r>
              <w:rPr>
                <w:rFonts w:hint="eastAsia" w:eastAsia="宋体" w:cs="宋体"/>
                <w:color w:val="auto"/>
                <w:sz w:val="24"/>
                <w:szCs w:val="24"/>
                <w:lang w:val="en-US" w:eastAsia="zh-CN"/>
              </w:rPr>
              <w:t>5、食品</w:t>
            </w:r>
            <w:r>
              <w:rPr>
                <w:rFonts w:hint="eastAsia" w:ascii="宋体" w:hAnsi="宋体" w:eastAsia="宋体" w:cs="宋体"/>
                <w:color w:val="auto"/>
                <w:sz w:val="24"/>
                <w:szCs w:val="24"/>
                <w:lang w:val="en-US" w:eastAsia="zh-CN"/>
              </w:rPr>
              <w:t>安全</w:t>
            </w:r>
            <w:r>
              <w:rPr>
                <w:rFonts w:hint="eastAsia" w:ascii="宋体" w:hAnsi="宋体" w:eastAsia="宋体" w:cs="宋体"/>
                <w:color w:val="auto"/>
                <w:sz w:val="24"/>
                <w:szCs w:val="24"/>
                <w:lang w:eastAsia="zh-CN"/>
              </w:rPr>
              <w:t>方面综合打分，</w:t>
            </w:r>
            <w:r>
              <w:rPr>
                <w:rFonts w:hint="eastAsia" w:eastAsia="宋体" w:cs="宋体"/>
                <w:color w:val="auto"/>
                <w:sz w:val="24"/>
                <w:szCs w:val="24"/>
                <w:lang w:val="en-US" w:eastAsia="zh-CN"/>
              </w:rPr>
              <w:t>内容全面且针对性强</w:t>
            </w:r>
            <w:r>
              <w:rPr>
                <w:rFonts w:hint="eastAsia" w:ascii="宋体" w:hAnsi="宋体" w:eastAsia="宋体" w:cs="宋体"/>
                <w:color w:val="auto"/>
                <w:sz w:val="24"/>
                <w:szCs w:val="24"/>
                <w:lang w:val="en-US" w:eastAsia="zh-CN"/>
              </w:rPr>
              <w:t>得</w:t>
            </w:r>
            <w:r>
              <w:rPr>
                <w:rFonts w:hint="eastAsia" w:eastAsia="宋体" w:cs="宋体"/>
                <w:color w:val="auto"/>
                <w:sz w:val="24"/>
                <w:szCs w:val="24"/>
                <w:lang w:val="en-US" w:eastAsia="zh-CN"/>
              </w:rPr>
              <w:t>2</w:t>
            </w:r>
            <w:r>
              <w:rPr>
                <w:rFonts w:hint="eastAsia" w:ascii="宋体" w:hAnsi="宋体" w:eastAsia="宋体" w:cs="宋体"/>
                <w:color w:val="auto"/>
                <w:sz w:val="24"/>
                <w:szCs w:val="24"/>
                <w:lang w:val="en-US" w:eastAsia="zh-CN"/>
              </w:rPr>
              <w:t>0-</w:t>
            </w:r>
            <w:r>
              <w:rPr>
                <w:rFonts w:hint="eastAsia" w:eastAsia="宋体" w:cs="宋体"/>
                <w:color w:val="auto"/>
                <w:sz w:val="24"/>
                <w:szCs w:val="24"/>
                <w:lang w:val="en-US" w:eastAsia="zh-CN"/>
              </w:rPr>
              <w:t>3</w:t>
            </w:r>
            <w:r>
              <w:rPr>
                <w:rFonts w:hint="eastAsia" w:ascii="宋体" w:hAnsi="宋体" w:eastAsia="宋体" w:cs="宋体"/>
                <w:color w:val="auto"/>
                <w:sz w:val="24"/>
                <w:szCs w:val="24"/>
                <w:lang w:val="en-US" w:eastAsia="zh-CN"/>
              </w:rPr>
              <w:t>0分；</w:t>
            </w:r>
            <w:r>
              <w:rPr>
                <w:rFonts w:hint="eastAsia" w:eastAsia="宋体" w:cs="宋体"/>
                <w:color w:val="auto"/>
                <w:sz w:val="24"/>
                <w:szCs w:val="24"/>
                <w:lang w:val="en-US" w:eastAsia="zh-CN"/>
              </w:rPr>
              <w:t>内容比较全面针对性较强</w:t>
            </w:r>
            <w:r>
              <w:rPr>
                <w:rFonts w:hint="eastAsia" w:ascii="宋体" w:hAnsi="宋体" w:eastAsia="宋体" w:cs="宋体"/>
                <w:color w:val="auto"/>
                <w:sz w:val="24"/>
                <w:szCs w:val="24"/>
                <w:lang w:val="en-US" w:eastAsia="zh-CN"/>
              </w:rPr>
              <w:t>得</w:t>
            </w:r>
            <w:r>
              <w:rPr>
                <w:rFonts w:hint="eastAsia" w:eastAsia="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eastAsia="宋体" w:cs="宋体"/>
                <w:color w:val="auto"/>
                <w:sz w:val="24"/>
                <w:szCs w:val="24"/>
                <w:lang w:val="en-US" w:eastAsia="zh-CN"/>
              </w:rPr>
              <w:t>19</w:t>
            </w:r>
            <w:r>
              <w:rPr>
                <w:rFonts w:hint="eastAsia" w:ascii="宋体" w:hAnsi="宋体" w:eastAsia="宋体" w:cs="宋体"/>
                <w:color w:val="auto"/>
                <w:sz w:val="24"/>
                <w:szCs w:val="24"/>
                <w:lang w:val="en-US" w:eastAsia="zh-CN"/>
              </w:rPr>
              <w:t>分；</w:t>
            </w:r>
            <w:r>
              <w:rPr>
                <w:rFonts w:hint="eastAsia" w:eastAsia="宋体" w:cs="宋体"/>
                <w:color w:val="auto"/>
                <w:sz w:val="24"/>
                <w:szCs w:val="24"/>
                <w:lang w:val="en-US" w:eastAsia="zh-CN"/>
              </w:rPr>
              <w:t>内容全面性差针对性一般得1-8</w:t>
            </w:r>
            <w:r>
              <w:rPr>
                <w:rFonts w:hint="eastAsia" w:ascii="宋体" w:hAnsi="宋体" w:eastAsia="宋体" w:cs="宋体"/>
                <w:color w:val="auto"/>
                <w:sz w:val="24"/>
                <w:szCs w:val="24"/>
                <w:lang w:val="en-US" w:eastAsia="zh-CN"/>
              </w:rPr>
              <w:t>分</w:t>
            </w:r>
            <w:r>
              <w:rPr>
                <w:rFonts w:hint="eastAsia" w:eastAsia="宋体" w:cs="宋体"/>
                <w:color w:val="auto"/>
                <w:sz w:val="24"/>
                <w:szCs w:val="24"/>
                <w:lang w:val="en-US" w:eastAsia="zh-CN"/>
              </w:rPr>
              <w:t>；未提供不得分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6" w:hRule="atLeast"/>
          <w:jc w:val="center"/>
        </w:trPr>
        <w:tc>
          <w:tcPr>
            <w:tcW w:w="724" w:type="dxa"/>
            <w:vMerge w:val="restart"/>
            <w:tcBorders>
              <w:top w:val="single" w:color="auto" w:sz="4" w:space="0"/>
              <w:left w:val="single" w:color="auto" w:sz="4" w:space="0"/>
              <w:right w:val="single" w:color="auto" w:sz="4" w:space="0"/>
            </w:tcBorders>
            <w:vAlign w:val="center"/>
          </w:tcPr>
          <w:p>
            <w:pPr>
              <w:pStyle w:val="11"/>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eastAsia="宋体" w:cs="宋体"/>
                <w:color w:val="auto"/>
                <w:sz w:val="24"/>
                <w:szCs w:val="24"/>
                <w:lang w:val="en-US" w:eastAsia="zh-CN"/>
              </w:rPr>
              <w:t>50</w:t>
            </w:r>
            <w:r>
              <w:rPr>
                <w:rFonts w:hint="eastAsia" w:ascii="宋体" w:hAnsi="宋体" w:eastAsia="宋体" w:cs="宋体"/>
                <w:color w:val="auto"/>
                <w:sz w:val="24"/>
                <w:szCs w:val="24"/>
              </w:rPr>
              <w:t>分）</w:t>
            </w:r>
          </w:p>
        </w:tc>
        <w:tc>
          <w:tcPr>
            <w:tcW w:w="696"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售后服务</w:t>
            </w:r>
            <w:r>
              <w:rPr>
                <w:rFonts w:hint="eastAsia" w:ascii="宋体" w:hAnsi="宋体" w:eastAsia="宋体" w:cs="宋体"/>
                <w:color w:val="auto"/>
                <w:sz w:val="24"/>
                <w:szCs w:val="24"/>
                <w:lang w:val="en-US" w:eastAsia="zh-CN"/>
              </w:rPr>
              <w:t>承诺等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 xml:space="preserve"> 分）</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0-10分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eastAsia="zh-CN"/>
              </w:rPr>
              <w:t>综合考虑售后服务机制与人员配备的合理性、售后服务响应时间，其他相关承诺等。</w:t>
            </w:r>
            <w:r>
              <w:rPr>
                <w:rFonts w:hint="eastAsia" w:ascii="宋体" w:hAnsi="宋体" w:eastAsia="宋体" w:cs="宋体"/>
                <w:color w:val="auto"/>
                <w:sz w:val="24"/>
                <w:szCs w:val="24"/>
                <w:lang w:val="en-US" w:eastAsia="zh-CN"/>
              </w:rPr>
              <w:t>科学合理完善针对性强得8-10</w:t>
            </w:r>
            <w:r>
              <w:rPr>
                <w:rFonts w:hint="eastAsia" w:ascii="宋体" w:hAnsi="宋体" w:eastAsia="宋体" w:cs="宋体"/>
                <w:color w:val="auto"/>
                <w:sz w:val="24"/>
                <w:szCs w:val="24"/>
                <w:lang w:eastAsia="zh-CN"/>
              </w:rPr>
              <w:t xml:space="preserve">分， </w:t>
            </w:r>
            <w:r>
              <w:rPr>
                <w:rFonts w:hint="eastAsia" w:ascii="宋体" w:hAnsi="宋体" w:eastAsia="宋体" w:cs="宋体"/>
                <w:color w:val="auto"/>
                <w:sz w:val="24"/>
                <w:szCs w:val="24"/>
                <w:lang w:val="en-US" w:eastAsia="zh-CN"/>
              </w:rPr>
              <w:t>比较合理针对性较强得4-7</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合理性欠缺完善性差针对性</w:t>
            </w:r>
            <w:r>
              <w:rPr>
                <w:rFonts w:hint="eastAsia" w:ascii="宋体" w:hAnsi="宋体" w:eastAsia="宋体" w:cs="宋体"/>
                <w:color w:val="auto"/>
                <w:sz w:val="24"/>
                <w:szCs w:val="24"/>
                <w:lang w:eastAsia="zh-CN"/>
              </w:rPr>
              <w:t>一般</w:t>
            </w:r>
            <w:r>
              <w:rPr>
                <w:rFonts w:hint="eastAsia" w:ascii="宋体" w:hAnsi="宋体" w:eastAsia="宋体" w:cs="宋体"/>
                <w:color w:val="auto"/>
                <w:sz w:val="24"/>
                <w:szCs w:val="24"/>
                <w:lang w:val="en-US" w:eastAsia="zh-CN"/>
              </w:rPr>
              <w:t>得1-3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未提供不得分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724" w:type="dxa"/>
            <w:vMerge w:val="continue"/>
            <w:tcBorders>
              <w:left w:val="single" w:color="auto" w:sz="4" w:space="0"/>
              <w:right w:val="single" w:color="auto" w:sz="4" w:space="0"/>
            </w:tcBorders>
            <w:vAlign w:val="center"/>
          </w:tcPr>
          <w:p>
            <w:pPr>
              <w:pStyle w:val="11"/>
              <w:snapToGrid w:val="0"/>
              <w:spacing w:line="500" w:lineRule="exact"/>
              <w:rPr>
                <w:rFonts w:hint="eastAsia" w:ascii="宋体" w:hAnsi="宋体" w:eastAsia="宋体" w:cs="宋体"/>
                <w:color w:val="auto"/>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内部管理制度</w:t>
            </w:r>
          </w:p>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内部管理制度完善，</w:t>
            </w:r>
            <w:r>
              <w:rPr>
                <w:rFonts w:hint="eastAsia" w:ascii="宋体" w:hAnsi="宋体" w:eastAsia="宋体" w:cs="宋体"/>
                <w:color w:val="auto"/>
                <w:sz w:val="24"/>
                <w:szCs w:val="24"/>
                <w:lang w:val="en-US" w:eastAsia="zh-CN"/>
              </w:rPr>
              <w:t>有针对本项目的各项规章制度</w:t>
            </w:r>
            <w:r>
              <w:rPr>
                <w:rFonts w:hint="eastAsia" w:ascii="宋体" w:hAnsi="宋体" w:eastAsia="宋体" w:cs="宋体"/>
                <w:color w:val="auto"/>
                <w:sz w:val="24"/>
                <w:szCs w:val="24"/>
                <w:lang w:eastAsia="zh-CN"/>
              </w:rPr>
              <w:t>，内容规范科学，实用有效。制度完善针对性强</w:t>
            </w:r>
            <w:r>
              <w:rPr>
                <w:rFonts w:hint="eastAsia" w:ascii="宋体" w:hAnsi="宋体" w:eastAsia="宋体" w:cs="宋体"/>
                <w:color w:val="auto"/>
                <w:sz w:val="24"/>
                <w:szCs w:val="24"/>
                <w:lang w:val="en-US" w:eastAsia="zh-CN"/>
              </w:rPr>
              <w:t>得4-5</w:t>
            </w:r>
            <w:r>
              <w:rPr>
                <w:rFonts w:hint="eastAsia" w:ascii="宋体" w:hAnsi="宋体" w:eastAsia="宋体" w:cs="宋体"/>
                <w:color w:val="auto"/>
                <w:sz w:val="24"/>
                <w:szCs w:val="24"/>
                <w:lang w:eastAsia="zh-CN"/>
              </w:rPr>
              <w:t>分；</w:t>
            </w:r>
          </w:p>
          <w:p>
            <w:pPr>
              <w:shd w:val="clear"/>
              <w:tabs>
                <w:tab w:val="left" w:pos="1722"/>
              </w:tabs>
              <w:adjustRightInd w:val="0"/>
              <w:snapToGrid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制度较完善较有针对性</w:t>
            </w:r>
            <w:r>
              <w:rPr>
                <w:rFonts w:hint="eastAsia" w:ascii="宋体" w:hAnsi="宋体" w:eastAsia="宋体" w:cs="宋体"/>
                <w:color w:val="auto"/>
                <w:sz w:val="24"/>
                <w:szCs w:val="24"/>
                <w:lang w:val="en-US" w:eastAsia="zh-CN"/>
              </w:rPr>
              <w:t>得2-3</w:t>
            </w:r>
            <w:r>
              <w:rPr>
                <w:rFonts w:hint="eastAsia" w:ascii="宋体" w:hAnsi="宋体" w:eastAsia="宋体" w:cs="宋体"/>
                <w:color w:val="auto"/>
                <w:sz w:val="24"/>
                <w:szCs w:val="24"/>
                <w:lang w:eastAsia="zh-CN"/>
              </w:rPr>
              <w:t>分；</w:t>
            </w:r>
          </w:p>
          <w:p>
            <w:pPr>
              <w:shd w:val="clear"/>
              <w:tabs>
                <w:tab w:val="left" w:pos="1722"/>
              </w:tabs>
              <w:adjustRightInd w:val="0"/>
              <w:snapToGrid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制度基本完善基本有针对性</w:t>
            </w:r>
            <w:r>
              <w:rPr>
                <w:rFonts w:hint="eastAsia" w:ascii="宋体" w:hAnsi="宋体" w:eastAsia="宋体" w:cs="宋体"/>
                <w:color w:val="auto"/>
                <w:sz w:val="24"/>
                <w:szCs w:val="24"/>
                <w:lang w:val="en-US" w:eastAsia="zh-CN"/>
              </w:rPr>
              <w:t>得1</w:t>
            </w:r>
            <w:r>
              <w:rPr>
                <w:rFonts w:hint="eastAsia" w:ascii="宋体" w:hAnsi="宋体" w:eastAsia="宋体" w:cs="宋体"/>
                <w:color w:val="auto"/>
                <w:sz w:val="24"/>
                <w:szCs w:val="24"/>
                <w:lang w:eastAsia="zh-CN"/>
              </w:rPr>
              <w:t>分；</w:t>
            </w:r>
          </w:p>
          <w:p>
            <w:pPr>
              <w:shd w:val="clear"/>
              <w:tabs>
                <w:tab w:val="left" w:pos="1722"/>
              </w:tabs>
              <w:adjustRightInd w:val="0"/>
              <w:snapToGrid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无制度，不得分。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6" w:hRule="atLeast"/>
          <w:jc w:val="center"/>
        </w:trPr>
        <w:tc>
          <w:tcPr>
            <w:tcW w:w="724" w:type="dxa"/>
            <w:vMerge w:val="continue"/>
            <w:tcBorders>
              <w:left w:val="single" w:color="auto" w:sz="4" w:space="0"/>
              <w:right w:val="single" w:color="auto" w:sz="4" w:space="0"/>
            </w:tcBorders>
            <w:vAlign w:val="center"/>
          </w:tcPr>
          <w:p>
            <w:pPr>
              <w:pStyle w:val="11"/>
              <w:snapToGrid w:val="0"/>
              <w:spacing w:line="500" w:lineRule="exact"/>
              <w:ind w:left="228" w:firstLine="480" w:firstLineChars="200"/>
              <w:rPr>
                <w:rFonts w:hint="eastAsia" w:ascii="宋体" w:hAnsi="宋体" w:eastAsia="宋体" w:cs="宋体"/>
                <w:color w:val="auto"/>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车辆配置方案（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tc>
        <w:tc>
          <w:tcPr>
            <w:tcW w:w="835" w:type="dxa"/>
            <w:tcBorders>
              <w:top w:val="single" w:color="auto" w:sz="4" w:space="0"/>
              <w:left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满足招标文件要求，车辆保障方案及相关服务承诺。</w:t>
            </w:r>
            <w:r>
              <w:rPr>
                <w:rFonts w:hint="eastAsia" w:ascii="宋体" w:hAnsi="宋体" w:eastAsia="宋体" w:cs="宋体"/>
                <w:color w:val="auto"/>
                <w:sz w:val="24"/>
                <w:szCs w:val="24"/>
                <w:lang w:val="en-US" w:eastAsia="zh-CN"/>
              </w:rPr>
              <w:t>完全满足得4-5</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基本满足得2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 xml:space="preserve"> 分，</w:t>
            </w:r>
            <w:r>
              <w:rPr>
                <w:rFonts w:hint="eastAsia" w:ascii="宋体" w:hAnsi="宋体" w:eastAsia="宋体" w:cs="宋体"/>
                <w:color w:val="auto"/>
                <w:sz w:val="24"/>
                <w:szCs w:val="24"/>
                <w:lang w:val="en-US" w:eastAsia="zh-CN"/>
              </w:rPr>
              <w:t>满足性差得</w:t>
            </w:r>
            <w:r>
              <w:rPr>
                <w:rFonts w:hint="eastAsia" w:ascii="宋体" w:hAnsi="宋体" w:eastAsia="宋体" w:cs="宋体"/>
                <w:color w:val="auto"/>
                <w:sz w:val="24"/>
                <w:szCs w:val="24"/>
                <w:lang w:eastAsia="zh-CN"/>
              </w:rPr>
              <w:t>1分；</w:t>
            </w:r>
            <w:r>
              <w:rPr>
                <w:rFonts w:hint="eastAsia" w:ascii="宋体" w:hAnsi="宋体" w:eastAsia="宋体" w:cs="宋体"/>
                <w:color w:val="auto"/>
                <w:sz w:val="24"/>
                <w:szCs w:val="24"/>
                <w:lang w:val="en-US" w:eastAsia="zh-CN"/>
              </w:rPr>
              <w:t>未提供不得分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24" w:type="dxa"/>
            <w:vMerge w:val="continue"/>
            <w:tcBorders>
              <w:left w:val="single" w:color="auto" w:sz="4" w:space="0"/>
              <w:right w:val="single" w:color="auto" w:sz="4" w:space="0"/>
            </w:tcBorders>
            <w:vAlign w:val="center"/>
          </w:tcPr>
          <w:p>
            <w:pPr>
              <w:pStyle w:val="11"/>
              <w:snapToGrid w:val="0"/>
              <w:spacing w:line="500" w:lineRule="exact"/>
              <w:ind w:left="228" w:firstLine="480" w:firstLineChars="200"/>
              <w:rPr>
                <w:rFonts w:hint="eastAsia" w:ascii="宋体" w:hAnsi="宋体" w:eastAsia="宋体" w:cs="宋体"/>
                <w:color w:val="auto"/>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贮藏能力（</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 xml:space="preserve"> 分）</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对产品贮藏能力(如储备地点及规模及产品储备情况等)进行综合打分，</w:t>
            </w:r>
            <w:r>
              <w:rPr>
                <w:rFonts w:hint="eastAsia" w:ascii="宋体" w:hAnsi="宋体" w:eastAsia="宋体" w:cs="宋体"/>
                <w:color w:val="auto"/>
                <w:sz w:val="24"/>
                <w:szCs w:val="24"/>
                <w:lang w:val="en-US" w:eastAsia="zh-CN"/>
              </w:rPr>
              <w:t>提供相关材料，对本项目针对性强得7-10分；对本项目比较有针对性得4-6分；对本项目针对性一般得1-3分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24" w:type="dxa"/>
            <w:vMerge w:val="continue"/>
            <w:tcBorders>
              <w:left w:val="single" w:color="auto" w:sz="4" w:space="0"/>
              <w:right w:val="single" w:color="auto" w:sz="4" w:space="0"/>
            </w:tcBorders>
            <w:vAlign w:val="center"/>
          </w:tcPr>
          <w:p>
            <w:pPr>
              <w:pStyle w:val="11"/>
              <w:snapToGrid w:val="0"/>
              <w:spacing w:line="500" w:lineRule="exact"/>
              <w:ind w:left="228" w:firstLine="480" w:firstLineChars="200"/>
              <w:rPr>
                <w:rFonts w:hint="eastAsia" w:ascii="宋体" w:hAnsi="宋体" w:eastAsia="宋体" w:cs="宋体"/>
                <w:color w:val="auto"/>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应急方案（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提供在自然灾害、公共卫生事件、停水、停电等情况下供应物资</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eastAsia="zh-CN"/>
              </w:rPr>
              <w:t>应急方案。</w:t>
            </w:r>
            <w:r>
              <w:rPr>
                <w:rFonts w:hint="eastAsia" w:ascii="宋体" w:hAnsi="宋体" w:eastAsia="宋体" w:cs="宋体"/>
                <w:color w:val="auto"/>
                <w:sz w:val="24"/>
                <w:szCs w:val="24"/>
                <w:lang w:val="en-US" w:eastAsia="zh-CN"/>
              </w:rPr>
              <w:t>全面完善得4-5</w:t>
            </w:r>
            <w:r>
              <w:rPr>
                <w:rFonts w:hint="eastAsia" w:ascii="宋体" w:hAnsi="宋体" w:eastAsia="宋体" w:cs="宋体"/>
                <w:color w:val="auto"/>
                <w:sz w:val="24"/>
                <w:szCs w:val="24"/>
                <w:lang w:eastAsia="zh-CN"/>
              </w:rPr>
              <w:t xml:space="preserve"> 分， </w:t>
            </w:r>
            <w:r>
              <w:rPr>
                <w:rFonts w:hint="eastAsia" w:ascii="宋体" w:hAnsi="宋体" w:eastAsia="宋体" w:cs="宋体"/>
                <w:color w:val="auto"/>
                <w:sz w:val="24"/>
                <w:szCs w:val="24"/>
                <w:lang w:val="en-US" w:eastAsia="zh-CN"/>
              </w:rPr>
              <w:t>较全面较完善得2-3</w:t>
            </w:r>
            <w:r>
              <w:rPr>
                <w:rFonts w:hint="eastAsia" w:ascii="宋体" w:hAnsi="宋体" w:eastAsia="宋体" w:cs="宋体"/>
                <w:color w:val="auto"/>
                <w:sz w:val="24"/>
                <w:szCs w:val="24"/>
                <w:lang w:eastAsia="zh-CN"/>
              </w:rPr>
              <w:t>分，一般</w:t>
            </w:r>
            <w:r>
              <w:rPr>
                <w:rFonts w:hint="eastAsia" w:ascii="宋体" w:hAnsi="宋体" w:eastAsia="宋体" w:cs="宋体"/>
                <w:color w:val="auto"/>
                <w:sz w:val="24"/>
                <w:szCs w:val="24"/>
                <w:lang w:val="en-US" w:eastAsia="zh-CN"/>
              </w:rPr>
              <w:t>全面完善得1</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未提供不得分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24" w:type="dxa"/>
            <w:vMerge w:val="continue"/>
            <w:tcBorders>
              <w:left w:val="single" w:color="auto" w:sz="4" w:space="0"/>
              <w:right w:val="single" w:color="auto" w:sz="4" w:space="0"/>
            </w:tcBorders>
            <w:vAlign w:val="center"/>
          </w:tcPr>
          <w:p>
            <w:pPr>
              <w:pStyle w:val="11"/>
              <w:snapToGrid w:val="0"/>
              <w:spacing w:line="500" w:lineRule="exact"/>
              <w:ind w:left="228" w:firstLine="480" w:firstLineChars="200"/>
              <w:rPr>
                <w:rFonts w:hint="eastAsia" w:ascii="宋体" w:hAnsi="宋体" w:eastAsia="宋体" w:cs="宋体"/>
                <w:color w:val="auto"/>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特色服务及方案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专家根据餐厅服务标准，所提供的特色服务方案，方案的科学性及合理性方面酌情打分，满分2 。</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0-10分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提供针对本项目的特色服务方案，专家从方案的科学合理性、营养搭配的针对性等方面酌情打分，完全满足本项目要求得8-10分；基本满足项目要求4-7得分；满足项目要求一般得1-3分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未提供不得分。 (专家根据服务标准，所提供的特色服务方案，方案的科学性及合理性方面酌情打分）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24" w:type="dxa"/>
            <w:vMerge w:val="continue"/>
            <w:tcBorders>
              <w:left w:val="single" w:color="auto" w:sz="4" w:space="0"/>
              <w:right w:val="single" w:color="auto" w:sz="4" w:space="0"/>
            </w:tcBorders>
            <w:vAlign w:val="center"/>
          </w:tcPr>
          <w:p>
            <w:pPr>
              <w:pStyle w:val="11"/>
              <w:snapToGrid w:val="0"/>
              <w:spacing w:line="500" w:lineRule="exact"/>
              <w:ind w:left="228" w:firstLine="480" w:firstLineChars="200"/>
              <w:rPr>
                <w:rFonts w:hint="eastAsia" w:ascii="宋体" w:hAnsi="宋体" w:eastAsia="宋体" w:cs="宋体"/>
                <w:color w:val="auto"/>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8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其他证明材料（5分）</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其他有利于完成本项目的证明材料，对完成本项目有帮助且前文未提及的评分内容，酌情打分，0-5分。</w:t>
            </w:r>
          </w:p>
        </w:tc>
        <w:tc>
          <w:tcPr>
            <w:tcW w:w="835"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0-5分</w:t>
            </w:r>
          </w:p>
        </w:tc>
        <w:tc>
          <w:tcPr>
            <w:tcW w:w="6422"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adjustRightInd w:val="0"/>
              <w:snapToGrid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其他有利于完成本项目的证明材料，对完成本项目有帮助且前文未提及的评分内容，</w:t>
            </w:r>
            <w:r>
              <w:rPr>
                <w:rFonts w:hint="eastAsia" w:ascii="宋体" w:hAnsi="宋体" w:eastAsia="宋体" w:cs="宋体"/>
                <w:color w:val="auto"/>
                <w:sz w:val="24"/>
                <w:szCs w:val="24"/>
                <w:lang w:val="en-US" w:eastAsia="zh-CN"/>
              </w:rPr>
              <w:t>全面完善丰富得：4</w:t>
            </w:r>
            <w:r>
              <w:rPr>
                <w:rFonts w:hint="eastAsia" w:ascii="宋体" w:hAnsi="宋体" w:eastAsia="宋体" w:cs="宋体"/>
                <w:color w:val="auto"/>
                <w:sz w:val="24"/>
                <w:szCs w:val="24"/>
              </w:rPr>
              <w:t>-5分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基本全面完善得2-3分；全面完善性一般得1分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540" w:type="dxa"/>
            <w:gridSpan w:val="4"/>
            <w:tcBorders>
              <w:top w:val="single" w:color="auto" w:sz="4" w:space="0"/>
              <w:left w:val="single" w:color="auto" w:sz="4" w:space="0"/>
              <w:right w:val="single" w:color="auto" w:sz="4" w:space="0"/>
            </w:tcBorders>
            <w:vAlign w:val="center"/>
          </w:tcPr>
          <w:p>
            <w:pPr>
              <w:pStyle w:val="11"/>
              <w:snapToGrid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 计</w:t>
            </w:r>
          </w:p>
        </w:tc>
        <w:tc>
          <w:tcPr>
            <w:tcW w:w="6422" w:type="dxa"/>
            <w:tcBorders>
              <w:top w:val="single" w:color="auto" w:sz="4" w:space="0"/>
              <w:left w:val="single" w:color="auto" w:sz="4" w:space="0"/>
              <w:bottom w:val="single" w:color="auto" w:sz="4" w:space="0"/>
              <w:right w:val="single" w:color="auto" w:sz="4" w:space="0"/>
            </w:tcBorders>
            <w:vAlign w:val="center"/>
          </w:tcPr>
          <w:p>
            <w:pPr>
              <w:pStyle w:val="11"/>
              <w:snapToGrid w:val="0"/>
              <w:spacing w:line="500" w:lineRule="exact"/>
              <w:jc w:val="center"/>
              <w:rPr>
                <w:rFonts w:hint="default" w:ascii="宋体" w:hAnsi="宋体" w:eastAsia="宋体" w:cs="宋体"/>
                <w:color w:val="auto"/>
                <w:sz w:val="24"/>
                <w:szCs w:val="24"/>
                <w:lang w:val="en-US" w:eastAsia="zh-CN"/>
              </w:rPr>
            </w:pPr>
            <w:r>
              <w:rPr>
                <w:rFonts w:hint="eastAsia" w:eastAsia="宋体" w:cs="宋体"/>
                <w:color w:val="auto"/>
                <w:sz w:val="24"/>
                <w:szCs w:val="24"/>
                <w:lang w:val="en-US" w:eastAsia="zh-CN"/>
              </w:rPr>
              <w:t>90</w:t>
            </w:r>
            <w:r>
              <w:rPr>
                <w:rFonts w:hint="eastAsia" w:ascii="宋体" w:hAnsi="宋体" w:eastAsia="宋体" w:cs="宋体"/>
                <w:color w:val="auto"/>
                <w:sz w:val="24"/>
                <w:szCs w:val="24"/>
                <w:lang w:val="en-US" w:eastAsia="zh-CN"/>
              </w:rPr>
              <w:t>分</w:t>
            </w:r>
          </w:p>
        </w:tc>
      </w:tr>
    </w:tbl>
    <w:p>
      <w:pPr>
        <w:pStyle w:val="21"/>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rPr>
      </w:pPr>
      <w:r>
        <w:rPr>
          <w:rFonts w:hint="eastAsia" w:ascii="宋体" w:hAnsi="宋体" w:cs="宋体"/>
          <w:color w:val="auto"/>
          <w:lang w:val="en-US" w:eastAsia="zh-CN"/>
        </w:rPr>
        <w:t xml:space="preserve">7.3 </w:t>
      </w:r>
      <w:r>
        <w:rPr>
          <w:rFonts w:hint="eastAsia" w:ascii="宋体" w:hAnsi="宋体" w:eastAsia="宋体" w:cs="宋体"/>
          <w:color w:val="auto"/>
        </w:rPr>
        <w:t>评标程序</w:t>
      </w:r>
    </w:p>
    <w:p>
      <w:pPr>
        <w:kinsoku/>
        <w:overflowPunct/>
        <w:topLinePunct w:val="0"/>
        <w:bidi w:val="0"/>
        <w:adjustRightInd w:val="0"/>
        <w:snapToGrid w:val="0"/>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7.3.1</w:t>
      </w:r>
      <w:r>
        <w:rPr>
          <w:rFonts w:hint="eastAsia" w:ascii="宋体" w:hAnsi="宋体" w:eastAsia="宋体" w:cs="宋体"/>
          <w:color w:val="auto"/>
          <w:sz w:val="24"/>
          <w:szCs w:val="24"/>
        </w:rPr>
        <w:t>投标文件初审：投标人的资格检查。</w:t>
      </w:r>
    </w:p>
    <w:p>
      <w:pPr>
        <w:kinsoku/>
        <w:overflowPunct/>
        <w:topLinePunct w:val="0"/>
        <w:bidi w:val="0"/>
        <w:adjustRightInd w:val="0"/>
        <w:snapToGrid w:val="0"/>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7.3.2</w:t>
      </w:r>
      <w:r>
        <w:rPr>
          <w:rFonts w:hint="eastAsia" w:ascii="宋体" w:hAnsi="宋体" w:eastAsia="宋体" w:cs="宋体"/>
          <w:color w:val="auto"/>
          <w:sz w:val="24"/>
          <w:szCs w:val="24"/>
        </w:rPr>
        <w:t>澄清有关问题。对投标文件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投标文件的范围或者改变投标文件的实质性内容 。</w:t>
      </w:r>
    </w:p>
    <w:p>
      <w:pPr>
        <w:kinsoku/>
        <w:overflowPunct/>
        <w:topLinePunct w:val="0"/>
        <w:bidi w:val="0"/>
        <w:adjustRightInd w:val="0"/>
        <w:snapToGrid w:val="0"/>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7.3.3</w:t>
      </w:r>
      <w:r>
        <w:rPr>
          <w:rFonts w:hint="eastAsia" w:ascii="宋体" w:hAnsi="宋体" w:eastAsia="宋体" w:cs="宋体"/>
          <w:color w:val="auto"/>
          <w:sz w:val="24"/>
          <w:szCs w:val="24"/>
        </w:rPr>
        <w:t>比较与评价。按招标文件中规定的评标方法和标准，对资格性检查和符合性检查合格的投标文件进行商务和技术评估，综合比较与评价。</w:t>
      </w:r>
    </w:p>
    <w:p>
      <w:pPr>
        <w:kinsoku/>
        <w:overflowPunct/>
        <w:topLinePunct w:val="0"/>
        <w:bidi w:val="0"/>
        <w:adjustRightInd w:val="0"/>
        <w:snapToGrid w:val="0"/>
        <w:spacing w:line="400" w:lineRule="exact"/>
        <w:ind w:firstLine="560"/>
        <w:textAlignment w:val="auto"/>
        <w:rPr>
          <w:rFonts w:hint="eastAsia"/>
          <w:color w:val="auto"/>
          <w:lang w:val="en-US" w:eastAsia="zh-CN"/>
        </w:rPr>
      </w:pPr>
      <w:r>
        <w:rPr>
          <w:rFonts w:hint="eastAsia" w:ascii="宋体" w:hAnsi="宋体" w:eastAsia="宋体" w:cs="宋体"/>
          <w:color w:val="auto"/>
          <w:sz w:val="24"/>
          <w:szCs w:val="24"/>
          <w:lang w:val="en-US" w:eastAsia="zh-CN"/>
        </w:rPr>
        <w:t>7.3.4</w:t>
      </w:r>
      <w:r>
        <w:rPr>
          <w:rFonts w:hint="eastAsia" w:ascii="宋体" w:hAnsi="宋体" w:eastAsia="宋体" w:cs="宋体"/>
          <w:color w:val="auto"/>
          <w:sz w:val="24"/>
          <w:szCs w:val="24"/>
        </w:rPr>
        <w:t>推荐中标候选供应商名单。中标候选供应商数量应当根据采购需要确定，但必须按顺序排列中标候选供应商。</w:t>
      </w:r>
    </w:p>
    <w:bookmarkEnd w:id="33"/>
    <w:p>
      <w:pPr>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评标委员会</w:t>
      </w:r>
    </w:p>
    <w:p>
      <w:pPr>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7.4.1评标委员会由采购人代表和评审专家组成，成员人数应当为5人以上单数，其中评审专家不得少于成员总数的三分之二。</w:t>
      </w:r>
    </w:p>
    <w:p>
      <w:pPr>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7.4.2</w:t>
      </w:r>
      <w:r>
        <w:rPr>
          <w:rFonts w:hint="eastAsia" w:ascii="宋体" w:hAnsi="宋体" w:eastAsia="宋体" w:cs="宋体"/>
          <w:color w:val="auto"/>
          <w:sz w:val="24"/>
          <w:szCs w:val="24"/>
        </w:rPr>
        <w:t>招标采购单位就招标文件征询过意见的专家，不得再作为评标专家参加评标。采购人不得以专家身份参与本部门或者本单位采购项目的评标。采购代理机构工作人员不得参加由本机构代理的政府采购项目的评标。</w:t>
      </w:r>
    </w:p>
    <w:p>
      <w:pPr>
        <w:pStyle w:val="21"/>
        <w:kinsoku/>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lang w:eastAsia="zh-CN"/>
        </w:rPr>
      </w:pPr>
      <w:r>
        <w:rPr>
          <w:rFonts w:hint="eastAsia" w:ascii="宋体" w:hAnsi="宋体" w:cs="宋体"/>
          <w:color w:val="auto"/>
          <w:lang w:val="en-US" w:eastAsia="zh-CN"/>
        </w:rPr>
        <w:t>7.4.3</w:t>
      </w:r>
      <w:r>
        <w:rPr>
          <w:rFonts w:hint="eastAsia" w:ascii="宋体" w:hAnsi="宋体" w:eastAsia="宋体" w:cs="宋体"/>
          <w:color w:val="auto"/>
        </w:rPr>
        <w:t>评标人员应认真执行《中华人民共和国政府采购法》及相关法规规定，同时维护采购人和投标供应商的合法权益</w:t>
      </w:r>
      <w:r>
        <w:rPr>
          <w:rFonts w:hint="eastAsia" w:ascii="宋体" w:hAnsi="宋体" w:cs="宋体"/>
          <w:color w:val="auto"/>
          <w:lang w:eastAsia="zh-CN"/>
        </w:rPr>
        <w:t>。</w:t>
      </w:r>
    </w:p>
    <w:p>
      <w:pPr>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7.4.4</w:t>
      </w:r>
      <w:r>
        <w:rPr>
          <w:rFonts w:hint="eastAsia" w:ascii="宋体" w:hAnsi="宋体" w:eastAsia="宋体" w:cs="宋体"/>
          <w:color w:val="auto"/>
          <w:sz w:val="24"/>
          <w:szCs w:val="24"/>
        </w:rPr>
        <w:t>评标的依据为招标文件和投标文件</w:t>
      </w:r>
    </w:p>
    <w:p>
      <w:pPr>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7.4.5</w:t>
      </w:r>
      <w:r>
        <w:rPr>
          <w:rFonts w:hint="eastAsia" w:ascii="宋体" w:hAnsi="宋体" w:eastAsia="宋体" w:cs="宋体"/>
          <w:color w:val="auto"/>
          <w:sz w:val="24"/>
          <w:szCs w:val="24"/>
        </w:rPr>
        <w:t>评标中各评委若发生意见分歧，通过书面表决形式，以少数服从多数为原则决定。</w:t>
      </w:r>
    </w:p>
    <w:p>
      <w:pPr>
        <w:pStyle w:val="21"/>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rPr>
      </w:pPr>
      <w:r>
        <w:rPr>
          <w:rFonts w:hint="eastAsia" w:ascii="宋体" w:hAnsi="宋体" w:cs="宋体"/>
          <w:color w:val="auto"/>
          <w:lang w:val="en-US" w:eastAsia="zh-CN"/>
        </w:rPr>
        <w:t xml:space="preserve">7.5 </w:t>
      </w:r>
      <w:r>
        <w:rPr>
          <w:rFonts w:hint="eastAsia" w:ascii="宋体" w:hAnsi="宋体" w:eastAsia="宋体" w:cs="宋体"/>
          <w:color w:val="auto"/>
        </w:rPr>
        <w:t>评标纪律</w:t>
      </w:r>
    </w:p>
    <w:p>
      <w:pPr>
        <w:pStyle w:val="21"/>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rPr>
      </w:pPr>
      <w:r>
        <w:rPr>
          <w:rFonts w:hint="eastAsia" w:ascii="宋体" w:hAnsi="宋体" w:eastAsia="宋体" w:cs="宋体"/>
          <w:color w:val="auto"/>
        </w:rPr>
        <w:t>（一）不徇私情，不得明招暗定，杜绝不正之风。</w:t>
      </w:r>
    </w:p>
    <w:p>
      <w:pPr>
        <w:pStyle w:val="21"/>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rPr>
      </w:pPr>
      <w:r>
        <w:rPr>
          <w:rFonts w:hint="eastAsia" w:ascii="宋体" w:hAnsi="宋体" w:eastAsia="宋体" w:cs="宋体"/>
          <w:color w:val="auto"/>
        </w:rPr>
        <w:t>（二）评标人员不得私自泄露评标内容。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（三）评标过程应严格遵守保密制度。开标后,直到授予投标供应商合同止，凡是属于审查、澄清、评价和比较的有关资料以及授标建议等均不得向投标供应商或其他无关的人员透露。</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7.6</w:t>
      </w:r>
      <w:r>
        <w:rPr>
          <w:rFonts w:hint="eastAsia" w:ascii="宋体" w:hAnsi="宋体" w:eastAsia="宋体" w:cs="宋体"/>
          <w:color w:val="auto"/>
          <w:sz w:val="24"/>
          <w:szCs w:val="24"/>
        </w:rPr>
        <w:t>评标委员会成员应当履行的义务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（一）遵纪守法，客观、公正、廉洁地履行职责；</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（二）按照招标文件规定的评标方法和评标标准进行评标，对评审意见承担个人责任；</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（三）对评标过程和结果，以及供应商的商业秘密保密；</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（四）参与评标报告的起草；</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（五）配合财政部门的投诉处理工作；</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（六）配合招标采购单位答复投标供应商提出的质疑。</w:t>
      </w:r>
    </w:p>
    <w:p>
      <w:pPr>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7.7</w:t>
      </w:r>
      <w:r>
        <w:rPr>
          <w:rFonts w:hint="eastAsia" w:ascii="宋体" w:hAnsi="宋体" w:eastAsia="宋体" w:cs="宋体"/>
          <w:color w:val="auto"/>
          <w:sz w:val="24"/>
          <w:szCs w:val="24"/>
        </w:rPr>
        <w:t>评标原则</w:t>
      </w:r>
    </w:p>
    <w:p>
      <w:pPr>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7.7.1</w:t>
      </w:r>
      <w:r>
        <w:rPr>
          <w:rFonts w:hint="eastAsia" w:ascii="宋体" w:hAnsi="宋体" w:eastAsia="宋体" w:cs="宋体"/>
          <w:color w:val="auto"/>
          <w:sz w:val="24"/>
          <w:szCs w:val="24"/>
        </w:rPr>
        <w:t>评标活动遵循公平、公正、科学和择优的原则。</w:t>
      </w:r>
    </w:p>
    <w:p>
      <w:pPr>
        <w:pStyle w:val="21"/>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rPr>
      </w:pPr>
      <w:r>
        <w:rPr>
          <w:rFonts w:hint="eastAsia" w:ascii="宋体" w:hAnsi="宋体" w:cs="宋体"/>
          <w:color w:val="auto"/>
          <w:lang w:val="en-US" w:eastAsia="zh-CN"/>
        </w:rPr>
        <w:t xml:space="preserve">7.8 </w:t>
      </w:r>
      <w:r>
        <w:rPr>
          <w:rFonts w:hint="eastAsia" w:ascii="宋体" w:hAnsi="宋体" w:eastAsia="宋体" w:cs="宋体"/>
          <w:color w:val="auto"/>
        </w:rPr>
        <w:t>评标方法</w:t>
      </w:r>
    </w:p>
    <w:p>
      <w:pPr>
        <w:pStyle w:val="24"/>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cs="宋体"/>
          <w:color w:val="auto"/>
          <w:sz w:val="24"/>
          <w:lang w:val="en-US" w:eastAsia="zh-CN"/>
        </w:rPr>
        <w:t>7.8.1</w:t>
      </w:r>
      <w:r>
        <w:rPr>
          <w:rFonts w:hint="eastAsia" w:ascii="宋体" w:hAnsi="宋体" w:eastAsia="宋体" w:cs="宋体"/>
          <w:color w:val="auto"/>
          <w:sz w:val="24"/>
        </w:rPr>
        <w:t>开标后评标委员会将审查投标文件是否完整、要求的保证金是否已提供、文件是否恰当签署、是否有计算错误,若投标供应商拒绝接受修正，其投标将可能被拒绝。</w:t>
      </w:r>
    </w:p>
    <w:p>
      <w:pPr>
        <w:pStyle w:val="24"/>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cs="宋体"/>
          <w:color w:val="auto"/>
          <w:sz w:val="24"/>
          <w:lang w:val="en-US" w:eastAsia="zh-CN"/>
        </w:rPr>
        <w:t xml:space="preserve">7.8.2 </w:t>
      </w:r>
      <w:r>
        <w:rPr>
          <w:rFonts w:hint="eastAsia" w:ascii="宋体" w:hAnsi="宋体" w:eastAsia="宋体" w:cs="宋体"/>
          <w:color w:val="auto"/>
          <w:spacing w:val="-2"/>
          <w:sz w:val="24"/>
        </w:rPr>
        <w:t>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买方的权力和投标供应商的义务。而纠正或承认这些偏离将会对该投标供应商和其它投标供应商合理的竞争地位产生不公正的影响</w:t>
      </w:r>
      <w:r>
        <w:rPr>
          <w:rFonts w:hint="eastAsia" w:ascii="宋体" w:hAnsi="宋体" w:eastAsia="宋体" w:cs="宋体"/>
          <w:color w:val="auto"/>
          <w:sz w:val="24"/>
        </w:rPr>
        <w:t>。</w:t>
      </w:r>
    </w:p>
    <w:p>
      <w:pPr>
        <w:pStyle w:val="24"/>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cs="宋体"/>
          <w:color w:val="auto"/>
          <w:sz w:val="24"/>
          <w:lang w:val="en-US" w:eastAsia="zh-CN"/>
        </w:rPr>
        <w:t>7.8.3</w:t>
      </w:r>
      <w:r>
        <w:rPr>
          <w:rFonts w:hint="eastAsia" w:ascii="宋体" w:hAnsi="宋体" w:eastAsia="宋体" w:cs="宋体"/>
          <w:color w:val="auto"/>
          <w:sz w:val="24"/>
        </w:rPr>
        <w:t>评标委员会判断投标文件的响应性仅基于投标文件本身而不寻求外部证据。</w:t>
      </w:r>
    </w:p>
    <w:p>
      <w:pPr>
        <w:pStyle w:val="24"/>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cs="宋体"/>
          <w:color w:val="auto"/>
          <w:sz w:val="24"/>
          <w:lang w:val="en-US" w:eastAsia="zh-CN"/>
        </w:rPr>
        <w:t>7.8.4</w:t>
      </w:r>
      <w:r>
        <w:rPr>
          <w:rFonts w:hint="eastAsia" w:ascii="宋体" w:hAnsi="宋体" w:eastAsia="宋体" w:cs="宋体"/>
          <w:color w:val="auto"/>
          <w:sz w:val="24"/>
        </w:rPr>
        <w:t>对已被评标委员会确定为非响应性的投标，投标供应商不能通过修正或撤销不符之处而使其投标成为响应性投标。</w:t>
      </w:r>
    </w:p>
    <w:p>
      <w:pPr>
        <w:pStyle w:val="21"/>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rPr>
      </w:pPr>
      <w:r>
        <w:rPr>
          <w:rFonts w:hint="eastAsia" w:ascii="宋体" w:hAnsi="宋体" w:cs="宋体"/>
          <w:color w:val="auto"/>
          <w:lang w:val="en-US" w:eastAsia="zh-CN"/>
        </w:rPr>
        <w:t>7.8.5</w:t>
      </w:r>
      <w:r>
        <w:rPr>
          <w:rFonts w:hint="eastAsia" w:ascii="宋体" w:hAnsi="宋体" w:eastAsia="宋体" w:cs="宋体"/>
          <w:color w:val="auto"/>
        </w:rPr>
        <w:t>评标委员会允许投标中有微小的不正规、不一致或不规则，而该微小之处不构成重大偏离。</w:t>
      </w:r>
    </w:p>
    <w:p>
      <w:pPr>
        <w:pStyle w:val="21"/>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rPr>
      </w:pPr>
      <w:r>
        <w:rPr>
          <w:rFonts w:hint="eastAsia" w:ascii="宋体" w:hAnsi="宋体" w:cs="宋体"/>
          <w:color w:val="auto"/>
          <w:lang w:val="en-US" w:eastAsia="zh-CN"/>
        </w:rPr>
        <w:t>7.8.6评标委员会对各投标人的投标报价进行评审，对超出项目报价价的投标人废标。</w:t>
      </w:r>
    </w:p>
    <w:p>
      <w:pPr>
        <w:pStyle w:val="3"/>
        <w:keepNext/>
        <w:keepLines/>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36"/>
          <w:szCs w:val="36"/>
        </w:rPr>
      </w:pPr>
      <w:bookmarkStart w:id="37" w:name="_Toc19351"/>
      <w:bookmarkStart w:id="38" w:name="_Toc9740"/>
      <w:r>
        <w:rPr>
          <w:rFonts w:hint="eastAsia"/>
          <w:color w:val="auto"/>
          <w:sz w:val="36"/>
          <w:szCs w:val="36"/>
          <w:lang w:val="en-US" w:eastAsia="zh-CN"/>
        </w:rPr>
        <w:t xml:space="preserve">第八章 </w:t>
      </w:r>
      <w:r>
        <w:rPr>
          <w:rFonts w:hint="eastAsia"/>
          <w:color w:val="auto"/>
          <w:sz w:val="36"/>
          <w:szCs w:val="36"/>
        </w:rPr>
        <w:t>授予合同</w:t>
      </w:r>
      <w:bookmarkEnd w:id="37"/>
      <w:bookmarkEnd w:id="38"/>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bookmarkStart w:id="39" w:name="_Toc406672407"/>
      <w:bookmarkStart w:id="40" w:name="_Toc406670745"/>
      <w:bookmarkStart w:id="41" w:name="_Toc406671116"/>
      <w:bookmarkStart w:id="42" w:name="_Toc424213035"/>
      <w:bookmarkStart w:id="43" w:name="_Toc406671704"/>
      <w:r>
        <w:rPr>
          <w:rFonts w:hint="eastAsia" w:ascii="宋体" w:hAnsi="宋体" w:eastAsia="宋体" w:cs="宋体"/>
          <w:color w:val="auto"/>
          <w:sz w:val="24"/>
          <w:szCs w:val="24"/>
          <w:lang w:val="en-US" w:eastAsia="zh-CN"/>
        </w:rPr>
        <w:t>9.1</w:t>
      </w:r>
      <w:r>
        <w:rPr>
          <w:rFonts w:hint="eastAsia" w:ascii="宋体" w:hAnsi="宋体" w:eastAsia="宋体" w:cs="宋体"/>
          <w:color w:val="auto"/>
          <w:sz w:val="24"/>
          <w:szCs w:val="24"/>
        </w:rPr>
        <w:t xml:space="preserve"> 主要条款</w:t>
      </w:r>
      <w:bookmarkEnd w:id="39"/>
      <w:bookmarkEnd w:id="40"/>
      <w:bookmarkEnd w:id="41"/>
      <w:bookmarkEnd w:id="42"/>
      <w:bookmarkEnd w:id="43"/>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1.合同：系指买卖双方签署的、合同格式中载明的买卖双方所达成的协议，包括所有的附件、附录和构成合同的其它文件。</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2.合同价：系指根据合同规定，在卖方完全履行合同义务后，买方应付给卖方的款项。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3.产品：系指卖方根据合同规定须向买方提供的一切采购、材料、设备、机械、仪表、备件、工具、手册和其它技术资料及其它材料。</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4.服务：系指根据合同规定卖方承担与供货有关的服务，如运输、保险、安装、调试、性能考核、提供操作，维修及其他技术指导、培训等和合同中规定的卖方应承担的其他义务。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5.买方：系指购买产品和服务的法人。</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6.卖方：系指投标文件被买方接受，而且根据合同规定向买方提供产品和服务的具有法人资格的公司或其他实体。</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9.技术规格：卖方提供产品的技术规格应与采购文件规定的技术规格和技术规格附件（如果有的话）、投标文件的技术规格偏差表（如果被买方接受的话）、投标文件的“供货范围和技术说明”相一致。</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10.标准</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10.1本合同下交付的产品应符合技术规格所述的标准。如果没有提及适用标准，则应符合中国国家标准，这些标准必须是最新版本的标准。</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10.2除技术规范中另有规定外，计量单位均使用国家法定的计量单位。</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11.使用合同文件和资料：</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11.2除了合同本身外，11.1条款所列举的任何文件是买方的财产。如果买方有要求，卖方应在完成合同后将这些文件及全部复制件归还给买方。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bookmarkStart w:id="44" w:name="_Toc406671706"/>
      <w:bookmarkStart w:id="45" w:name="_Toc406670747"/>
      <w:bookmarkStart w:id="46" w:name="_Toc406671118"/>
      <w:r>
        <w:rPr>
          <w:rFonts w:hint="eastAsia" w:ascii="宋体" w:hAnsi="宋体" w:eastAsia="宋体" w:cs="宋体"/>
          <w:color w:val="auto"/>
          <w:sz w:val="24"/>
          <w:szCs w:val="24"/>
        </w:rPr>
        <w:t>16.质量保证</w:t>
      </w:r>
      <w:bookmarkEnd w:id="44"/>
      <w:bookmarkEnd w:id="45"/>
      <w:bookmarkEnd w:id="46"/>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16.3在合同产品的质量保证期内，卖方应在合同文件中规定的收到通知后应做出响应的期限内，免费维修或更换有缺陷的产品或部件。</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如果卖方在上述规定的收到通知后应做出响应的期限内没有弥补缺陷，买方可采取必要的补救措施，但风险和费用将由卖方承担。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bookmarkStart w:id="47" w:name="_Toc406671707"/>
      <w:bookmarkStart w:id="48" w:name="_Toc406670748"/>
      <w:bookmarkStart w:id="49" w:name="_Toc406671119"/>
      <w:r>
        <w:rPr>
          <w:rFonts w:hint="eastAsia" w:ascii="宋体" w:hAnsi="宋体" w:eastAsia="宋体" w:cs="宋体"/>
          <w:color w:val="auto"/>
          <w:sz w:val="24"/>
          <w:szCs w:val="24"/>
        </w:rPr>
        <w:t>17.检验和考核验收</w:t>
      </w:r>
      <w:bookmarkEnd w:id="47"/>
      <w:bookmarkEnd w:id="48"/>
      <w:bookmarkEnd w:id="49"/>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产品运抵现场后，由卖方的代表进行检查，买方有权监督卖方代表的检查，所有产品的质量、规格、数量与合同的不符，包括运输中的损坏、丢失均由卖方负责。</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17.3如果产品的质量和规格与合同不符，或在合同规定的质量保证期内证实产品是有缺陷的，包括潜在的缺陷或使用不符合要求的材料，买方有权向卖方提出索赔。</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17.4买方有权提出在产品制造过程中派人到制造厂进行监造，卖方有义务为买方监造人员提供方便，当买方需要对产品出厂前的试验进行监察时，制造厂应该事先作出安排。</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17.6如果在合同文件规定允许的最后一次性能考核中仍有指标没有达到合同附件的要求，买方有权按第17条的规定向卖方提出索赔。</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18.伴随服务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18.1卖方可能被要求提供下列服务中的任一或所有服务，包括合同规定的附加服务(如果有的话)：</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实施或监督所供产品的现场组装和/或试运行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提供产品组装和/或维修所需的工具。</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为所供的每一适当的单台设备提供详细的操作和维护手册。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在双方商定的一定期限内对所提供产品实施运行或监督或维护或修理，但前提条件是该服务并不能免除卖方在合同保证期内所承担的义务。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在卖方厂家和/或在项目现场就所供产品的组装、试运行、运行、维护和/或修理对买方人员进行培训。</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18.2卖方应提供合同文件规定的所有服务。为履行要求的伴随服务的报价或商定的费用应包括在合同总价中。</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19.备件</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19.1卖方应承担下列与提供备件有关的责任：</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买方从卖方选购备件，但前提条件是该选择并不能免除卖方在合同保证期内所承担的质量责任和服务义务。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在备件停止生产的情况下，卖方应事先将要停止生产的计划通知买方。使买方有足够的时间采购所需的备件。</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在备件停止生产后，如果买方要求，卖方应免费向买方提供备件的蓝图，图纸和规格。</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20.索赔</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20.1除了责任应由保险公司或运输部门承担的之外，买方有权根据按检验标准自行检验的结果和当地质检部门出具的质检证书向卖方提出索赔。</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卖方同意退货，并按合同规定的同种货币将货款退还给买方，并承担由此发生的一切损失和费用，包括利息、银行手续费、运费、保险费、检验费、仓储费、装卸费以及为保护退回产品所需的其它必要费用。</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（2）根据产品低劣程度、损坏程度以及买方所遭受损失的数额，经买卖双方商定降低产品的价格。</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（4）属于卖方责任应免费修理合同产品缺陷或消除不符合合同之处的情况，如果卖方不能派遣人员到现场，买方有权自行消除缺陷或不符合合同之处，由此产生的一切费用均由卖方负担。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（5）赔偿由卖方违约引起的其他损失。</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20.4当属于17.2条情况的索赔发生时，如果索赔通知是在保证期满后30日内提出的，应被认为是有效的。</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21.延期交货</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21.1卖方应按照“招标产品清单”中买方规定的时间表交货和提供服务。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21.3如果卖方无正当理由地拖延交货，将被扣没履约保证金并加以违约损失索赔和/或终止合同。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bookmarkStart w:id="50" w:name="_Toc406671120"/>
      <w:bookmarkStart w:id="51" w:name="_Toc406670749"/>
      <w:bookmarkStart w:id="52" w:name="_Toc406671708"/>
      <w:r>
        <w:rPr>
          <w:rFonts w:hint="eastAsia" w:ascii="宋体" w:hAnsi="宋体" w:eastAsia="宋体" w:cs="宋体"/>
          <w:color w:val="auto"/>
          <w:sz w:val="24"/>
          <w:szCs w:val="24"/>
        </w:rPr>
        <w:t>22.误期赔偿</w:t>
      </w:r>
      <w:bookmarkEnd w:id="50"/>
      <w:bookmarkEnd w:id="51"/>
      <w:bookmarkEnd w:id="52"/>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bookmarkStart w:id="53" w:name="_Toc406670750"/>
      <w:bookmarkStart w:id="54" w:name="_Toc406671709"/>
      <w:bookmarkStart w:id="55" w:name="_Toc406671121"/>
      <w:r>
        <w:rPr>
          <w:rFonts w:hint="eastAsia" w:ascii="宋体" w:hAnsi="宋体" w:eastAsia="宋体" w:cs="宋体"/>
          <w:color w:val="auto"/>
          <w:sz w:val="24"/>
          <w:szCs w:val="24"/>
        </w:rPr>
        <w:t>23.不可抗力</w:t>
      </w:r>
      <w:bookmarkEnd w:id="53"/>
      <w:bookmarkEnd w:id="54"/>
      <w:bookmarkEnd w:id="55"/>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24.税费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24.1根据国家现行税法对买方征收的与合同有关的一切税费均由买方负担。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24.2根据国家现行税法对卖方征收的与合同有关的一切税费均由卖方负担。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24.3在中国境外发生的与合同执行有关的一切税费均由卖方负担。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24.4在中国境外生产的产品的进口关税均由卖方负责。</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25.履约保证金</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25.1卖方在收到的中标通知书的发出日起三十天内，通过一家银行，向买方提供相当于合同总价10%的履约保证金保函。履约保证金保函的有效期到产品完成安装调试，用户在交接验收文件上签字时止。</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25.2卖方提供的履约保证金保函应按采购文件所附的格式提供，与此有关的费用由卖方负担。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25.3如卖方未能履行合同规定的任何义务，买方有权从履约保证金中得到补偿。</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26.违约终止合同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bookmarkStart w:id="56" w:name="_Toc406670751"/>
      <w:bookmarkStart w:id="57" w:name="_Toc406671710"/>
      <w:bookmarkStart w:id="58" w:name="_Toc406671122"/>
      <w:r>
        <w:rPr>
          <w:rFonts w:hint="eastAsia" w:ascii="宋体" w:hAnsi="宋体" w:eastAsia="宋体" w:cs="宋体"/>
          <w:color w:val="auto"/>
          <w:sz w:val="24"/>
          <w:szCs w:val="24"/>
        </w:rPr>
        <w:t>27.其他情况终止合同</w:t>
      </w:r>
      <w:bookmarkEnd w:id="56"/>
      <w:bookmarkEnd w:id="57"/>
      <w:bookmarkEnd w:id="58"/>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27.1如果卖方破产或发生资不抵债的情况，买方可在任何时候以书面通知终止合同，而不给对方补偿。该终止合同将不损害或影响买方已经采取或将要采取的补救措施的权利。</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27.2如果买方认定卖方在竞标、采购和合同执行等过程中有腐败或欺诈行为，买方有权在任何时候发出书面通知终止合同。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28.转让和分包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28.1未经买方事先书面同意， 卖方不得部分转让或全部转让其应履行的合同义务。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28.2对投标中明确分包的合同，卖方应将合同的全部分包合同书面通知买方，但此分包通知书不能解除卖方履行合同的责任和义务。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28.3分包必须符合合同条款第11条的规定。</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29.合同的协商变更与修改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29.1买方可以以书面方式向卖方发出变更要求，协商在本合同的一般范围内变更下述一项或几项：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(1)当本合同项下提供的产品是专为买方制造时，在相关部分尚未投入生产前变更图纸、设计或规格；</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(2)在合同项下的产品托运之前，变更运输、包装的方法、交货地点；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(3)卖方提供的服务。</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29.2除了上述的情况外，不应对合同进行任何变更或修改，除非双方同意并签订书面的合同修改书。</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合同修改书应由双方授权代表签字，具有合同的法律效力。</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30.争端的解决</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30.1合同实施或与合同有关的一切争端应依据《中华人民共和国合同法》并通过双方协商解决。如果协商开始后六十天还不能解决，争端应提交仲裁或诉讼，仲裁和诉讼应在买方所在地进行。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30.2仲裁或诉讼裁决应为最终裁决，对双方均有约束力。除另有裁决外，仲裁或诉讼费均应由败诉方负担。</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30.3在仲裁或诉讼期间，除正在进行仲裁或诉讼的部分外，合同其他部分应继续执行。</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31.通知</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31.1本合同任何一方给另一方的通知，都应以书面或传真的形式发送，而另一方应以书面或传真形式确认，回复对方。</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31.2通知以送到日期或通知书的生效日起为生效日期，两者中以较晚的一个日期为准。</w:t>
      </w:r>
    </w:p>
    <w:p>
      <w:pPr>
        <w:kinsoku/>
        <w:overflowPunct/>
        <w:topLinePunct w:val="0"/>
        <w:bidi w:val="0"/>
        <w:adjustRightInd w:val="0"/>
        <w:snapToGrid w:val="0"/>
        <w:spacing w:line="400" w:lineRule="exact"/>
        <w:ind w:firstLine="5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
        <w:keepNext/>
        <w:keepLines/>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bookmarkStart w:id="59" w:name="_Toc18277"/>
      <w:r>
        <w:rPr>
          <w:rFonts w:hint="eastAsia"/>
          <w:color w:val="auto"/>
          <w:sz w:val="36"/>
          <w:szCs w:val="36"/>
          <w:lang w:val="en-US" w:eastAsia="zh-CN"/>
        </w:rPr>
        <w:t>第九章 投标文件格式</w:t>
      </w:r>
      <w:bookmarkEnd w:id="59"/>
    </w:p>
    <w:p>
      <w:pPr>
        <w:pStyle w:val="25"/>
        <w:pageBreakBefore w:val="0"/>
        <w:kinsoku/>
        <w:wordWrap/>
        <w:overflowPunct/>
        <w:topLinePunct w:val="0"/>
        <w:autoSpaceDE/>
        <w:autoSpaceDN/>
        <w:bidi w:val="0"/>
        <w:adjustRightInd w:val="0"/>
        <w:snapToGrid w:val="0"/>
        <w:spacing w:line="400" w:lineRule="exact"/>
        <w:jc w:val="center"/>
        <w:textAlignment w:val="auto"/>
        <w:rPr>
          <w:rFonts w:hAnsi="宋体"/>
          <w:b/>
          <w:color w:val="auto"/>
          <w:sz w:val="28"/>
          <w:szCs w:val="28"/>
        </w:rPr>
      </w:pPr>
      <w:r>
        <w:rPr>
          <w:rFonts w:hint="eastAsia" w:hAnsi="宋体"/>
          <w:b/>
          <w:color w:val="auto"/>
          <w:sz w:val="28"/>
          <w:szCs w:val="28"/>
        </w:rPr>
        <w:t>投标承诺函</w:t>
      </w:r>
    </w:p>
    <w:p>
      <w:pPr>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新疆融盛源工程项目管理有限公司</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我方确认收到贵方提供的“</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(项目编号：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)的招标文件，已完全理解招标文件的所有内容。决定投标本项目，据此我方承诺如下：</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我方的投标文件在投标截止日后90天（日历天）内保持有效，如中标，有效期将延至本项目《 政府采购合同》执行期满日为止。</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我方声明投标文件及所提供的一切资料均真实无误及有效。由于我方提供资料不实而造成的责任和后果由我方承担。我方同意按照贵方可能提出的要求，提供与投标有关的任何其它数据或信息。</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我方理解贵方不一定接受最低报价的投标。</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我方同意如在本项目开标后、投标有效期之内撤销投标文件，或中标后未在规定期限内签订合同并送贵方备案的，贵方将不退还投标保证金（如有）。</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我方接受按采购人委托向贵方支付招标代理服务费，如果中标，保证履行投标文件中承诺的全部责任和义务，切实履行《 政府采购合同》中的全部条款，投标总报价已包含招标代理服务费（（招标代理服务费）按照招标文件第一章投标人须知中所列收费标准计算），并承诺向贵单位足额支付。</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所有与本项目有关的函件请发往下列地址：</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地址（邮编）</w:t>
            </w:r>
          </w:p>
        </w:tc>
        <w:tc>
          <w:tcPr>
            <w:tcW w:w="5220" w:type="dxa"/>
            <w:gridSpan w:val="2"/>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p>
        </w:tc>
        <w:tc>
          <w:tcPr>
            <w:tcW w:w="900" w:type="dxa"/>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传真</w:t>
            </w:r>
          </w:p>
        </w:tc>
        <w:tc>
          <w:tcPr>
            <w:tcW w:w="1280" w:type="dxa"/>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电话、手机</w:t>
            </w:r>
          </w:p>
        </w:tc>
        <w:tc>
          <w:tcPr>
            <w:tcW w:w="3420" w:type="dxa"/>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p>
        </w:tc>
        <w:tc>
          <w:tcPr>
            <w:tcW w:w="1800" w:type="dxa"/>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联系人（职务）</w:t>
            </w:r>
          </w:p>
        </w:tc>
        <w:tc>
          <w:tcPr>
            <w:tcW w:w="2180" w:type="dxa"/>
            <w:gridSpan w:val="2"/>
          </w:tcPr>
          <w:p>
            <w:pPr>
              <w:pStyle w:val="26"/>
              <w:pageBreakBefore w:val="0"/>
              <w:tabs>
                <w:tab w:val="left" w:pos="0"/>
              </w:tabs>
              <w:kinsoku/>
              <w:wordWrap/>
              <w:overflowPunct/>
              <w:topLinePunct w:val="0"/>
              <w:autoSpaceDE/>
              <w:autoSpaceDN/>
              <w:bidi w:val="0"/>
              <w:adjustRightInd w:val="0"/>
              <w:snapToGrid w:val="0"/>
              <w:spacing w:line="400" w:lineRule="exact"/>
              <w:ind w:right="25" w:rightChars="12"/>
              <w:textAlignment w:val="auto"/>
              <w:rPr>
                <w:rFonts w:asciiTheme="minorEastAsia" w:hAnsiTheme="minorEastAsia" w:eastAsiaTheme="minorEastAsia"/>
                <w:color w:val="auto"/>
                <w:sz w:val="24"/>
                <w:szCs w:val="24"/>
              </w:rPr>
            </w:pPr>
          </w:p>
        </w:tc>
      </w:tr>
    </w:tbl>
    <w:p>
      <w:pPr>
        <w:pStyle w:val="26"/>
        <w:pageBreakBefore w:val="0"/>
        <w:kinsoku/>
        <w:wordWrap/>
        <w:overflowPunct/>
        <w:topLinePunct w:val="0"/>
        <w:autoSpaceDE/>
        <w:autoSpaceDN/>
        <w:bidi w:val="0"/>
        <w:adjustRightInd w:val="0"/>
        <w:snapToGrid w:val="0"/>
        <w:spacing w:line="400" w:lineRule="exact"/>
        <w:ind w:right="84" w:rightChars="40" w:firstLine="4080" w:firstLineChars="17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法定代表人或被授权人（签字或盖章）：</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p>
    <w:p>
      <w:pPr>
        <w:pStyle w:val="26"/>
        <w:pageBreakBefore w:val="0"/>
        <w:kinsoku/>
        <w:wordWrap/>
        <w:overflowPunct/>
        <w:topLinePunct w:val="0"/>
        <w:autoSpaceDE/>
        <w:autoSpaceDN/>
        <w:bidi w:val="0"/>
        <w:adjustRightInd w:val="0"/>
        <w:snapToGrid w:val="0"/>
        <w:spacing w:line="400" w:lineRule="exact"/>
        <w:ind w:right="84" w:rightChars="40" w:firstLine="4080" w:firstLineChars="1700"/>
        <w:textAlignment w:val="auto"/>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单位名称（盖章）：</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p>
    <w:p>
      <w:pPr>
        <w:pStyle w:val="26"/>
        <w:pageBreakBefore w:val="0"/>
        <w:kinsoku/>
        <w:wordWrap/>
        <w:overflowPunct/>
        <w:topLinePunct w:val="0"/>
        <w:autoSpaceDE/>
        <w:autoSpaceDN/>
        <w:bidi w:val="0"/>
        <w:adjustRightInd w:val="0"/>
        <w:snapToGrid w:val="0"/>
        <w:spacing w:line="400" w:lineRule="exact"/>
        <w:ind w:right="84" w:rightChars="40" w:firstLine="4080" w:firstLineChars="1700"/>
        <w:jc w:val="right"/>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日期：</w:t>
      </w:r>
      <w:r>
        <w:rPr>
          <w:rFonts w:hint="eastAsia" w:cs="Arial" w:asciiTheme="minorEastAsia" w:hAnsiTheme="minorEastAsia" w:eastAsiaTheme="minorEastAsia"/>
          <w:color w:val="auto"/>
          <w:sz w:val="24"/>
          <w:szCs w:val="24"/>
        </w:rPr>
        <w:t>年   月   日</w:t>
      </w:r>
    </w:p>
    <w:p>
      <w:pPr>
        <w:pStyle w:val="26"/>
        <w:kinsoku/>
        <w:overflowPunct/>
        <w:topLinePunct w:val="0"/>
        <w:bidi w:val="0"/>
        <w:adjustRightInd w:val="0"/>
        <w:snapToGrid w:val="0"/>
        <w:spacing w:line="400" w:lineRule="exact"/>
        <w:textAlignment w:val="auto"/>
        <w:rPr>
          <w:rFonts w:hint="eastAsia" w:cs="Arial" w:asciiTheme="minorEastAsia" w:hAnsiTheme="minorEastAsia" w:eastAsiaTheme="minorEastAsia"/>
          <w:bCs/>
          <w:color w:val="auto"/>
          <w:sz w:val="24"/>
          <w:szCs w:val="24"/>
        </w:rPr>
      </w:pPr>
      <w:bookmarkStart w:id="60" w:name="_Toc37581429"/>
    </w:p>
    <w:p>
      <w:pPr>
        <w:pStyle w:val="26"/>
        <w:kinsoku/>
        <w:overflowPunct/>
        <w:topLinePunct w:val="0"/>
        <w:bidi w:val="0"/>
        <w:adjustRightInd w:val="0"/>
        <w:snapToGrid w:val="0"/>
        <w:spacing w:line="400" w:lineRule="exact"/>
        <w:textAlignment w:val="auto"/>
        <w:rPr>
          <w:rFonts w:hint="default" w:cs="Arial" w:asciiTheme="minorEastAsia" w:hAnsiTheme="minorEastAsia" w:eastAsiaTheme="minorEastAsia"/>
          <w:bCs/>
          <w:color w:val="auto"/>
          <w:sz w:val="24"/>
          <w:szCs w:val="24"/>
          <w:lang w:val="en-US" w:eastAsia="zh-CN"/>
        </w:rPr>
      </w:pPr>
      <w:r>
        <w:rPr>
          <w:rFonts w:hint="eastAsia" w:cs="Arial" w:asciiTheme="minorEastAsia" w:hAnsiTheme="minorEastAsia" w:eastAsiaTheme="minorEastAsia"/>
          <w:bCs/>
          <w:color w:val="auto"/>
          <w:sz w:val="24"/>
          <w:szCs w:val="24"/>
        </w:rPr>
        <w:t>说明：</w:t>
      </w:r>
      <w:r>
        <w:rPr>
          <w:rFonts w:cs="Arial" w:asciiTheme="minorEastAsia" w:hAnsiTheme="minorEastAsia" w:eastAsiaTheme="minorEastAsia"/>
          <w:bCs/>
          <w:color w:val="auto"/>
          <w:sz w:val="24"/>
          <w:szCs w:val="24"/>
        </w:rPr>
        <w:t>本格式文件内容不得擅自删改。</w:t>
      </w:r>
      <w:bookmarkEnd w:id="60"/>
    </w:p>
    <w:p>
      <w:pPr>
        <w:pStyle w:val="28"/>
        <w:keepNext w:val="0"/>
        <w:keepLines w:val="0"/>
        <w:pageBreakBefore w:val="0"/>
        <w:kinsoku/>
        <w:wordWrap/>
        <w:overflowPunct/>
        <w:topLinePunct w:val="0"/>
        <w:autoSpaceDE/>
        <w:autoSpaceDN/>
        <w:bidi w:val="0"/>
        <w:adjustRightInd w:val="0"/>
        <w:snapToGrid w:val="0"/>
        <w:spacing w:line="600" w:lineRule="exact"/>
        <w:ind w:firstLine="562" w:firstLineChars="200"/>
        <w:jc w:val="center"/>
        <w:textAlignment w:val="auto"/>
        <w:rPr>
          <w:rFonts w:hAnsi="宋体"/>
          <w:b/>
          <w:color w:val="auto"/>
          <w:sz w:val="28"/>
          <w:szCs w:val="28"/>
        </w:rPr>
      </w:pPr>
      <w:r>
        <w:rPr>
          <w:rFonts w:hint="eastAsia" w:hAnsi="宋体"/>
          <w:b/>
          <w:color w:val="auto"/>
          <w:sz w:val="28"/>
          <w:szCs w:val="28"/>
        </w:rPr>
        <w:t>投标人资格声明函</w:t>
      </w:r>
    </w:p>
    <w:p>
      <w:pPr>
        <w:pStyle w:val="28"/>
        <w:keepNext w:val="0"/>
        <w:keepLines w:val="0"/>
        <w:pageBreakBefore w:val="0"/>
        <w:kinsoku/>
        <w:wordWrap/>
        <w:overflowPunct/>
        <w:topLinePunct w:val="0"/>
        <w:autoSpaceDE/>
        <w:autoSpaceDN/>
        <w:bidi w:val="0"/>
        <w:adjustRightInd w:val="0"/>
        <w:snapToGrid w:val="0"/>
        <w:spacing w:line="600" w:lineRule="exact"/>
        <w:ind w:firstLine="482" w:firstLineChars="200"/>
        <w:jc w:val="center"/>
        <w:textAlignment w:val="auto"/>
        <w:rPr>
          <w:rFonts w:hAnsi="宋体"/>
          <w:b/>
          <w:color w:val="auto"/>
          <w:sz w:val="24"/>
          <w:szCs w:val="24"/>
        </w:rPr>
      </w:pPr>
    </w:p>
    <w:p>
      <w:pPr>
        <w:pStyle w:val="29"/>
        <w:keepNext w:val="0"/>
        <w:keepLines w:val="0"/>
        <w:pageBreakBefore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r>
        <w:rPr>
          <w:rFonts w:hint="eastAsia" w:hAnsi="宋体"/>
          <w:color w:val="auto"/>
          <w:sz w:val="24"/>
          <w:szCs w:val="24"/>
          <w:lang w:val="en-US" w:eastAsia="zh-CN"/>
        </w:rPr>
        <w:t>新疆融盛源工程项目管理有限公司</w:t>
      </w:r>
      <w:r>
        <w:rPr>
          <w:rFonts w:hint="eastAsia" w:ascii="宋体" w:hAnsi="宋体"/>
          <w:color w:val="auto"/>
          <w:sz w:val="24"/>
          <w:szCs w:val="24"/>
        </w:rPr>
        <w:t>：</w:t>
      </w:r>
    </w:p>
    <w:p>
      <w:pPr>
        <w:jc w:val="left"/>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关于贵方</w:t>
      </w:r>
      <w:r>
        <w:rPr>
          <w:rFonts w:hint="eastAsia" w:ascii="宋体" w:hAnsi="宋体"/>
          <w:color w:val="auto"/>
          <w:sz w:val="24"/>
          <w:szCs w:val="24"/>
          <w:u w:val="single"/>
        </w:rPr>
        <w:t>　 　年　　月　　日</w:t>
      </w:r>
      <w:r>
        <w:rPr>
          <w:rFonts w:hint="eastAsia" w:ascii="宋体" w:hAnsi="宋体"/>
          <w:color w:val="auto"/>
          <w:sz w:val="24"/>
          <w:szCs w:val="24"/>
        </w:rPr>
        <w:t>发布关于</w:t>
      </w:r>
      <w:r>
        <w:rPr>
          <w:rFonts w:hint="eastAsia" w:hAnsi="宋体"/>
          <w:color w:val="auto"/>
          <w:sz w:val="24"/>
          <w:szCs w:val="24"/>
        </w:rPr>
        <w:t>“</w:t>
      </w:r>
      <w:r>
        <w:rPr>
          <w:rFonts w:hint="eastAsia" w:hAnsi="宋体"/>
          <w:color w:val="auto"/>
          <w:sz w:val="24"/>
          <w:szCs w:val="24"/>
          <w:u w:val="single"/>
          <w:lang w:val="en-US" w:eastAsia="zh-CN"/>
        </w:rPr>
        <w:t xml:space="preserve">      </w:t>
      </w:r>
      <w:r>
        <w:rPr>
          <w:rFonts w:hint="eastAsia" w:hAnsi="宋体"/>
          <w:color w:val="auto"/>
          <w:sz w:val="24"/>
          <w:szCs w:val="24"/>
        </w:rPr>
        <w:t>” (项目编号：</w:t>
      </w:r>
      <w:r>
        <w:rPr>
          <w:rFonts w:hint="eastAsia" w:hAnsi="宋体"/>
          <w:color w:val="auto"/>
          <w:sz w:val="24"/>
          <w:szCs w:val="24"/>
          <w:lang w:val="en-US" w:eastAsia="zh-CN"/>
        </w:rPr>
        <w:t xml:space="preserve"> </w:t>
      </w:r>
      <w:r>
        <w:rPr>
          <w:rFonts w:hint="eastAsia" w:hAnsi="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color w:val="auto"/>
          <w:sz w:val="24"/>
          <w:szCs w:val="24"/>
        </w:rPr>
        <w:t>的采购公告，我方愿意参加投标，并已清楚招标文件的要求及有关文件规定：</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hAnsi="宋体"/>
          <w:color w:val="auto"/>
          <w:sz w:val="24"/>
          <w:szCs w:val="24"/>
        </w:rPr>
      </w:pPr>
      <w:r>
        <w:rPr>
          <w:rFonts w:hint="eastAsia" w:ascii="宋体" w:hAnsi="宋体"/>
          <w:color w:val="auto"/>
          <w:sz w:val="24"/>
          <w:szCs w:val="24"/>
        </w:rPr>
        <w:t>我方具备《中华人民共和国政府采购法》第二十二条所规定的条件</w:t>
      </w:r>
      <w:r>
        <w:rPr>
          <w:rFonts w:hint="eastAsia" w:hAnsi="宋体"/>
          <w:color w:val="auto"/>
          <w:sz w:val="24"/>
          <w:szCs w:val="24"/>
        </w:rPr>
        <w:t>。</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一</w:t>
      </w:r>
      <w:r>
        <w:rPr>
          <w:rFonts w:hint="eastAsia" w:ascii="宋体" w:hAnsi="宋体" w:cs="Times New Roman"/>
          <w:color w:val="auto"/>
          <w:sz w:val="24"/>
          <w:szCs w:val="24"/>
          <w:lang w:eastAsia="zh-CN"/>
        </w:rPr>
        <w:t>）</w:t>
      </w:r>
      <w:r>
        <w:rPr>
          <w:rFonts w:hint="eastAsia" w:ascii="宋体" w:hAnsi="宋体" w:cs="Times New Roman"/>
          <w:color w:val="auto"/>
          <w:sz w:val="24"/>
          <w:szCs w:val="24"/>
        </w:rPr>
        <w:t>具有独立承担民事责任的能力</w:t>
      </w:r>
      <w:r>
        <w:rPr>
          <w:rFonts w:hint="eastAsia" w:ascii="宋体" w:hAnsi="宋体" w:cs="Times New Roman"/>
          <w:color w:val="auto"/>
          <w:sz w:val="24"/>
          <w:szCs w:val="24"/>
          <w:lang w:val="en-US" w:eastAsia="zh-CN"/>
        </w:rPr>
        <w:t>;</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s="Times New Roman"/>
          <w:color w:val="auto"/>
          <w:sz w:val="24"/>
          <w:szCs w:val="24"/>
        </w:rPr>
        <w:t>（二）具有良好的商业信誉和健全的财务会计制度；</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（三）具有履行合同所必需的设备和专业技术能力；</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（四）有依法缴纳税收和社会保障资金的良好记录；</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（五）参加政府采购活动前三年内，在经营活动中没有重大违法记录；</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（六）法律、行政法规规定的其他条件。</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0" w:firstLineChars="200"/>
        <w:textAlignment w:val="auto"/>
        <w:rPr>
          <w:rFonts w:ascii="宋体" w:hAnsi="宋体"/>
          <w:color w:val="auto"/>
          <w:sz w:val="24"/>
          <w:szCs w:val="24"/>
        </w:rPr>
      </w:pPr>
      <w:r>
        <w:rPr>
          <w:rFonts w:hint="eastAsia" w:ascii="宋体" w:hAnsi="宋体"/>
          <w:color w:val="auto"/>
          <w:sz w:val="24"/>
          <w:szCs w:val="24"/>
        </w:rPr>
        <w:t>本次招标采购活动中，如有违法、违规、弄虚作假行为，所造成的损失、不良后果及法律责任，一律由我方承担。</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firstLine="482" w:firstLineChars="200"/>
        <w:textAlignment w:val="auto"/>
        <w:rPr>
          <w:rFonts w:ascii="宋体" w:hAnsi="宋体"/>
          <w:b/>
          <w:color w:val="auto"/>
          <w:sz w:val="24"/>
          <w:szCs w:val="24"/>
        </w:rPr>
      </w:pPr>
      <w:r>
        <w:rPr>
          <w:rFonts w:hint="eastAsia" w:ascii="宋体" w:hAnsi="宋体"/>
          <w:b/>
          <w:color w:val="auto"/>
          <w:sz w:val="24"/>
          <w:szCs w:val="24"/>
        </w:rPr>
        <w:t>特此声明！</w:t>
      </w:r>
    </w:p>
    <w:p>
      <w:pPr>
        <w:pStyle w:val="29"/>
        <w:keepNext w:val="0"/>
        <w:keepLines w:val="0"/>
        <w:pageBreakBefore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p>
    <w:p>
      <w:pPr>
        <w:pStyle w:val="26"/>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6"/>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6"/>
        <w:keepNext w:val="0"/>
        <w:keepLines w:val="0"/>
        <w:pageBreakBefore w:val="0"/>
        <w:kinsoku/>
        <w:wordWrap/>
        <w:overflowPunct/>
        <w:topLinePunct w:val="0"/>
        <w:autoSpaceDE/>
        <w:autoSpaceDN/>
        <w:bidi w:val="0"/>
        <w:adjustRightInd w:val="0"/>
        <w:snapToGrid w:val="0"/>
        <w:spacing w:line="600" w:lineRule="exact"/>
        <w:ind w:right="84" w:rightChars="40" w:firstLine="4080" w:firstLineChars="1700"/>
        <w:jc w:val="right"/>
        <w:textAlignment w:val="auto"/>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lang w:val="en-US" w:eastAsia="zh-CN"/>
        </w:rPr>
        <w:t xml:space="preserve">   </w:t>
      </w:r>
      <w:r>
        <w:rPr>
          <w:rFonts w:hint="eastAsia" w:ascii="宋体" w:hAnsi="宋体" w:cs="Arial"/>
          <w:color w:val="auto"/>
          <w:sz w:val="24"/>
          <w:szCs w:val="24"/>
        </w:rPr>
        <w:t xml:space="preserve">年  </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 xml:space="preserve"> 月 </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 xml:space="preserve">  日</w:t>
      </w:r>
    </w:p>
    <w:p>
      <w:pPr>
        <w:kinsoku/>
        <w:overflowPunct/>
        <w:topLinePunct w:val="0"/>
        <w:bidi w:val="0"/>
        <w:adjustRightInd w:val="0"/>
        <w:snapToGrid w:val="0"/>
        <w:spacing w:line="400" w:lineRule="exact"/>
        <w:jc w:val="lef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30"/>
        <w:keepNext w:val="0"/>
        <w:keepLines w:val="0"/>
        <w:pageBreakBefore/>
        <w:kinsoku/>
        <w:wordWrap/>
        <w:overflowPunct/>
        <w:topLinePunct w:val="0"/>
        <w:autoSpaceDE/>
        <w:autoSpaceDN/>
        <w:bidi w:val="0"/>
        <w:adjustRightInd w:val="0"/>
        <w:snapToGrid w:val="0"/>
        <w:spacing w:line="600" w:lineRule="exact"/>
        <w:ind w:firstLine="562" w:firstLineChars="200"/>
        <w:jc w:val="center"/>
        <w:textAlignment w:val="auto"/>
        <w:rPr>
          <w:rFonts w:hAnsi="宋体" w:cs="Arial"/>
          <w:bCs/>
          <w:color w:val="auto"/>
          <w:sz w:val="28"/>
          <w:szCs w:val="28"/>
        </w:rPr>
      </w:pPr>
      <w:r>
        <w:rPr>
          <w:rFonts w:hint="eastAsia" w:hAnsi="宋体"/>
          <w:b/>
          <w:color w:val="auto"/>
          <w:sz w:val="28"/>
          <w:szCs w:val="28"/>
        </w:rPr>
        <w:t>授权委托证明书</w:t>
      </w:r>
    </w:p>
    <w:p>
      <w:pPr>
        <w:jc w:val="left"/>
        <w:rPr>
          <w:rFonts w:hAnsi="宋体"/>
          <w:bCs/>
          <w:color w:val="auto"/>
          <w:sz w:val="24"/>
          <w:szCs w:val="24"/>
        </w:rPr>
      </w:pPr>
      <w:r>
        <w:rPr>
          <w:rFonts w:hint="eastAsia" w:hAnsi="宋体"/>
          <w:bCs/>
          <w:color w:val="auto"/>
          <w:sz w:val="24"/>
          <w:szCs w:val="24"/>
          <w:lang w:val="en-US" w:eastAsia="zh-CN"/>
        </w:rPr>
        <w:t xml:space="preserve">    </w:t>
      </w:r>
      <w:r>
        <w:rPr>
          <w:rFonts w:hint="eastAsia" w:hAnsi="宋体"/>
          <w:bCs/>
          <w:color w:val="auto"/>
          <w:sz w:val="24"/>
          <w:szCs w:val="24"/>
        </w:rPr>
        <w:t>兹授权</w:t>
      </w:r>
      <w:r>
        <w:rPr>
          <w:rFonts w:hint="eastAsia" w:hAnsi="宋体"/>
          <w:bCs/>
          <w:color w:val="auto"/>
          <w:sz w:val="24"/>
          <w:szCs w:val="24"/>
          <w:u w:val="single"/>
        </w:rPr>
        <w:t xml:space="preserve">                  </w:t>
      </w:r>
      <w:r>
        <w:rPr>
          <w:rFonts w:hint="eastAsia" w:hAnsi="宋体"/>
          <w:bCs/>
          <w:color w:val="auto"/>
          <w:sz w:val="24"/>
          <w:szCs w:val="24"/>
        </w:rPr>
        <w:t>（委托代理人姓名）为我方委托代理人，其权限是：</w:t>
      </w:r>
      <w:r>
        <w:rPr>
          <w:rFonts w:hint="eastAsia" w:hAnsi="宋体"/>
          <w:color w:val="auto"/>
          <w:sz w:val="24"/>
          <w:szCs w:val="24"/>
        </w:rPr>
        <w:t>办理</w:t>
      </w:r>
      <w:r>
        <w:rPr>
          <w:rFonts w:hint="eastAsia" w:hAnsi="宋体"/>
          <w:color w:val="auto"/>
          <w:sz w:val="24"/>
          <w:szCs w:val="24"/>
          <w:lang w:val="en-US" w:eastAsia="zh-CN"/>
        </w:rPr>
        <w:t>新疆融盛源工程项目管理有限公司</w:t>
      </w:r>
      <w:r>
        <w:rPr>
          <w:rFonts w:hint="eastAsia" w:hAnsi="宋体"/>
          <w:color w:val="auto"/>
          <w:sz w:val="24"/>
          <w:szCs w:val="24"/>
        </w:rPr>
        <w:t>组织的</w:t>
      </w:r>
      <w:bookmarkStart w:id="61" w:name="_Hlk45755316"/>
      <w:r>
        <w:rPr>
          <w:rFonts w:hint="eastAsia" w:hAnsi="宋体"/>
          <w:color w:val="auto"/>
          <w:sz w:val="24"/>
          <w:szCs w:val="24"/>
        </w:rPr>
        <w:t>“</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 xml:space="preserve"> </w:t>
      </w:r>
      <w:r>
        <w:rPr>
          <w:rFonts w:hint="eastAsia" w:hAnsi="宋体"/>
          <w:color w:val="auto"/>
          <w:sz w:val="24"/>
          <w:szCs w:val="24"/>
        </w:rPr>
        <w:t>”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bookmarkEnd w:id="61"/>
      <w:r>
        <w:rPr>
          <w:rFonts w:hint="eastAsia" w:hAnsi="宋体"/>
          <w:color w:val="auto"/>
          <w:sz w:val="24"/>
          <w:szCs w:val="24"/>
        </w:rPr>
        <w:t>的投标事宜。</w:t>
      </w:r>
      <w:r>
        <w:rPr>
          <w:rFonts w:hint="eastAsia" w:hAnsi="宋体"/>
          <w:color w:val="auto"/>
          <w:sz w:val="24"/>
          <w:szCs w:val="24"/>
          <w:lang w:val="en-GB"/>
        </w:rPr>
        <w:t>本</w:t>
      </w:r>
      <w:r>
        <w:rPr>
          <w:rFonts w:hint="eastAsia" w:hAnsi="宋体"/>
          <w:color w:val="auto"/>
          <w:sz w:val="24"/>
          <w:szCs w:val="24"/>
        </w:rPr>
        <w:t>授权书</w:t>
      </w:r>
      <w:r>
        <w:rPr>
          <w:rFonts w:hint="eastAsia" w:hAnsi="宋体"/>
          <w:color w:val="auto"/>
          <w:sz w:val="24"/>
          <w:szCs w:val="24"/>
          <w:lang w:val="en-GB"/>
        </w:rPr>
        <w:t>有效期与我方投标文件中标注的投标有效期相同，自签章之日起生效。</w:t>
      </w:r>
    </w:p>
    <w:p>
      <w:pPr>
        <w:pStyle w:val="31"/>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u w:val="single"/>
        </w:rPr>
      </w:pPr>
      <w:r>
        <w:rPr>
          <w:rFonts w:hint="eastAsia" w:hAnsi="宋体"/>
          <w:color w:val="auto"/>
          <w:sz w:val="24"/>
          <w:szCs w:val="24"/>
        </w:rPr>
        <w:t>附：代理人性别：</w:t>
      </w:r>
      <w:r>
        <w:rPr>
          <w:rFonts w:hint="eastAsia" w:hAnsi="宋体"/>
          <w:color w:val="auto"/>
          <w:sz w:val="24"/>
          <w:szCs w:val="24"/>
          <w:u w:val="single"/>
        </w:rPr>
        <w:t xml:space="preserve">    </w:t>
      </w:r>
      <w:r>
        <w:rPr>
          <w:rFonts w:hint="eastAsia" w:hAnsi="宋体"/>
          <w:color w:val="auto"/>
          <w:sz w:val="24"/>
          <w:szCs w:val="24"/>
        </w:rPr>
        <w:t xml:space="preserve">   年龄：</w:t>
      </w:r>
      <w:r>
        <w:rPr>
          <w:rFonts w:hint="eastAsia" w:hAnsi="宋体"/>
          <w:color w:val="auto"/>
          <w:sz w:val="24"/>
          <w:szCs w:val="24"/>
          <w:u w:val="single"/>
        </w:rPr>
        <w:t xml:space="preserve">     </w:t>
      </w:r>
      <w:r>
        <w:rPr>
          <w:rFonts w:hint="eastAsia" w:hAnsi="宋体"/>
          <w:color w:val="auto"/>
          <w:sz w:val="24"/>
          <w:szCs w:val="24"/>
        </w:rPr>
        <w:t xml:space="preserve">   职务：</w:t>
      </w:r>
      <w:r>
        <w:rPr>
          <w:rFonts w:hint="eastAsia" w:hAnsi="宋体"/>
          <w:color w:val="auto"/>
          <w:sz w:val="24"/>
          <w:szCs w:val="24"/>
          <w:u w:val="single"/>
        </w:rPr>
        <w:t xml:space="preserve">               </w:t>
      </w:r>
    </w:p>
    <w:p>
      <w:pPr>
        <w:pStyle w:val="31"/>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u w:val="single"/>
        </w:rPr>
      </w:pPr>
      <w:r>
        <w:rPr>
          <w:rFonts w:hint="eastAsia" w:hAnsi="宋体"/>
          <w:color w:val="auto"/>
          <w:sz w:val="24"/>
          <w:szCs w:val="24"/>
        </w:rPr>
        <w:t>　　身份证号码：</w:t>
      </w:r>
      <w:r>
        <w:rPr>
          <w:rFonts w:hint="eastAsia" w:hAnsi="宋体"/>
          <w:color w:val="auto"/>
          <w:sz w:val="24"/>
          <w:szCs w:val="24"/>
          <w:u w:val="single"/>
        </w:rPr>
        <w:t xml:space="preserve">                     </w:t>
      </w:r>
    </w:p>
    <w:p>
      <w:pPr>
        <w:pStyle w:val="31"/>
        <w:keepNext w:val="0"/>
        <w:keepLines w:val="0"/>
        <w:kinsoku/>
        <w:wordWrap/>
        <w:overflowPunct/>
        <w:topLinePunct w:val="0"/>
        <w:autoSpaceDE/>
        <w:autoSpaceDN/>
        <w:bidi w:val="0"/>
        <w:adjustRightInd w:val="0"/>
        <w:snapToGrid w:val="0"/>
        <w:spacing w:line="600" w:lineRule="exact"/>
        <w:ind w:firstLine="480" w:firstLineChars="200"/>
        <w:textAlignment w:val="auto"/>
        <w:rPr>
          <w:rFonts w:hAnsi="宋体"/>
          <w:color w:val="auto"/>
          <w:sz w:val="24"/>
          <w:szCs w:val="24"/>
        </w:rPr>
      </w:pPr>
      <w:r>
        <w:rPr>
          <w:rFonts w:hint="eastAsia" w:hAnsi="宋体"/>
          <w:color w:val="auto"/>
          <w:sz w:val="24"/>
          <w:szCs w:val="24"/>
        </w:rPr>
        <w:t>　　附法定代表人及被授权人身份证复印件</w:t>
      </w:r>
    </w:p>
    <w:p>
      <w:pPr>
        <w:pStyle w:val="30"/>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rPr>
      </w:pPr>
      <w:r>
        <w:rPr>
          <w:rFonts w:hAnsi="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0288;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IosvHZAAAACgEAAA8AAAAAAAAAAQAgAAAAIgAA&#10;AGRycy9kb3ducmV2LnhtbFBLAQIUABQAAAAIAIdO4kC8F+Fb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法定代表人身份证背面</w:t>
                      </w:r>
                    </w:p>
                    <w:p/>
                  </w:txbxContent>
                </v:textbox>
              </v:shape>
            </w:pict>
          </mc:Fallback>
        </mc:AlternateContent>
      </w:r>
      <w:r>
        <w:rPr>
          <w:rFonts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59264;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iNQJvZAAAACQEAAA8AAAAAAAAAAQAgAAAAIgAA&#10;AGRycy9kb3ducmV2LnhtbFBLAQIUABQAAAAIAIdO4kDGmtKE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法定代表人身份证正面</w:t>
                      </w:r>
                    </w:p>
                  </w:txbxContent>
                </v:textbox>
              </v:shape>
            </w:pict>
          </mc:Fallback>
        </mc:AlternateContent>
      </w:r>
    </w:p>
    <w:p>
      <w:pPr>
        <w:pStyle w:val="30"/>
        <w:keepNext w:val="0"/>
        <w:keepLines w:val="0"/>
        <w:kinsoku/>
        <w:wordWrap/>
        <w:overflowPunct/>
        <w:topLinePunct w:val="0"/>
        <w:autoSpaceDE/>
        <w:autoSpaceDN/>
        <w:bidi w:val="0"/>
        <w:adjustRightInd w:val="0"/>
        <w:snapToGrid w:val="0"/>
        <w:spacing w:line="600" w:lineRule="exact"/>
        <w:jc w:val="center"/>
        <w:textAlignment w:val="auto"/>
        <w:rPr>
          <w:rFonts w:hAnsi="宋体"/>
          <w:color w:val="auto"/>
          <w:sz w:val="24"/>
          <w:szCs w:val="24"/>
        </w:rPr>
      </w:pP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 xml:space="preserve">  </w:t>
      </w: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r>
        <w:rPr>
          <w:rFonts w:ascii="宋体" w:hAnsi="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2336;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8xycNgAAAAKAQAADwAAAAAAAAABACAAAAAiAAAA&#10;ZHJzL2Rvd25yZXYueG1sUEsBAhQAFAAAAAgAh07iQAkL9z5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被授权人身份证背面</w:t>
                      </w:r>
                    </w:p>
                  </w:txbxContent>
                </v:textbox>
              </v:shape>
            </w:pict>
          </mc:Fallback>
        </mc:AlternateContent>
      </w:r>
      <w:r>
        <w:rPr>
          <w:rFonts w:ascii="宋体" w:hAnsi="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1312;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a7TKNgAAAAIAQAADwAAAAAAAAABACAAAAAiAAAA&#10;ZHJzL2Rvd25yZXYueG1sUEsBAhQAFAAAAAgAh07iQLTNblF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被授权人身份证正面</w:t>
                      </w:r>
                    </w:p>
                    <w:p/>
                  </w:txbxContent>
                </v:textbox>
              </v:shape>
            </w:pict>
          </mc:Fallback>
        </mc:AlternateContent>
      </w: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jc w:val="center"/>
        <w:textAlignment w:val="auto"/>
        <w:rPr>
          <w:rFonts w:ascii="宋体" w:hAnsi="宋体"/>
          <w:color w:val="auto"/>
          <w:sz w:val="24"/>
          <w:szCs w:val="24"/>
        </w:rPr>
      </w:pPr>
    </w:p>
    <w:p>
      <w:pPr>
        <w:pStyle w:val="26"/>
        <w:keepNext w:val="0"/>
        <w:keepLines w:val="0"/>
        <w:kinsoku/>
        <w:wordWrap/>
        <w:overflowPunct/>
        <w:topLinePunct w:val="0"/>
        <w:autoSpaceDE/>
        <w:autoSpaceDN/>
        <w:bidi w:val="0"/>
        <w:adjustRightInd w:val="0"/>
        <w:snapToGrid w:val="0"/>
        <w:spacing w:line="600" w:lineRule="exact"/>
        <w:ind w:right="84" w:rightChars="40"/>
        <w:textAlignment w:val="auto"/>
        <w:rPr>
          <w:rFonts w:ascii="宋体" w:hAnsi="宋体"/>
          <w:color w:val="auto"/>
          <w:sz w:val="24"/>
          <w:szCs w:val="24"/>
        </w:rPr>
      </w:pP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6"/>
        <w:keepNext w:val="0"/>
        <w:keepLines w:val="0"/>
        <w:kinsoku/>
        <w:wordWrap/>
        <w:overflowPunct/>
        <w:topLinePunct w:val="0"/>
        <w:autoSpaceDE/>
        <w:autoSpaceDN/>
        <w:bidi w:val="0"/>
        <w:adjustRightInd w:val="0"/>
        <w:snapToGrid w:val="0"/>
        <w:spacing w:line="600" w:lineRule="exact"/>
        <w:ind w:right="84" w:rightChars="40" w:firstLine="4080" w:firstLineChars="1700"/>
        <w:jc w:val="right"/>
        <w:textAlignment w:val="auto"/>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lang w:val="en-US" w:eastAsia="zh-CN"/>
        </w:rPr>
        <w:t xml:space="preserve">   </w:t>
      </w:r>
      <w:r>
        <w:rPr>
          <w:rFonts w:hint="eastAsia" w:ascii="宋体" w:hAnsi="宋体" w:cs="Arial"/>
          <w:color w:val="auto"/>
          <w:sz w:val="24"/>
          <w:szCs w:val="24"/>
        </w:rPr>
        <w:t xml:space="preserve">年  </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 xml:space="preserve"> 月  </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 xml:space="preserve"> 日</w:t>
      </w:r>
    </w:p>
    <w:p>
      <w:pPr>
        <w:pStyle w:val="30"/>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lang w:val="en-US"/>
        </w:rPr>
      </w:pPr>
    </w:p>
    <w:p>
      <w:pPr>
        <w:pStyle w:val="30"/>
        <w:keepNext w:val="0"/>
        <w:keepLines w:val="0"/>
        <w:kinsoku/>
        <w:wordWrap/>
        <w:overflowPunct/>
        <w:topLinePunct w:val="0"/>
        <w:autoSpaceDE/>
        <w:autoSpaceDN/>
        <w:bidi w:val="0"/>
        <w:adjustRightInd w:val="0"/>
        <w:snapToGrid w:val="0"/>
        <w:spacing w:line="600" w:lineRule="exact"/>
        <w:textAlignment w:val="auto"/>
        <w:rPr>
          <w:rFonts w:hAnsi="宋体"/>
          <w:color w:val="auto"/>
          <w:sz w:val="24"/>
          <w:szCs w:val="24"/>
        </w:rPr>
      </w:pPr>
    </w:p>
    <w:p>
      <w:pPr>
        <w:pStyle w:val="30"/>
        <w:keepNext w:val="0"/>
        <w:keepLines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r>
        <w:rPr>
          <w:rFonts w:hint="eastAsia" w:hAnsi="宋体" w:cs="仿宋_GB2312"/>
          <w:color w:val="auto"/>
          <w:sz w:val="24"/>
          <w:szCs w:val="24"/>
          <w:lang w:val="zh-CN"/>
        </w:rPr>
        <w:t>说明：</w:t>
      </w:r>
      <w:r>
        <w:rPr>
          <w:rFonts w:hAnsi="宋体" w:cs="仿宋_GB2312"/>
          <w:color w:val="auto"/>
          <w:sz w:val="24"/>
          <w:szCs w:val="24"/>
          <w:lang w:val="zh-CN"/>
        </w:rPr>
        <w:t>法定代表人亲自</w:t>
      </w:r>
      <w:r>
        <w:rPr>
          <w:rFonts w:hint="eastAsia" w:hAnsi="宋体" w:cs="仿宋_GB2312"/>
          <w:color w:val="auto"/>
          <w:sz w:val="24"/>
          <w:szCs w:val="24"/>
          <w:lang w:val="zh-CN"/>
        </w:rPr>
        <w:t>办理投标事宜的</w:t>
      </w:r>
      <w:r>
        <w:rPr>
          <w:rFonts w:hAnsi="宋体" w:cs="仿宋_GB2312"/>
          <w:color w:val="auto"/>
          <w:sz w:val="24"/>
          <w:szCs w:val="24"/>
          <w:lang w:val="zh-CN"/>
        </w:rPr>
        <w:t>，无需提交本授权委托</w:t>
      </w:r>
      <w:r>
        <w:rPr>
          <w:rFonts w:hint="eastAsia" w:hAnsi="宋体" w:cs="仿宋_GB2312"/>
          <w:color w:val="auto"/>
          <w:sz w:val="24"/>
          <w:szCs w:val="24"/>
          <w:lang w:val="zh-CN"/>
        </w:rPr>
        <w:t>证明书</w:t>
      </w:r>
      <w:r>
        <w:rPr>
          <w:rFonts w:hAnsi="宋体" w:cs="仿宋_GB2312"/>
          <w:color w:val="auto"/>
          <w:sz w:val="24"/>
          <w:szCs w:val="24"/>
          <w:lang w:val="zh-CN"/>
        </w:rPr>
        <w:t>。</w:t>
      </w:r>
    </w:p>
    <w:p>
      <w:pPr>
        <w:pStyle w:val="6"/>
        <w:rPr>
          <w:rFonts w:hint="default"/>
          <w:color w:val="auto"/>
          <w:lang w:val="en-US" w:eastAsia="zh-CN"/>
        </w:rPr>
      </w:pPr>
    </w:p>
    <w:p>
      <w:pPr>
        <w:pStyle w:val="30"/>
        <w:keepNext w:val="0"/>
        <w:keepLines w:val="0"/>
        <w:kinsoku/>
        <w:wordWrap/>
        <w:overflowPunct/>
        <w:topLinePunct w:val="0"/>
        <w:autoSpaceDE/>
        <w:autoSpaceDN/>
        <w:bidi w:val="0"/>
        <w:adjustRightInd w:val="0"/>
        <w:snapToGrid w:val="0"/>
        <w:spacing w:line="600" w:lineRule="exact"/>
        <w:ind w:left="720" w:hanging="720" w:hangingChars="300"/>
        <w:jc w:val="both"/>
        <w:textAlignment w:val="auto"/>
        <w:rPr>
          <w:rFonts w:hint="eastAsia" w:hAnsi="宋体" w:cs="仿宋_GB2312"/>
          <w:color w:val="auto"/>
          <w:sz w:val="24"/>
          <w:szCs w:val="24"/>
          <w:lang w:val="zh-CN"/>
        </w:rPr>
      </w:pPr>
    </w:p>
    <w:p>
      <w:pPr>
        <w:keepNext w:val="0"/>
        <w:keepLines w:val="0"/>
        <w:pageBreakBefore w:val="0"/>
        <w:shd w:val="clear" w:color="auto" w:fill="FFFFFF" w:themeFill="background1"/>
        <w:kinsoku/>
        <w:wordWrap/>
        <w:overflowPunct/>
        <w:topLinePunct w:val="0"/>
        <w:autoSpaceDE/>
        <w:autoSpaceDN/>
        <w:bidi w:val="0"/>
        <w:adjustRightInd w:val="0"/>
        <w:snapToGrid w:val="0"/>
        <w:spacing w:line="600" w:lineRule="exact"/>
        <w:ind w:left="-10" w:firstLine="8"/>
        <w:jc w:val="center"/>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法定代表人身份证明</w:t>
      </w:r>
    </w:p>
    <w:p>
      <w:pPr>
        <w:pStyle w:val="30"/>
        <w:keepNext w:val="0"/>
        <w:keepLines w:val="0"/>
        <w:pageBreakBefore w:val="0"/>
        <w:kinsoku/>
        <w:wordWrap/>
        <w:overflowPunct/>
        <w:topLinePunct w:val="0"/>
        <w:autoSpaceDE/>
        <w:autoSpaceDN/>
        <w:bidi w:val="0"/>
        <w:adjustRightInd w:val="0"/>
        <w:snapToGrid w:val="0"/>
        <w:spacing w:line="600" w:lineRule="exact"/>
        <w:ind w:left="720" w:hanging="600" w:hangingChars="300"/>
        <w:jc w:val="both"/>
        <w:textAlignment w:val="auto"/>
        <w:rPr>
          <w:rFonts w:hint="eastAsia" w:hAnsi="宋体" w:cs="仿宋_GB2312"/>
          <w:color w:val="auto"/>
          <w:sz w:val="24"/>
          <w:szCs w:val="24"/>
          <w:lang w:val="zh-CN"/>
        </w:rPr>
      </w:pPr>
      <w:r>
        <w:rPr>
          <w:rFonts w:hint="eastAsia" w:asciiTheme="minorEastAsia" w:hAnsiTheme="minorEastAsia" w:eastAsiaTheme="minorEastAsia" w:cstheme="minorEastAsia"/>
          <w:color w:val="auto"/>
          <w:szCs w:val="24"/>
        </w:rPr>
        <w:t>致</w:t>
      </w:r>
      <w:r>
        <w:rPr>
          <w:rFonts w:hint="eastAsia" w:hAnsi="宋体" w:cs="仿宋_GB2312"/>
          <w:color w:val="auto"/>
          <w:sz w:val="24"/>
          <w:szCs w:val="24"/>
          <w:lang w:val="zh-CN"/>
        </w:rPr>
        <w:t>（采购代理机构）：</w:t>
      </w:r>
    </w:p>
    <w:p>
      <w:pPr>
        <w:pStyle w:val="30"/>
        <w:keepNext w:val="0"/>
        <w:keepLines w:val="0"/>
        <w:pageBreakBefore w:val="0"/>
        <w:widowControl/>
        <w:kinsoku/>
        <w:wordWrap/>
        <w:overflowPunct/>
        <w:topLinePunct w:val="0"/>
        <w:autoSpaceDE/>
        <w:autoSpaceDN/>
        <w:bidi w:val="0"/>
        <w:adjustRightInd w:val="0"/>
        <w:snapToGrid w:val="0"/>
        <w:spacing w:line="600" w:lineRule="exact"/>
        <w:ind w:left="0" w:firstLine="480" w:firstLineChars="200"/>
        <w:jc w:val="both"/>
        <w:textAlignment w:val="auto"/>
        <w:rPr>
          <w:rFonts w:hint="eastAsia" w:hAnsi="宋体" w:cs="仿宋_GB2312"/>
          <w:color w:val="auto"/>
          <w:sz w:val="24"/>
          <w:szCs w:val="24"/>
          <w:lang w:val="zh-CN"/>
        </w:rPr>
      </w:pPr>
      <w:r>
        <w:rPr>
          <w:rFonts w:hint="eastAsia" w:hAnsi="宋体" w:cs="仿宋_GB2312"/>
          <w:color w:val="auto"/>
          <w:sz w:val="24"/>
          <w:szCs w:val="24"/>
          <w:lang w:val="zh-CN"/>
        </w:rPr>
        <w:t>（投标单位全称） 法定代表人 姓名（身份证号码：），参加贵方组织的项目名称“</w:t>
      </w:r>
      <w:r>
        <w:rPr>
          <w:rFonts w:hint="eastAsia" w:hAnsi="宋体" w:cs="仿宋_GB2312"/>
          <w:color w:val="auto"/>
          <w:sz w:val="24"/>
          <w:szCs w:val="24"/>
          <w:lang w:val="en-US" w:eastAsia="zh-CN"/>
        </w:rPr>
        <w:t xml:space="preserve">     </w:t>
      </w:r>
      <w:r>
        <w:rPr>
          <w:rFonts w:hint="eastAsia" w:hAnsi="宋体" w:cs="仿宋_GB2312"/>
          <w:color w:val="auto"/>
          <w:sz w:val="24"/>
          <w:szCs w:val="24"/>
          <w:lang w:val="zh-CN"/>
        </w:rPr>
        <w:t>” (项目编号：</w:t>
      </w:r>
      <w:r>
        <w:rPr>
          <w:rFonts w:hint="eastAsia" w:hAnsi="宋体" w:cs="仿宋_GB2312"/>
          <w:color w:val="auto"/>
          <w:sz w:val="24"/>
          <w:szCs w:val="24"/>
          <w:lang w:val="en-US" w:eastAsia="zh-CN"/>
        </w:rPr>
        <w:t xml:space="preserve">        </w:t>
      </w:r>
      <w:r>
        <w:rPr>
          <w:rFonts w:hint="eastAsia" w:hAnsi="宋体" w:cs="仿宋_GB2312"/>
          <w:color w:val="auto"/>
          <w:sz w:val="24"/>
          <w:szCs w:val="24"/>
          <w:lang w:val="zh-CN"/>
        </w:rPr>
        <w:t>)的招标投标活动，代表本公司处理招标投标活动中的一切事宜。</w:t>
      </w: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center"/>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法定代表人身份证复印件</w:t>
            </w:r>
          </w:p>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center"/>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正面</w:t>
            </w:r>
          </w:p>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center"/>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（身份证复印件需清晰可辨认）</w:t>
            </w:r>
          </w:p>
        </w:tc>
        <w:tc>
          <w:tcPr>
            <w:tcW w:w="4512" w:type="dxa"/>
            <w:vAlign w:val="center"/>
          </w:tcPr>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center"/>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法定代表人身份证复印件</w:t>
            </w:r>
          </w:p>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center"/>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反面</w:t>
            </w:r>
          </w:p>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center"/>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（身份证复印件需清晰可辨认）</w:t>
            </w:r>
          </w:p>
        </w:tc>
      </w:tr>
    </w:tbl>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注：身份证复印件如为粘贴的，须在身份证复印件与本页接缝处加盖公章；</w:t>
      </w:r>
    </w:p>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textAlignment w:val="auto"/>
        <w:rPr>
          <w:rFonts w:asciiTheme="minorEastAsia" w:hAnsiTheme="minorEastAsia" w:eastAsiaTheme="minorEastAsia" w:cstheme="minorEastAsia"/>
          <w:color w:val="auto"/>
          <w:szCs w:val="24"/>
        </w:rPr>
      </w:pPr>
    </w:p>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法定代表人（签字或盖章）：  </w:t>
      </w:r>
    </w:p>
    <w:p>
      <w:pPr>
        <w:pStyle w:val="9"/>
        <w:keepNext w:val="0"/>
        <w:keepLines w:val="0"/>
        <w:pageBreakBefore w:val="0"/>
        <w:shd w:val="clear" w:color="auto" w:fill="FFFFFF" w:themeFill="background1"/>
        <w:kinsoku/>
        <w:wordWrap/>
        <w:overflowPunct/>
        <w:topLinePunct w:val="0"/>
        <w:autoSpaceDE/>
        <w:autoSpaceDN/>
        <w:bidi w:val="0"/>
        <w:adjustRightInd w:val="0"/>
        <w:snapToGrid w:val="0"/>
        <w:spacing w:before="240" w:beforeAutospacing="0" w:after="120" w:afterAutospacing="0" w:line="600" w:lineRule="exact"/>
        <w:ind w:firstLine="0"/>
        <w:jc w:val="right"/>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Cs w:val="24"/>
        </w:rPr>
        <w:t>供应商（公章）：</w:t>
      </w:r>
    </w:p>
    <w:p>
      <w:pPr>
        <w:pStyle w:val="30"/>
        <w:keepNext w:val="0"/>
        <w:keepLines w:val="0"/>
        <w:pageBreakBefore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p>
    <w:p>
      <w:pPr>
        <w:pStyle w:val="30"/>
        <w:keepNext w:val="0"/>
        <w:keepLines w:val="0"/>
        <w:pageBreakBefore w:val="0"/>
        <w:kinsoku/>
        <w:wordWrap/>
        <w:overflowPunct/>
        <w:topLinePunct w:val="0"/>
        <w:autoSpaceDE/>
        <w:autoSpaceDN/>
        <w:bidi w:val="0"/>
        <w:adjustRightInd w:val="0"/>
        <w:snapToGrid w:val="0"/>
        <w:spacing w:line="600" w:lineRule="exact"/>
        <w:ind w:left="720" w:hanging="720" w:hangingChars="300"/>
        <w:jc w:val="both"/>
        <w:textAlignment w:val="auto"/>
        <w:rPr>
          <w:rFonts w:hAnsi="宋体" w:cs="仿宋_GB2312"/>
          <w:color w:val="auto"/>
          <w:sz w:val="24"/>
          <w:szCs w:val="24"/>
          <w:lang w:val="zh-CN"/>
        </w:rPr>
      </w:pPr>
      <w:r>
        <w:rPr>
          <w:rFonts w:hint="eastAsia" w:hAnsi="宋体" w:cs="仿宋_GB2312"/>
          <w:color w:val="auto"/>
          <w:sz w:val="24"/>
          <w:szCs w:val="24"/>
          <w:lang w:val="zh-CN"/>
        </w:rPr>
        <w:t>说明：</w:t>
      </w:r>
      <w:r>
        <w:rPr>
          <w:rFonts w:hAnsi="宋体" w:cs="仿宋_GB2312"/>
          <w:color w:val="auto"/>
          <w:sz w:val="24"/>
          <w:szCs w:val="24"/>
          <w:lang w:val="zh-CN"/>
        </w:rPr>
        <w:t>法定代表人亲自</w:t>
      </w:r>
      <w:r>
        <w:rPr>
          <w:rFonts w:hint="eastAsia" w:hAnsi="宋体" w:cs="仿宋_GB2312"/>
          <w:color w:val="auto"/>
          <w:sz w:val="24"/>
          <w:szCs w:val="24"/>
          <w:lang w:val="zh-CN"/>
        </w:rPr>
        <w:t>办理投标事宜的</w:t>
      </w:r>
      <w:r>
        <w:rPr>
          <w:rFonts w:hAnsi="宋体" w:cs="仿宋_GB2312"/>
          <w:color w:val="auto"/>
          <w:sz w:val="24"/>
          <w:szCs w:val="24"/>
          <w:lang w:val="zh-CN"/>
        </w:rPr>
        <w:t>，需提交本</w:t>
      </w:r>
      <w:r>
        <w:rPr>
          <w:rFonts w:hint="eastAsia" w:hAnsi="宋体" w:cs="仿宋_GB2312"/>
          <w:color w:val="auto"/>
          <w:sz w:val="24"/>
          <w:szCs w:val="24"/>
          <w:lang w:val="zh-CN"/>
        </w:rPr>
        <w:t>证明</w:t>
      </w:r>
      <w:r>
        <w:rPr>
          <w:rFonts w:hint="eastAsia" w:hAnsi="宋体" w:cs="仿宋_GB2312"/>
          <w:color w:val="auto"/>
          <w:sz w:val="24"/>
          <w:szCs w:val="24"/>
          <w:lang w:val="zh-CN" w:eastAsia="zh-CN"/>
        </w:rPr>
        <w:t>文件</w:t>
      </w:r>
      <w:r>
        <w:rPr>
          <w:rFonts w:hAnsi="宋体" w:cs="仿宋_GB2312"/>
          <w:color w:val="auto"/>
          <w:sz w:val="24"/>
          <w:szCs w:val="24"/>
          <w:lang w:val="zh-CN"/>
        </w:rPr>
        <w:t>。</w:t>
      </w:r>
    </w:p>
    <w:p>
      <w:pPr>
        <w:kinsoku/>
        <w:overflowPunct/>
        <w:topLinePunct w:val="0"/>
        <w:bidi w:val="0"/>
        <w:adjustRightInd w:val="0"/>
        <w:snapToGrid w:val="0"/>
        <w:spacing w:line="400" w:lineRule="exact"/>
        <w:textAlignment w:val="auto"/>
        <w:rPr>
          <w:rFonts w:hint="default"/>
          <w:color w:val="auto"/>
          <w:lang w:val="en-US" w:eastAsia="zh-CN"/>
        </w:rPr>
      </w:pPr>
    </w:p>
    <w:p>
      <w:pPr>
        <w:pStyle w:val="6"/>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rPr>
          <w:rFonts w:hint="eastAsia" w:ascii="宋体" w:hAnsi="宋体"/>
          <w:b/>
          <w:color w:val="auto"/>
          <w:sz w:val="28"/>
          <w:szCs w:val="28"/>
        </w:rPr>
      </w:pPr>
      <w:r>
        <w:rPr>
          <w:rFonts w:hint="default"/>
          <w:color w:val="auto"/>
          <w:lang w:val="en-US" w:eastAsia="zh-CN"/>
        </w:rPr>
        <w:br w:type="page"/>
      </w:r>
    </w:p>
    <w:p>
      <w:pPr>
        <w:pStyle w:val="32"/>
        <w:keepNext w:val="0"/>
        <w:keepLines w:val="0"/>
        <w:pageBreakBefore w:val="0"/>
        <w:kinsoku/>
        <w:overflowPunct/>
        <w:topLinePunct w:val="0"/>
        <w:bidi w:val="0"/>
        <w:adjustRightInd w:val="0"/>
        <w:snapToGrid w:val="0"/>
        <w:spacing w:line="600" w:lineRule="exact"/>
        <w:jc w:val="center"/>
        <w:textAlignment w:val="auto"/>
        <w:rPr>
          <w:rFonts w:ascii="宋体" w:hAnsi="宋体"/>
          <w:b/>
          <w:color w:val="auto"/>
          <w:sz w:val="28"/>
          <w:szCs w:val="28"/>
        </w:rPr>
      </w:pPr>
      <w:r>
        <w:rPr>
          <w:rFonts w:hint="eastAsia" w:ascii="宋体" w:hAnsi="宋体"/>
          <w:b/>
          <w:color w:val="auto"/>
          <w:sz w:val="28"/>
          <w:szCs w:val="28"/>
        </w:rPr>
        <w:t>开标一览表</w:t>
      </w:r>
    </w:p>
    <w:p>
      <w:pPr>
        <w:pStyle w:val="33"/>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项目名称：</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p>
      <w:pPr>
        <w:pStyle w:val="33"/>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项目编号：</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p>
      <w:pPr>
        <w:pStyle w:val="33"/>
        <w:keepNext w:val="0"/>
        <w:keepLines w:val="0"/>
        <w:pageBreakBefore w:val="0"/>
        <w:kinsoku/>
        <w:wordWrap w:val="0"/>
        <w:overflowPunct/>
        <w:topLinePunct w:val="0"/>
        <w:bidi w:val="0"/>
        <w:adjustRightInd w:val="0"/>
        <w:snapToGrid w:val="0"/>
        <w:spacing w:line="600" w:lineRule="exact"/>
        <w:jc w:val="right"/>
        <w:textAlignment w:val="auto"/>
        <w:rPr>
          <w:rFonts w:hAnsi="宋体"/>
          <w:color w:val="auto"/>
          <w:sz w:val="24"/>
          <w:szCs w:val="24"/>
        </w:rPr>
      </w:pPr>
      <w:r>
        <w:rPr>
          <w:rFonts w:hint="eastAsia" w:hAnsi="宋体"/>
          <w:color w:val="auto"/>
          <w:sz w:val="24"/>
          <w:szCs w:val="24"/>
        </w:rPr>
        <w:t xml:space="preserve">       [货币单位：人民币元]</w:t>
      </w:r>
    </w:p>
    <w:tbl>
      <w:tblPr>
        <w:tblStyle w:val="17"/>
        <w:tblW w:w="4998" w:type="pct"/>
        <w:tblInd w:w="0" w:type="dxa"/>
        <w:tblLayout w:type="autofit"/>
        <w:tblCellMar>
          <w:top w:w="0" w:type="dxa"/>
          <w:left w:w="30" w:type="dxa"/>
          <w:bottom w:w="0" w:type="dxa"/>
          <w:right w:w="30" w:type="dxa"/>
        </w:tblCellMar>
      </w:tblPr>
      <w:tblGrid>
        <w:gridCol w:w="3006"/>
        <w:gridCol w:w="6796"/>
      </w:tblGrid>
      <w:tr>
        <w:tblPrEx>
          <w:tblCellMar>
            <w:top w:w="0" w:type="dxa"/>
            <w:left w:w="30" w:type="dxa"/>
            <w:bottom w:w="0" w:type="dxa"/>
            <w:right w:w="30" w:type="dxa"/>
          </w:tblCellMar>
        </w:tblPrEx>
        <w:trPr>
          <w:cantSplit/>
          <w:trHeight w:val="774" w:hRule="atLeast"/>
        </w:trPr>
        <w:tc>
          <w:tcPr>
            <w:tcW w:w="1533" w:type="pct"/>
            <w:tcBorders>
              <w:top w:val="single" w:color="auto" w:sz="4" w:space="0"/>
              <w:left w:val="single" w:color="auto" w:sz="4" w:space="0"/>
              <w:bottom w:val="single" w:color="auto" w:sz="4" w:space="0"/>
              <w:right w:val="single" w:color="auto" w:sz="6" w:space="0"/>
            </w:tcBorders>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w:t>
            </w:r>
          </w:p>
        </w:tc>
        <w:tc>
          <w:tcPr>
            <w:tcW w:w="3466" w:type="pct"/>
            <w:tcBorders>
              <w:top w:val="single" w:color="auto" w:sz="4" w:space="0"/>
              <w:left w:val="single" w:color="auto" w:sz="6" w:space="0"/>
              <w:bottom w:val="single" w:color="auto" w:sz="4" w:space="0"/>
              <w:right w:val="single" w:color="auto" w:sz="4" w:space="0"/>
            </w:tcBorders>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分项内容</w:t>
            </w:r>
          </w:p>
        </w:tc>
      </w:tr>
      <w:tr>
        <w:tblPrEx>
          <w:tblCellMar>
            <w:top w:w="0" w:type="dxa"/>
            <w:left w:w="30" w:type="dxa"/>
            <w:bottom w:w="0" w:type="dxa"/>
            <w:right w:w="30" w:type="dxa"/>
          </w:tblCellMar>
        </w:tblPrEx>
        <w:trPr>
          <w:cantSplit/>
          <w:trHeight w:val="874" w:hRule="atLeast"/>
        </w:trPr>
        <w:tc>
          <w:tcPr>
            <w:tcW w:w="1533" w:type="pct"/>
            <w:tcBorders>
              <w:top w:val="single" w:color="auto" w:sz="6" w:space="0"/>
              <w:left w:val="single" w:color="auto" w:sz="4" w:space="0"/>
              <w:bottom w:val="single" w:color="auto" w:sz="6" w:space="0"/>
              <w:right w:val="single" w:color="auto" w:sz="6" w:space="0"/>
            </w:tcBorders>
            <w:vAlign w:val="center"/>
          </w:tcPr>
          <w:p>
            <w:pPr>
              <w:bidi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投标总报价</w:t>
            </w:r>
          </w:p>
        </w:tc>
        <w:tc>
          <w:tcPr>
            <w:tcW w:w="3466" w:type="pct"/>
            <w:tcBorders>
              <w:top w:val="single" w:color="auto" w:sz="6" w:space="0"/>
              <w:left w:val="single" w:color="auto" w:sz="6" w:space="0"/>
              <w:bottom w:val="single" w:color="auto" w:sz="6" w:space="0"/>
              <w:right w:val="single" w:color="auto" w:sz="4" w:space="0"/>
            </w:tcBorders>
            <w:vAlign w:val="center"/>
          </w:tcPr>
          <w:p>
            <w:pPr>
              <w:bidi w:val="0"/>
              <w:jc w:val="center"/>
              <w:rPr>
                <w:rFonts w:hint="eastAsia" w:ascii="宋体" w:hAnsi="宋体" w:eastAsia="宋体" w:cs="宋体"/>
                <w:color w:val="auto"/>
                <w:sz w:val="24"/>
                <w:szCs w:val="24"/>
              </w:rPr>
            </w:pPr>
          </w:p>
        </w:tc>
      </w:tr>
      <w:tr>
        <w:tblPrEx>
          <w:tblCellMar>
            <w:top w:w="0" w:type="dxa"/>
            <w:left w:w="30" w:type="dxa"/>
            <w:bottom w:w="0" w:type="dxa"/>
            <w:right w:w="30" w:type="dxa"/>
          </w:tblCellMar>
        </w:tblPrEx>
        <w:trPr>
          <w:cantSplit/>
          <w:trHeight w:val="874" w:hRule="atLeast"/>
        </w:trPr>
        <w:tc>
          <w:tcPr>
            <w:tcW w:w="1533" w:type="pct"/>
            <w:tcBorders>
              <w:top w:val="single" w:color="auto" w:sz="6" w:space="0"/>
              <w:left w:val="single" w:color="auto" w:sz="4" w:space="0"/>
              <w:bottom w:val="single" w:color="auto" w:sz="6" w:space="0"/>
              <w:right w:val="single" w:color="auto" w:sz="6" w:space="0"/>
            </w:tcBorders>
            <w:vAlign w:val="center"/>
          </w:tcPr>
          <w:p>
            <w:pPr>
              <w:bidi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元/人▪天）</w:t>
            </w:r>
          </w:p>
        </w:tc>
        <w:tc>
          <w:tcPr>
            <w:tcW w:w="3466" w:type="pct"/>
            <w:tcBorders>
              <w:top w:val="single" w:color="auto" w:sz="6" w:space="0"/>
              <w:left w:val="single" w:color="auto" w:sz="6" w:space="0"/>
              <w:bottom w:val="single" w:color="auto" w:sz="6" w:space="0"/>
              <w:right w:val="single" w:color="auto" w:sz="4" w:space="0"/>
            </w:tcBorders>
            <w:vAlign w:val="center"/>
          </w:tcPr>
          <w:p>
            <w:pPr>
              <w:bidi w:val="0"/>
              <w:jc w:val="center"/>
              <w:rPr>
                <w:rFonts w:hint="eastAsia" w:ascii="宋体" w:hAnsi="宋体" w:eastAsia="宋体" w:cs="宋体"/>
                <w:color w:val="auto"/>
                <w:sz w:val="24"/>
                <w:szCs w:val="24"/>
              </w:rPr>
            </w:pPr>
          </w:p>
        </w:tc>
      </w:tr>
      <w:tr>
        <w:tblPrEx>
          <w:tblCellMar>
            <w:top w:w="0" w:type="dxa"/>
            <w:left w:w="30" w:type="dxa"/>
            <w:bottom w:w="0" w:type="dxa"/>
            <w:right w:w="30" w:type="dxa"/>
          </w:tblCellMar>
        </w:tblPrEx>
        <w:trPr>
          <w:cantSplit/>
          <w:trHeight w:val="874" w:hRule="atLeast"/>
        </w:trPr>
        <w:tc>
          <w:tcPr>
            <w:tcW w:w="1533" w:type="pct"/>
            <w:tcBorders>
              <w:top w:val="single" w:color="auto" w:sz="6" w:space="0"/>
              <w:left w:val="single" w:color="auto" w:sz="4" w:space="0"/>
              <w:bottom w:val="single" w:color="auto" w:sz="6" w:space="0"/>
              <w:right w:val="single" w:color="auto" w:sz="6" w:space="0"/>
            </w:tcBorders>
            <w:vAlign w:val="center"/>
          </w:tcPr>
          <w:p>
            <w:p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p>
        </w:tc>
        <w:tc>
          <w:tcPr>
            <w:tcW w:w="3466" w:type="pct"/>
            <w:tcBorders>
              <w:top w:val="single" w:color="auto" w:sz="6" w:space="0"/>
              <w:left w:val="single" w:color="auto" w:sz="6" w:space="0"/>
              <w:bottom w:val="single" w:color="auto" w:sz="6" w:space="0"/>
              <w:right w:val="single" w:color="auto" w:sz="4" w:space="0"/>
            </w:tcBorders>
            <w:vAlign w:val="center"/>
          </w:tcPr>
          <w:p>
            <w:pPr>
              <w:bidi w:val="0"/>
              <w:jc w:val="center"/>
              <w:rPr>
                <w:rFonts w:hint="eastAsia" w:ascii="宋体" w:hAnsi="宋体" w:eastAsia="宋体" w:cs="宋体"/>
                <w:color w:val="auto"/>
                <w:sz w:val="24"/>
                <w:szCs w:val="24"/>
              </w:rPr>
            </w:pPr>
          </w:p>
        </w:tc>
      </w:tr>
      <w:tr>
        <w:tblPrEx>
          <w:tblCellMar>
            <w:top w:w="0" w:type="dxa"/>
            <w:left w:w="30" w:type="dxa"/>
            <w:bottom w:w="0" w:type="dxa"/>
            <w:right w:w="30" w:type="dxa"/>
          </w:tblCellMar>
        </w:tblPrEx>
        <w:trPr>
          <w:cantSplit/>
          <w:trHeight w:val="874" w:hRule="atLeast"/>
        </w:trPr>
        <w:tc>
          <w:tcPr>
            <w:tcW w:w="1533" w:type="pct"/>
            <w:tcBorders>
              <w:top w:val="single" w:color="auto" w:sz="6" w:space="0"/>
              <w:left w:val="single" w:color="auto" w:sz="4" w:space="0"/>
              <w:bottom w:val="single" w:color="auto" w:sz="6" w:space="0"/>
              <w:right w:val="single" w:color="auto" w:sz="6" w:space="0"/>
            </w:tcBorders>
            <w:vAlign w:val="center"/>
          </w:tcPr>
          <w:p>
            <w:p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c>
          <w:tcPr>
            <w:tcW w:w="3466" w:type="pct"/>
            <w:tcBorders>
              <w:top w:val="single" w:color="auto" w:sz="6" w:space="0"/>
              <w:left w:val="single" w:color="auto" w:sz="6" w:space="0"/>
              <w:bottom w:val="single" w:color="auto" w:sz="6" w:space="0"/>
              <w:right w:val="single" w:color="auto" w:sz="4" w:space="0"/>
            </w:tcBorders>
            <w:vAlign w:val="center"/>
          </w:tcPr>
          <w:p>
            <w:pPr>
              <w:bidi w:val="0"/>
              <w:jc w:val="center"/>
              <w:rPr>
                <w:rFonts w:hint="eastAsia" w:ascii="宋体" w:hAnsi="宋体" w:eastAsia="宋体" w:cs="宋体"/>
                <w:color w:val="auto"/>
                <w:sz w:val="24"/>
                <w:szCs w:val="24"/>
              </w:rPr>
            </w:pPr>
          </w:p>
        </w:tc>
      </w:tr>
    </w:tbl>
    <w:p>
      <w:pPr>
        <w:pStyle w:val="33"/>
        <w:keepNext w:val="0"/>
        <w:keepLines w:val="0"/>
        <w:pageBreakBefore w:val="0"/>
        <w:kinsoku/>
        <w:overflowPunct/>
        <w:topLinePunct w:val="0"/>
        <w:bidi w:val="0"/>
        <w:adjustRightInd w:val="0"/>
        <w:snapToGrid w:val="0"/>
        <w:spacing w:line="600" w:lineRule="exact"/>
        <w:ind w:left="850" w:hanging="849" w:hangingChars="354"/>
        <w:textAlignment w:val="auto"/>
        <w:rPr>
          <w:rFonts w:hint="eastAsia" w:hAnsi="宋体"/>
          <w:color w:val="auto"/>
          <w:sz w:val="24"/>
          <w:szCs w:val="24"/>
        </w:rPr>
      </w:pPr>
    </w:p>
    <w:p>
      <w:pPr>
        <w:pStyle w:val="33"/>
        <w:keepNext w:val="0"/>
        <w:keepLines w:val="0"/>
        <w:pageBreakBefore w:val="0"/>
        <w:kinsoku/>
        <w:overflowPunct/>
        <w:topLinePunct w:val="0"/>
        <w:bidi w:val="0"/>
        <w:adjustRightInd w:val="0"/>
        <w:snapToGrid w:val="0"/>
        <w:spacing w:line="600" w:lineRule="exact"/>
        <w:ind w:left="850" w:hanging="849" w:hangingChars="354"/>
        <w:textAlignment w:val="auto"/>
        <w:rPr>
          <w:rFonts w:hAnsi="宋体"/>
          <w:color w:val="auto"/>
          <w:sz w:val="24"/>
          <w:szCs w:val="24"/>
        </w:rPr>
      </w:pPr>
      <w:r>
        <w:rPr>
          <w:rFonts w:hint="eastAsia" w:hAnsi="宋体"/>
          <w:color w:val="auto"/>
          <w:sz w:val="24"/>
          <w:szCs w:val="24"/>
        </w:rPr>
        <w:t>填报要求：</w:t>
      </w:r>
    </w:p>
    <w:p>
      <w:pPr>
        <w:pStyle w:val="33"/>
        <w:keepNext w:val="0"/>
        <w:keepLines w:val="0"/>
        <w:pageBreakBefore w:val="0"/>
        <w:numPr>
          <w:ilvl w:val="0"/>
          <w:numId w:val="5"/>
        </w:numPr>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投标总报价包含所有税费。</w:t>
      </w:r>
    </w:p>
    <w:p>
      <w:pPr>
        <w:pStyle w:val="33"/>
        <w:keepNext w:val="0"/>
        <w:keepLines w:val="0"/>
        <w:pageBreakBefore w:val="0"/>
        <w:numPr>
          <w:ilvl w:val="0"/>
          <w:numId w:val="5"/>
        </w:numPr>
        <w:kinsoku/>
        <w:overflowPunct/>
        <w:topLinePunct w:val="0"/>
        <w:bidi w:val="0"/>
        <w:adjustRightInd w:val="0"/>
        <w:snapToGrid w:val="0"/>
        <w:spacing w:line="600" w:lineRule="exact"/>
        <w:ind w:left="0" w:firstLine="0"/>
        <w:textAlignment w:val="auto"/>
        <w:rPr>
          <w:rFonts w:hAnsi="宋体"/>
          <w:color w:val="auto"/>
          <w:sz w:val="24"/>
          <w:szCs w:val="24"/>
        </w:rPr>
      </w:pPr>
      <w:r>
        <w:rPr>
          <w:rFonts w:hint="eastAsia" w:hAnsi="宋体"/>
          <w:color w:val="auto"/>
          <w:sz w:val="24"/>
          <w:szCs w:val="24"/>
          <w:lang w:eastAsia="zh-CN"/>
        </w:rPr>
        <w:t>需另行单独密封递交，具体见投标人须知。</w:t>
      </w:r>
    </w:p>
    <w:p>
      <w:pPr>
        <w:pStyle w:val="33"/>
        <w:keepNext w:val="0"/>
        <w:keepLines w:val="0"/>
        <w:pageBreakBefore w:val="0"/>
        <w:numPr>
          <w:ilvl w:val="0"/>
          <w:numId w:val="5"/>
        </w:numPr>
        <w:kinsoku/>
        <w:overflowPunct/>
        <w:topLinePunct w:val="0"/>
        <w:bidi w:val="0"/>
        <w:adjustRightInd w:val="0"/>
        <w:snapToGrid w:val="0"/>
        <w:spacing w:line="600" w:lineRule="exact"/>
        <w:ind w:left="0" w:firstLine="0"/>
        <w:textAlignment w:val="auto"/>
        <w:rPr>
          <w:rFonts w:hAnsi="宋体"/>
          <w:color w:val="auto"/>
          <w:sz w:val="24"/>
          <w:szCs w:val="24"/>
        </w:rPr>
      </w:pPr>
      <w:r>
        <w:rPr>
          <w:rFonts w:hint="eastAsia" w:hAnsi="宋体"/>
          <w:color w:val="auto"/>
          <w:sz w:val="24"/>
          <w:szCs w:val="24"/>
          <w:lang w:eastAsia="zh-CN"/>
        </w:rPr>
        <w:t>本项目仅报单价，最终结算金额以实际供应数量乘以单价计算。</w:t>
      </w:r>
    </w:p>
    <w:p>
      <w:pPr>
        <w:pStyle w:val="2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pPr>
        <w:pStyle w:val="2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2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pStyle w:val="6"/>
        <w:keepNext w:val="0"/>
        <w:keepLines w:val="0"/>
        <w:pageBreakBefore w:val="0"/>
        <w:kinsoku/>
        <w:overflowPunct/>
        <w:topLinePunct w:val="0"/>
        <w:bidi w:val="0"/>
        <w:adjustRightInd w:val="0"/>
        <w:snapToGrid w:val="0"/>
        <w:spacing w:line="600" w:lineRule="exact"/>
        <w:ind w:firstLine="6720" w:firstLineChars="2800"/>
        <w:textAlignment w:val="auto"/>
        <w:rPr>
          <w:rFonts w:hint="eastAsia" w:ascii="宋体" w:hAnsi="宋体" w:cs="Arial"/>
          <w:color w:val="auto"/>
          <w:sz w:val="24"/>
          <w:szCs w:val="24"/>
        </w:rPr>
      </w:pPr>
      <w:r>
        <w:rPr>
          <w:rFonts w:hint="eastAsia" w:ascii="宋体" w:hAnsi="宋体"/>
          <w:color w:val="auto"/>
          <w:sz w:val="24"/>
          <w:szCs w:val="24"/>
        </w:rPr>
        <w:t>日期：</w:t>
      </w:r>
      <w:r>
        <w:rPr>
          <w:rFonts w:hint="eastAsia" w:ascii="宋体" w:hAnsi="宋体"/>
          <w:color w:val="auto"/>
          <w:sz w:val="24"/>
          <w:szCs w:val="24"/>
          <w:lang w:val="en-US" w:eastAsia="zh-CN"/>
        </w:rPr>
        <w:t xml:space="preserve">  </w:t>
      </w:r>
      <w:r>
        <w:rPr>
          <w:rFonts w:hint="eastAsia" w:ascii="宋体" w:hAnsi="宋体" w:cs="Arial"/>
          <w:color w:val="auto"/>
          <w:sz w:val="24"/>
          <w:szCs w:val="24"/>
        </w:rPr>
        <w:t>年   月   日</w:t>
      </w:r>
    </w:p>
    <w:p>
      <w:pPr>
        <w:kinsoku/>
        <w:overflowPunct/>
        <w:topLinePunct w:val="0"/>
        <w:bidi w:val="0"/>
        <w:adjustRightInd w:val="0"/>
        <w:snapToGrid w:val="0"/>
        <w:spacing w:line="400" w:lineRule="exact"/>
        <w:textAlignment w:val="auto"/>
        <w:rPr>
          <w:rFonts w:hint="default"/>
          <w:color w:val="auto"/>
          <w:lang w:val="en-US" w:eastAsia="zh-CN"/>
        </w:rPr>
      </w:pPr>
    </w:p>
    <w:p>
      <w:pPr>
        <w:kinsoku/>
        <w:overflowPunct/>
        <w:topLinePunct w:val="0"/>
        <w:bidi w:val="0"/>
        <w:adjustRightInd w:val="0"/>
        <w:snapToGrid w:val="0"/>
        <w:spacing w:line="400" w:lineRule="exact"/>
        <w:textAlignment w:val="auto"/>
        <w:rPr>
          <w:rFonts w:hint="default"/>
          <w:color w:val="auto"/>
          <w:lang w:val="en-US" w:eastAsia="zh-CN"/>
        </w:rPr>
      </w:pPr>
    </w:p>
    <w:p>
      <w:pPr>
        <w:pStyle w:val="26"/>
        <w:kinsoku/>
        <w:overflowPunct/>
        <w:topLinePunct w:val="0"/>
        <w:bidi w:val="0"/>
        <w:adjustRightInd w:val="0"/>
        <w:snapToGrid w:val="0"/>
        <w:spacing w:line="400" w:lineRule="exact"/>
        <w:ind w:right="84" w:rightChars="40"/>
        <w:jc w:val="both"/>
        <w:textAlignment w:val="auto"/>
        <w:rPr>
          <w:rFonts w:hint="eastAsia" w:ascii="宋体" w:hAnsi="宋体" w:cs="Arial"/>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color w:val="auto"/>
          <w:sz w:val="28"/>
          <w:szCs w:val="28"/>
        </w:rPr>
      </w:pPr>
      <w:bookmarkStart w:id="62" w:name="_Toc394307579"/>
      <w:bookmarkStart w:id="63" w:name="_Toc18988"/>
      <w:bookmarkStart w:id="64" w:name="_Toc12714"/>
      <w:r>
        <w:rPr>
          <w:rFonts w:hint="eastAsia"/>
          <w:b/>
          <w:bCs/>
          <w:color w:val="auto"/>
          <w:sz w:val="28"/>
          <w:szCs w:val="28"/>
        </w:rPr>
        <w:t>项目</w:t>
      </w:r>
      <w:r>
        <w:rPr>
          <w:rFonts w:hint="eastAsia"/>
          <w:b/>
          <w:bCs/>
          <w:color w:val="auto"/>
          <w:sz w:val="28"/>
          <w:szCs w:val="28"/>
          <w:lang w:eastAsia="zh-CN"/>
        </w:rPr>
        <w:t>负责人</w:t>
      </w:r>
      <w:r>
        <w:rPr>
          <w:rFonts w:hint="eastAsia"/>
          <w:b/>
          <w:bCs/>
          <w:color w:val="auto"/>
          <w:sz w:val="28"/>
          <w:szCs w:val="28"/>
        </w:rPr>
        <w:t>简历表</w:t>
      </w:r>
      <w:bookmarkEnd w:id="62"/>
      <w:bookmarkEnd w:id="63"/>
      <w:bookmarkEnd w:id="64"/>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775"/>
        <w:gridCol w:w="492"/>
        <w:gridCol w:w="829"/>
        <w:gridCol w:w="671"/>
        <w:gridCol w:w="566"/>
        <w:gridCol w:w="626"/>
        <w:gridCol w:w="809"/>
        <w:gridCol w:w="650"/>
        <w:gridCol w:w="1060"/>
        <w:gridCol w:w="283"/>
        <w:gridCol w:w="147"/>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052"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621"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046"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748"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92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052"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621"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046"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748"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92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办公电话</w:t>
            </w:r>
          </w:p>
        </w:tc>
        <w:tc>
          <w:tcPr>
            <w:tcW w:w="1052"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621"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住宅电话</w:t>
            </w:r>
          </w:p>
        </w:tc>
        <w:tc>
          <w:tcPr>
            <w:tcW w:w="1046"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748"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移动电话</w:t>
            </w:r>
          </w:p>
        </w:tc>
        <w:tc>
          <w:tcPr>
            <w:tcW w:w="92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9"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参加工作时间</w:t>
            </w:r>
          </w:p>
        </w:tc>
        <w:tc>
          <w:tcPr>
            <w:tcW w:w="1351"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264"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从事项目经理年限</w:t>
            </w:r>
          </w:p>
        </w:tc>
        <w:tc>
          <w:tcPr>
            <w:tcW w:w="1135"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9"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具有认证资质</w:t>
            </w:r>
          </w:p>
        </w:tc>
        <w:tc>
          <w:tcPr>
            <w:tcW w:w="3751" w:type="pct"/>
            <w:gridSpan w:val="10"/>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004"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采购规模</w:t>
            </w: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中标日期</w:t>
            </w:r>
          </w:p>
        </w:tc>
        <w:tc>
          <w:tcPr>
            <w:tcW w:w="995"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4"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995"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4"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995"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4"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1000" w:type="pct"/>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c>
          <w:tcPr>
            <w:tcW w:w="995"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color w:val="auto"/>
          <w:sz w:val="24"/>
          <w:szCs w:val="24"/>
        </w:rPr>
      </w:pPr>
      <w:bookmarkStart w:id="65" w:name="_Toc10283"/>
      <w:bookmarkStart w:id="66" w:name="_Toc31713"/>
      <w:bookmarkStart w:id="67" w:name="_Toc394307580"/>
      <w:r>
        <w:rPr>
          <w:rFonts w:hint="eastAsia"/>
          <w:b/>
          <w:bCs/>
          <w:color w:val="auto"/>
          <w:sz w:val="28"/>
          <w:szCs w:val="28"/>
        </w:rPr>
        <w:t>承担本项目主要技术人员和售后服务人员表</w:t>
      </w:r>
      <w:bookmarkEnd w:id="65"/>
      <w:bookmarkEnd w:id="66"/>
      <w:bookmarkEnd w:id="6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16"/>
        <w:gridCol w:w="696"/>
        <w:gridCol w:w="936"/>
        <w:gridCol w:w="2136"/>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姓名</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部门和职务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职责</w:t>
            </w: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常住地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获得认证资质证书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填报要求：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r>
        <w:rPr>
          <w:rFonts w:hint="eastAsia"/>
          <w:color w:val="auto"/>
          <w:sz w:val="24"/>
          <w:szCs w:val="24"/>
        </w:rPr>
        <w:t>上表列出的人员，需附其资格证书的扫描件（如有时）。</w:t>
      </w: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insoku/>
        <w:overflowPunct/>
        <w:topLinePunct w:val="0"/>
        <w:bidi w:val="0"/>
        <w:adjustRightInd w:val="0"/>
        <w:snapToGrid w:val="0"/>
        <w:spacing w:line="400" w:lineRule="exact"/>
        <w:textAlignment w:val="auto"/>
        <w:rPr>
          <w:rFonts w:hint="eastAsia" w:ascii="宋体" w:hAnsi="宋体" w:cs="Arial"/>
          <w:color w:val="auto"/>
          <w:sz w:val="24"/>
          <w:szCs w:val="24"/>
        </w:rPr>
      </w:pPr>
    </w:p>
    <w:p>
      <w:pPr>
        <w:pStyle w:val="6"/>
        <w:kinsoku/>
        <w:overflowPunct/>
        <w:topLinePunct w:val="0"/>
        <w:bidi w:val="0"/>
        <w:adjustRightInd w:val="0"/>
        <w:snapToGrid w:val="0"/>
        <w:spacing w:line="400" w:lineRule="exact"/>
        <w:textAlignment w:val="auto"/>
        <w:rPr>
          <w:rFonts w:hint="eastAsia" w:ascii="宋体" w:hAnsi="宋体" w:cs="Arial"/>
          <w:color w:val="auto"/>
          <w:sz w:val="24"/>
          <w:szCs w:val="24"/>
        </w:rPr>
      </w:pP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jc w:val="center"/>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重大违法记录的声明函</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auto"/>
          <w:szCs w:val="21"/>
        </w:rPr>
      </w:pP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（采购人或采购代理机构）     </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（供应商全称）            </w:t>
      </w:r>
      <w:r>
        <w:rPr>
          <w:rFonts w:hint="eastAsia" w:asciiTheme="minorEastAsia" w:hAnsiTheme="minorEastAsia" w:eastAsiaTheme="minorEastAsia" w:cstheme="minorEastAsia"/>
          <w:color w:val="auto"/>
          <w:sz w:val="24"/>
          <w:szCs w:val="24"/>
        </w:rPr>
        <w:t>，参加贵单位组织的交易编号为：，项目名称：的政府采购活动，在此郑重声明：我单位在参加本项目政府采购活动前3年内在经营活动中未因违法经营受到刑事处罚或者责令停产停业、吊销许可证或者执照、较大数额罚款等行政处罚。</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ind w:firstLine="420"/>
        <w:textAlignment w:val="auto"/>
        <w:rPr>
          <w:rFonts w:asciiTheme="minorEastAsia" w:hAnsiTheme="minorEastAsia" w:eastAsiaTheme="minorEastAsia" w:cstheme="minorEastAsia"/>
          <w:color w:val="auto"/>
          <w:sz w:val="24"/>
          <w:szCs w:val="24"/>
        </w:rPr>
      </w:pP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auto"/>
          <w:sz w:val="24"/>
          <w:szCs w:val="24"/>
        </w:rPr>
      </w:pP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textAlignment w:val="auto"/>
        <w:rPr>
          <w:rFonts w:asciiTheme="minorEastAsia" w:hAnsiTheme="minorEastAsia" w:eastAsiaTheme="minorEastAsia" w:cstheme="minorEastAsia"/>
          <w:color w:val="auto"/>
          <w:sz w:val="24"/>
          <w:szCs w:val="24"/>
        </w:rPr>
      </w:pP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jc w:val="right"/>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投标供应商：（公章）</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before="0" w:beforeAutospacing="0" w:after="0" w:afterAutospacing="0" w:line="600" w:lineRule="exact"/>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声明时间：</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keepNext w:val="0"/>
        <w:keepLines w:val="0"/>
        <w:widowControl/>
        <w:suppressLineNumbers w:val="0"/>
        <w:jc w:val="center"/>
        <w:rPr>
          <w:color w:val="auto"/>
        </w:rPr>
      </w:pPr>
      <w:bookmarkStart w:id="68" w:name="_Toc22616"/>
      <w:r>
        <w:rPr>
          <w:rFonts w:hint="eastAsia" w:ascii="宋体" w:hAnsi="宋体" w:eastAsia="宋体" w:cs="宋体"/>
          <w:b/>
          <w:bCs/>
          <w:color w:val="auto"/>
          <w:kern w:val="0"/>
          <w:sz w:val="36"/>
          <w:szCs w:val="36"/>
          <w:lang w:val="en-US" w:eastAsia="zh-CN" w:bidi="ar"/>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本公司（联合体）郑重声明，根据《政府采购促进中小企业发展管理办法》（财库﹝2020﹞46 号）的规定，本公司 （联合体）参加</w:t>
      </w:r>
      <w:r>
        <w:rPr>
          <w:rFonts w:hint="eastAsia" w:asciiTheme="minorEastAsia" w:hAnsiTheme="minorEastAsia" w:eastAsiaTheme="minorEastAsia" w:cstheme="minorEastAsia"/>
          <w:i/>
          <w:iCs/>
          <w:color w:val="auto"/>
          <w:kern w:val="0"/>
          <w:sz w:val="24"/>
          <w:szCs w:val="24"/>
          <w:u w:val="single"/>
          <w:lang w:val="en-US" w:eastAsia="zh-CN" w:bidi="ar"/>
        </w:rPr>
        <w:t>（单位名称）</w:t>
      </w:r>
      <w:r>
        <w:rPr>
          <w:rFonts w:hint="eastAsia" w:asciiTheme="minorEastAsia" w:hAnsiTheme="minorEastAsia" w:eastAsiaTheme="minorEastAsia" w:cstheme="minorEastAsia"/>
          <w:color w:val="auto"/>
          <w:kern w:val="0"/>
          <w:sz w:val="24"/>
          <w:szCs w:val="24"/>
          <w:lang w:val="en-US" w:eastAsia="zh-CN" w:bidi="ar"/>
        </w:rPr>
        <w:t>的</w:t>
      </w:r>
      <w:r>
        <w:rPr>
          <w:rFonts w:hint="eastAsia" w:asciiTheme="minorEastAsia" w:hAnsiTheme="minorEastAsia" w:eastAsiaTheme="minorEastAsia" w:cstheme="minorEastAsia"/>
          <w:i/>
          <w:iCs/>
          <w:color w:val="auto"/>
          <w:kern w:val="0"/>
          <w:sz w:val="24"/>
          <w:szCs w:val="24"/>
          <w:u w:val="single"/>
          <w:lang w:val="en-US" w:eastAsia="zh-CN" w:bidi="ar"/>
        </w:rPr>
        <w:t>（项目名称）</w:t>
      </w:r>
      <w:r>
        <w:rPr>
          <w:rFonts w:hint="eastAsia" w:asciiTheme="minorEastAsia" w:hAnsiTheme="minorEastAsia" w:eastAsiaTheme="minorEastAsia" w:cstheme="minorEastAsia"/>
          <w:color w:val="auto"/>
          <w:kern w:val="0"/>
          <w:sz w:val="24"/>
          <w:szCs w:val="24"/>
          <w:lang w:val="en-US" w:eastAsia="zh-CN" w:bidi="ar"/>
        </w:rPr>
        <w:t xml:space="preserve">采购活动，工程的施工单位全部为符合政策要求的中小企业（或者：服务全部由符合政策要求的中小企业承接）。相关企业（含联合 体中的中小企业、签订分包意向协议的中小企业）的具体情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 </w:t>
      </w:r>
      <w:r>
        <w:rPr>
          <w:rFonts w:hint="eastAsia" w:asciiTheme="minorEastAsia" w:hAnsiTheme="minorEastAsia" w:eastAsiaTheme="minorEastAsia" w:cstheme="minorEastAsia"/>
          <w:i/>
          <w:iCs/>
          <w:color w:val="auto"/>
          <w:kern w:val="0"/>
          <w:sz w:val="24"/>
          <w:szCs w:val="24"/>
          <w:u w:val="single"/>
          <w:lang w:val="en-US" w:eastAsia="zh-CN" w:bidi="ar"/>
        </w:rPr>
        <w:t xml:space="preserve">（标的名称） </w:t>
      </w:r>
      <w:r>
        <w:rPr>
          <w:rFonts w:hint="eastAsia" w:asciiTheme="minorEastAsia" w:hAnsiTheme="minorEastAsia" w:eastAsiaTheme="minorEastAsia" w:cstheme="minorEastAsia"/>
          <w:color w:val="auto"/>
          <w:kern w:val="0"/>
          <w:sz w:val="24"/>
          <w:szCs w:val="24"/>
          <w:lang w:val="en-US" w:eastAsia="zh-CN" w:bidi="ar"/>
        </w:rPr>
        <w:t>，属于</w:t>
      </w:r>
      <w:r>
        <w:rPr>
          <w:rFonts w:hint="eastAsia" w:asciiTheme="minorEastAsia" w:hAnsiTheme="minorEastAsia" w:eastAsiaTheme="minorEastAsia" w:cstheme="minorEastAsia"/>
          <w:i/>
          <w:iCs/>
          <w:color w:val="auto"/>
          <w:kern w:val="0"/>
          <w:sz w:val="24"/>
          <w:szCs w:val="24"/>
          <w:lang w:val="en-US" w:eastAsia="zh-CN" w:bidi="ar"/>
        </w:rPr>
        <w:t>（采购文件中明确的所属行业）</w:t>
      </w:r>
      <w:r>
        <w:rPr>
          <w:rFonts w:hint="eastAsia" w:asciiTheme="minorEastAsia" w:hAnsiTheme="minorEastAsia" w:eastAsiaTheme="minorEastAsia" w:cstheme="minorEastAsia"/>
          <w:color w:val="auto"/>
          <w:kern w:val="0"/>
          <w:sz w:val="24"/>
          <w:szCs w:val="24"/>
          <w:lang w:val="en-US" w:eastAsia="zh-CN" w:bidi="ar"/>
        </w:rPr>
        <w:t>；承建（承接）企业为</w:t>
      </w:r>
      <w:r>
        <w:rPr>
          <w:rFonts w:hint="eastAsia" w:asciiTheme="minorEastAsia" w:hAnsiTheme="minorEastAsia" w:eastAsiaTheme="minorEastAsia" w:cstheme="minorEastAsia"/>
          <w:i/>
          <w:iCs/>
          <w:color w:val="auto"/>
          <w:kern w:val="0"/>
          <w:sz w:val="24"/>
          <w:szCs w:val="24"/>
          <w:lang w:val="en-US" w:eastAsia="zh-CN" w:bidi="ar"/>
        </w:rPr>
        <w:t>（企业名称）</w:t>
      </w:r>
      <w:r>
        <w:rPr>
          <w:rFonts w:hint="eastAsia" w:asciiTheme="minorEastAsia" w:hAnsiTheme="minorEastAsia" w:eastAsiaTheme="minorEastAsia" w:cstheme="minorEastAsia"/>
          <w:color w:val="auto"/>
          <w:kern w:val="0"/>
          <w:sz w:val="24"/>
          <w:szCs w:val="24"/>
          <w:lang w:val="en-US" w:eastAsia="zh-CN" w:bidi="ar"/>
        </w:rPr>
        <w:t>，从业人员</w:t>
      </w:r>
      <w:r>
        <w:rPr>
          <w:rFonts w:hint="eastAsia" w:asciiTheme="minorEastAsia" w:hAnsiTheme="minorEastAsia" w:eastAsiaTheme="minorEastAsia" w:cstheme="minorEastAsia"/>
          <w:color w:val="auto"/>
          <w:kern w:val="0"/>
          <w:sz w:val="24"/>
          <w:szCs w:val="24"/>
          <w:u w:val="single"/>
          <w:lang w:val="en-US" w:eastAsia="zh-CN" w:bidi="ar"/>
        </w:rPr>
        <w:t xml:space="preserve">    </w:t>
      </w:r>
      <w:r>
        <w:rPr>
          <w:rFonts w:hint="eastAsia" w:asciiTheme="minorEastAsia" w:hAnsiTheme="minorEastAsia" w:eastAsiaTheme="minorEastAsia" w:cstheme="minorEastAsia"/>
          <w:color w:val="auto"/>
          <w:kern w:val="0"/>
          <w:sz w:val="24"/>
          <w:szCs w:val="24"/>
          <w:lang w:val="en-US" w:eastAsia="zh-CN" w:bidi="ar"/>
        </w:rPr>
        <w:t>人，营业收入为</w:t>
      </w:r>
      <w:r>
        <w:rPr>
          <w:rFonts w:hint="eastAsia" w:asciiTheme="minorEastAsia" w:hAnsiTheme="minorEastAsia" w:eastAsiaTheme="minorEastAsia" w:cstheme="minorEastAsia"/>
          <w:color w:val="auto"/>
          <w:kern w:val="0"/>
          <w:sz w:val="24"/>
          <w:szCs w:val="24"/>
          <w:u w:val="single"/>
          <w:lang w:val="en-US" w:eastAsia="zh-CN" w:bidi="ar"/>
        </w:rPr>
        <w:t xml:space="preserve">  </w:t>
      </w:r>
      <w:r>
        <w:rPr>
          <w:rFonts w:hint="eastAsia" w:asciiTheme="minorEastAsia" w:hAnsiTheme="minorEastAsia" w:eastAsiaTheme="minorEastAsia" w:cstheme="minorEastAsia"/>
          <w:color w:val="auto"/>
          <w:kern w:val="0"/>
          <w:sz w:val="24"/>
          <w:szCs w:val="24"/>
          <w:lang w:val="en-US" w:eastAsia="zh-CN" w:bidi="ar"/>
        </w:rPr>
        <w:t>万元，资产总额为</w:t>
      </w:r>
      <w:r>
        <w:rPr>
          <w:rFonts w:hint="eastAsia" w:asciiTheme="minorEastAsia" w:hAnsiTheme="minorEastAsia" w:eastAsiaTheme="minorEastAsia" w:cstheme="minorEastAsia"/>
          <w:color w:val="auto"/>
          <w:kern w:val="0"/>
          <w:sz w:val="24"/>
          <w:szCs w:val="24"/>
          <w:u w:val="single"/>
          <w:lang w:val="en-US" w:eastAsia="zh-CN" w:bidi="ar"/>
        </w:rPr>
        <w:t xml:space="preserve">     </w:t>
      </w:r>
      <w:r>
        <w:rPr>
          <w:rFonts w:hint="eastAsia" w:asciiTheme="minorEastAsia" w:hAnsiTheme="minorEastAsia" w:eastAsiaTheme="minorEastAsia" w:cstheme="minorEastAsia"/>
          <w:color w:val="auto"/>
          <w:kern w:val="0"/>
          <w:sz w:val="24"/>
          <w:szCs w:val="24"/>
          <w:lang w:val="en-US" w:eastAsia="zh-CN" w:bidi="ar"/>
        </w:rPr>
        <w:t>万元1，属于</w:t>
      </w:r>
      <w:r>
        <w:rPr>
          <w:rFonts w:hint="eastAsia" w:asciiTheme="minorEastAsia" w:hAnsiTheme="minorEastAsia" w:eastAsiaTheme="minorEastAsia" w:cstheme="minorEastAsia"/>
          <w:i/>
          <w:iCs/>
          <w:color w:val="auto"/>
          <w:kern w:val="0"/>
          <w:sz w:val="24"/>
          <w:szCs w:val="24"/>
          <w:u w:val="single"/>
          <w:lang w:val="en-US" w:eastAsia="zh-CN" w:bidi="ar"/>
        </w:rPr>
        <w:t>（中型企业、小型企业、微型企业）</w:t>
      </w:r>
      <w:r>
        <w:rPr>
          <w:rFonts w:hint="eastAsia" w:asciiTheme="minorEastAsia" w:hAnsiTheme="minorEastAsia" w:eastAsiaTheme="minorEastAsia" w:cstheme="minorEastAsia"/>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2. </w:t>
      </w:r>
      <w:r>
        <w:rPr>
          <w:rFonts w:hint="eastAsia" w:asciiTheme="minorEastAsia" w:hAnsiTheme="minorEastAsia" w:eastAsiaTheme="minorEastAsia" w:cstheme="minorEastAsia"/>
          <w:i/>
          <w:iCs/>
          <w:color w:val="auto"/>
          <w:kern w:val="0"/>
          <w:sz w:val="24"/>
          <w:szCs w:val="24"/>
          <w:u w:val="single"/>
          <w:lang w:val="en-US" w:eastAsia="zh-CN" w:bidi="ar"/>
        </w:rPr>
        <w:t xml:space="preserve">（标的名称） </w:t>
      </w:r>
      <w:r>
        <w:rPr>
          <w:rFonts w:hint="eastAsia" w:asciiTheme="minorEastAsia" w:hAnsiTheme="minorEastAsia" w:eastAsiaTheme="minorEastAsia" w:cstheme="minorEastAsia"/>
          <w:color w:val="auto"/>
          <w:kern w:val="0"/>
          <w:sz w:val="24"/>
          <w:szCs w:val="24"/>
          <w:lang w:val="en-US" w:eastAsia="zh-CN" w:bidi="ar"/>
        </w:rPr>
        <w:t>，属于</w:t>
      </w:r>
      <w:r>
        <w:rPr>
          <w:rFonts w:hint="eastAsia" w:asciiTheme="minorEastAsia" w:hAnsiTheme="minorEastAsia" w:eastAsiaTheme="minorEastAsia" w:cstheme="minorEastAsia"/>
          <w:i/>
          <w:iCs/>
          <w:color w:val="auto"/>
          <w:kern w:val="0"/>
          <w:sz w:val="24"/>
          <w:szCs w:val="24"/>
          <w:u w:val="single"/>
          <w:lang w:val="en-US" w:eastAsia="zh-CN" w:bidi="ar"/>
        </w:rPr>
        <w:t>（采购文件中明确的所属行业）</w:t>
      </w:r>
      <w:r>
        <w:rPr>
          <w:rFonts w:hint="eastAsia" w:asciiTheme="minorEastAsia" w:hAnsiTheme="minorEastAsia" w:eastAsiaTheme="minorEastAsia" w:cstheme="minorEastAsia"/>
          <w:color w:val="auto"/>
          <w:kern w:val="0"/>
          <w:sz w:val="24"/>
          <w:szCs w:val="24"/>
          <w:lang w:val="en-US" w:eastAsia="zh-CN" w:bidi="ar"/>
        </w:rPr>
        <w:t>； 承建（承接）企业为</w:t>
      </w:r>
      <w:r>
        <w:rPr>
          <w:rFonts w:hint="eastAsia" w:asciiTheme="minorEastAsia" w:hAnsiTheme="minorEastAsia" w:eastAsiaTheme="minorEastAsia" w:cstheme="minorEastAsia"/>
          <w:i/>
          <w:iCs/>
          <w:color w:val="auto"/>
          <w:kern w:val="0"/>
          <w:sz w:val="24"/>
          <w:szCs w:val="24"/>
          <w:u w:val="single"/>
          <w:lang w:val="en-US" w:eastAsia="zh-CN" w:bidi="ar"/>
        </w:rPr>
        <w:t>（企业名称）</w:t>
      </w:r>
      <w:r>
        <w:rPr>
          <w:rFonts w:hint="eastAsia" w:asciiTheme="minorEastAsia" w:hAnsiTheme="minorEastAsia" w:eastAsiaTheme="minorEastAsia" w:cstheme="minorEastAsia"/>
          <w:color w:val="auto"/>
          <w:kern w:val="0"/>
          <w:sz w:val="24"/>
          <w:szCs w:val="24"/>
          <w:lang w:val="en-US" w:eastAsia="zh-CN" w:bidi="ar"/>
        </w:rPr>
        <w:t>，从业人员</w:t>
      </w:r>
      <w:r>
        <w:rPr>
          <w:rFonts w:hint="eastAsia" w:asciiTheme="minorEastAsia" w:hAnsiTheme="minorEastAsia" w:eastAsiaTheme="minorEastAsia" w:cstheme="minorEastAsia"/>
          <w:color w:val="auto"/>
          <w:kern w:val="0"/>
          <w:sz w:val="24"/>
          <w:szCs w:val="24"/>
          <w:u w:val="single"/>
          <w:lang w:val="en-US" w:eastAsia="zh-CN" w:bidi="ar"/>
        </w:rPr>
        <w:t xml:space="preserve">   </w:t>
      </w:r>
      <w:r>
        <w:rPr>
          <w:rFonts w:hint="eastAsia" w:asciiTheme="minorEastAsia" w:hAnsiTheme="minorEastAsia" w:eastAsiaTheme="minorEastAsia" w:cstheme="minorEastAsia"/>
          <w:color w:val="auto"/>
          <w:kern w:val="0"/>
          <w:sz w:val="24"/>
          <w:szCs w:val="24"/>
          <w:lang w:val="en-US" w:eastAsia="zh-CN" w:bidi="ar"/>
        </w:rPr>
        <w:t>人，营业收入为</w:t>
      </w:r>
      <w:r>
        <w:rPr>
          <w:rFonts w:hint="eastAsia" w:asciiTheme="minorEastAsia" w:hAnsiTheme="minorEastAsia" w:eastAsiaTheme="minorEastAsia" w:cstheme="minorEastAsia"/>
          <w:color w:val="auto"/>
          <w:kern w:val="0"/>
          <w:sz w:val="24"/>
          <w:szCs w:val="24"/>
          <w:u w:val="single"/>
          <w:lang w:val="en-US" w:eastAsia="zh-CN" w:bidi="ar"/>
        </w:rPr>
        <w:t xml:space="preserve">   </w:t>
      </w:r>
      <w:r>
        <w:rPr>
          <w:rFonts w:hint="eastAsia" w:asciiTheme="minorEastAsia" w:hAnsiTheme="minorEastAsia" w:eastAsiaTheme="minorEastAsia" w:cstheme="minorEastAsia"/>
          <w:color w:val="auto"/>
          <w:kern w:val="0"/>
          <w:sz w:val="24"/>
          <w:szCs w:val="24"/>
          <w:lang w:val="en-US" w:eastAsia="zh-CN" w:bidi="ar"/>
        </w:rPr>
        <w:t>万元，资产总额为</w:t>
      </w:r>
      <w:r>
        <w:rPr>
          <w:rFonts w:hint="eastAsia" w:asciiTheme="minorEastAsia" w:hAnsiTheme="minorEastAsia" w:eastAsiaTheme="minorEastAsia" w:cstheme="minorEastAsia"/>
          <w:color w:val="auto"/>
          <w:kern w:val="0"/>
          <w:sz w:val="24"/>
          <w:szCs w:val="24"/>
          <w:u w:val="single"/>
          <w:lang w:val="en-US" w:eastAsia="zh-CN" w:bidi="ar"/>
        </w:rPr>
        <w:t xml:space="preserve">     </w:t>
      </w:r>
      <w:r>
        <w:rPr>
          <w:rFonts w:hint="eastAsia" w:asciiTheme="minorEastAsia" w:hAnsiTheme="minorEastAsia" w:eastAsiaTheme="minorEastAsia" w:cstheme="minorEastAsia"/>
          <w:color w:val="auto"/>
          <w:kern w:val="0"/>
          <w:sz w:val="24"/>
          <w:szCs w:val="24"/>
          <w:lang w:val="en-US" w:eastAsia="zh-CN" w:bidi="ar"/>
        </w:rPr>
        <w:t>万元，属于</w:t>
      </w:r>
      <w:r>
        <w:rPr>
          <w:rFonts w:hint="eastAsia" w:asciiTheme="minorEastAsia" w:hAnsiTheme="minorEastAsia" w:eastAsiaTheme="minorEastAsia" w:cstheme="minorEastAsia"/>
          <w:i/>
          <w:iCs/>
          <w:color w:val="auto"/>
          <w:kern w:val="0"/>
          <w:sz w:val="24"/>
          <w:szCs w:val="24"/>
          <w:lang w:val="en-US" w:eastAsia="zh-CN" w:bidi="ar"/>
        </w:rPr>
        <w:t>（中型企业、小型企业、微型企业）</w:t>
      </w:r>
      <w:r>
        <w:rPr>
          <w:rFonts w:hint="eastAsia" w:asciiTheme="minorEastAsia" w:hAnsiTheme="minorEastAsia" w:eastAsiaTheme="minorEastAsia" w:cstheme="minorEastAsia"/>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以上企业，不属于大企业的分支机构，不存在控股股东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为大企业的情形，也不存在与大企业的负责人为同一人的情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本企业对上述声明内容的真实性负责。如有虚假，将依 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日 期： </w:t>
      </w:r>
    </w:p>
    <w:p>
      <w:pPr>
        <w:keepNext w:val="0"/>
        <w:keepLines w:val="0"/>
        <w:widowControl/>
        <w:suppressLineNumbers w:val="0"/>
        <w:jc w:val="left"/>
        <w:rPr>
          <w:rFonts w:hint="eastAsia" w:ascii="宋体" w:hAnsi="宋体" w:eastAsia="宋体" w:cs="宋体"/>
          <w:color w:val="auto"/>
          <w:kern w:val="0"/>
          <w:sz w:val="18"/>
          <w:szCs w:val="18"/>
          <w:lang w:val="en-US" w:eastAsia="zh-CN" w:bidi="ar"/>
        </w:rPr>
      </w:pPr>
      <w:r>
        <w:rPr>
          <w:rFonts w:hint="default" w:ascii="Times New Roman" w:hAnsi="Times New Roman" w:eastAsia="宋体" w:cs="Times New Roman"/>
          <w:color w:val="auto"/>
          <w:kern w:val="0"/>
          <w:sz w:val="11"/>
          <w:szCs w:val="11"/>
          <w:lang w:val="en-US" w:eastAsia="zh-CN" w:bidi="ar"/>
        </w:rPr>
        <w:t xml:space="preserve">1 </w:t>
      </w:r>
      <w:r>
        <w:rPr>
          <w:rFonts w:hint="eastAsia" w:ascii="宋体" w:hAnsi="宋体" w:eastAsia="宋体" w:cs="宋体"/>
          <w:color w:val="auto"/>
          <w:kern w:val="0"/>
          <w:sz w:val="18"/>
          <w:szCs w:val="18"/>
          <w:lang w:val="en-US" w:eastAsia="zh-CN" w:bidi="ar"/>
        </w:rPr>
        <w:t>从业人员、营业收入、资产总额填报上一年度数据，无上一年度数据的新成立企业可不填报</w:t>
      </w:r>
    </w:p>
    <w:p>
      <w:pPr>
        <w:rPr>
          <w:color w:val="auto"/>
        </w:rPr>
      </w:pPr>
      <w:r>
        <w:rPr>
          <w:color w:val="auto"/>
        </w:rPr>
        <w:br w:type="page"/>
      </w:r>
    </w:p>
    <w:p>
      <w:pPr>
        <w:pStyle w:val="8"/>
        <w:rPr>
          <w:color w:val="auto"/>
        </w:rPr>
      </w:pPr>
    </w:p>
    <w:p>
      <w:pPr>
        <w:bidi w:val="0"/>
        <w:jc w:val="center"/>
        <w:outlineLvl w:val="9"/>
        <w:rPr>
          <w:rFonts w:hint="eastAsia"/>
          <w:color w:val="auto"/>
          <w:sz w:val="28"/>
          <w:szCs w:val="28"/>
        </w:rPr>
      </w:pPr>
      <w:r>
        <w:rPr>
          <w:rFonts w:hint="eastAsia"/>
          <w:color w:val="auto"/>
          <w:sz w:val="28"/>
          <w:szCs w:val="28"/>
        </w:rPr>
        <w:t>信用查询记录</w:t>
      </w:r>
      <w:bookmarkEnd w:id="68"/>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eastAsia="zh-CN"/>
        </w:rPr>
      </w:pPr>
      <w:r>
        <w:rPr>
          <w:rFonts w:hint="eastAsia" w:asciiTheme="minorEastAsia" w:hAnsiTheme="minorEastAsia" w:eastAsiaTheme="minorEastAsia" w:cstheme="minorEastAsia"/>
          <w:color w:val="auto"/>
          <w:sz w:val="24"/>
          <w:szCs w:val="24"/>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的供应商截屏打印件（加盖投标企业公章），信用信息截止时</w:t>
      </w:r>
      <w:r>
        <w:rPr>
          <w:rFonts w:hint="eastAsia" w:asciiTheme="minorEastAsia" w:hAnsiTheme="minorEastAsia" w:eastAsiaTheme="minorEastAsia" w:cstheme="minorEastAsia"/>
          <w:color w:val="auto"/>
          <w:sz w:val="24"/>
          <w:szCs w:val="24"/>
          <w:lang w:val="en-US" w:eastAsia="zh-CN"/>
        </w:rPr>
        <w:t>间</w:t>
      </w:r>
      <w:r>
        <w:rPr>
          <w:rFonts w:hint="eastAsia" w:asciiTheme="minorEastAsia" w:hAnsiTheme="minorEastAsia" w:eastAsiaTheme="minorEastAsia" w:cstheme="minorEastAsia"/>
          <w:color w:val="auto"/>
          <w:sz w:val="24"/>
          <w:szCs w:val="24"/>
        </w:rPr>
        <w:t>点为开标当日</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rPr>
          <w:rFonts w:hint="default"/>
          <w:color w:val="auto"/>
          <w:sz w:val="28"/>
          <w:szCs w:val="28"/>
          <w:lang w:val="en-US" w:eastAsia="zh-CN"/>
        </w:rPr>
      </w:pPr>
    </w:p>
    <w:p>
      <w:pPr>
        <w:pStyle w:val="8"/>
        <w:rPr>
          <w:rFonts w:hint="default"/>
          <w:color w:val="auto"/>
          <w:sz w:val="28"/>
          <w:szCs w:val="28"/>
          <w:lang w:val="en-US" w:eastAsia="zh-CN"/>
        </w:rPr>
      </w:pPr>
    </w:p>
    <w:p>
      <w:pPr>
        <w:rPr>
          <w:rFonts w:hint="default"/>
          <w:color w:val="auto"/>
          <w:lang w:val="en-US" w:eastAsia="zh-CN"/>
        </w:rPr>
      </w:pPr>
      <w:r>
        <w:rPr>
          <w:rFonts w:hint="default"/>
          <w:color w:val="auto"/>
          <w:sz w:val="28"/>
          <w:szCs w:val="28"/>
          <w:lang w:val="en-US" w:eastAsia="zh-CN"/>
        </w:rPr>
        <w:br w:type="page"/>
      </w:r>
    </w:p>
    <w:p>
      <w:pPr>
        <w:jc w:val="center"/>
        <w:rPr>
          <w:rFonts w:ascii="宋体" w:hAnsi="宋体" w:eastAsia="宋体" w:cs="宋体"/>
          <w:color w:val="auto"/>
          <w:sz w:val="28"/>
          <w:szCs w:val="28"/>
        </w:rPr>
      </w:pPr>
      <w:r>
        <w:rPr>
          <w:rFonts w:hint="eastAsia" w:ascii="宋体" w:hAnsi="宋体" w:eastAsia="宋体" w:cs="宋体"/>
          <w:b/>
          <w:color w:val="auto"/>
          <w:sz w:val="28"/>
          <w:szCs w:val="28"/>
          <w:lang w:val="en-US" w:eastAsia="zh-CN"/>
        </w:rPr>
        <w:t>投标人</w:t>
      </w:r>
      <w:r>
        <w:rPr>
          <w:rFonts w:hint="eastAsia" w:ascii="宋体" w:hAnsi="宋体" w:eastAsia="宋体" w:cs="宋体"/>
          <w:b/>
          <w:color w:val="auto"/>
          <w:sz w:val="28"/>
          <w:szCs w:val="28"/>
        </w:rPr>
        <w:t>认为投标文件范本尚未涵盖的信息内容</w:t>
      </w:r>
    </w:p>
    <w:p>
      <w:pPr>
        <w:kinsoku/>
        <w:overflowPunct/>
        <w:topLinePunct w:val="0"/>
        <w:bidi w:val="0"/>
        <w:adjustRightInd w:val="0"/>
        <w:snapToGrid w:val="0"/>
        <w:spacing w:line="400" w:lineRule="exact"/>
        <w:textAlignment w:val="auto"/>
        <w:rPr>
          <w:color w:val="auto"/>
        </w:rPr>
      </w:pPr>
    </w:p>
    <w:p>
      <w:pPr>
        <w:widowControl/>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注意事项：供应商格式自拟对补充内容须加盖供应商公章。</w:t>
      </w:r>
    </w:p>
    <w:p>
      <w:pPr>
        <w:pStyle w:val="6"/>
        <w:rPr>
          <w:color w:val="auto"/>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2"/>
        <w:jc w:val="center"/>
        <w:textAlignment w:val="auto"/>
        <w:rPr>
          <w:rFonts w:ascii="宋体" w:hAnsi="宋体" w:eastAsia="宋体" w:cs="宋体"/>
          <w:b/>
          <w:color w:val="auto"/>
          <w:sz w:val="28"/>
          <w:szCs w:val="28"/>
        </w:rPr>
      </w:pPr>
      <w:r>
        <w:rPr>
          <w:rFonts w:hint="eastAsia" w:ascii="宋体" w:hAnsi="宋体" w:eastAsia="宋体" w:cs="宋体"/>
          <w:b/>
          <w:color w:val="auto"/>
          <w:sz w:val="28"/>
          <w:szCs w:val="28"/>
        </w:rPr>
        <w:t>其他</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注意事项：供应商认为与采购项目相关的</w:t>
      </w:r>
      <w:r>
        <w:rPr>
          <w:rFonts w:hint="eastAsia" w:ascii="宋体" w:hAnsi="宋体" w:eastAsia="宋体" w:cs="宋体"/>
          <w:b w:val="0"/>
          <w:bCs w:val="0"/>
          <w:color w:val="auto"/>
          <w:sz w:val="24"/>
          <w:szCs w:val="24"/>
          <w:lang w:val="en-US" w:eastAsia="zh-CN"/>
        </w:rPr>
        <w:t>投标文件未提供格式的</w:t>
      </w:r>
      <w:r>
        <w:rPr>
          <w:rFonts w:hint="eastAsia" w:ascii="宋体" w:hAnsi="宋体" w:eastAsia="宋体" w:cs="宋体"/>
          <w:b w:val="0"/>
          <w:bCs w:val="0"/>
          <w:color w:val="auto"/>
          <w:sz w:val="24"/>
          <w:szCs w:val="24"/>
        </w:rPr>
        <w:t>其他佐证文件、</w:t>
      </w:r>
      <w:r>
        <w:rPr>
          <w:rFonts w:hint="eastAsia" w:ascii="宋体" w:hAnsi="宋体" w:eastAsia="宋体" w:cs="宋体"/>
          <w:b w:val="0"/>
          <w:bCs w:val="0"/>
          <w:color w:val="auto"/>
          <w:sz w:val="24"/>
          <w:szCs w:val="24"/>
          <w:lang w:val="en-US" w:eastAsia="zh-CN"/>
        </w:rPr>
        <w:t>资料、</w:t>
      </w:r>
      <w:r>
        <w:rPr>
          <w:rFonts w:hint="eastAsia" w:ascii="宋体" w:hAnsi="宋体" w:eastAsia="宋体" w:cs="宋体"/>
          <w:b w:val="0"/>
          <w:bCs w:val="0"/>
          <w:color w:val="auto"/>
          <w:sz w:val="24"/>
          <w:szCs w:val="24"/>
        </w:rPr>
        <w:t>声明及承诺</w:t>
      </w:r>
      <w:r>
        <w:rPr>
          <w:rFonts w:hint="eastAsia" w:ascii="宋体" w:hAnsi="宋体" w:eastAsia="宋体" w:cs="宋体"/>
          <w:b w:val="0"/>
          <w:bCs w:val="0"/>
          <w:color w:val="auto"/>
          <w:sz w:val="24"/>
          <w:szCs w:val="24"/>
          <w:lang w:val="en-US" w:eastAsia="zh-CN"/>
        </w:rPr>
        <w:t>等</w:t>
      </w:r>
      <w:r>
        <w:rPr>
          <w:rFonts w:hint="eastAsia" w:ascii="宋体" w:hAnsi="宋体" w:eastAsia="宋体" w:cs="宋体"/>
          <w:b w:val="0"/>
          <w:bCs w:val="0"/>
          <w:color w:val="auto"/>
          <w:sz w:val="24"/>
          <w:szCs w:val="24"/>
        </w:rPr>
        <w:t>（格式自拟，复印或扫描件须加盖竞标供应商公章）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非国家行政机关出具的证明文件，由专家小组评审其有效性。</w:t>
      </w:r>
    </w:p>
    <w:p>
      <w:pPr>
        <w:pStyle w:val="6"/>
        <w:rPr>
          <w:rFonts w:hint="default"/>
          <w:color w:val="auto"/>
          <w:lang w:val="en-US" w:eastAsia="zh-CN"/>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ascii="宋体" w:hAnsi="宋体" w:eastAsia="宋体" w:cs="宋体"/>
        <w:b/>
        <w:bCs/>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ascii="宋体" w:hAnsi="宋体" w:eastAsia="宋体" w:cs="宋体"/>
        <w:b/>
        <w:bCs/>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reeDEngrave" w:color="auto" w:sz="18" w:space="1"/>
      </w:pBdr>
      <w:rPr>
        <w:rFonts w:hint="default" w:eastAsiaTheme="minorEastAsia"/>
        <w:sz w:val="21"/>
        <w:szCs w:val="21"/>
        <w:lang w:val="en-US" w:eastAsia="zh-CN"/>
      </w:rPr>
    </w:pPr>
    <w:r>
      <w:rPr>
        <w:rFonts w:hint="eastAsia" w:eastAsiaTheme="minorEastAsia"/>
        <w:lang w:eastAsia="zh-CN"/>
      </w:rPr>
      <w:drawing>
        <wp:inline distT="0" distB="0" distL="114300" distR="114300">
          <wp:extent cx="374015" cy="370205"/>
          <wp:effectExtent l="0" t="0" r="6985" b="10795"/>
          <wp:docPr id="15" name="图片 15"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lang w:val="en-US" w:eastAsia="zh-CN"/>
      </w:rPr>
      <w:t xml:space="preserve">                                                            </w:t>
    </w:r>
    <w:r>
      <w:rPr>
        <w:rFonts w:hint="eastAsia"/>
        <w:sz w:val="21"/>
        <w:szCs w:val="21"/>
        <w:lang w:val="en-US" w:eastAsia="zh-CN"/>
      </w:rPr>
      <w:t xml:space="preserve"> </w:t>
    </w:r>
    <w:r>
      <w:rPr>
        <w:rFonts w:hint="eastAsia"/>
        <w:b/>
        <w:bCs/>
        <w:sz w:val="21"/>
        <w:szCs w:val="21"/>
        <w:lang w:val="en-US" w:eastAsia="zh-CN"/>
      </w:rPr>
      <w:t>新疆融盛源工程项目管理有限公司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FFFEC"/>
    <w:multiLevelType w:val="singleLevel"/>
    <w:tmpl w:val="046FFFEC"/>
    <w:lvl w:ilvl="0" w:tentative="0">
      <w:start w:val="6"/>
      <w:numFmt w:val="chineseCounting"/>
      <w:suff w:val="nothing"/>
      <w:lvlText w:val="%1、"/>
      <w:lvlJc w:val="left"/>
      <w:rPr>
        <w:rFonts w:hint="eastAsia"/>
      </w:rPr>
    </w:lvl>
  </w:abstractNum>
  <w:abstractNum w:abstractNumId="1">
    <w:nsid w:val="07F0885E"/>
    <w:multiLevelType w:val="singleLevel"/>
    <w:tmpl w:val="07F0885E"/>
    <w:lvl w:ilvl="0" w:tentative="0">
      <w:start w:val="2"/>
      <w:numFmt w:val="chineseCounting"/>
      <w:suff w:val="nothing"/>
      <w:lvlText w:val="%1、"/>
      <w:lvlJc w:val="left"/>
      <w:rPr>
        <w:rFonts w:hint="eastAsia"/>
      </w:rPr>
    </w:lvl>
  </w:abstractNum>
  <w:abstractNum w:abstractNumId="2">
    <w:nsid w:val="34BD4F74"/>
    <w:multiLevelType w:val="singleLevel"/>
    <w:tmpl w:val="34BD4F74"/>
    <w:lvl w:ilvl="0" w:tentative="0">
      <w:start w:val="1"/>
      <w:numFmt w:val="chineseCounting"/>
      <w:suff w:val="space"/>
      <w:lvlText w:val="第%1章"/>
      <w:lvlJc w:val="left"/>
      <w:rPr>
        <w:rFonts w:hint="eastAsia"/>
      </w:rPr>
    </w:lvl>
  </w:abstractNum>
  <w:abstractNum w:abstractNumId="3">
    <w:nsid w:val="6E6F60ED"/>
    <w:multiLevelType w:val="multilevel"/>
    <w:tmpl w:val="6E6F60E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27"/>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mRmN2I0NWRlZTA5NTI2ZTlhNWEwMjRlNzgzYzQifQ=="/>
  </w:docVars>
  <w:rsids>
    <w:rsidRoot w:val="00000000"/>
    <w:rsid w:val="0033601C"/>
    <w:rsid w:val="003C1B3F"/>
    <w:rsid w:val="003D1FBE"/>
    <w:rsid w:val="00CC4886"/>
    <w:rsid w:val="02D67A3F"/>
    <w:rsid w:val="03324F26"/>
    <w:rsid w:val="039F5658"/>
    <w:rsid w:val="03A11522"/>
    <w:rsid w:val="040A35F9"/>
    <w:rsid w:val="045D0A6D"/>
    <w:rsid w:val="053E67E9"/>
    <w:rsid w:val="0553464A"/>
    <w:rsid w:val="05974C8D"/>
    <w:rsid w:val="05AA5355"/>
    <w:rsid w:val="070032A1"/>
    <w:rsid w:val="0765017E"/>
    <w:rsid w:val="08601F25"/>
    <w:rsid w:val="08F415E9"/>
    <w:rsid w:val="094B32A1"/>
    <w:rsid w:val="09753636"/>
    <w:rsid w:val="0A2B379A"/>
    <w:rsid w:val="0B0D2C51"/>
    <w:rsid w:val="0C6579A4"/>
    <w:rsid w:val="0CF108F3"/>
    <w:rsid w:val="0D50565C"/>
    <w:rsid w:val="0F457A89"/>
    <w:rsid w:val="0F83544F"/>
    <w:rsid w:val="0FF73D54"/>
    <w:rsid w:val="10662D33"/>
    <w:rsid w:val="10A32A69"/>
    <w:rsid w:val="1151197A"/>
    <w:rsid w:val="11736DDE"/>
    <w:rsid w:val="12316A86"/>
    <w:rsid w:val="1396130E"/>
    <w:rsid w:val="13AD2CA7"/>
    <w:rsid w:val="142D3A52"/>
    <w:rsid w:val="144201CF"/>
    <w:rsid w:val="14645018"/>
    <w:rsid w:val="147E70D0"/>
    <w:rsid w:val="149263BA"/>
    <w:rsid w:val="152F1797"/>
    <w:rsid w:val="15BF7DA0"/>
    <w:rsid w:val="17A310F5"/>
    <w:rsid w:val="17AC2E08"/>
    <w:rsid w:val="17E07515"/>
    <w:rsid w:val="19E24822"/>
    <w:rsid w:val="19EE7099"/>
    <w:rsid w:val="1A2F4E4B"/>
    <w:rsid w:val="1AB25359"/>
    <w:rsid w:val="1B2608C9"/>
    <w:rsid w:val="1B64780D"/>
    <w:rsid w:val="1B8E79A1"/>
    <w:rsid w:val="1BD44035"/>
    <w:rsid w:val="1BE67BE2"/>
    <w:rsid w:val="1CC313A8"/>
    <w:rsid w:val="1CF32944"/>
    <w:rsid w:val="1D2D1035"/>
    <w:rsid w:val="1D3D6875"/>
    <w:rsid w:val="1DD9661E"/>
    <w:rsid w:val="1ED14054"/>
    <w:rsid w:val="1F1F3F48"/>
    <w:rsid w:val="1F2064A4"/>
    <w:rsid w:val="1F3C5F1B"/>
    <w:rsid w:val="1FF33EC6"/>
    <w:rsid w:val="20123240"/>
    <w:rsid w:val="202C36D7"/>
    <w:rsid w:val="21897FA8"/>
    <w:rsid w:val="22B23CC6"/>
    <w:rsid w:val="22DA0C4C"/>
    <w:rsid w:val="23171FCF"/>
    <w:rsid w:val="23490CA9"/>
    <w:rsid w:val="23FC3A8F"/>
    <w:rsid w:val="24723C63"/>
    <w:rsid w:val="24A408E9"/>
    <w:rsid w:val="26532BC7"/>
    <w:rsid w:val="278B6E4F"/>
    <w:rsid w:val="283244F0"/>
    <w:rsid w:val="29075522"/>
    <w:rsid w:val="2B833F9F"/>
    <w:rsid w:val="2B9A05DF"/>
    <w:rsid w:val="2C342AEA"/>
    <w:rsid w:val="2D307D8B"/>
    <w:rsid w:val="2E880786"/>
    <w:rsid w:val="2ED46E78"/>
    <w:rsid w:val="2EE12A14"/>
    <w:rsid w:val="2F1C1636"/>
    <w:rsid w:val="2F6B1E54"/>
    <w:rsid w:val="2F706CD6"/>
    <w:rsid w:val="2FBE1295"/>
    <w:rsid w:val="31F35EB1"/>
    <w:rsid w:val="329D5B10"/>
    <w:rsid w:val="32DA203D"/>
    <w:rsid w:val="336178B6"/>
    <w:rsid w:val="33DE03AD"/>
    <w:rsid w:val="343951E9"/>
    <w:rsid w:val="34837FD9"/>
    <w:rsid w:val="3641585E"/>
    <w:rsid w:val="376A27D0"/>
    <w:rsid w:val="39A8387C"/>
    <w:rsid w:val="3A947683"/>
    <w:rsid w:val="3AA87DB9"/>
    <w:rsid w:val="3B4D2B57"/>
    <w:rsid w:val="3B720EE1"/>
    <w:rsid w:val="3CB94A0D"/>
    <w:rsid w:val="3D047340"/>
    <w:rsid w:val="3D91192F"/>
    <w:rsid w:val="3E385E07"/>
    <w:rsid w:val="3F193804"/>
    <w:rsid w:val="41505565"/>
    <w:rsid w:val="41C7723E"/>
    <w:rsid w:val="41DF1E31"/>
    <w:rsid w:val="42140161"/>
    <w:rsid w:val="43DC5F7B"/>
    <w:rsid w:val="45225D81"/>
    <w:rsid w:val="46573EC1"/>
    <w:rsid w:val="467A1E06"/>
    <w:rsid w:val="479F4697"/>
    <w:rsid w:val="47D92029"/>
    <w:rsid w:val="489C22EB"/>
    <w:rsid w:val="48C80FA8"/>
    <w:rsid w:val="4A42369D"/>
    <w:rsid w:val="4A9B0292"/>
    <w:rsid w:val="4B620C1D"/>
    <w:rsid w:val="4B6B511E"/>
    <w:rsid w:val="4BAD05BF"/>
    <w:rsid w:val="4BE629F7"/>
    <w:rsid w:val="4DD853A2"/>
    <w:rsid w:val="4DEE66DE"/>
    <w:rsid w:val="4F8A1558"/>
    <w:rsid w:val="4FD0287B"/>
    <w:rsid w:val="4FEF5F93"/>
    <w:rsid w:val="50001618"/>
    <w:rsid w:val="50233FF4"/>
    <w:rsid w:val="510466B9"/>
    <w:rsid w:val="510922AB"/>
    <w:rsid w:val="512D1080"/>
    <w:rsid w:val="524E3F06"/>
    <w:rsid w:val="536A5ABD"/>
    <w:rsid w:val="536E728A"/>
    <w:rsid w:val="53ED0A01"/>
    <w:rsid w:val="54487692"/>
    <w:rsid w:val="546B183D"/>
    <w:rsid w:val="55075178"/>
    <w:rsid w:val="55B97CEC"/>
    <w:rsid w:val="56253EAD"/>
    <w:rsid w:val="567E4C97"/>
    <w:rsid w:val="57765C78"/>
    <w:rsid w:val="57AB42AD"/>
    <w:rsid w:val="57EA7B72"/>
    <w:rsid w:val="5894080A"/>
    <w:rsid w:val="58AE4120"/>
    <w:rsid w:val="58E26D9A"/>
    <w:rsid w:val="591A203C"/>
    <w:rsid w:val="59D92ED4"/>
    <w:rsid w:val="5A2301D6"/>
    <w:rsid w:val="5BB711B6"/>
    <w:rsid w:val="5C2655AA"/>
    <w:rsid w:val="5C4F1832"/>
    <w:rsid w:val="5C732F44"/>
    <w:rsid w:val="5D4A08C5"/>
    <w:rsid w:val="5E283789"/>
    <w:rsid w:val="5E8B04F2"/>
    <w:rsid w:val="5EBC5AF5"/>
    <w:rsid w:val="5ED076E1"/>
    <w:rsid w:val="5ED86CB6"/>
    <w:rsid w:val="5EFD196C"/>
    <w:rsid w:val="5F4564DF"/>
    <w:rsid w:val="5F7906DC"/>
    <w:rsid w:val="6026206F"/>
    <w:rsid w:val="60C61FC1"/>
    <w:rsid w:val="60EC6DB5"/>
    <w:rsid w:val="61EB0229"/>
    <w:rsid w:val="62A37FEC"/>
    <w:rsid w:val="64486DFA"/>
    <w:rsid w:val="65E74F3A"/>
    <w:rsid w:val="670C2D85"/>
    <w:rsid w:val="67C34B7F"/>
    <w:rsid w:val="684F2EB5"/>
    <w:rsid w:val="692F2457"/>
    <w:rsid w:val="6ACE66E3"/>
    <w:rsid w:val="6B7F6ED3"/>
    <w:rsid w:val="6B976469"/>
    <w:rsid w:val="6C351F50"/>
    <w:rsid w:val="6CAE503B"/>
    <w:rsid w:val="6D1A1720"/>
    <w:rsid w:val="6DDE25DA"/>
    <w:rsid w:val="6E2A2CF3"/>
    <w:rsid w:val="6E930696"/>
    <w:rsid w:val="6F5B3D97"/>
    <w:rsid w:val="6FD45819"/>
    <w:rsid w:val="7024120B"/>
    <w:rsid w:val="702F3566"/>
    <w:rsid w:val="70B9470B"/>
    <w:rsid w:val="719E177B"/>
    <w:rsid w:val="73B47D00"/>
    <w:rsid w:val="73C45D5F"/>
    <w:rsid w:val="74096D03"/>
    <w:rsid w:val="751C6973"/>
    <w:rsid w:val="757D0E48"/>
    <w:rsid w:val="761504E1"/>
    <w:rsid w:val="775559B8"/>
    <w:rsid w:val="77A337BE"/>
    <w:rsid w:val="79BC5931"/>
    <w:rsid w:val="7A3B1624"/>
    <w:rsid w:val="7B1567D5"/>
    <w:rsid w:val="7C4D7FE8"/>
    <w:rsid w:val="7CCF1634"/>
    <w:rsid w:val="7CDC6C39"/>
    <w:rsid w:val="7D0A380A"/>
    <w:rsid w:val="7D797161"/>
    <w:rsid w:val="7E326388"/>
    <w:rsid w:val="7F08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unhideWhenUsed/>
    <w:qFormat/>
    <w:uiPriority w:val="0"/>
    <w:pPr>
      <w:keepNext/>
      <w:keepLines/>
      <w:jc w:val="center"/>
      <w:outlineLvl w:val="2"/>
    </w:pPr>
    <w:rPr>
      <w:rFonts w:eastAsia="黑体"/>
      <w:bCs/>
      <w:kern w:val="0"/>
      <w:sz w:val="24"/>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rPr>
  </w:style>
  <w:style w:type="paragraph" w:styleId="6">
    <w:name w:val="toa heading"/>
    <w:basedOn w:val="1"/>
    <w:next w:val="1"/>
    <w:qFormat/>
    <w:uiPriority w:val="0"/>
    <w:pPr>
      <w:spacing w:before="120"/>
    </w:pPr>
    <w:rPr>
      <w:rFonts w:ascii="Cambria" w:hAnsi="Cambria"/>
      <w:sz w:val="24"/>
    </w:rPr>
  </w:style>
  <w:style w:type="paragraph" w:styleId="7">
    <w:name w:val="Body Text 3"/>
    <w:basedOn w:val="1"/>
    <w:unhideWhenUsed/>
    <w:qFormat/>
    <w:uiPriority w:val="0"/>
    <w:pPr>
      <w:spacing w:after="120"/>
    </w:pPr>
    <w:rPr>
      <w:sz w:val="16"/>
      <w:szCs w:val="16"/>
    </w:rPr>
  </w:style>
  <w:style w:type="paragraph" w:styleId="8">
    <w:name w:val="Body Text"/>
    <w:basedOn w:val="1"/>
    <w:qFormat/>
    <w:uiPriority w:val="0"/>
    <w:pPr>
      <w:spacing w:after="120"/>
    </w:pPr>
  </w:style>
  <w:style w:type="paragraph" w:styleId="9">
    <w:name w:val="Body Text Indent"/>
    <w:basedOn w:val="1"/>
    <w:qFormat/>
    <w:uiPriority w:val="0"/>
    <w:pPr>
      <w:spacing w:line="380" w:lineRule="exact"/>
      <w:ind w:firstLine="480"/>
    </w:pPr>
    <w:rPr>
      <w:rFonts w:eastAsia="方正书宋简体"/>
      <w:kern w:val="0"/>
      <w:sz w:val="24"/>
      <w:szCs w:val="20"/>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unhideWhenUsed/>
    <w:qFormat/>
    <w:uiPriority w:val="0"/>
    <w:rPr>
      <w:sz w:val="24"/>
    </w:rPr>
  </w:style>
  <w:style w:type="character" w:styleId="19">
    <w:name w:val="Strong"/>
    <w:basedOn w:val="18"/>
    <w:qFormat/>
    <w:uiPriority w:val="0"/>
    <w:rPr>
      <w:b/>
      <w:bCs/>
    </w:rPr>
  </w:style>
  <w:style w:type="character" w:styleId="20">
    <w:name w:val="HTML Sample"/>
    <w:basedOn w:val="18"/>
    <w:unhideWhenUsed/>
    <w:qFormat/>
    <w:uiPriority w:val="99"/>
    <w:rPr>
      <w:rFonts w:ascii="Courier New" w:hAnsi="Courier New"/>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paragraph" w:customStyle="1" w:styleId="23">
    <w:name w:val="1"/>
    <w:basedOn w:val="1"/>
    <w:next w:val="11"/>
    <w:qFormat/>
    <w:uiPriority w:val="0"/>
    <w:pPr>
      <w:spacing w:before="0" w:beforeAutospacing="0" w:after="0" w:afterAutospacing="0" w:line="240" w:lineRule="auto"/>
    </w:pPr>
    <w:rPr>
      <w:rFonts w:ascii="宋体" w:hAnsi="Courier New"/>
      <w:szCs w:val="22"/>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
    <w:name w:val="纯文本_0"/>
    <w:basedOn w:val="26"/>
    <w:unhideWhenUsed/>
    <w:qFormat/>
    <w:uiPriority w:val="0"/>
    <w:pPr>
      <w:widowControl/>
      <w:jc w:val="left"/>
    </w:pPr>
    <w:rPr>
      <w:rFonts w:ascii="宋体" w:hAnsi="Courier New"/>
      <w:kern w:val="0"/>
      <w:sz w:val="20"/>
      <w:szCs w:val="21"/>
      <w:lang w:val="zh-CN" w:eastAsia="zh-CN"/>
    </w:rPr>
  </w:style>
  <w:style w:type="paragraph" w:customStyle="1" w:styleId="2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
    <w:basedOn w:val="26"/>
    <w:next w:val="26"/>
    <w:qFormat/>
    <w:uiPriority w:val="9"/>
    <w:pPr>
      <w:keepNext/>
      <w:keepLines/>
      <w:numPr>
        <w:ilvl w:val="2"/>
        <w:numId w:val="1"/>
      </w:numPr>
      <w:spacing w:before="260" w:after="260" w:line="416" w:lineRule="auto"/>
      <w:outlineLvl w:val="2"/>
    </w:pPr>
    <w:rPr>
      <w:rFonts w:ascii="Times New Roman" w:hAnsi="Times New Roman" w:eastAsia="华文细黑"/>
      <w:kern w:val="0"/>
      <w:sz w:val="36"/>
      <w:szCs w:val="20"/>
    </w:rPr>
  </w:style>
  <w:style w:type="paragraph" w:customStyle="1" w:styleId="28">
    <w:name w:val="纯文本_0_0"/>
    <w:basedOn w:val="29"/>
    <w:unhideWhenUsed/>
    <w:qFormat/>
    <w:uiPriority w:val="0"/>
    <w:pPr>
      <w:widowControl/>
      <w:jc w:val="left"/>
    </w:pPr>
    <w:rPr>
      <w:rFonts w:ascii="宋体" w:hAnsi="Courier New"/>
      <w:kern w:val="0"/>
      <w:sz w:val="20"/>
      <w:szCs w:val="21"/>
      <w:lang w:val="zh-CN" w:eastAsia="zh-CN"/>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纯文本_1"/>
    <w:basedOn w:val="1"/>
    <w:qFormat/>
    <w:uiPriority w:val="0"/>
    <w:pPr>
      <w:widowControl/>
      <w:spacing w:before="0" w:beforeAutospacing="0" w:after="0" w:afterAutospacing="0" w:line="240" w:lineRule="auto"/>
      <w:jc w:val="left"/>
    </w:pPr>
    <w:rPr>
      <w:rFonts w:ascii="宋体" w:hAnsi="Courier New"/>
      <w:kern w:val="0"/>
      <w:sz w:val="20"/>
      <w:szCs w:val="21"/>
      <w:lang w:val="zh-CN" w:eastAsia="zh-CN"/>
    </w:rPr>
  </w:style>
  <w:style w:type="paragraph" w:customStyle="1" w:styleId="31">
    <w:name w:val="1_0"/>
    <w:basedOn w:val="1"/>
    <w:next w:val="30"/>
    <w:qFormat/>
    <w:uiPriority w:val="0"/>
    <w:pPr>
      <w:spacing w:before="0" w:beforeAutospacing="0" w:after="0" w:afterAutospacing="0" w:line="240" w:lineRule="auto"/>
    </w:pPr>
    <w:rPr>
      <w:rFonts w:ascii="宋体" w:hAnsi="Courier New"/>
      <w:szCs w:val="20"/>
    </w:rPr>
  </w:style>
  <w:style w:type="paragraph" w:customStyle="1" w:styleId="3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2"/>
    <w:basedOn w:val="32"/>
    <w:unhideWhenUsed/>
    <w:qFormat/>
    <w:uiPriority w:val="0"/>
    <w:pPr>
      <w:widowControl/>
      <w:jc w:val="left"/>
    </w:pPr>
    <w:rPr>
      <w:rFonts w:ascii="宋体" w:hAnsi="Courier New"/>
      <w:kern w:val="0"/>
      <w:sz w:val="20"/>
      <w:szCs w:val="21"/>
      <w:lang w:val="zh-CN" w:eastAsia="zh-CN"/>
    </w:rPr>
  </w:style>
  <w:style w:type="paragraph" w:customStyle="1" w:styleId="3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纯文本_3"/>
    <w:basedOn w:val="34"/>
    <w:qFormat/>
    <w:uiPriority w:val="0"/>
    <w:rPr>
      <w:rFonts w:ascii="宋体" w:hAnsi="Courier New"/>
      <w:kern w:val="0"/>
      <w:sz w:val="20"/>
      <w:szCs w:val="20"/>
      <w:lang w:val="zh-CN" w:eastAsia="zh-CN"/>
    </w:rPr>
  </w:style>
  <w:style w:type="paragraph" w:customStyle="1" w:styleId="36">
    <w:name w:val="Table Paragraph"/>
    <w:basedOn w:val="1"/>
    <w:qFormat/>
    <w:uiPriority w:val="1"/>
    <w:rPr>
      <w:rFonts w:ascii="宋体" w:hAnsi="宋体" w:cs="宋体"/>
      <w:lang w:val="zh-CN" w:bidi="zh-CN"/>
    </w:rPr>
  </w:style>
  <w:style w:type="paragraph" w:customStyle="1" w:styleId="37">
    <w:name w:val="样式1_1"/>
    <w:basedOn w:val="1"/>
    <w:qFormat/>
    <w:uiPriority w:val="0"/>
    <w:pPr>
      <w:keepNext/>
      <w:keepLines/>
      <w:widowControl/>
      <w:tabs>
        <w:tab w:val="left" w:pos="420"/>
      </w:tabs>
      <w:adjustRightInd w:val="0"/>
      <w:snapToGrid w:val="0"/>
      <w:spacing w:before="0" w:beforeAutospacing="0" w:after="0" w:afterAutospacing="0"/>
      <w:ind w:left="420" w:hanging="420"/>
      <w:jc w:val="center"/>
      <w:outlineLvl w:val="1"/>
    </w:pPr>
    <w:rPr>
      <w:rFonts w:ascii="宋体" w:hAnsi="Arial"/>
      <w:b/>
      <w:kern w:val="0"/>
      <w:sz w:val="32"/>
      <w:szCs w:val="20"/>
    </w:rPr>
  </w:style>
  <w:style w:type="paragraph" w:customStyle="1" w:styleId="38">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1">
    <w:name w:val="bookmark-item"/>
    <w:qFormat/>
    <w:uiPriority w:val="0"/>
  </w:style>
  <w:style w:type="paragraph" w:customStyle="1" w:styleId="42">
    <w:name w:val="HTML 预设格式1"/>
    <w:basedOn w:val="1"/>
    <w:qFormat/>
    <w:uiPriority w:val="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1"/>
      <w:sz w:val="24"/>
      <w:szCs w:val="24"/>
    </w:r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22169</Words>
  <Characters>23723</Characters>
  <Lines>0</Lines>
  <Paragraphs>0</Paragraphs>
  <TotalTime>177</TotalTime>
  <ScaleCrop>false</ScaleCrop>
  <LinksUpToDate>false</LinksUpToDate>
  <CharactersWithSpaces>24571</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jjw</dc:creator>
  <cp:lastModifiedBy>稀罕</cp:lastModifiedBy>
  <dcterms:modified xsi:type="dcterms:W3CDTF">2022-06-27T10:17:02Z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779FB00D42E34FE791CD1FAC82EEBB24</vt:lpwstr>
  </property>
</Properties>
</file>